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A93" w:rsidRDefault="00F40FDF" w:rsidP="001A2BB7">
      <w:r>
        <w:rPr>
          <w:noProof/>
        </w:rPr>
        <mc:AlternateContent>
          <mc:Choice Requires="wps">
            <w:drawing>
              <wp:anchor distT="0" distB="0" distL="114300" distR="114300" simplePos="0" relativeHeight="251657728" behindDoc="0" locked="0" layoutInCell="1" allowOverlap="1">
                <wp:simplePos x="0" y="0"/>
                <wp:positionH relativeFrom="column">
                  <wp:posOffset>3710940</wp:posOffset>
                </wp:positionH>
                <wp:positionV relativeFrom="paragraph">
                  <wp:posOffset>-548640</wp:posOffset>
                </wp:positionV>
                <wp:extent cx="2186940" cy="157988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6940" cy="157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7BAA" w:rsidRPr="00F01EF3" w:rsidRDefault="00DF7BAA">
                            <w:pPr>
                              <w:rPr>
                                <w:rFonts w:ascii="Calibri" w:hAnsi="Calibri" w:cs="Calibri"/>
                                <w:sz w:val="20"/>
                              </w:rPr>
                            </w:pPr>
                            <w:r w:rsidRPr="00F01EF3">
                              <w:rPr>
                                <w:rFonts w:ascii="Calibri" w:hAnsi="Calibri" w:cs="Calibri"/>
                                <w:sz w:val="20"/>
                              </w:rPr>
                              <w:t>National Legal Aid Secretariat</w:t>
                            </w:r>
                          </w:p>
                          <w:p w:rsidR="00DF7BAA" w:rsidRPr="00F01EF3" w:rsidRDefault="00DF7BAA">
                            <w:pPr>
                              <w:rPr>
                                <w:rFonts w:ascii="Calibri" w:hAnsi="Calibri" w:cs="Calibri"/>
                                <w:sz w:val="20"/>
                              </w:rPr>
                            </w:pPr>
                            <w:r w:rsidRPr="00F01EF3">
                              <w:rPr>
                                <w:rFonts w:ascii="Calibri" w:hAnsi="Calibri" w:cs="Calibri"/>
                                <w:sz w:val="20"/>
                              </w:rPr>
                              <w:t>GPO Box 1422</w:t>
                            </w:r>
                          </w:p>
                          <w:p w:rsidR="00DF7BAA" w:rsidRPr="00F01EF3" w:rsidRDefault="00DF7BAA">
                            <w:pPr>
                              <w:spacing w:after="120"/>
                              <w:rPr>
                                <w:rFonts w:ascii="Calibri" w:hAnsi="Calibri" w:cs="Calibri"/>
                                <w:sz w:val="20"/>
                              </w:rPr>
                            </w:pPr>
                            <w:r w:rsidRPr="00F01EF3">
                              <w:rPr>
                                <w:rFonts w:ascii="Calibri" w:hAnsi="Calibri" w:cs="Calibri"/>
                                <w:sz w:val="20"/>
                              </w:rPr>
                              <w:t>Hobart   TAS   7001</w:t>
                            </w:r>
                          </w:p>
                          <w:p w:rsidR="00DF7BAA" w:rsidRPr="00F01EF3" w:rsidRDefault="00DF7BAA">
                            <w:pPr>
                              <w:spacing w:after="120"/>
                              <w:rPr>
                                <w:rFonts w:ascii="Calibri" w:hAnsi="Calibri" w:cs="Calibri"/>
                                <w:sz w:val="20"/>
                              </w:rPr>
                            </w:pPr>
                            <w:r w:rsidRPr="00F01EF3">
                              <w:rPr>
                                <w:rFonts w:ascii="Calibri" w:hAnsi="Calibri" w:cs="Calibri"/>
                                <w:sz w:val="20"/>
                              </w:rPr>
                              <w:t>Executive Officer: Louise Smith</w:t>
                            </w:r>
                          </w:p>
                          <w:p w:rsidR="00DF7BAA" w:rsidRDefault="004E66E4">
                            <w:pPr>
                              <w:rPr>
                                <w:rFonts w:ascii="Calibri" w:hAnsi="Calibri" w:cs="Calibri"/>
                                <w:sz w:val="20"/>
                              </w:rPr>
                            </w:pPr>
                            <w:hyperlink r:id="rId9" w:history="1"/>
                          </w:p>
                          <w:p w:rsidR="004E66E4" w:rsidRPr="00F01EF3" w:rsidRDefault="004E66E4">
                            <w:pPr>
                              <w:rPr>
                                <w:rFonts w:ascii="Calibri" w:hAnsi="Calibri" w:cs="Calibr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2.2pt;margin-top:-43.2pt;width:172.2pt;height:12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" stroked="f">
                <v:textbox>
                  <w:txbxContent>
                    <w:p w:rsidR="00DF7BAA" w:rsidRPr="00F01EF3" w:rsidRDefault="00DF7BAA">
                      <w:pPr>
                        <w:rPr>
                          <w:rFonts w:ascii="Calibri" w:hAnsi="Calibri" w:cs="Calibri"/>
                          <w:sz w:val="20"/>
                        </w:rPr>
                      </w:pPr>
                      <w:r w:rsidRPr="00F01EF3">
                        <w:rPr>
                          <w:rFonts w:ascii="Calibri" w:hAnsi="Calibri" w:cs="Calibri"/>
                          <w:sz w:val="20"/>
                        </w:rPr>
                        <w:t>National Legal Aid Secretariat</w:t>
                      </w:r>
                    </w:p>
                    <w:p w:rsidR="00DF7BAA" w:rsidRPr="00F01EF3" w:rsidRDefault="00DF7BAA">
                      <w:pPr>
                        <w:rPr>
                          <w:rFonts w:ascii="Calibri" w:hAnsi="Calibri" w:cs="Calibri"/>
                          <w:sz w:val="20"/>
                        </w:rPr>
                      </w:pPr>
                      <w:r w:rsidRPr="00F01EF3">
                        <w:rPr>
                          <w:rFonts w:ascii="Calibri" w:hAnsi="Calibri" w:cs="Calibri"/>
                          <w:sz w:val="20"/>
                        </w:rPr>
                        <w:t>GPO Box 1422</w:t>
                      </w:r>
                    </w:p>
                    <w:p w:rsidR="00DF7BAA" w:rsidRPr="00F01EF3" w:rsidRDefault="00DF7BAA">
                      <w:pPr>
                        <w:spacing w:after="120"/>
                        <w:rPr>
                          <w:rFonts w:ascii="Calibri" w:hAnsi="Calibri" w:cs="Calibri"/>
                          <w:sz w:val="20"/>
                        </w:rPr>
                      </w:pPr>
                      <w:r w:rsidRPr="00F01EF3">
                        <w:rPr>
                          <w:rFonts w:ascii="Calibri" w:hAnsi="Calibri" w:cs="Calibri"/>
                          <w:sz w:val="20"/>
                        </w:rPr>
                        <w:t>Hobart   TAS   7001</w:t>
                      </w:r>
                    </w:p>
                    <w:p w:rsidR="00DF7BAA" w:rsidRPr="00F01EF3" w:rsidRDefault="00DF7BAA">
                      <w:pPr>
                        <w:spacing w:after="120"/>
                        <w:rPr>
                          <w:rFonts w:ascii="Calibri" w:hAnsi="Calibri" w:cs="Calibri"/>
                          <w:sz w:val="20"/>
                        </w:rPr>
                      </w:pPr>
                      <w:r w:rsidRPr="00F01EF3">
                        <w:rPr>
                          <w:rFonts w:ascii="Calibri" w:hAnsi="Calibri" w:cs="Calibri"/>
                          <w:sz w:val="20"/>
                        </w:rPr>
                        <w:t>Executive Officer: Louise Smith</w:t>
                      </w:r>
                    </w:p>
                    <w:p w:rsidR="00DF7BAA" w:rsidRDefault="004E66E4">
                      <w:pPr>
                        <w:rPr>
                          <w:rFonts w:ascii="Calibri" w:hAnsi="Calibri" w:cs="Calibri"/>
                          <w:sz w:val="20"/>
                        </w:rPr>
                      </w:pPr>
                      <w:hyperlink r:id="rId10" w:history="1"/>
                    </w:p>
                    <w:p w:rsidR="004E66E4" w:rsidRPr="00F01EF3" w:rsidRDefault="004E66E4">
                      <w:pPr>
                        <w:rPr>
                          <w:rFonts w:ascii="Calibri" w:hAnsi="Calibri" w:cs="Calibri"/>
                          <w:sz w:val="20"/>
                        </w:rPr>
                      </w:pPr>
                    </w:p>
                  </w:txbxContent>
                </v:textbox>
              </v:shape>
            </w:pict>
          </mc:Fallback>
        </mc:AlternateContent>
      </w:r>
      <w:r>
        <w:rPr>
          <w:noProof/>
        </w:rPr>
        <w:drawing>
          <wp:inline distT="0" distB="0" distL="0" distR="0">
            <wp:extent cx="1981200" cy="895350"/>
            <wp:effectExtent l="0" t="0" r="0" b="0"/>
            <wp:docPr id="1" name="Picture 1" descr="nla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la_lett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81200" cy="895350"/>
                    </a:xfrm>
                    <a:prstGeom prst="rect">
                      <a:avLst/>
                    </a:prstGeom>
                    <a:noFill/>
                    <a:ln>
                      <a:noFill/>
                    </a:ln>
                  </pic:spPr>
                </pic:pic>
              </a:graphicData>
            </a:graphic>
          </wp:inline>
        </w:drawing>
      </w:r>
    </w:p>
    <w:p w:rsidR="00434A93" w:rsidRPr="00644083" w:rsidRDefault="00434A93">
      <w:pPr>
        <w:rPr>
          <w:sz w:val="22"/>
          <w:szCs w:val="22"/>
        </w:rPr>
      </w:pPr>
    </w:p>
    <w:p w:rsidR="00F24B4D" w:rsidRDefault="00F24B4D">
      <w:pPr>
        <w:rPr>
          <w:rFonts w:ascii="Calibri" w:hAnsi="Calibri"/>
          <w:szCs w:val="24"/>
        </w:rPr>
      </w:pPr>
      <w:r>
        <w:rPr>
          <w:rFonts w:ascii="Calibri" w:hAnsi="Calibri"/>
          <w:szCs w:val="24"/>
        </w:rPr>
        <w:t>Dr Warren Mundy</w:t>
      </w:r>
    </w:p>
    <w:p w:rsidR="00F24B4D" w:rsidRDefault="00F24B4D">
      <w:pPr>
        <w:rPr>
          <w:rFonts w:ascii="Calibri" w:hAnsi="Calibri"/>
          <w:szCs w:val="24"/>
        </w:rPr>
      </w:pPr>
      <w:r>
        <w:rPr>
          <w:rFonts w:ascii="Calibri" w:hAnsi="Calibri"/>
          <w:szCs w:val="24"/>
        </w:rPr>
        <w:t>Presiding Commissioner</w:t>
      </w:r>
    </w:p>
    <w:p w:rsidR="00F10594" w:rsidRDefault="00F10594">
      <w:pPr>
        <w:rPr>
          <w:rFonts w:ascii="Calibri" w:hAnsi="Calibri"/>
          <w:szCs w:val="24"/>
        </w:rPr>
      </w:pPr>
      <w:r>
        <w:rPr>
          <w:rFonts w:ascii="Calibri" w:hAnsi="Calibri"/>
          <w:szCs w:val="24"/>
        </w:rPr>
        <w:t>Access to Justice Arrangements</w:t>
      </w:r>
    </w:p>
    <w:p w:rsidR="00644083" w:rsidRDefault="006F3FF9">
      <w:pPr>
        <w:rPr>
          <w:rFonts w:ascii="Calibri" w:hAnsi="Calibri"/>
          <w:szCs w:val="24"/>
        </w:rPr>
      </w:pPr>
      <w:r>
        <w:rPr>
          <w:rFonts w:ascii="Calibri" w:hAnsi="Calibri"/>
          <w:szCs w:val="24"/>
        </w:rPr>
        <w:t>Productivity Commission</w:t>
      </w:r>
    </w:p>
    <w:p w:rsidR="00927379" w:rsidRDefault="00F10594">
      <w:pPr>
        <w:rPr>
          <w:rFonts w:ascii="Calibri" w:hAnsi="Calibri"/>
          <w:szCs w:val="24"/>
        </w:rPr>
      </w:pPr>
      <w:r>
        <w:rPr>
          <w:rFonts w:ascii="Calibri" w:hAnsi="Calibri"/>
          <w:szCs w:val="24"/>
        </w:rPr>
        <w:t>LB2 Collins Street East</w:t>
      </w:r>
    </w:p>
    <w:p w:rsidR="005A65F1" w:rsidRDefault="00F10594">
      <w:pPr>
        <w:rPr>
          <w:rFonts w:ascii="Calibri" w:hAnsi="Calibri"/>
          <w:szCs w:val="24"/>
        </w:rPr>
      </w:pPr>
      <w:r>
        <w:rPr>
          <w:rFonts w:ascii="Calibri" w:hAnsi="Calibri"/>
          <w:szCs w:val="24"/>
        </w:rPr>
        <w:t>Melbourne VIC 8003</w:t>
      </w:r>
      <w:r>
        <w:rPr>
          <w:rFonts w:ascii="Calibri" w:hAnsi="Calibri"/>
          <w:szCs w:val="24"/>
        </w:rPr>
        <w:tab/>
      </w:r>
    </w:p>
    <w:p w:rsidR="005A65F1" w:rsidRDefault="005A65F1">
      <w:pPr>
        <w:rPr>
          <w:rFonts w:ascii="Calibri" w:hAnsi="Calibri"/>
          <w:szCs w:val="24"/>
        </w:rPr>
      </w:pPr>
      <w:r>
        <w:rPr>
          <w:rFonts w:ascii="Calibri" w:hAnsi="Calibri"/>
          <w:szCs w:val="24"/>
        </w:rPr>
        <w:tab/>
      </w:r>
      <w:r>
        <w:rPr>
          <w:rFonts w:ascii="Calibri" w:hAnsi="Calibri"/>
          <w:szCs w:val="24"/>
        </w:rPr>
        <w:tab/>
      </w:r>
      <w:r>
        <w:rPr>
          <w:rFonts w:ascii="Calibri" w:hAnsi="Calibri"/>
          <w:szCs w:val="24"/>
        </w:rPr>
        <w:tab/>
      </w:r>
      <w:r>
        <w:rPr>
          <w:rFonts w:ascii="Calibri" w:hAnsi="Calibri"/>
          <w:szCs w:val="24"/>
        </w:rPr>
        <w:tab/>
      </w:r>
      <w:r>
        <w:rPr>
          <w:rFonts w:ascii="Calibri" w:hAnsi="Calibri"/>
          <w:szCs w:val="24"/>
        </w:rPr>
        <w:tab/>
      </w:r>
      <w:r>
        <w:rPr>
          <w:rFonts w:ascii="Calibri" w:hAnsi="Calibri"/>
          <w:szCs w:val="24"/>
        </w:rPr>
        <w:tab/>
      </w:r>
      <w:hyperlink r:id="rId12" w:history="1">
        <w:r w:rsidRPr="000D43C1">
          <w:rPr>
            <w:rStyle w:val="Hyperlink"/>
            <w:rFonts w:ascii="Calibri" w:hAnsi="Calibri"/>
            <w:szCs w:val="24"/>
          </w:rPr>
          <w:t>access.justice@pc.gov.au</w:t>
        </w:r>
      </w:hyperlink>
      <w:r>
        <w:rPr>
          <w:rFonts w:ascii="Calibri" w:hAnsi="Calibri"/>
          <w:szCs w:val="24"/>
        </w:rPr>
        <w:tab/>
      </w:r>
    </w:p>
    <w:p w:rsidR="005A65F1" w:rsidRPr="001A66CA" w:rsidRDefault="005A65F1" w:rsidP="005A65F1">
      <w:pPr>
        <w:rPr>
          <w:rFonts w:ascii="Calibri" w:hAnsi="Calibri"/>
          <w:szCs w:val="24"/>
        </w:rPr>
      </w:pPr>
      <w:r>
        <w:rPr>
          <w:rFonts w:ascii="Calibri" w:hAnsi="Calibri"/>
          <w:szCs w:val="24"/>
        </w:rPr>
        <w:t>30 May 2014</w:t>
      </w:r>
    </w:p>
    <w:p w:rsidR="00F10594" w:rsidRDefault="00F10594">
      <w:pPr>
        <w:rPr>
          <w:rFonts w:ascii="Calibri" w:hAnsi="Calibri"/>
          <w:szCs w:val="24"/>
        </w:rPr>
      </w:pPr>
      <w:r>
        <w:rPr>
          <w:rFonts w:ascii="Calibri" w:hAnsi="Calibri"/>
          <w:szCs w:val="24"/>
        </w:rPr>
        <w:tab/>
      </w:r>
      <w:r>
        <w:rPr>
          <w:rFonts w:ascii="Calibri" w:hAnsi="Calibri"/>
          <w:szCs w:val="24"/>
        </w:rPr>
        <w:tab/>
      </w:r>
      <w:r>
        <w:rPr>
          <w:rFonts w:ascii="Calibri" w:hAnsi="Calibri"/>
          <w:szCs w:val="24"/>
        </w:rPr>
        <w:tab/>
      </w:r>
    </w:p>
    <w:p w:rsidR="003A2F9A" w:rsidRPr="001A66CA" w:rsidRDefault="003A2F9A">
      <w:pPr>
        <w:rPr>
          <w:rFonts w:ascii="Calibri" w:hAnsi="Calibri"/>
          <w:szCs w:val="24"/>
        </w:rPr>
      </w:pPr>
    </w:p>
    <w:p w:rsidR="00644083" w:rsidRPr="001A66CA" w:rsidRDefault="00A20A9A">
      <w:pPr>
        <w:rPr>
          <w:rFonts w:ascii="Calibri" w:hAnsi="Calibri"/>
          <w:szCs w:val="24"/>
        </w:rPr>
      </w:pPr>
      <w:r>
        <w:rPr>
          <w:rFonts w:ascii="Calibri" w:hAnsi="Calibri"/>
          <w:szCs w:val="24"/>
        </w:rPr>
        <w:t>Dear</w:t>
      </w:r>
      <w:r w:rsidR="006F3FF9">
        <w:rPr>
          <w:rFonts w:ascii="Calibri" w:hAnsi="Calibri"/>
          <w:szCs w:val="24"/>
        </w:rPr>
        <w:t xml:space="preserve"> </w:t>
      </w:r>
      <w:r w:rsidR="00F24B4D">
        <w:rPr>
          <w:rFonts w:ascii="Calibri" w:hAnsi="Calibri"/>
          <w:szCs w:val="24"/>
        </w:rPr>
        <w:t xml:space="preserve">Dr Mundy, </w:t>
      </w:r>
    </w:p>
    <w:p w:rsidR="00644083" w:rsidRPr="001A66CA" w:rsidRDefault="00644083">
      <w:pPr>
        <w:rPr>
          <w:rFonts w:ascii="Calibri" w:hAnsi="Calibri"/>
          <w:szCs w:val="24"/>
        </w:rPr>
      </w:pPr>
    </w:p>
    <w:p w:rsidR="007F1505" w:rsidRDefault="00E603F9" w:rsidP="00644083">
      <w:pPr>
        <w:spacing w:after="240"/>
        <w:rPr>
          <w:rFonts w:ascii="Calibri" w:hAnsi="Calibri"/>
          <w:b/>
          <w:szCs w:val="24"/>
        </w:rPr>
      </w:pPr>
      <w:r>
        <w:rPr>
          <w:rFonts w:ascii="Calibri" w:hAnsi="Calibri"/>
          <w:b/>
          <w:szCs w:val="24"/>
        </w:rPr>
        <w:t>Re</w:t>
      </w:r>
      <w:r w:rsidR="00A20A9A">
        <w:rPr>
          <w:rFonts w:ascii="Calibri" w:hAnsi="Calibri"/>
          <w:b/>
          <w:szCs w:val="24"/>
        </w:rPr>
        <w:t xml:space="preserve">: </w:t>
      </w:r>
      <w:r w:rsidR="007F1505">
        <w:rPr>
          <w:rFonts w:ascii="Calibri" w:hAnsi="Calibri"/>
          <w:b/>
          <w:szCs w:val="24"/>
        </w:rPr>
        <w:t>Access to Justice Arrangements</w:t>
      </w:r>
    </w:p>
    <w:p w:rsidR="00483818" w:rsidRDefault="009C3ECD" w:rsidP="00483818">
      <w:pPr>
        <w:spacing w:after="240"/>
        <w:rPr>
          <w:rFonts w:ascii="Calibri" w:hAnsi="Calibri"/>
          <w:b/>
          <w:szCs w:val="24"/>
        </w:rPr>
      </w:pPr>
      <w:r>
        <w:rPr>
          <w:rFonts w:ascii="Calibri" w:hAnsi="Calibri"/>
          <w:b/>
          <w:szCs w:val="24"/>
        </w:rPr>
        <w:t>Productivity Commission, Draft Report, April 2014</w:t>
      </w:r>
    </w:p>
    <w:p w:rsidR="00870634" w:rsidRDefault="00870634" w:rsidP="00483818">
      <w:pPr>
        <w:spacing w:after="240"/>
        <w:rPr>
          <w:rFonts w:ascii="Calibri" w:hAnsi="Calibri"/>
          <w:b/>
          <w:szCs w:val="24"/>
        </w:rPr>
      </w:pPr>
      <w:r>
        <w:rPr>
          <w:rFonts w:ascii="Calibri" w:hAnsi="Calibri"/>
          <w:b/>
          <w:szCs w:val="24"/>
        </w:rPr>
        <w:t>Introduction</w:t>
      </w:r>
    </w:p>
    <w:p w:rsidR="00483818" w:rsidRDefault="00F758F1" w:rsidP="00A955DF">
      <w:pPr>
        <w:spacing w:line="320" w:lineRule="atLeast"/>
        <w:rPr>
          <w:rFonts w:ascii="Calibri" w:hAnsi="Calibri"/>
          <w:szCs w:val="24"/>
        </w:rPr>
      </w:pPr>
      <w:r w:rsidRPr="001A66CA">
        <w:rPr>
          <w:rFonts w:ascii="Calibri" w:hAnsi="Calibri"/>
          <w:szCs w:val="24"/>
        </w:rPr>
        <w:t xml:space="preserve">National Legal Aid (NLA) </w:t>
      </w:r>
      <w:r w:rsidR="00483818" w:rsidRPr="001A66CA">
        <w:rPr>
          <w:rFonts w:ascii="Calibri" w:hAnsi="Calibri"/>
          <w:szCs w:val="24"/>
        </w:rPr>
        <w:t xml:space="preserve">represents the Directors of the eight state and territory </w:t>
      </w:r>
      <w:r w:rsidR="00483818">
        <w:rPr>
          <w:rFonts w:ascii="Calibri" w:hAnsi="Calibri"/>
          <w:szCs w:val="24"/>
        </w:rPr>
        <w:t>legal aid commissions (LACs</w:t>
      </w:r>
      <w:r w:rsidR="00483818" w:rsidRPr="001A66CA">
        <w:rPr>
          <w:rFonts w:ascii="Calibri" w:hAnsi="Calibri"/>
          <w:szCs w:val="24"/>
        </w:rPr>
        <w:t xml:space="preserve">) in Australia.  </w:t>
      </w:r>
    </w:p>
    <w:p w:rsidR="00A955DF" w:rsidRDefault="00A955DF" w:rsidP="00A955DF">
      <w:pPr>
        <w:spacing w:line="320" w:lineRule="atLeast"/>
        <w:rPr>
          <w:rFonts w:ascii="Calibri" w:hAnsi="Calibri"/>
          <w:szCs w:val="24"/>
        </w:rPr>
      </w:pPr>
    </w:p>
    <w:p w:rsidR="005D0D1C" w:rsidRDefault="00562104" w:rsidP="00A955DF">
      <w:pPr>
        <w:spacing w:line="320" w:lineRule="atLeast"/>
        <w:rPr>
          <w:rFonts w:ascii="Calibri" w:hAnsi="Calibri"/>
          <w:szCs w:val="24"/>
        </w:rPr>
      </w:pPr>
      <w:r>
        <w:rPr>
          <w:rFonts w:ascii="Calibri" w:hAnsi="Calibri"/>
          <w:szCs w:val="24"/>
        </w:rPr>
        <w:t>NLA i</w:t>
      </w:r>
      <w:r w:rsidR="00F758F1">
        <w:rPr>
          <w:rFonts w:ascii="Calibri" w:hAnsi="Calibri"/>
          <w:szCs w:val="24"/>
        </w:rPr>
        <w:t>s</w:t>
      </w:r>
      <w:r w:rsidR="00644083" w:rsidRPr="001A66CA">
        <w:rPr>
          <w:rFonts w:ascii="Calibri" w:hAnsi="Calibri"/>
          <w:szCs w:val="24"/>
        </w:rPr>
        <w:t xml:space="preserve"> </w:t>
      </w:r>
      <w:r>
        <w:rPr>
          <w:rFonts w:ascii="Calibri" w:hAnsi="Calibri"/>
          <w:szCs w:val="24"/>
        </w:rPr>
        <w:t>responding</w:t>
      </w:r>
      <w:r w:rsidR="00483818">
        <w:rPr>
          <w:rFonts w:ascii="Calibri" w:hAnsi="Calibri"/>
          <w:szCs w:val="24"/>
        </w:rPr>
        <w:t xml:space="preserve"> to the invitation to provide</w:t>
      </w:r>
      <w:r w:rsidR="002D10BD">
        <w:rPr>
          <w:rFonts w:ascii="Calibri" w:hAnsi="Calibri"/>
          <w:szCs w:val="24"/>
        </w:rPr>
        <w:t xml:space="preserve"> comment on the draft report </w:t>
      </w:r>
      <w:r w:rsidR="00483818">
        <w:rPr>
          <w:rFonts w:ascii="Calibri" w:hAnsi="Calibri"/>
          <w:szCs w:val="24"/>
        </w:rPr>
        <w:t>of t</w:t>
      </w:r>
      <w:r w:rsidR="00353048">
        <w:rPr>
          <w:rFonts w:ascii="Calibri" w:hAnsi="Calibri"/>
          <w:szCs w:val="24"/>
        </w:rPr>
        <w:t>he Productivity Commission’s (the Commission</w:t>
      </w:r>
      <w:r w:rsidR="00483818">
        <w:rPr>
          <w:rFonts w:ascii="Calibri" w:hAnsi="Calibri"/>
          <w:szCs w:val="24"/>
        </w:rPr>
        <w:t xml:space="preserve">) Inquiry into Access to Justice Arrangements.  </w:t>
      </w:r>
      <w:r w:rsidR="00B81137">
        <w:rPr>
          <w:rFonts w:ascii="Calibri" w:hAnsi="Calibri"/>
          <w:szCs w:val="24"/>
        </w:rPr>
        <w:t>We greatly appreciate the opportunity to provide these comments</w:t>
      </w:r>
      <w:r w:rsidR="009B7002">
        <w:rPr>
          <w:rFonts w:ascii="Calibri" w:hAnsi="Calibri"/>
          <w:szCs w:val="24"/>
        </w:rPr>
        <w:t>.</w:t>
      </w:r>
    </w:p>
    <w:p w:rsidR="00632D20" w:rsidRDefault="00632D20" w:rsidP="00A955DF">
      <w:pPr>
        <w:spacing w:line="320" w:lineRule="atLeast"/>
        <w:rPr>
          <w:rFonts w:asciiTheme="minorHAnsi" w:hAnsiTheme="minorHAnsi"/>
        </w:rPr>
      </w:pPr>
    </w:p>
    <w:p w:rsidR="00B30D19" w:rsidRDefault="00632D20" w:rsidP="00632D20">
      <w:pPr>
        <w:spacing w:line="320" w:lineRule="atLeast"/>
        <w:rPr>
          <w:rFonts w:asciiTheme="minorHAnsi" w:hAnsiTheme="minorHAnsi"/>
        </w:rPr>
      </w:pPr>
      <w:r>
        <w:rPr>
          <w:rFonts w:asciiTheme="minorHAnsi" w:hAnsiTheme="minorHAnsi"/>
        </w:rPr>
        <w:t xml:space="preserve">NLA appreciates the breadth and extent of the draft report and the work underpinning it.  </w:t>
      </w:r>
    </w:p>
    <w:p w:rsidR="00B30D19" w:rsidRDefault="00B30D19" w:rsidP="00632D20">
      <w:pPr>
        <w:spacing w:line="320" w:lineRule="atLeast"/>
        <w:rPr>
          <w:rFonts w:asciiTheme="minorHAnsi" w:hAnsiTheme="minorHAnsi"/>
        </w:rPr>
      </w:pPr>
    </w:p>
    <w:p w:rsidR="00632D20" w:rsidRDefault="00632D20" w:rsidP="00632D20">
      <w:pPr>
        <w:spacing w:line="320" w:lineRule="atLeast"/>
        <w:rPr>
          <w:rFonts w:asciiTheme="minorHAnsi" w:hAnsiTheme="minorHAnsi"/>
        </w:rPr>
      </w:pPr>
      <w:r>
        <w:rPr>
          <w:rFonts w:asciiTheme="minorHAnsi" w:hAnsiTheme="minorHAnsi"/>
        </w:rPr>
        <w:t>This</w:t>
      </w:r>
      <w:r w:rsidRPr="002D10BD">
        <w:rPr>
          <w:rFonts w:asciiTheme="minorHAnsi" w:hAnsiTheme="minorHAnsi"/>
        </w:rPr>
        <w:t xml:space="preserve"> response </w:t>
      </w:r>
      <w:r w:rsidR="006B7596">
        <w:rPr>
          <w:rFonts w:asciiTheme="minorHAnsi" w:hAnsiTheme="minorHAnsi"/>
        </w:rPr>
        <w:t xml:space="preserve">primarily addresses </w:t>
      </w:r>
      <w:r>
        <w:rPr>
          <w:rFonts w:asciiTheme="minorHAnsi" w:hAnsiTheme="minorHAnsi"/>
        </w:rPr>
        <w:t xml:space="preserve">Chapter 21 Reforming legal assistance services </w:t>
      </w:r>
      <w:r w:rsidR="006B7596">
        <w:rPr>
          <w:rFonts w:asciiTheme="minorHAnsi" w:hAnsiTheme="minorHAnsi"/>
        </w:rPr>
        <w:t xml:space="preserve">which “looks at policy reform options for the legal assistance landscape with a focus on LACs and CLCs”, </w:t>
      </w:r>
      <w:r>
        <w:rPr>
          <w:rFonts w:asciiTheme="minorHAnsi" w:hAnsiTheme="minorHAnsi"/>
        </w:rPr>
        <w:t xml:space="preserve">and Chapter 24 Data and evaluation.  It then addresses, sequentially, </w:t>
      </w:r>
      <w:r w:rsidR="006B7596">
        <w:rPr>
          <w:rFonts w:asciiTheme="minorHAnsi" w:hAnsiTheme="minorHAnsi"/>
        </w:rPr>
        <w:t xml:space="preserve">some other </w:t>
      </w:r>
      <w:r>
        <w:rPr>
          <w:rFonts w:asciiTheme="minorHAnsi" w:hAnsiTheme="minorHAnsi"/>
        </w:rPr>
        <w:t>aspects of the draft report</w:t>
      </w:r>
      <w:r w:rsidR="006B7596">
        <w:rPr>
          <w:rFonts w:asciiTheme="minorHAnsi" w:hAnsiTheme="minorHAnsi"/>
        </w:rPr>
        <w:t xml:space="preserve"> where it w</w:t>
      </w:r>
      <w:r w:rsidR="00481FFB">
        <w:rPr>
          <w:rFonts w:asciiTheme="minorHAnsi" w:hAnsiTheme="minorHAnsi"/>
        </w:rPr>
        <w:t>as thought</w:t>
      </w:r>
      <w:r w:rsidR="006B7596">
        <w:rPr>
          <w:rFonts w:asciiTheme="minorHAnsi" w:hAnsiTheme="minorHAnsi"/>
        </w:rPr>
        <w:t xml:space="preserve"> most useful for us to provide comment</w:t>
      </w:r>
      <w:r>
        <w:rPr>
          <w:rFonts w:asciiTheme="minorHAnsi" w:hAnsiTheme="minorHAnsi"/>
        </w:rPr>
        <w:t xml:space="preserve">. </w:t>
      </w:r>
      <w:r w:rsidR="006B7596">
        <w:rPr>
          <w:rFonts w:asciiTheme="minorHAnsi" w:hAnsiTheme="minorHAnsi"/>
        </w:rPr>
        <w:t xml:space="preserve">  </w:t>
      </w:r>
      <w:r w:rsidR="006B7596" w:rsidRPr="00274145">
        <w:rPr>
          <w:rFonts w:asciiTheme="minorHAnsi" w:hAnsiTheme="minorHAnsi"/>
        </w:rPr>
        <w:t xml:space="preserve">Individual LACs will be making submissions and/or giving evidence at Commission hearings </w:t>
      </w:r>
      <w:r w:rsidR="00274145" w:rsidRPr="00274145">
        <w:rPr>
          <w:rFonts w:asciiTheme="minorHAnsi" w:hAnsiTheme="minorHAnsi"/>
        </w:rPr>
        <w:t xml:space="preserve">primarily </w:t>
      </w:r>
      <w:r w:rsidR="006B7596" w:rsidRPr="00274145">
        <w:rPr>
          <w:rFonts w:asciiTheme="minorHAnsi" w:hAnsiTheme="minorHAnsi"/>
        </w:rPr>
        <w:t>in relation to matters particular to respective jurisdictions.</w:t>
      </w:r>
      <w:r w:rsidR="006B7596">
        <w:rPr>
          <w:rFonts w:asciiTheme="minorHAnsi" w:hAnsiTheme="minorHAnsi"/>
        </w:rPr>
        <w:t xml:space="preserve">  </w:t>
      </w:r>
    </w:p>
    <w:p w:rsidR="00CC4179" w:rsidRDefault="00CC4179" w:rsidP="00632D20">
      <w:pPr>
        <w:spacing w:line="320" w:lineRule="atLeast"/>
        <w:rPr>
          <w:rFonts w:asciiTheme="minorHAnsi" w:hAnsiTheme="minorHAnsi"/>
        </w:rPr>
      </w:pPr>
    </w:p>
    <w:p w:rsidR="00CC4179" w:rsidRDefault="00CC4179" w:rsidP="00632D20">
      <w:pPr>
        <w:spacing w:line="320" w:lineRule="atLeast"/>
        <w:rPr>
          <w:rFonts w:asciiTheme="minorHAnsi" w:hAnsiTheme="minorHAnsi"/>
        </w:rPr>
      </w:pPr>
    </w:p>
    <w:p w:rsidR="00CC4179" w:rsidRDefault="00CC4179" w:rsidP="00632D20">
      <w:pPr>
        <w:spacing w:line="320" w:lineRule="atLeast"/>
        <w:rPr>
          <w:rFonts w:asciiTheme="minorHAnsi" w:hAnsiTheme="minorHAnsi"/>
        </w:rPr>
      </w:pPr>
    </w:p>
    <w:p w:rsidR="00C41F2C" w:rsidRDefault="00C41F2C" w:rsidP="00C97109">
      <w:pPr>
        <w:spacing w:line="280" w:lineRule="atLeast"/>
        <w:rPr>
          <w:rFonts w:asciiTheme="minorHAnsi" w:hAnsiTheme="minorHAnsi"/>
        </w:rPr>
      </w:pPr>
    </w:p>
    <w:p w:rsidR="004214D6" w:rsidRPr="00861361" w:rsidRDefault="004214D6" w:rsidP="004214D6">
      <w:pPr>
        <w:pStyle w:val="Heading3"/>
        <w:spacing w:after="120"/>
        <w:jc w:val="left"/>
        <w:rPr>
          <w:rFonts w:ascii="Calibri" w:hAnsi="Calibri" w:cs="Calibri"/>
          <w:sz w:val="28"/>
          <w:szCs w:val="28"/>
          <w:highlight w:val="lightGray"/>
        </w:rPr>
      </w:pPr>
      <w:r w:rsidRPr="00861361">
        <w:rPr>
          <w:rFonts w:ascii="Calibri" w:hAnsi="Calibri" w:cs="Calibri"/>
          <w:sz w:val="28"/>
          <w:szCs w:val="28"/>
          <w:highlight w:val="lightGray"/>
        </w:rPr>
        <w:lastRenderedPageBreak/>
        <w:t>Chapter 21: Reforming the legal assistance landscape</w:t>
      </w:r>
    </w:p>
    <w:p w:rsidR="004214D6" w:rsidRPr="00861361" w:rsidRDefault="004214D6" w:rsidP="004214D6">
      <w:pPr>
        <w:rPr>
          <w:highlight w:val="lightGray"/>
        </w:rPr>
      </w:pPr>
    </w:p>
    <w:p w:rsidR="004214D6" w:rsidRPr="0068138D" w:rsidRDefault="004214D6" w:rsidP="0068138D">
      <w:pPr>
        <w:spacing w:line="320" w:lineRule="atLeast"/>
        <w:rPr>
          <w:rFonts w:ascii="Calibri" w:hAnsi="Calibri" w:cs="Calibri"/>
          <w:b/>
          <w:highlight w:val="lightGray"/>
        </w:rPr>
      </w:pPr>
      <w:r w:rsidRPr="0068138D">
        <w:rPr>
          <w:rFonts w:ascii="Calibri" w:hAnsi="Calibri" w:cs="Calibri"/>
          <w:b/>
          <w:highlight w:val="lightGray"/>
        </w:rPr>
        <w:t>21.1 Are the right mix of services being provided?</w:t>
      </w:r>
    </w:p>
    <w:p w:rsidR="00FC6E02" w:rsidRPr="00653E0C" w:rsidRDefault="004214D6" w:rsidP="0068138D">
      <w:pPr>
        <w:pStyle w:val="BodyText"/>
        <w:rPr>
          <w:b/>
          <w:highlight w:val="lightGray"/>
        </w:rPr>
      </w:pPr>
      <w:r w:rsidRPr="00861361">
        <w:rPr>
          <w:b/>
          <w:highlight w:val="lightGray"/>
        </w:rPr>
        <w:t>21.2 Is the ‘balance’ right in terms of areas of law?</w:t>
      </w:r>
    </w:p>
    <w:p w:rsidR="004214D6" w:rsidRPr="00861361" w:rsidRDefault="004214D6" w:rsidP="004214D6">
      <w:pPr>
        <w:rPr>
          <w:highlight w:val="lightGray"/>
        </w:rPr>
      </w:pPr>
    </w:p>
    <w:p w:rsidR="004214D6" w:rsidRPr="0068138D" w:rsidRDefault="004214D6" w:rsidP="004214D6">
      <w:pPr>
        <w:pStyle w:val="RecTitle"/>
        <w:rPr>
          <w:rFonts w:ascii="Calibri" w:hAnsi="Calibri" w:cs="Calibri"/>
          <w:szCs w:val="24"/>
          <w:highlight w:val="lightGray"/>
        </w:rPr>
      </w:pPr>
      <w:r w:rsidRPr="0068138D">
        <w:rPr>
          <w:rFonts w:ascii="Calibri" w:hAnsi="Calibri" w:cs="Calibri"/>
          <w:szCs w:val="24"/>
          <w:highlight w:val="lightGray"/>
        </w:rPr>
        <w:t>draft Recommendation 21.1</w:t>
      </w:r>
    </w:p>
    <w:p w:rsidR="004214D6" w:rsidRPr="0068138D" w:rsidRDefault="004214D6" w:rsidP="004214D6">
      <w:pPr>
        <w:spacing w:before="240" w:line="320" w:lineRule="atLeast"/>
        <w:jc w:val="both"/>
        <w:rPr>
          <w:rFonts w:ascii="Calibri" w:hAnsi="Calibri" w:cs="Calibri"/>
          <w:b/>
          <w:i/>
          <w:szCs w:val="24"/>
          <w:highlight w:val="lightGray"/>
        </w:rPr>
      </w:pPr>
      <w:r w:rsidRPr="0068138D">
        <w:rPr>
          <w:rFonts w:ascii="Calibri" w:hAnsi="Calibri" w:cs="Calibri"/>
          <w:b/>
          <w:i/>
          <w:szCs w:val="24"/>
          <w:highlight w:val="lightGray"/>
        </w:rPr>
        <w:t>Commonwealth and state and territory government legal assistance funding for civil law matters should be determined and managed separately from the funding for criminal law matters to ensure that demand for criminal assistance does not affect the availability of funding for civil matters.</w:t>
      </w:r>
    </w:p>
    <w:p w:rsidR="004214D6" w:rsidRPr="0068138D" w:rsidRDefault="004214D6" w:rsidP="004214D6">
      <w:pPr>
        <w:pStyle w:val="RecTitle"/>
        <w:rPr>
          <w:rFonts w:ascii="Calibri" w:hAnsi="Calibri" w:cs="Calibri"/>
          <w:szCs w:val="24"/>
          <w:highlight w:val="lightGray"/>
        </w:rPr>
      </w:pPr>
      <w:r w:rsidRPr="0068138D">
        <w:rPr>
          <w:rFonts w:ascii="Calibri" w:hAnsi="Calibri" w:cs="Calibri"/>
          <w:szCs w:val="24"/>
          <w:highlight w:val="lightGray"/>
        </w:rPr>
        <w:t>information request 21.1</w:t>
      </w:r>
    </w:p>
    <w:p w:rsidR="00163328" w:rsidRDefault="004214D6" w:rsidP="00163328">
      <w:pPr>
        <w:spacing w:before="240" w:line="320" w:lineRule="atLeast"/>
        <w:jc w:val="both"/>
        <w:rPr>
          <w:rFonts w:ascii="Calibri" w:hAnsi="Calibri" w:cs="Calibri"/>
          <w:b/>
          <w:i/>
          <w:szCs w:val="24"/>
          <w:highlight w:val="lightGray"/>
        </w:rPr>
      </w:pPr>
      <w:r w:rsidRPr="0068138D">
        <w:rPr>
          <w:rFonts w:ascii="Calibri" w:hAnsi="Calibri" w:cs="Calibri"/>
          <w:b/>
          <w:i/>
          <w:szCs w:val="24"/>
          <w:highlight w:val="lightGray"/>
        </w:rPr>
        <w:t>The Commission seeks views on whether the above demarcation of funds would be sufficient to ensure that appropriate resources are directed towards non</w:t>
      </w:r>
      <w:r w:rsidRPr="0068138D">
        <w:rPr>
          <w:rFonts w:ascii="Calibri" w:hAnsi="Calibri" w:cs="Calibri"/>
          <w:b/>
          <w:i/>
          <w:szCs w:val="24"/>
          <w:highlight w:val="lightGray"/>
        </w:rPr>
        <w:noBreakHyphen/>
        <w:t>criminal, non</w:t>
      </w:r>
      <w:r w:rsidRPr="0068138D">
        <w:rPr>
          <w:rFonts w:ascii="Calibri" w:hAnsi="Calibri" w:cs="Calibri"/>
          <w:b/>
          <w:i/>
          <w:szCs w:val="24"/>
          <w:highlight w:val="lightGray"/>
        </w:rPr>
        <w:noBreakHyphen/>
        <w:t xml:space="preserve">family law matters. </w:t>
      </w:r>
    </w:p>
    <w:p w:rsidR="00163328" w:rsidRDefault="00163328" w:rsidP="00A955DF">
      <w:pPr>
        <w:spacing w:line="320" w:lineRule="atLeast"/>
        <w:rPr>
          <w:rFonts w:ascii="Calibri" w:hAnsi="Calibri" w:cs="Calibri"/>
          <w:b/>
          <w:i/>
          <w:szCs w:val="24"/>
        </w:rPr>
      </w:pPr>
    </w:p>
    <w:p w:rsidR="00573D7D" w:rsidRDefault="00043378" w:rsidP="00A955DF">
      <w:pPr>
        <w:spacing w:line="320" w:lineRule="atLeast"/>
        <w:rPr>
          <w:rFonts w:ascii="Calibri" w:hAnsi="Calibri"/>
          <w:szCs w:val="24"/>
        </w:rPr>
      </w:pPr>
      <w:r w:rsidRPr="0068138D">
        <w:rPr>
          <w:rFonts w:ascii="Calibri" w:hAnsi="Calibri"/>
          <w:szCs w:val="24"/>
        </w:rPr>
        <w:t xml:space="preserve">Grants of legal assistance for representation in </w:t>
      </w:r>
      <w:r w:rsidR="00B27547" w:rsidRPr="0068138D">
        <w:rPr>
          <w:rFonts w:ascii="Calibri" w:hAnsi="Calibri"/>
          <w:szCs w:val="24"/>
        </w:rPr>
        <w:t xml:space="preserve">Commonwealth </w:t>
      </w:r>
      <w:r w:rsidRPr="0068138D">
        <w:rPr>
          <w:rFonts w:ascii="Calibri" w:hAnsi="Calibri"/>
          <w:szCs w:val="24"/>
        </w:rPr>
        <w:t>civil law matters</w:t>
      </w:r>
      <w:r w:rsidR="00C729FC" w:rsidRPr="007301A8">
        <w:rPr>
          <w:rStyle w:val="FootnoteReference"/>
          <w:rFonts w:ascii="Calibri" w:hAnsi="Calibri"/>
          <w:szCs w:val="24"/>
        </w:rPr>
        <w:footnoteReference w:id="1"/>
      </w:r>
      <w:r w:rsidRPr="007301A8">
        <w:rPr>
          <w:rFonts w:ascii="Calibri" w:hAnsi="Calibri"/>
          <w:szCs w:val="24"/>
        </w:rPr>
        <w:t xml:space="preserve"> </w:t>
      </w:r>
      <w:r w:rsidRPr="0068138D">
        <w:rPr>
          <w:rFonts w:ascii="Calibri" w:hAnsi="Calibri"/>
          <w:szCs w:val="24"/>
        </w:rPr>
        <w:t xml:space="preserve">are extremely limited due to the need to prioritise existing Commonwealth funding </w:t>
      </w:r>
      <w:r w:rsidR="00E50A7B">
        <w:rPr>
          <w:rFonts w:ascii="Calibri" w:hAnsi="Calibri"/>
          <w:szCs w:val="24"/>
        </w:rPr>
        <w:t xml:space="preserve">for the </w:t>
      </w:r>
      <w:r w:rsidR="00573D7D">
        <w:rPr>
          <w:rFonts w:ascii="Calibri" w:hAnsi="Calibri"/>
          <w:szCs w:val="24"/>
        </w:rPr>
        <w:t>Commonwealth family law priorities specified in Schedule A of the National Pa</w:t>
      </w:r>
      <w:r w:rsidR="009453E0">
        <w:rPr>
          <w:rFonts w:ascii="Calibri" w:hAnsi="Calibri"/>
          <w:szCs w:val="24"/>
        </w:rPr>
        <w:t>rtnership Agreement on Legal As</w:t>
      </w:r>
      <w:r w:rsidR="00573D7D">
        <w:rPr>
          <w:rFonts w:ascii="Calibri" w:hAnsi="Calibri"/>
          <w:szCs w:val="24"/>
        </w:rPr>
        <w:t>sistance Services</w:t>
      </w:r>
      <w:r w:rsidR="00363DB3">
        <w:rPr>
          <w:rFonts w:ascii="Calibri" w:hAnsi="Calibri"/>
          <w:szCs w:val="24"/>
        </w:rPr>
        <w:t xml:space="preserve"> (NPA)</w:t>
      </w:r>
      <w:r w:rsidR="00573D7D">
        <w:rPr>
          <w:rFonts w:ascii="Calibri" w:hAnsi="Calibri"/>
          <w:szCs w:val="24"/>
        </w:rPr>
        <w:t xml:space="preserve">.  These are </w:t>
      </w:r>
      <w:r w:rsidRPr="0068138D">
        <w:rPr>
          <w:rFonts w:ascii="Calibri" w:hAnsi="Calibri"/>
          <w:szCs w:val="24"/>
        </w:rPr>
        <w:t xml:space="preserve">matters </w:t>
      </w:r>
      <w:r w:rsidR="00573D7D">
        <w:rPr>
          <w:rFonts w:ascii="Calibri" w:hAnsi="Calibri"/>
          <w:szCs w:val="24"/>
        </w:rPr>
        <w:t>which involve the safety and welfare of children, family violence, and assisting “family members to resolve complex issues relating to the living arrangements, relationships and financial support of their children.”</w:t>
      </w:r>
    </w:p>
    <w:p w:rsidR="005C418F" w:rsidRDefault="005C418F" w:rsidP="00A955DF">
      <w:pPr>
        <w:spacing w:line="320" w:lineRule="atLeast"/>
        <w:rPr>
          <w:rFonts w:ascii="Calibri" w:hAnsi="Calibri"/>
          <w:szCs w:val="24"/>
        </w:rPr>
      </w:pPr>
    </w:p>
    <w:p w:rsidR="00043378" w:rsidRDefault="00043378" w:rsidP="00A955DF">
      <w:pPr>
        <w:spacing w:line="320" w:lineRule="atLeast"/>
        <w:rPr>
          <w:rFonts w:ascii="Calibri" w:hAnsi="Calibri"/>
          <w:szCs w:val="24"/>
        </w:rPr>
      </w:pPr>
      <w:r w:rsidRPr="0068138D">
        <w:rPr>
          <w:rFonts w:ascii="Calibri" w:hAnsi="Calibri"/>
          <w:szCs w:val="24"/>
        </w:rPr>
        <w:t xml:space="preserve">This is </w:t>
      </w:r>
      <w:r w:rsidR="00240991" w:rsidRPr="0068138D">
        <w:rPr>
          <w:rFonts w:ascii="Calibri" w:hAnsi="Calibri"/>
          <w:szCs w:val="24"/>
        </w:rPr>
        <w:t>a</w:t>
      </w:r>
      <w:r w:rsidRPr="0068138D">
        <w:rPr>
          <w:rFonts w:ascii="Calibri" w:hAnsi="Calibri"/>
          <w:szCs w:val="24"/>
        </w:rPr>
        <w:t xml:space="preserve"> reason why “of the 30,000 or so Commonwealth</w:t>
      </w:r>
      <w:r w:rsidR="00A955DF">
        <w:rPr>
          <w:rFonts w:ascii="Calibri" w:hAnsi="Calibri"/>
          <w:szCs w:val="24"/>
        </w:rPr>
        <w:t xml:space="preserve"> </w:t>
      </w:r>
      <w:r w:rsidRPr="0068138D">
        <w:rPr>
          <w:rFonts w:ascii="Calibri" w:hAnsi="Calibri"/>
          <w:szCs w:val="24"/>
        </w:rPr>
        <w:t>- funded grants of aid approved in 2012-13, 94% were for family law matters while only 4% and 2% were for criminal and civil matters respectively.”</w:t>
      </w:r>
      <w:r w:rsidRPr="007301A8">
        <w:rPr>
          <w:rFonts w:ascii="Calibri" w:hAnsi="Calibri"/>
          <w:szCs w:val="24"/>
          <w:vertAlign w:val="superscript"/>
        </w:rPr>
        <w:footnoteReference w:id="2"/>
      </w:r>
      <w:r w:rsidRPr="007301A8">
        <w:rPr>
          <w:rFonts w:ascii="Calibri" w:hAnsi="Calibri"/>
          <w:szCs w:val="24"/>
          <w:vertAlign w:val="superscript"/>
        </w:rPr>
        <w:t xml:space="preserve"> </w:t>
      </w:r>
    </w:p>
    <w:p w:rsidR="00A955DF" w:rsidRPr="0068138D" w:rsidRDefault="00A955DF" w:rsidP="00A955DF">
      <w:pPr>
        <w:spacing w:line="320" w:lineRule="atLeast"/>
        <w:rPr>
          <w:rFonts w:ascii="Calibri" w:hAnsi="Calibri"/>
          <w:szCs w:val="24"/>
        </w:rPr>
      </w:pPr>
    </w:p>
    <w:p w:rsidR="00882599" w:rsidRDefault="004214D6" w:rsidP="00A955DF">
      <w:pPr>
        <w:spacing w:line="320" w:lineRule="atLeast"/>
        <w:rPr>
          <w:rFonts w:ascii="Calibri" w:hAnsi="Calibri"/>
          <w:szCs w:val="24"/>
        </w:rPr>
      </w:pPr>
      <w:r w:rsidRPr="0068138D">
        <w:rPr>
          <w:rFonts w:ascii="Calibri" w:hAnsi="Calibri"/>
          <w:szCs w:val="24"/>
        </w:rPr>
        <w:t xml:space="preserve">NLA </w:t>
      </w:r>
      <w:r w:rsidR="007E5682">
        <w:rPr>
          <w:rFonts w:ascii="Calibri" w:hAnsi="Calibri"/>
          <w:szCs w:val="24"/>
        </w:rPr>
        <w:t xml:space="preserve">believes </w:t>
      </w:r>
      <w:r w:rsidR="009F5522" w:rsidRPr="0068138D">
        <w:rPr>
          <w:rFonts w:ascii="Calibri" w:hAnsi="Calibri"/>
          <w:szCs w:val="24"/>
        </w:rPr>
        <w:t xml:space="preserve">that the safety and well-being of children and their families must </w:t>
      </w:r>
      <w:r w:rsidR="007E5682">
        <w:rPr>
          <w:rFonts w:ascii="Calibri" w:hAnsi="Calibri"/>
          <w:szCs w:val="24"/>
        </w:rPr>
        <w:t xml:space="preserve">continue to be </w:t>
      </w:r>
      <w:r w:rsidR="009F5522" w:rsidRPr="0068138D">
        <w:rPr>
          <w:rFonts w:ascii="Calibri" w:hAnsi="Calibri"/>
          <w:szCs w:val="24"/>
        </w:rPr>
        <w:t xml:space="preserve">the priority but </w:t>
      </w:r>
      <w:r w:rsidRPr="0068138D">
        <w:rPr>
          <w:rFonts w:ascii="Calibri" w:hAnsi="Calibri"/>
          <w:szCs w:val="24"/>
        </w:rPr>
        <w:t>would</w:t>
      </w:r>
      <w:r w:rsidR="009F5522" w:rsidRPr="0068138D">
        <w:rPr>
          <w:rFonts w:ascii="Calibri" w:hAnsi="Calibri"/>
          <w:szCs w:val="24"/>
        </w:rPr>
        <w:t xml:space="preserve"> </w:t>
      </w:r>
      <w:r w:rsidRPr="0068138D">
        <w:rPr>
          <w:rFonts w:ascii="Calibri" w:hAnsi="Calibri"/>
          <w:szCs w:val="24"/>
        </w:rPr>
        <w:t xml:space="preserve">support a proportion of </w:t>
      </w:r>
      <w:r w:rsidR="00136832" w:rsidRPr="0068138D">
        <w:rPr>
          <w:rFonts w:ascii="Calibri" w:hAnsi="Calibri"/>
          <w:szCs w:val="24"/>
        </w:rPr>
        <w:t xml:space="preserve">new </w:t>
      </w:r>
      <w:r w:rsidRPr="0068138D">
        <w:rPr>
          <w:rFonts w:ascii="Calibri" w:hAnsi="Calibri"/>
          <w:szCs w:val="24"/>
        </w:rPr>
        <w:t xml:space="preserve">funding being </w:t>
      </w:r>
      <w:r w:rsidR="007E5682">
        <w:rPr>
          <w:rFonts w:ascii="Calibri" w:hAnsi="Calibri"/>
          <w:szCs w:val="24"/>
        </w:rPr>
        <w:t>mark</w:t>
      </w:r>
      <w:r w:rsidRPr="0068138D">
        <w:rPr>
          <w:rFonts w:ascii="Calibri" w:hAnsi="Calibri"/>
          <w:szCs w:val="24"/>
        </w:rPr>
        <w:t>ed</w:t>
      </w:r>
      <w:r w:rsidR="00A341EE" w:rsidRPr="0068138D">
        <w:rPr>
          <w:rFonts w:ascii="Calibri" w:hAnsi="Calibri"/>
          <w:szCs w:val="24"/>
        </w:rPr>
        <w:t xml:space="preserve"> </w:t>
      </w:r>
      <w:r w:rsidRPr="0068138D">
        <w:rPr>
          <w:rFonts w:ascii="Calibri" w:hAnsi="Calibri"/>
          <w:szCs w:val="24"/>
        </w:rPr>
        <w:t>for civil law assistance</w:t>
      </w:r>
      <w:r w:rsidR="00A341EE" w:rsidRPr="0068138D">
        <w:rPr>
          <w:rFonts w:ascii="Calibri" w:hAnsi="Calibri"/>
          <w:szCs w:val="24"/>
        </w:rPr>
        <w:t xml:space="preserve">.  LACs </w:t>
      </w:r>
      <w:r w:rsidRPr="0068138D">
        <w:rPr>
          <w:rFonts w:ascii="Calibri" w:hAnsi="Calibri"/>
          <w:szCs w:val="24"/>
        </w:rPr>
        <w:t xml:space="preserve">would then be in a position to prioritise the use of that funding </w:t>
      </w:r>
      <w:r w:rsidR="007E5682">
        <w:rPr>
          <w:rFonts w:ascii="Calibri" w:hAnsi="Calibri"/>
          <w:szCs w:val="24"/>
        </w:rPr>
        <w:t xml:space="preserve">for civil law matters </w:t>
      </w:r>
      <w:r w:rsidRPr="0068138D">
        <w:rPr>
          <w:rFonts w:ascii="Calibri" w:hAnsi="Calibri"/>
          <w:szCs w:val="24"/>
        </w:rPr>
        <w:t>according to the particular needs presenting in individual jurisdictions/locations</w:t>
      </w:r>
      <w:r w:rsidR="00572E77">
        <w:rPr>
          <w:rFonts w:ascii="Calibri" w:hAnsi="Calibri"/>
          <w:szCs w:val="24"/>
        </w:rPr>
        <w:t xml:space="preserve">. </w:t>
      </w:r>
      <w:r w:rsidR="009B2610">
        <w:rPr>
          <w:rFonts w:ascii="Calibri" w:hAnsi="Calibri"/>
          <w:szCs w:val="24"/>
        </w:rPr>
        <w:t xml:space="preserve">NLA notes the current “funding divide”, and that depending on matter type, civil law can be either Commonwealth or State/Territory based. </w:t>
      </w:r>
    </w:p>
    <w:p w:rsidR="00A955DF" w:rsidRPr="0068138D" w:rsidRDefault="00A955DF" w:rsidP="00A955DF">
      <w:pPr>
        <w:spacing w:line="320" w:lineRule="atLeast"/>
        <w:rPr>
          <w:rFonts w:ascii="Calibri" w:hAnsi="Calibri"/>
          <w:szCs w:val="24"/>
        </w:rPr>
      </w:pPr>
    </w:p>
    <w:p w:rsidR="00A955DF" w:rsidRDefault="00535CF3" w:rsidP="005A65F1">
      <w:pPr>
        <w:spacing w:line="320" w:lineRule="atLeast"/>
        <w:rPr>
          <w:rFonts w:ascii="Calibri" w:hAnsi="Calibri"/>
          <w:szCs w:val="24"/>
        </w:rPr>
      </w:pPr>
      <w:r>
        <w:rPr>
          <w:rFonts w:ascii="Calibri" w:hAnsi="Calibri"/>
          <w:szCs w:val="24"/>
        </w:rPr>
        <w:t xml:space="preserve">LACs </w:t>
      </w:r>
      <w:r w:rsidR="00584EE3" w:rsidRPr="0068138D">
        <w:rPr>
          <w:rFonts w:ascii="Calibri" w:hAnsi="Calibri"/>
          <w:szCs w:val="24"/>
        </w:rPr>
        <w:t xml:space="preserve">provide </w:t>
      </w:r>
      <w:r>
        <w:rPr>
          <w:rFonts w:ascii="Calibri" w:hAnsi="Calibri"/>
          <w:szCs w:val="24"/>
        </w:rPr>
        <w:t xml:space="preserve">some </w:t>
      </w:r>
      <w:r w:rsidR="00584EE3" w:rsidRPr="0068138D">
        <w:rPr>
          <w:rFonts w:ascii="Calibri" w:hAnsi="Calibri"/>
          <w:szCs w:val="24"/>
        </w:rPr>
        <w:t>civil law legal assistance through their advice and minor assistance programs, including through telephone and face to face</w:t>
      </w:r>
      <w:r w:rsidRPr="00AF543F">
        <w:rPr>
          <w:rStyle w:val="FootnoteReference"/>
          <w:rFonts w:ascii="Calibri" w:hAnsi="Calibri"/>
          <w:szCs w:val="24"/>
        </w:rPr>
        <w:footnoteReference w:id="3"/>
      </w:r>
      <w:r w:rsidR="00584EE3" w:rsidRPr="0068138D">
        <w:rPr>
          <w:rFonts w:ascii="Calibri" w:hAnsi="Calibri"/>
          <w:szCs w:val="24"/>
        </w:rPr>
        <w:t xml:space="preserve"> services.  Some </w:t>
      </w:r>
      <w:r w:rsidR="009B2610">
        <w:rPr>
          <w:rFonts w:ascii="Calibri" w:hAnsi="Calibri"/>
          <w:szCs w:val="24"/>
        </w:rPr>
        <w:lastRenderedPageBreak/>
        <w:t xml:space="preserve">LACs </w:t>
      </w:r>
      <w:r w:rsidR="00584EE3" w:rsidRPr="0068138D">
        <w:rPr>
          <w:rFonts w:ascii="Calibri" w:hAnsi="Calibri"/>
          <w:szCs w:val="24"/>
        </w:rPr>
        <w:t xml:space="preserve">operate state/territory based legal assistance disbursement funds which </w:t>
      </w:r>
      <w:r w:rsidR="00186CFA" w:rsidRPr="0068138D">
        <w:rPr>
          <w:rFonts w:ascii="Calibri" w:hAnsi="Calibri"/>
          <w:szCs w:val="24"/>
        </w:rPr>
        <w:t xml:space="preserve">together with advice and minor assistance programs </w:t>
      </w:r>
      <w:r w:rsidR="00EF2B48" w:rsidRPr="0068138D">
        <w:rPr>
          <w:rFonts w:ascii="Calibri" w:hAnsi="Calibri"/>
          <w:szCs w:val="24"/>
        </w:rPr>
        <w:t xml:space="preserve">go a way to </w:t>
      </w:r>
      <w:r w:rsidR="00584EE3" w:rsidRPr="0068138D">
        <w:rPr>
          <w:rFonts w:ascii="Calibri" w:hAnsi="Calibri"/>
          <w:szCs w:val="24"/>
        </w:rPr>
        <w:t>help</w:t>
      </w:r>
      <w:r w:rsidR="00EF2B48" w:rsidRPr="0068138D">
        <w:rPr>
          <w:rFonts w:ascii="Calibri" w:hAnsi="Calibri"/>
          <w:szCs w:val="24"/>
        </w:rPr>
        <w:t>ing</w:t>
      </w:r>
      <w:r w:rsidR="00584EE3" w:rsidRPr="0068138D">
        <w:rPr>
          <w:rFonts w:ascii="Calibri" w:hAnsi="Calibri"/>
          <w:szCs w:val="24"/>
        </w:rPr>
        <w:t xml:space="preserve"> to close the civil law gap</w:t>
      </w:r>
      <w:r w:rsidR="00EF2B48" w:rsidRPr="0068138D">
        <w:rPr>
          <w:rFonts w:ascii="Calibri" w:hAnsi="Calibri"/>
          <w:szCs w:val="24"/>
        </w:rPr>
        <w:t xml:space="preserve">. </w:t>
      </w:r>
      <w:r w:rsidR="00DE5D1F">
        <w:rPr>
          <w:rFonts w:ascii="Calibri" w:hAnsi="Calibri"/>
          <w:szCs w:val="24"/>
        </w:rPr>
        <w:t xml:space="preserve"> Some LACS, while constrained by resources, have maintained highly targeted civil law practice</w:t>
      </w:r>
      <w:r w:rsidR="0037426A">
        <w:rPr>
          <w:rFonts w:ascii="Calibri" w:hAnsi="Calibri"/>
          <w:szCs w:val="24"/>
        </w:rPr>
        <w:t>s</w:t>
      </w:r>
      <w:r w:rsidR="00DE5D1F">
        <w:rPr>
          <w:rFonts w:ascii="Calibri" w:hAnsi="Calibri"/>
          <w:szCs w:val="24"/>
        </w:rPr>
        <w:t xml:space="preserve">. </w:t>
      </w:r>
    </w:p>
    <w:p w:rsidR="005A65F1" w:rsidRPr="005A65F1" w:rsidRDefault="005A65F1" w:rsidP="005A65F1">
      <w:pPr>
        <w:spacing w:line="320" w:lineRule="atLeast"/>
        <w:rPr>
          <w:rFonts w:ascii="Calibri" w:hAnsi="Calibri"/>
          <w:szCs w:val="24"/>
        </w:rPr>
      </w:pPr>
    </w:p>
    <w:p w:rsidR="00A955DF" w:rsidRDefault="00A955DF" w:rsidP="004214D6">
      <w:pPr>
        <w:pStyle w:val="BodyText"/>
      </w:pPr>
    </w:p>
    <w:p w:rsidR="004214D6" w:rsidRPr="0068138D" w:rsidRDefault="004214D6" w:rsidP="0068138D">
      <w:pPr>
        <w:spacing w:line="320" w:lineRule="atLeast"/>
        <w:rPr>
          <w:rFonts w:ascii="Calibri" w:hAnsi="Calibri" w:cs="Calibri"/>
          <w:b/>
          <w:highlight w:val="lightGray"/>
        </w:rPr>
      </w:pPr>
      <w:r w:rsidRPr="0068138D">
        <w:rPr>
          <w:rFonts w:ascii="Calibri" w:hAnsi="Calibri" w:cs="Calibri"/>
          <w:b/>
          <w:highlight w:val="lightGray"/>
        </w:rPr>
        <w:t>21.3 Are legal assistance services in the right locations?</w:t>
      </w:r>
    </w:p>
    <w:p w:rsidR="004214D6" w:rsidRPr="0068138D" w:rsidRDefault="004214D6" w:rsidP="0068138D">
      <w:pPr>
        <w:spacing w:line="320" w:lineRule="atLeast"/>
        <w:rPr>
          <w:rFonts w:ascii="Calibri" w:hAnsi="Calibri" w:cs="Calibri"/>
          <w:b/>
          <w:highlight w:val="lightGray"/>
        </w:rPr>
      </w:pPr>
      <w:r w:rsidRPr="0068138D">
        <w:rPr>
          <w:rFonts w:ascii="Calibri" w:hAnsi="Calibri" w:cs="Calibri"/>
          <w:b/>
          <w:highlight w:val="lightGray"/>
        </w:rPr>
        <w:t>21.4 Are assistance services targeting the ‘right’ people?</w:t>
      </w:r>
    </w:p>
    <w:p w:rsidR="004214D6" w:rsidRPr="0068138D" w:rsidRDefault="004214D6" w:rsidP="004214D6">
      <w:pPr>
        <w:pStyle w:val="RecTitle"/>
        <w:rPr>
          <w:rFonts w:ascii="Calibri" w:hAnsi="Calibri" w:cs="Calibri"/>
          <w:szCs w:val="24"/>
          <w:highlight w:val="lightGray"/>
        </w:rPr>
      </w:pPr>
      <w:r w:rsidRPr="0068138D">
        <w:rPr>
          <w:rFonts w:ascii="Calibri" w:hAnsi="Calibri" w:cs="Calibri"/>
          <w:szCs w:val="24"/>
          <w:highlight w:val="lightGray"/>
        </w:rPr>
        <w:t>draft Recommendation 21.2</w:t>
      </w:r>
    </w:p>
    <w:p w:rsidR="004214D6" w:rsidRPr="0068138D" w:rsidRDefault="004214D6" w:rsidP="004214D6">
      <w:pPr>
        <w:spacing w:before="240" w:line="320" w:lineRule="atLeast"/>
        <w:jc w:val="both"/>
        <w:rPr>
          <w:rFonts w:ascii="Calibri" w:hAnsi="Calibri" w:cs="Calibri"/>
          <w:b/>
          <w:i/>
          <w:szCs w:val="24"/>
          <w:highlight w:val="lightGray"/>
        </w:rPr>
      </w:pPr>
      <w:r w:rsidRPr="0068138D">
        <w:rPr>
          <w:rFonts w:ascii="Calibri" w:hAnsi="Calibri" w:cs="Calibri"/>
          <w:b/>
          <w:i/>
          <w:szCs w:val="24"/>
          <w:highlight w:val="lightGray"/>
        </w:rPr>
        <w:t xml:space="preserve">The Commonwealth and state and territory governments should ensure that the eligibility test for legal assistance services reflect priority groups as set out in the National Partnership Agreement on Legal Assistance Services and take into account: the circumstances of the applicant; the impact of the legal problem on the applicants life (including their liberty, personal safety, health and ability to meet the basic needs of life); the prospect of success and the appropriateness of spending limited public legal aid funds. </w:t>
      </w:r>
    </w:p>
    <w:p w:rsidR="004214D6" w:rsidRPr="0068138D" w:rsidRDefault="004214D6" w:rsidP="004214D6">
      <w:pPr>
        <w:pStyle w:val="RecTitle"/>
        <w:rPr>
          <w:rFonts w:ascii="Calibri" w:hAnsi="Calibri" w:cs="Calibri"/>
          <w:szCs w:val="24"/>
          <w:highlight w:val="lightGray"/>
        </w:rPr>
      </w:pPr>
      <w:r w:rsidRPr="0068138D">
        <w:rPr>
          <w:rFonts w:ascii="Calibri" w:hAnsi="Calibri" w:cs="Calibri"/>
          <w:szCs w:val="24"/>
          <w:highlight w:val="lightGray"/>
        </w:rPr>
        <w:t>Draft Recommendation 21.3</w:t>
      </w:r>
    </w:p>
    <w:p w:rsidR="004214D6" w:rsidRPr="0068138D" w:rsidRDefault="004214D6" w:rsidP="004214D6">
      <w:pPr>
        <w:spacing w:before="240" w:line="320" w:lineRule="atLeast"/>
        <w:jc w:val="both"/>
        <w:rPr>
          <w:rFonts w:ascii="Calibri" w:hAnsi="Calibri" w:cs="Calibri"/>
          <w:b/>
          <w:i/>
          <w:szCs w:val="24"/>
          <w:highlight w:val="lightGray"/>
        </w:rPr>
      </w:pPr>
      <w:r w:rsidRPr="0068138D">
        <w:rPr>
          <w:rFonts w:ascii="Calibri" w:hAnsi="Calibri" w:cs="Calibri"/>
          <w:b/>
          <w:i/>
          <w:szCs w:val="24"/>
          <w:highlight w:val="lightGray"/>
        </w:rPr>
        <w:t xml:space="preserve">The Commonwealth and state and territory governments should use the National Partnership Agreement on Legal Assistance Services to align eligibility criteria for civil law cases for legal aid commissions and community legal centres. The financial eligibility test for grants of legal aid should be linked to some established measure of disadvantage. </w:t>
      </w:r>
    </w:p>
    <w:p w:rsidR="0068138D" w:rsidRDefault="0068138D" w:rsidP="00A955DF">
      <w:pPr>
        <w:spacing w:line="320" w:lineRule="atLeast"/>
        <w:rPr>
          <w:rFonts w:ascii="Calibri" w:hAnsi="Calibri"/>
          <w:szCs w:val="24"/>
        </w:rPr>
      </w:pPr>
    </w:p>
    <w:p w:rsidR="00B372D9" w:rsidRDefault="008E3C19" w:rsidP="00A955DF">
      <w:pPr>
        <w:spacing w:line="320" w:lineRule="atLeast"/>
        <w:rPr>
          <w:rFonts w:ascii="Calibri" w:hAnsi="Calibri"/>
          <w:szCs w:val="24"/>
        </w:rPr>
      </w:pPr>
      <w:r w:rsidRPr="0068138D">
        <w:rPr>
          <w:rFonts w:ascii="Calibri" w:hAnsi="Calibri"/>
          <w:szCs w:val="24"/>
        </w:rPr>
        <w:t>In</w:t>
      </w:r>
      <w:r w:rsidR="00AF1D7A" w:rsidRPr="0068138D">
        <w:rPr>
          <w:rFonts w:ascii="Calibri" w:hAnsi="Calibri"/>
          <w:szCs w:val="24"/>
        </w:rPr>
        <w:t xml:space="preserve"> all legal assistance service delivery there should first be an identification of the problem/s, and the</w:t>
      </w:r>
      <w:r w:rsidR="003D2E25" w:rsidRPr="0068138D">
        <w:rPr>
          <w:rFonts w:ascii="Calibri" w:hAnsi="Calibri"/>
          <w:szCs w:val="24"/>
        </w:rPr>
        <w:t>n an assessment of the</w:t>
      </w:r>
      <w:r w:rsidR="00AF1D7A" w:rsidRPr="0068138D">
        <w:rPr>
          <w:rFonts w:ascii="Calibri" w:hAnsi="Calibri"/>
          <w:szCs w:val="24"/>
        </w:rPr>
        <w:t xml:space="preserve"> extent of the response/s that will be likely to be required to address the problem</w:t>
      </w:r>
      <w:r w:rsidR="003D2E25" w:rsidRPr="0068138D">
        <w:rPr>
          <w:rFonts w:ascii="Calibri" w:hAnsi="Calibri"/>
          <w:szCs w:val="24"/>
        </w:rPr>
        <w:t>/s</w:t>
      </w:r>
      <w:r w:rsidR="00AF1D7A" w:rsidRPr="0068138D">
        <w:rPr>
          <w:rFonts w:ascii="Calibri" w:hAnsi="Calibri"/>
          <w:szCs w:val="24"/>
        </w:rPr>
        <w:t>.</w:t>
      </w:r>
    </w:p>
    <w:p w:rsidR="00A955DF" w:rsidRPr="0068138D" w:rsidRDefault="00A955DF" w:rsidP="00A955DF">
      <w:pPr>
        <w:spacing w:line="320" w:lineRule="atLeast"/>
        <w:rPr>
          <w:rFonts w:ascii="Calibri" w:hAnsi="Calibri"/>
          <w:szCs w:val="24"/>
        </w:rPr>
      </w:pPr>
    </w:p>
    <w:p w:rsidR="00C931FD" w:rsidRPr="0068138D" w:rsidRDefault="004214D6" w:rsidP="00A955DF">
      <w:pPr>
        <w:spacing w:line="320" w:lineRule="atLeast"/>
        <w:rPr>
          <w:rFonts w:ascii="Calibri" w:hAnsi="Calibri"/>
          <w:szCs w:val="24"/>
        </w:rPr>
      </w:pPr>
      <w:r w:rsidRPr="0068138D">
        <w:rPr>
          <w:rFonts w:ascii="Calibri" w:hAnsi="Calibri"/>
          <w:szCs w:val="24"/>
        </w:rPr>
        <w:t>Eligibility tests for legal assistance services</w:t>
      </w:r>
      <w:r w:rsidR="00C107F5" w:rsidRPr="0068138D">
        <w:rPr>
          <w:rFonts w:ascii="Calibri" w:hAnsi="Calibri"/>
          <w:szCs w:val="24"/>
        </w:rPr>
        <w:t>,</w:t>
      </w:r>
      <w:r w:rsidRPr="0068138D">
        <w:rPr>
          <w:rFonts w:ascii="Calibri" w:hAnsi="Calibri"/>
          <w:szCs w:val="24"/>
        </w:rPr>
        <w:t xml:space="preserve"> and the data collection and recording undertaken as part of eligibility testing</w:t>
      </w:r>
      <w:r w:rsidR="004834EE" w:rsidRPr="007301A8">
        <w:rPr>
          <w:rStyle w:val="FootnoteReference"/>
          <w:rFonts w:ascii="Calibri" w:hAnsi="Calibri"/>
          <w:szCs w:val="24"/>
        </w:rPr>
        <w:footnoteReference w:id="4"/>
      </w:r>
      <w:r w:rsidR="00C107F5" w:rsidRPr="0068138D">
        <w:rPr>
          <w:rFonts w:ascii="Calibri" w:hAnsi="Calibri"/>
          <w:szCs w:val="24"/>
        </w:rPr>
        <w:t xml:space="preserve"> </w:t>
      </w:r>
      <w:r w:rsidRPr="0068138D">
        <w:rPr>
          <w:rFonts w:ascii="Calibri" w:hAnsi="Calibri"/>
          <w:szCs w:val="24"/>
        </w:rPr>
        <w:t>should be proportionate to the legal assistance service</w:t>
      </w:r>
      <w:r w:rsidR="003D2E25" w:rsidRPr="0068138D">
        <w:rPr>
          <w:rFonts w:ascii="Calibri" w:hAnsi="Calibri"/>
          <w:szCs w:val="24"/>
        </w:rPr>
        <w:t>/s</w:t>
      </w:r>
      <w:r w:rsidR="00D958E2" w:rsidRPr="0068138D">
        <w:rPr>
          <w:rFonts w:ascii="Calibri" w:hAnsi="Calibri"/>
          <w:szCs w:val="24"/>
        </w:rPr>
        <w:t xml:space="preserve"> to be provided, be cost effective, and</w:t>
      </w:r>
      <w:r w:rsidRPr="0068138D">
        <w:rPr>
          <w:rFonts w:ascii="Calibri" w:hAnsi="Calibri"/>
          <w:szCs w:val="24"/>
        </w:rPr>
        <w:t xml:space="preserve"> take account of the conte</w:t>
      </w:r>
      <w:r w:rsidR="003D2E25" w:rsidRPr="0068138D">
        <w:rPr>
          <w:rFonts w:ascii="Calibri" w:hAnsi="Calibri"/>
          <w:szCs w:val="24"/>
        </w:rPr>
        <w:t xml:space="preserve">xt in which </w:t>
      </w:r>
      <w:r w:rsidR="002608F9">
        <w:rPr>
          <w:rFonts w:ascii="Calibri" w:hAnsi="Calibri"/>
          <w:szCs w:val="24"/>
        </w:rPr>
        <w:t xml:space="preserve">services </w:t>
      </w:r>
      <w:r w:rsidRPr="0068138D">
        <w:rPr>
          <w:rFonts w:ascii="Calibri" w:hAnsi="Calibri"/>
          <w:szCs w:val="24"/>
        </w:rPr>
        <w:t xml:space="preserve">are provided, including the </w:t>
      </w:r>
      <w:r w:rsidR="00C107F5" w:rsidRPr="0068138D">
        <w:rPr>
          <w:rFonts w:ascii="Calibri" w:hAnsi="Calibri"/>
          <w:szCs w:val="24"/>
        </w:rPr>
        <w:t xml:space="preserve">location, </w:t>
      </w:r>
      <w:r w:rsidRPr="0068138D">
        <w:rPr>
          <w:rFonts w:ascii="Calibri" w:hAnsi="Calibri"/>
          <w:szCs w:val="24"/>
        </w:rPr>
        <w:t xml:space="preserve">resources and capacity of the service provider.   </w:t>
      </w:r>
      <w:r w:rsidR="002608F9">
        <w:rPr>
          <w:rFonts w:ascii="Calibri" w:hAnsi="Calibri"/>
          <w:szCs w:val="24"/>
        </w:rPr>
        <w:t xml:space="preserve">Providers currently restrict eligibility tests as needs be from time to time in order to meet their budgets. </w:t>
      </w:r>
    </w:p>
    <w:p w:rsidR="00A661E6" w:rsidRPr="00FD0F1C" w:rsidRDefault="00A661E6" w:rsidP="00A661E6">
      <w:pPr>
        <w:spacing w:before="240" w:line="320" w:lineRule="atLeast"/>
        <w:jc w:val="both"/>
        <w:rPr>
          <w:rFonts w:ascii="Calibri" w:hAnsi="Calibri" w:cs="Calibri"/>
          <w:szCs w:val="24"/>
        </w:rPr>
      </w:pPr>
      <w:r w:rsidRPr="00FD0F1C">
        <w:rPr>
          <w:rFonts w:ascii="Calibri" w:hAnsi="Calibri" w:cs="Calibri"/>
          <w:szCs w:val="24"/>
          <w:highlight w:val="lightGray"/>
        </w:rPr>
        <w:t>“The LACs and CLCs eligibility tests only relate to case work services (information and minor assistance is not subject to a means test).</w:t>
      </w:r>
      <w:r w:rsidRPr="00FD0F1C">
        <w:rPr>
          <w:rStyle w:val="FootnoteReference"/>
          <w:rFonts w:ascii="Calibri" w:hAnsi="Calibri" w:cs="Calibri"/>
          <w:szCs w:val="24"/>
          <w:highlight w:val="lightGray"/>
        </w:rPr>
        <w:footnoteReference w:id="5"/>
      </w:r>
      <w:r w:rsidRPr="00FD0F1C">
        <w:rPr>
          <w:rFonts w:ascii="Calibri" w:hAnsi="Calibri" w:cs="Calibri"/>
          <w:szCs w:val="24"/>
          <w:highlight w:val="lightGray"/>
        </w:rPr>
        <w:t>”</w:t>
      </w:r>
    </w:p>
    <w:p w:rsidR="00A955DF" w:rsidRDefault="00A955DF" w:rsidP="00A955DF">
      <w:pPr>
        <w:spacing w:line="320" w:lineRule="atLeast"/>
        <w:rPr>
          <w:rFonts w:ascii="Calibri" w:hAnsi="Calibri"/>
          <w:szCs w:val="24"/>
        </w:rPr>
      </w:pPr>
    </w:p>
    <w:p w:rsidR="0081137F" w:rsidRDefault="0081137F" w:rsidP="00A955DF">
      <w:pPr>
        <w:spacing w:line="320" w:lineRule="atLeast"/>
        <w:rPr>
          <w:rFonts w:ascii="Calibri" w:hAnsi="Calibri"/>
          <w:szCs w:val="24"/>
        </w:rPr>
      </w:pPr>
      <w:r w:rsidRPr="00A955DF">
        <w:rPr>
          <w:rFonts w:ascii="Calibri" w:hAnsi="Calibri"/>
          <w:szCs w:val="24"/>
        </w:rPr>
        <w:lastRenderedPageBreak/>
        <w:t xml:space="preserve">Whilst “formal” means testing such as that </w:t>
      </w:r>
      <w:r w:rsidR="0069556A" w:rsidRPr="00A955DF">
        <w:rPr>
          <w:rFonts w:ascii="Calibri" w:hAnsi="Calibri"/>
          <w:szCs w:val="24"/>
        </w:rPr>
        <w:t xml:space="preserve">conducted upon receipt of an application for a grant of legal aid is not applied to </w:t>
      </w:r>
      <w:r w:rsidR="00E25E91">
        <w:rPr>
          <w:rFonts w:ascii="Calibri" w:hAnsi="Calibri"/>
          <w:szCs w:val="24"/>
        </w:rPr>
        <w:t xml:space="preserve">LAC </w:t>
      </w:r>
      <w:r w:rsidR="0069556A" w:rsidRPr="00A955DF">
        <w:rPr>
          <w:rFonts w:ascii="Calibri" w:hAnsi="Calibri"/>
          <w:szCs w:val="24"/>
        </w:rPr>
        <w:t xml:space="preserve">information and minor assistance, less extensive </w:t>
      </w:r>
      <w:r w:rsidR="00E25E91">
        <w:rPr>
          <w:rFonts w:ascii="Calibri" w:hAnsi="Calibri"/>
          <w:szCs w:val="24"/>
        </w:rPr>
        <w:t xml:space="preserve">means </w:t>
      </w:r>
      <w:r w:rsidR="0069556A" w:rsidRPr="00A955DF">
        <w:rPr>
          <w:rFonts w:ascii="Calibri" w:hAnsi="Calibri"/>
          <w:szCs w:val="24"/>
        </w:rPr>
        <w:t xml:space="preserve">testing, such as production of a health care card, is required for some services.  </w:t>
      </w:r>
      <w:r w:rsidRPr="00A955DF">
        <w:rPr>
          <w:rFonts w:ascii="Calibri" w:hAnsi="Calibri"/>
          <w:szCs w:val="24"/>
        </w:rPr>
        <w:t>To obtain and enter all the information currently required to assess eligibility on means for a grant of legal assistance would take longer than it would to deliver some information and advice services.</w:t>
      </w:r>
      <w:r w:rsidR="00A955DF">
        <w:rPr>
          <w:rFonts w:ascii="Calibri" w:hAnsi="Calibri"/>
          <w:szCs w:val="24"/>
        </w:rPr>
        <w:t xml:space="preserve">  </w:t>
      </w:r>
    </w:p>
    <w:p w:rsidR="00A955DF" w:rsidRPr="00A955DF" w:rsidRDefault="00A955DF" w:rsidP="00A955DF">
      <w:pPr>
        <w:spacing w:line="320" w:lineRule="atLeast"/>
        <w:rPr>
          <w:rFonts w:ascii="Calibri" w:hAnsi="Calibri"/>
          <w:szCs w:val="24"/>
        </w:rPr>
      </w:pPr>
    </w:p>
    <w:p w:rsidR="004214D6" w:rsidRPr="00A955DF" w:rsidRDefault="004214D6" w:rsidP="00A955DF">
      <w:pPr>
        <w:spacing w:line="320" w:lineRule="atLeast"/>
        <w:rPr>
          <w:rFonts w:ascii="Calibri" w:hAnsi="Calibri"/>
          <w:szCs w:val="24"/>
        </w:rPr>
      </w:pPr>
      <w:r w:rsidRPr="00A955DF">
        <w:rPr>
          <w:rFonts w:ascii="Calibri" w:hAnsi="Calibri"/>
          <w:szCs w:val="24"/>
        </w:rPr>
        <w:t>In relation to</w:t>
      </w:r>
      <w:r w:rsidR="00192CA8">
        <w:rPr>
          <w:rFonts w:ascii="Calibri" w:hAnsi="Calibri"/>
          <w:szCs w:val="24"/>
        </w:rPr>
        <w:t xml:space="preserve"> dispute resolution and</w:t>
      </w:r>
      <w:r w:rsidRPr="00A955DF">
        <w:rPr>
          <w:rFonts w:ascii="Calibri" w:hAnsi="Calibri"/>
          <w:szCs w:val="24"/>
        </w:rPr>
        <w:t xml:space="preserve"> legal representation services to be provided </w:t>
      </w:r>
      <w:r w:rsidR="00192CA8">
        <w:rPr>
          <w:rFonts w:ascii="Calibri" w:hAnsi="Calibri"/>
          <w:szCs w:val="24"/>
        </w:rPr>
        <w:t xml:space="preserve">on a grant of legal assistance </w:t>
      </w:r>
      <w:r w:rsidRPr="00A955DF">
        <w:rPr>
          <w:rFonts w:ascii="Calibri" w:hAnsi="Calibri"/>
          <w:szCs w:val="24"/>
        </w:rPr>
        <w:t xml:space="preserve">by </w:t>
      </w:r>
      <w:r w:rsidR="00192CA8">
        <w:rPr>
          <w:rFonts w:ascii="Calibri" w:hAnsi="Calibri"/>
          <w:szCs w:val="24"/>
        </w:rPr>
        <w:t xml:space="preserve">either </w:t>
      </w:r>
      <w:r w:rsidRPr="00A955DF">
        <w:rPr>
          <w:rFonts w:ascii="Calibri" w:hAnsi="Calibri"/>
          <w:szCs w:val="24"/>
        </w:rPr>
        <w:t xml:space="preserve">an in-house </w:t>
      </w:r>
      <w:r w:rsidR="00CA5CD1">
        <w:rPr>
          <w:rFonts w:ascii="Calibri" w:hAnsi="Calibri"/>
          <w:szCs w:val="24"/>
        </w:rPr>
        <w:t xml:space="preserve">LAC </w:t>
      </w:r>
      <w:r w:rsidRPr="00A955DF">
        <w:rPr>
          <w:rFonts w:ascii="Calibri" w:hAnsi="Calibri"/>
          <w:szCs w:val="24"/>
        </w:rPr>
        <w:t xml:space="preserve">lawyer or a private practitioner, NLA </w:t>
      </w:r>
      <w:r w:rsidR="00192CA8">
        <w:rPr>
          <w:rFonts w:ascii="Calibri" w:hAnsi="Calibri"/>
          <w:szCs w:val="24"/>
        </w:rPr>
        <w:t>notes that t</w:t>
      </w:r>
      <w:r w:rsidR="00D66C8D">
        <w:rPr>
          <w:rFonts w:ascii="Calibri" w:hAnsi="Calibri"/>
          <w:szCs w:val="24"/>
        </w:rPr>
        <w:t>he proposed</w:t>
      </w:r>
      <w:r w:rsidRPr="00A955DF">
        <w:rPr>
          <w:rFonts w:ascii="Calibri" w:hAnsi="Calibri"/>
          <w:szCs w:val="24"/>
        </w:rPr>
        <w:t xml:space="preserve"> tests</w:t>
      </w:r>
      <w:r w:rsidR="00D66C8D">
        <w:rPr>
          <w:rFonts w:ascii="Calibri" w:hAnsi="Calibri"/>
          <w:szCs w:val="24"/>
        </w:rPr>
        <w:t>,</w:t>
      </w:r>
      <w:r w:rsidRPr="00A955DF">
        <w:rPr>
          <w:rFonts w:ascii="Calibri" w:hAnsi="Calibri"/>
          <w:szCs w:val="24"/>
        </w:rPr>
        <w:t xml:space="preserve"> together with an assessment of competing priorities in an environment of limited funds</w:t>
      </w:r>
      <w:r w:rsidR="00D66C8D">
        <w:rPr>
          <w:rFonts w:ascii="Calibri" w:hAnsi="Calibri"/>
          <w:szCs w:val="24"/>
        </w:rPr>
        <w:t>,</w:t>
      </w:r>
      <w:r w:rsidRPr="00A955DF">
        <w:rPr>
          <w:rFonts w:ascii="Calibri" w:hAnsi="Calibri"/>
          <w:szCs w:val="24"/>
        </w:rPr>
        <w:t xml:space="preserve"> reflect current eligibility testing at </w:t>
      </w:r>
      <w:r w:rsidR="00D66C8D">
        <w:rPr>
          <w:rFonts w:ascii="Calibri" w:hAnsi="Calibri"/>
          <w:szCs w:val="24"/>
        </w:rPr>
        <w:t>LACs</w:t>
      </w:r>
      <w:r w:rsidRPr="00A955DF">
        <w:rPr>
          <w:rFonts w:ascii="Calibri" w:hAnsi="Calibri"/>
          <w:szCs w:val="24"/>
        </w:rPr>
        <w:t xml:space="preserve">.  </w:t>
      </w:r>
    </w:p>
    <w:p w:rsidR="00893FC3" w:rsidRPr="00FD0F1C" w:rsidRDefault="00893FC3" w:rsidP="00893FC3">
      <w:pPr>
        <w:spacing w:before="240" w:line="320" w:lineRule="atLeast"/>
        <w:jc w:val="both"/>
        <w:rPr>
          <w:rFonts w:ascii="Calibri" w:hAnsi="Calibri" w:cs="Calibri"/>
          <w:szCs w:val="24"/>
          <w:highlight w:val="lightGray"/>
        </w:rPr>
      </w:pPr>
      <w:r w:rsidRPr="00FD0F1C">
        <w:rPr>
          <w:rFonts w:ascii="Calibri" w:hAnsi="Calibri" w:cs="Calibri"/>
          <w:noProof/>
          <w:szCs w:val="24"/>
          <w:highlight w:val="lightGray"/>
        </w:rPr>
        <mc:AlternateContent>
          <mc:Choice Requires="wpi">
            <w:drawing>
              <wp:anchor distT="0" distB="0" distL="114300" distR="114300" simplePos="0" relativeHeight="251659776" behindDoc="0" locked="0" layoutInCell="1" allowOverlap="1" wp14:anchorId="29FAF619" wp14:editId="1BBFF294">
                <wp:simplePos x="0" y="0"/>
                <wp:positionH relativeFrom="column">
                  <wp:posOffset>5431795</wp:posOffset>
                </wp:positionH>
                <wp:positionV relativeFrom="paragraph">
                  <wp:posOffset>46720</wp:posOffset>
                </wp:positionV>
                <wp:extent cx="360" cy="360"/>
                <wp:effectExtent l="0" t="0" r="0" b="0"/>
                <wp:wrapNone/>
                <wp:docPr id="4" name="Ink 4"/>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426.3pt;margin-top:2.3pt;width:2.9pt;height:2.9pt;z-index:2516597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">
                <v:imagedata r:id="rId14" o:title=""/>
              </v:shape>
            </w:pict>
          </mc:Fallback>
        </mc:AlternateContent>
      </w:r>
      <w:r w:rsidRPr="00FD0F1C">
        <w:rPr>
          <w:rFonts w:ascii="Calibri" w:hAnsi="Calibri" w:cs="Calibri"/>
          <w:szCs w:val="24"/>
          <w:highlight w:val="lightGray"/>
        </w:rPr>
        <w:t>“No Australian government has officially endorsed the use of the Henderson Poverty Line, and it is no longer used by most poverty researchers in Australia.  Poverty lines based on a proportion of median household incomes are now more common (McLachlan, Gilfillan, and Gordon 2013).</w:t>
      </w:r>
    </w:p>
    <w:p w:rsidR="00893FC3" w:rsidRPr="00FD0F1C" w:rsidRDefault="00893FC3" w:rsidP="004214D6">
      <w:pPr>
        <w:spacing w:before="240" w:line="320" w:lineRule="atLeast"/>
        <w:jc w:val="both"/>
        <w:rPr>
          <w:rFonts w:ascii="Calibri" w:hAnsi="Calibri" w:cs="Calibri"/>
          <w:szCs w:val="24"/>
        </w:rPr>
      </w:pPr>
      <w:r w:rsidRPr="00FD0F1C">
        <w:rPr>
          <w:rFonts w:ascii="Calibri" w:hAnsi="Calibri" w:cs="Calibri"/>
          <w:szCs w:val="24"/>
          <w:highlight w:val="lightGray"/>
        </w:rPr>
        <w:t>Given the NPA’s stated outcome of targeting services to those experiencing (or at risk of experiencing) social exclusion, a more appropriate measure of disadvantage would be the Social Exclusion Monitor.  (The Monitor defines low incomes as less than 60% of median household income and low net worth as less than 60% of median</w:t>
      </w:r>
      <w:r w:rsidR="00614C42" w:rsidRPr="00FD0F1C">
        <w:rPr>
          <w:rFonts w:ascii="Calibri" w:hAnsi="Calibri" w:cs="Calibri"/>
          <w:szCs w:val="24"/>
          <w:highlight w:val="lightGray"/>
        </w:rPr>
        <w:t xml:space="preserve"> household net worth (Scutella, </w:t>
      </w:r>
      <w:r w:rsidRPr="00FD0F1C">
        <w:rPr>
          <w:rFonts w:ascii="Calibri" w:hAnsi="Calibri" w:cs="Calibri"/>
          <w:szCs w:val="24"/>
          <w:highlight w:val="lightGray"/>
        </w:rPr>
        <w:t xml:space="preserve">Wilkins and Horn 2009).” </w:t>
      </w:r>
      <w:r w:rsidRPr="00FD0F1C">
        <w:rPr>
          <w:rStyle w:val="FootnoteReference"/>
          <w:rFonts w:ascii="Calibri" w:hAnsi="Calibri" w:cs="Calibri"/>
          <w:szCs w:val="24"/>
          <w:highlight w:val="lightGray"/>
        </w:rPr>
        <w:footnoteReference w:id="6"/>
      </w:r>
    </w:p>
    <w:p w:rsidR="00A955DF" w:rsidRDefault="00A955DF" w:rsidP="00A955DF">
      <w:pPr>
        <w:spacing w:line="320" w:lineRule="atLeast"/>
        <w:rPr>
          <w:rFonts w:ascii="Calibri" w:hAnsi="Calibri"/>
          <w:szCs w:val="24"/>
        </w:rPr>
      </w:pPr>
    </w:p>
    <w:p w:rsidR="004214D6" w:rsidRDefault="00DC7851" w:rsidP="00A955DF">
      <w:pPr>
        <w:spacing w:line="320" w:lineRule="atLeast"/>
        <w:rPr>
          <w:rFonts w:ascii="Calibri" w:hAnsi="Calibri"/>
          <w:szCs w:val="24"/>
        </w:rPr>
      </w:pPr>
      <w:r w:rsidRPr="00A955DF">
        <w:rPr>
          <w:rFonts w:ascii="Calibri" w:hAnsi="Calibri"/>
          <w:szCs w:val="24"/>
        </w:rPr>
        <w:t>NLA notes that the Commission considers that the “LACs’ financial eligibility test is probably too tight”</w:t>
      </w:r>
      <w:r w:rsidR="00096CB1">
        <w:rPr>
          <w:rFonts w:ascii="Calibri" w:hAnsi="Calibri"/>
          <w:szCs w:val="24"/>
        </w:rPr>
        <w:t>.</w:t>
      </w:r>
      <w:r w:rsidR="00645A22">
        <w:rPr>
          <w:rStyle w:val="FootnoteReference"/>
          <w:rFonts w:ascii="Calibri" w:hAnsi="Calibri"/>
          <w:szCs w:val="24"/>
        </w:rPr>
        <w:footnoteReference w:id="7"/>
      </w:r>
      <w:r w:rsidR="00096CB1">
        <w:rPr>
          <w:rFonts w:ascii="Calibri" w:hAnsi="Calibri"/>
          <w:szCs w:val="24"/>
        </w:rPr>
        <w:t xml:space="preserve">  I</w:t>
      </w:r>
      <w:r w:rsidR="00E73624">
        <w:rPr>
          <w:rFonts w:ascii="Calibri" w:hAnsi="Calibri"/>
          <w:szCs w:val="24"/>
        </w:rPr>
        <w:t>n addition to being too tight, NLA is of the view</w:t>
      </w:r>
      <w:r w:rsidR="009A7DB7">
        <w:rPr>
          <w:rFonts w:ascii="Calibri" w:hAnsi="Calibri"/>
          <w:szCs w:val="24"/>
        </w:rPr>
        <w:t>, and as suggested in the draft report,</w:t>
      </w:r>
      <w:r w:rsidR="00E73624">
        <w:rPr>
          <w:rFonts w:ascii="Calibri" w:hAnsi="Calibri"/>
          <w:szCs w:val="24"/>
        </w:rPr>
        <w:t xml:space="preserve"> that current means testing does not reflect the reality of </w:t>
      </w:r>
      <w:r w:rsidR="009A7DB7">
        <w:rPr>
          <w:rFonts w:ascii="Calibri" w:hAnsi="Calibri"/>
          <w:szCs w:val="24"/>
        </w:rPr>
        <w:t xml:space="preserve">having to purchase services in </w:t>
      </w:r>
      <w:r w:rsidR="00E73624">
        <w:rPr>
          <w:rFonts w:ascii="Calibri" w:hAnsi="Calibri"/>
          <w:szCs w:val="24"/>
        </w:rPr>
        <w:t xml:space="preserve">the </w:t>
      </w:r>
      <w:r w:rsidR="009A7DB7">
        <w:rPr>
          <w:rFonts w:ascii="Calibri" w:hAnsi="Calibri"/>
          <w:szCs w:val="24"/>
        </w:rPr>
        <w:t>private market</w:t>
      </w:r>
      <w:r w:rsidR="00E73624">
        <w:rPr>
          <w:rFonts w:ascii="Calibri" w:hAnsi="Calibri"/>
          <w:szCs w:val="24"/>
        </w:rPr>
        <w:t xml:space="preserve">.  </w:t>
      </w:r>
      <w:r w:rsidR="004A56C6" w:rsidRPr="00A955DF">
        <w:rPr>
          <w:rFonts w:ascii="Calibri" w:hAnsi="Calibri"/>
          <w:szCs w:val="24"/>
        </w:rPr>
        <w:t>Tight eli</w:t>
      </w:r>
      <w:r w:rsidR="00E93D25" w:rsidRPr="00A955DF">
        <w:rPr>
          <w:rFonts w:ascii="Calibri" w:hAnsi="Calibri"/>
          <w:szCs w:val="24"/>
        </w:rPr>
        <w:t>gi</w:t>
      </w:r>
      <w:r w:rsidR="004A56C6" w:rsidRPr="00A955DF">
        <w:rPr>
          <w:rFonts w:ascii="Calibri" w:hAnsi="Calibri"/>
          <w:szCs w:val="24"/>
        </w:rPr>
        <w:t>bility tests are the result of insufficient funds for the purpose</w:t>
      </w:r>
      <w:r w:rsidR="00616D07">
        <w:rPr>
          <w:rFonts w:ascii="Calibri" w:hAnsi="Calibri"/>
          <w:szCs w:val="24"/>
        </w:rPr>
        <w:t>.</w:t>
      </w:r>
      <w:r w:rsidR="00616D07" w:rsidRPr="00616D07">
        <w:rPr>
          <w:rStyle w:val="FootnoteReference"/>
          <w:rFonts w:ascii="Calibri" w:hAnsi="Calibri"/>
          <w:szCs w:val="24"/>
        </w:rPr>
        <w:t xml:space="preserve"> </w:t>
      </w:r>
      <w:r w:rsidR="00616D07">
        <w:rPr>
          <w:rStyle w:val="FootnoteReference"/>
          <w:rFonts w:ascii="Calibri" w:hAnsi="Calibri"/>
          <w:szCs w:val="24"/>
        </w:rPr>
        <w:footnoteReference w:id="8"/>
      </w:r>
      <w:r w:rsidR="004A56C6" w:rsidRPr="00A955DF">
        <w:rPr>
          <w:rFonts w:ascii="Calibri" w:hAnsi="Calibri"/>
          <w:szCs w:val="24"/>
        </w:rPr>
        <w:t xml:space="preserve">  </w:t>
      </w:r>
      <w:r w:rsidR="00451C6F" w:rsidRPr="00A955DF">
        <w:rPr>
          <w:rFonts w:ascii="Calibri" w:hAnsi="Calibri"/>
          <w:szCs w:val="24"/>
        </w:rPr>
        <w:t>NLA would welc</w:t>
      </w:r>
      <w:r w:rsidR="006B47C3" w:rsidRPr="00A955DF">
        <w:rPr>
          <w:rFonts w:ascii="Calibri" w:hAnsi="Calibri"/>
          <w:szCs w:val="24"/>
        </w:rPr>
        <w:t>ome any assistance to achieve</w:t>
      </w:r>
      <w:r w:rsidR="00451C6F" w:rsidRPr="00A955DF">
        <w:rPr>
          <w:rFonts w:ascii="Calibri" w:hAnsi="Calibri"/>
          <w:szCs w:val="24"/>
        </w:rPr>
        <w:t xml:space="preserve"> appropri</w:t>
      </w:r>
      <w:r w:rsidR="006B47C3" w:rsidRPr="00A955DF">
        <w:rPr>
          <w:rFonts w:ascii="Calibri" w:hAnsi="Calibri"/>
          <w:szCs w:val="24"/>
        </w:rPr>
        <w:t xml:space="preserve">ate </w:t>
      </w:r>
      <w:r w:rsidR="00451C6F" w:rsidRPr="00A955DF">
        <w:rPr>
          <w:rFonts w:ascii="Calibri" w:hAnsi="Calibri"/>
          <w:szCs w:val="24"/>
        </w:rPr>
        <w:t xml:space="preserve">means testing. </w:t>
      </w:r>
      <w:r w:rsidR="00E73624">
        <w:rPr>
          <w:rFonts w:ascii="Calibri" w:hAnsi="Calibri"/>
          <w:szCs w:val="24"/>
        </w:rPr>
        <w:t xml:space="preserve"> </w:t>
      </w:r>
    </w:p>
    <w:p w:rsidR="00A955DF" w:rsidRPr="00A955DF" w:rsidRDefault="00A955DF" w:rsidP="00A955DF">
      <w:pPr>
        <w:spacing w:line="320" w:lineRule="atLeast"/>
        <w:rPr>
          <w:rFonts w:ascii="Calibri" w:hAnsi="Calibri"/>
          <w:szCs w:val="24"/>
        </w:rPr>
      </w:pPr>
    </w:p>
    <w:p w:rsidR="00A57735" w:rsidRDefault="004214D6" w:rsidP="00A955DF">
      <w:pPr>
        <w:spacing w:line="320" w:lineRule="atLeast"/>
        <w:rPr>
          <w:rFonts w:ascii="Calibri" w:hAnsi="Calibri"/>
          <w:szCs w:val="24"/>
        </w:rPr>
      </w:pPr>
      <w:r w:rsidRPr="00A955DF">
        <w:rPr>
          <w:rFonts w:ascii="Calibri" w:hAnsi="Calibri"/>
          <w:szCs w:val="24"/>
        </w:rPr>
        <w:t xml:space="preserve">In relation to the suggestion </w:t>
      </w:r>
      <w:r w:rsidR="0059694A" w:rsidRPr="00A955DF">
        <w:rPr>
          <w:rFonts w:ascii="Calibri" w:hAnsi="Calibri"/>
          <w:szCs w:val="24"/>
        </w:rPr>
        <w:t xml:space="preserve">of </w:t>
      </w:r>
      <w:r w:rsidRPr="00A955DF">
        <w:rPr>
          <w:rFonts w:ascii="Calibri" w:hAnsi="Calibri"/>
          <w:szCs w:val="24"/>
        </w:rPr>
        <w:t xml:space="preserve">aligning eligibility criteria for civil law cases for </w:t>
      </w:r>
      <w:r w:rsidR="00206AC0">
        <w:rPr>
          <w:rFonts w:ascii="Calibri" w:hAnsi="Calibri"/>
          <w:szCs w:val="24"/>
        </w:rPr>
        <w:t xml:space="preserve">LACs </w:t>
      </w:r>
      <w:r w:rsidRPr="00A955DF">
        <w:rPr>
          <w:rFonts w:ascii="Calibri" w:hAnsi="Calibri"/>
          <w:szCs w:val="24"/>
        </w:rPr>
        <w:t>and</w:t>
      </w:r>
      <w:r w:rsidR="00A57735">
        <w:rPr>
          <w:rFonts w:ascii="Calibri" w:hAnsi="Calibri"/>
          <w:szCs w:val="24"/>
        </w:rPr>
        <w:t xml:space="preserve"> </w:t>
      </w:r>
      <w:r w:rsidR="00206AC0">
        <w:rPr>
          <w:rFonts w:ascii="Calibri" w:hAnsi="Calibri"/>
          <w:szCs w:val="24"/>
        </w:rPr>
        <w:t>CLCs</w:t>
      </w:r>
      <w:r w:rsidR="00A955DF">
        <w:rPr>
          <w:rFonts w:ascii="Calibri" w:hAnsi="Calibri"/>
          <w:szCs w:val="24"/>
        </w:rPr>
        <w:t xml:space="preserve">, </w:t>
      </w:r>
      <w:r w:rsidRPr="00A955DF">
        <w:rPr>
          <w:rFonts w:ascii="Calibri" w:hAnsi="Calibri"/>
          <w:szCs w:val="24"/>
        </w:rPr>
        <w:t xml:space="preserve">NLA </w:t>
      </w:r>
      <w:r w:rsidR="00A57735">
        <w:rPr>
          <w:rFonts w:ascii="Calibri" w:hAnsi="Calibri"/>
          <w:szCs w:val="24"/>
        </w:rPr>
        <w:t xml:space="preserve">thinks it is important to take account of the fact </w:t>
      </w:r>
      <w:r w:rsidRPr="00A955DF">
        <w:rPr>
          <w:rFonts w:ascii="Calibri" w:hAnsi="Calibri"/>
          <w:szCs w:val="24"/>
        </w:rPr>
        <w:t xml:space="preserve">that the services and the service delivery context of LACs and CLCs are </w:t>
      </w:r>
      <w:r w:rsidR="00950D64" w:rsidRPr="00A955DF">
        <w:rPr>
          <w:rFonts w:ascii="Calibri" w:hAnsi="Calibri"/>
          <w:szCs w:val="24"/>
        </w:rPr>
        <w:t xml:space="preserve">often </w:t>
      </w:r>
      <w:r w:rsidR="0059694A" w:rsidRPr="00A955DF">
        <w:rPr>
          <w:rFonts w:ascii="Calibri" w:hAnsi="Calibri"/>
          <w:szCs w:val="24"/>
        </w:rPr>
        <w:t xml:space="preserve">not the same.  </w:t>
      </w:r>
      <w:r w:rsidR="00A57735">
        <w:rPr>
          <w:rFonts w:ascii="Calibri" w:hAnsi="Calibri"/>
          <w:szCs w:val="24"/>
        </w:rPr>
        <w:t xml:space="preserve"> In particular it is noted that t</w:t>
      </w:r>
      <w:r w:rsidR="00206AC0" w:rsidRPr="00A955DF">
        <w:rPr>
          <w:rFonts w:ascii="Calibri" w:hAnsi="Calibri"/>
          <w:szCs w:val="24"/>
        </w:rPr>
        <w:t xml:space="preserve">he word “case” imports different levels of service in different contexts </w:t>
      </w:r>
      <w:r w:rsidR="00FA5110">
        <w:rPr>
          <w:rFonts w:ascii="Calibri" w:hAnsi="Calibri"/>
          <w:szCs w:val="24"/>
        </w:rPr>
        <w:t xml:space="preserve">both within and </w:t>
      </w:r>
      <w:r w:rsidR="00206AC0" w:rsidRPr="00A955DF">
        <w:rPr>
          <w:rFonts w:ascii="Calibri" w:hAnsi="Calibri"/>
          <w:szCs w:val="24"/>
        </w:rPr>
        <w:t>across providers</w:t>
      </w:r>
      <w:r w:rsidR="00206AC0">
        <w:rPr>
          <w:rFonts w:ascii="Calibri" w:hAnsi="Calibri"/>
          <w:szCs w:val="24"/>
        </w:rPr>
        <w:t>.</w:t>
      </w:r>
      <w:r w:rsidR="00206AC0" w:rsidRPr="00A955DF">
        <w:rPr>
          <w:rFonts w:ascii="Calibri" w:hAnsi="Calibri"/>
          <w:szCs w:val="24"/>
        </w:rPr>
        <w:t xml:space="preserve">  </w:t>
      </w:r>
      <w:r w:rsidR="00E036B2">
        <w:rPr>
          <w:rFonts w:ascii="Calibri" w:hAnsi="Calibri"/>
          <w:szCs w:val="24"/>
        </w:rPr>
        <w:t xml:space="preserve">In attempting to develop common data sets, legal assistance service providers </w:t>
      </w:r>
      <w:r w:rsidR="007D0993">
        <w:rPr>
          <w:rFonts w:ascii="Calibri" w:hAnsi="Calibri"/>
          <w:szCs w:val="24"/>
        </w:rPr>
        <w:t>have been</w:t>
      </w:r>
      <w:r w:rsidR="00E036B2">
        <w:rPr>
          <w:rFonts w:ascii="Calibri" w:hAnsi="Calibri"/>
          <w:szCs w:val="24"/>
        </w:rPr>
        <w:t xml:space="preserve"> with the Commonwealth Attorney-General’s Department on </w:t>
      </w:r>
      <w:r w:rsidR="005D753F">
        <w:rPr>
          <w:rFonts w:ascii="Calibri" w:hAnsi="Calibri"/>
          <w:szCs w:val="24"/>
        </w:rPr>
        <w:t xml:space="preserve">the development of a </w:t>
      </w:r>
      <w:r w:rsidR="00422087">
        <w:rPr>
          <w:rFonts w:ascii="Calibri" w:hAnsi="Calibri"/>
          <w:szCs w:val="24"/>
        </w:rPr>
        <w:t xml:space="preserve">data set </w:t>
      </w:r>
      <w:r w:rsidR="00E00BC1">
        <w:rPr>
          <w:rFonts w:ascii="Calibri" w:hAnsi="Calibri"/>
          <w:szCs w:val="24"/>
        </w:rPr>
        <w:t xml:space="preserve">and supporting definitions which </w:t>
      </w:r>
      <w:r w:rsidR="00525F5E">
        <w:rPr>
          <w:rFonts w:ascii="Calibri" w:hAnsi="Calibri"/>
          <w:szCs w:val="24"/>
        </w:rPr>
        <w:lastRenderedPageBreak/>
        <w:t xml:space="preserve">included </w:t>
      </w:r>
      <w:r w:rsidR="00E036B2">
        <w:rPr>
          <w:rFonts w:ascii="Calibri" w:hAnsi="Calibri"/>
          <w:szCs w:val="24"/>
        </w:rPr>
        <w:t>“legal representation”</w:t>
      </w:r>
      <w:r w:rsidR="005A65F1">
        <w:rPr>
          <w:rFonts w:ascii="Calibri" w:hAnsi="Calibri"/>
          <w:szCs w:val="24"/>
        </w:rPr>
        <w:t xml:space="preserve"> </w:t>
      </w:r>
      <w:r w:rsidR="00C4686D">
        <w:rPr>
          <w:rFonts w:ascii="Calibri" w:hAnsi="Calibri"/>
          <w:szCs w:val="24"/>
        </w:rPr>
        <w:t xml:space="preserve">and various </w:t>
      </w:r>
      <w:r w:rsidR="00525F5E">
        <w:rPr>
          <w:rFonts w:ascii="Calibri" w:hAnsi="Calibri"/>
          <w:szCs w:val="24"/>
        </w:rPr>
        <w:t>“</w:t>
      </w:r>
      <w:r w:rsidR="00C4686D">
        <w:rPr>
          <w:rFonts w:ascii="Calibri" w:hAnsi="Calibri"/>
          <w:szCs w:val="24"/>
        </w:rPr>
        <w:t>discrete task</w:t>
      </w:r>
      <w:r w:rsidR="00525F5E">
        <w:rPr>
          <w:rFonts w:ascii="Calibri" w:hAnsi="Calibri"/>
          <w:szCs w:val="24"/>
        </w:rPr>
        <w:t>”</w:t>
      </w:r>
      <w:r w:rsidR="00C4686D">
        <w:rPr>
          <w:rFonts w:ascii="Calibri" w:hAnsi="Calibri"/>
          <w:szCs w:val="24"/>
        </w:rPr>
        <w:t xml:space="preserve"> services</w:t>
      </w:r>
      <w:r w:rsidR="00E036B2">
        <w:rPr>
          <w:rFonts w:ascii="Calibri" w:hAnsi="Calibri"/>
          <w:szCs w:val="24"/>
        </w:rPr>
        <w:t xml:space="preserve"> rather than “case”. </w:t>
      </w:r>
    </w:p>
    <w:p w:rsidR="00A57735" w:rsidRDefault="00A57735" w:rsidP="00A955DF">
      <w:pPr>
        <w:spacing w:line="320" w:lineRule="atLeast"/>
        <w:rPr>
          <w:rFonts w:ascii="Calibri" w:hAnsi="Calibri"/>
          <w:szCs w:val="24"/>
        </w:rPr>
      </w:pPr>
    </w:p>
    <w:p w:rsidR="004214D6" w:rsidRDefault="00A57735" w:rsidP="00A955DF">
      <w:pPr>
        <w:spacing w:line="320" w:lineRule="atLeast"/>
        <w:rPr>
          <w:rFonts w:ascii="Calibri" w:hAnsi="Calibri"/>
          <w:szCs w:val="24"/>
        </w:rPr>
      </w:pPr>
      <w:r>
        <w:rPr>
          <w:rFonts w:ascii="Calibri" w:hAnsi="Calibri"/>
          <w:szCs w:val="24"/>
        </w:rPr>
        <w:t>D</w:t>
      </w:r>
      <w:r w:rsidRPr="00A955DF">
        <w:rPr>
          <w:rFonts w:ascii="Calibri" w:hAnsi="Calibri"/>
          <w:szCs w:val="24"/>
        </w:rPr>
        <w:t xml:space="preserve">epending on the extent of the alignment and the point/s at which eligibility is set, </w:t>
      </w:r>
      <w:r w:rsidR="00EB1A40">
        <w:rPr>
          <w:rFonts w:ascii="Calibri" w:hAnsi="Calibri"/>
          <w:szCs w:val="24"/>
        </w:rPr>
        <w:t xml:space="preserve">NLA is of the view that </w:t>
      </w:r>
      <w:r>
        <w:rPr>
          <w:rFonts w:ascii="Calibri" w:hAnsi="Calibri"/>
          <w:szCs w:val="24"/>
        </w:rPr>
        <w:t>t</w:t>
      </w:r>
      <w:r w:rsidR="0059694A" w:rsidRPr="00A955DF">
        <w:rPr>
          <w:rFonts w:ascii="Calibri" w:hAnsi="Calibri"/>
          <w:szCs w:val="24"/>
        </w:rPr>
        <w:t>o align eligibility cri</w:t>
      </w:r>
      <w:r w:rsidR="008F7C33" w:rsidRPr="00A955DF">
        <w:rPr>
          <w:rFonts w:ascii="Calibri" w:hAnsi="Calibri"/>
          <w:szCs w:val="24"/>
        </w:rPr>
        <w:t>teria of the CLCs with those of the LACs,</w:t>
      </w:r>
      <w:r w:rsidR="0059694A" w:rsidRPr="00A955DF">
        <w:rPr>
          <w:rFonts w:ascii="Calibri" w:hAnsi="Calibri"/>
          <w:szCs w:val="24"/>
        </w:rPr>
        <w:t xml:space="preserve"> </w:t>
      </w:r>
      <w:r w:rsidR="00CB372C" w:rsidRPr="00A955DF">
        <w:rPr>
          <w:rFonts w:ascii="Calibri" w:hAnsi="Calibri"/>
          <w:szCs w:val="24"/>
        </w:rPr>
        <w:t>could remove</w:t>
      </w:r>
      <w:r w:rsidR="0059694A" w:rsidRPr="00A955DF">
        <w:rPr>
          <w:rFonts w:ascii="Calibri" w:hAnsi="Calibri"/>
          <w:szCs w:val="24"/>
        </w:rPr>
        <w:t xml:space="preserve"> important safety net</w:t>
      </w:r>
      <w:r w:rsidR="00CB372C" w:rsidRPr="00A955DF">
        <w:rPr>
          <w:rFonts w:ascii="Calibri" w:hAnsi="Calibri"/>
          <w:szCs w:val="24"/>
        </w:rPr>
        <w:t>/s for people</w:t>
      </w:r>
      <w:r w:rsidR="00950D64" w:rsidRPr="00A955DF">
        <w:rPr>
          <w:rFonts w:ascii="Calibri" w:hAnsi="Calibri"/>
          <w:szCs w:val="24"/>
        </w:rPr>
        <w:t xml:space="preserve">, </w:t>
      </w:r>
      <w:r w:rsidR="003A2F9A" w:rsidRPr="00A955DF">
        <w:rPr>
          <w:rFonts w:ascii="Calibri" w:hAnsi="Calibri"/>
          <w:szCs w:val="24"/>
        </w:rPr>
        <w:t>e.g.</w:t>
      </w:r>
      <w:r w:rsidR="004214D6" w:rsidRPr="00A955DF">
        <w:rPr>
          <w:rFonts w:ascii="Calibri" w:hAnsi="Calibri"/>
          <w:szCs w:val="24"/>
        </w:rPr>
        <w:t xml:space="preserve"> </w:t>
      </w:r>
      <w:r w:rsidR="0059694A" w:rsidRPr="00A955DF">
        <w:rPr>
          <w:rFonts w:ascii="Calibri" w:hAnsi="Calibri"/>
          <w:szCs w:val="24"/>
        </w:rPr>
        <w:t>a</w:t>
      </w:r>
      <w:r w:rsidR="002206C2" w:rsidRPr="00A955DF">
        <w:rPr>
          <w:rFonts w:ascii="Calibri" w:hAnsi="Calibri"/>
          <w:szCs w:val="24"/>
        </w:rPr>
        <w:t xml:space="preserve"> small business/self-</w:t>
      </w:r>
      <w:r w:rsidR="0059694A" w:rsidRPr="00A955DF">
        <w:rPr>
          <w:rFonts w:ascii="Calibri" w:hAnsi="Calibri"/>
          <w:szCs w:val="24"/>
        </w:rPr>
        <w:t>employed p</w:t>
      </w:r>
      <w:r w:rsidR="002206C2" w:rsidRPr="00A955DF">
        <w:rPr>
          <w:rFonts w:ascii="Calibri" w:hAnsi="Calibri"/>
          <w:szCs w:val="24"/>
        </w:rPr>
        <w:t xml:space="preserve">erson </w:t>
      </w:r>
      <w:r w:rsidR="004214D6" w:rsidRPr="00A955DF">
        <w:rPr>
          <w:rFonts w:ascii="Calibri" w:hAnsi="Calibri"/>
          <w:szCs w:val="24"/>
        </w:rPr>
        <w:t xml:space="preserve">who </w:t>
      </w:r>
      <w:r w:rsidR="00831808">
        <w:rPr>
          <w:rFonts w:ascii="Calibri" w:hAnsi="Calibri"/>
          <w:szCs w:val="24"/>
        </w:rPr>
        <w:t xml:space="preserve">receives advice from a volunteer </w:t>
      </w:r>
      <w:r w:rsidR="00B5077F">
        <w:rPr>
          <w:rFonts w:ascii="Calibri" w:hAnsi="Calibri"/>
          <w:szCs w:val="24"/>
        </w:rPr>
        <w:t>community-</w:t>
      </w:r>
      <w:r w:rsidR="00831808">
        <w:rPr>
          <w:rFonts w:ascii="Calibri" w:hAnsi="Calibri"/>
          <w:szCs w:val="24"/>
        </w:rPr>
        <w:t xml:space="preserve">minded private practitioner at an evening advice session held at and organised by a CLC.  </w:t>
      </w:r>
    </w:p>
    <w:p w:rsidR="00A955DF" w:rsidRPr="00A955DF" w:rsidRDefault="00A955DF" w:rsidP="00A955DF">
      <w:pPr>
        <w:spacing w:line="320" w:lineRule="atLeast"/>
        <w:rPr>
          <w:rFonts w:ascii="Calibri" w:hAnsi="Calibri"/>
          <w:szCs w:val="24"/>
        </w:rPr>
      </w:pPr>
    </w:p>
    <w:p w:rsidR="00CC4179" w:rsidRDefault="00A57735" w:rsidP="00CC4179">
      <w:pPr>
        <w:spacing w:line="320" w:lineRule="atLeast"/>
        <w:rPr>
          <w:rFonts w:ascii="Calibri" w:hAnsi="Calibri"/>
          <w:szCs w:val="24"/>
        </w:rPr>
      </w:pPr>
      <w:r>
        <w:rPr>
          <w:rFonts w:ascii="Calibri" w:hAnsi="Calibri"/>
          <w:szCs w:val="24"/>
        </w:rPr>
        <w:t>It is also suggested that a</w:t>
      </w:r>
      <w:r w:rsidR="009D0493" w:rsidRPr="00A955DF">
        <w:rPr>
          <w:rFonts w:ascii="Calibri" w:hAnsi="Calibri"/>
          <w:szCs w:val="24"/>
        </w:rPr>
        <w:t>ny “r</w:t>
      </w:r>
      <w:r w:rsidR="00642996" w:rsidRPr="00A955DF">
        <w:rPr>
          <w:rFonts w:ascii="Calibri" w:hAnsi="Calibri"/>
          <w:szCs w:val="24"/>
        </w:rPr>
        <w:t>ed tape</w:t>
      </w:r>
      <w:r w:rsidR="009D0493" w:rsidRPr="00A955DF">
        <w:rPr>
          <w:rFonts w:ascii="Calibri" w:hAnsi="Calibri"/>
          <w:szCs w:val="24"/>
        </w:rPr>
        <w:t>”</w:t>
      </w:r>
      <w:r w:rsidR="00642996" w:rsidRPr="00A955DF">
        <w:rPr>
          <w:rFonts w:ascii="Calibri" w:hAnsi="Calibri"/>
          <w:szCs w:val="24"/>
        </w:rPr>
        <w:t xml:space="preserve"> requirements in relation to eligibility testing may also have the potential to cause a down turn in the number of private practitioners prepared to undertake legal assistance work inc</w:t>
      </w:r>
      <w:r w:rsidR="00B64A45">
        <w:rPr>
          <w:rFonts w:ascii="Calibri" w:hAnsi="Calibri"/>
          <w:szCs w:val="24"/>
        </w:rPr>
        <w:t xml:space="preserve">luding by volunteering at CLCs. </w:t>
      </w:r>
      <w:r w:rsidR="00B94DF9">
        <w:rPr>
          <w:rFonts w:ascii="Calibri" w:hAnsi="Calibri"/>
          <w:szCs w:val="24"/>
        </w:rPr>
        <w:t xml:space="preserve"> “Remuneration matters including the low hourly rate, and issues with the number of hours allocated under the stage of matter (lump sum) payment structure were the key reasons for di</w:t>
      </w:r>
      <w:r w:rsidR="00525DD9">
        <w:rPr>
          <w:rFonts w:ascii="Calibri" w:hAnsi="Calibri"/>
          <w:szCs w:val="24"/>
        </w:rPr>
        <w:t>sengagement from legal aid among</w:t>
      </w:r>
      <w:r w:rsidR="00B94DF9">
        <w:rPr>
          <w:rFonts w:ascii="Calibri" w:hAnsi="Calibri"/>
          <w:szCs w:val="24"/>
        </w:rPr>
        <w:t xml:space="preserve"> all firms.  Red tape associated with processing a grant of legal aid was also seen as a key reason for disengagement.  This was particularly evident among firms that used to provide legal aid but now do not.”</w:t>
      </w:r>
      <w:r w:rsidR="00B94DF9">
        <w:rPr>
          <w:rStyle w:val="FootnoteReference"/>
          <w:rFonts w:ascii="Calibri" w:hAnsi="Calibri"/>
          <w:szCs w:val="24"/>
        </w:rPr>
        <w:footnoteReference w:id="9"/>
      </w:r>
    </w:p>
    <w:p w:rsidR="00CC4179" w:rsidRDefault="00CC4179" w:rsidP="00CC4179">
      <w:pPr>
        <w:spacing w:line="320" w:lineRule="atLeast"/>
        <w:rPr>
          <w:rFonts w:ascii="Calibri" w:hAnsi="Calibri"/>
          <w:szCs w:val="24"/>
        </w:rPr>
      </w:pPr>
    </w:p>
    <w:p w:rsidR="00CB2B2A" w:rsidRPr="00CC4179" w:rsidRDefault="00CB2B2A" w:rsidP="00CC4179">
      <w:pPr>
        <w:spacing w:line="320" w:lineRule="atLeast"/>
        <w:rPr>
          <w:rFonts w:ascii="Calibri" w:hAnsi="Calibri"/>
          <w:szCs w:val="24"/>
        </w:rPr>
      </w:pPr>
    </w:p>
    <w:p w:rsidR="004214D6" w:rsidRPr="00211FD5" w:rsidRDefault="004214D6" w:rsidP="004214D6">
      <w:pPr>
        <w:spacing w:before="240" w:line="320" w:lineRule="atLeast"/>
        <w:jc w:val="both"/>
        <w:rPr>
          <w:rFonts w:ascii="Calibri" w:hAnsi="Calibri" w:cs="Calibri"/>
          <w:b/>
          <w:sz w:val="28"/>
          <w:szCs w:val="28"/>
          <w:highlight w:val="lightGray"/>
        </w:rPr>
      </w:pPr>
      <w:r w:rsidRPr="00211FD5">
        <w:rPr>
          <w:rFonts w:ascii="Calibri" w:hAnsi="Calibri" w:cs="Calibri"/>
          <w:b/>
          <w:sz w:val="28"/>
          <w:szCs w:val="28"/>
          <w:highlight w:val="lightGray"/>
        </w:rPr>
        <w:t>21.5 Is the service delivery model the right one?</w:t>
      </w:r>
    </w:p>
    <w:p w:rsidR="004214D6" w:rsidRPr="00A955DF" w:rsidRDefault="004214D6" w:rsidP="004214D6">
      <w:pPr>
        <w:pStyle w:val="RecTitle"/>
        <w:rPr>
          <w:rFonts w:ascii="Calibri" w:hAnsi="Calibri" w:cs="Calibri"/>
          <w:szCs w:val="24"/>
          <w:highlight w:val="lightGray"/>
        </w:rPr>
      </w:pPr>
      <w:r w:rsidRPr="00A955DF">
        <w:rPr>
          <w:rFonts w:ascii="Calibri" w:hAnsi="Calibri" w:cs="Calibri"/>
          <w:szCs w:val="24"/>
          <w:highlight w:val="lightGray"/>
        </w:rPr>
        <w:t>information request 21.2</w:t>
      </w:r>
    </w:p>
    <w:p w:rsidR="004214D6" w:rsidRPr="00A955DF" w:rsidRDefault="004214D6" w:rsidP="004214D6">
      <w:pPr>
        <w:pStyle w:val="InformationRequest"/>
        <w:rPr>
          <w:rFonts w:ascii="Calibri" w:hAnsi="Calibri" w:cs="Calibri"/>
          <w:szCs w:val="24"/>
        </w:rPr>
      </w:pPr>
      <w:r w:rsidRPr="00A955DF">
        <w:rPr>
          <w:rFonts w:ascii="Calibri" w:hAnsi="Calibri" w:cs="Calibri"/>
          <w:szCs w:val="24"/>
          <w:highlight w:val="lightGray"/>
        </w:rPr>
        <w:t>The Commission seeks views on the appropriate relationships between legal aid rates and market rates for the provision of legal services. What might be the cost of altering the relationship between the two rates?</w:t>
      </w:r>
      <w:r w:rsidRPr="00A955DF">
        <w:rPr>
          <w:rFonts w:ascii="Calibri" w:hAnsi="Calibri" w:cs="Calibri"/>
          <w:szCs w:val="24"/>
        </w:rPr>
        <w:t xml:space="preserve"> </w:t>
      </w:r>
    </w:p>
    <w:p w:rsidR="004214D6" w:rsidRDefault="004214D6" w:rsidP="00A955DF">
      <w:pPr>
        <w:pStyle w:val="BodyText"/>
        <w:jc w:val="left"/>
      </w:pPr>
    </w:p>
    <w:p w:rsidR="004214D6" w:rsidRDefault="003A2BF9" w:rsidP="00A955DF">
      <w:pPr>
        <w:pStyle w:val="BodyText"/>
        <w:jc w:val="left"/>
      </w:pPr>
      <w:r>
        <w:t>LACs</w:t>
      </w:r>
      <w:r w:rsidR="004214D6">
        <w:t xml:space="preserve"> have statutory responsibilities for the provision of legal assistance and to manage respective legal aid funds efficiently and effectively.  </w:t>
      </w:r>
    </w:p>
    <w:p w:rsidR="004214D6" w:rsidRDefault="004214D6" w:rsidP="00A955DF">
      <w:pPr>
        <w:pStyle w:val="BodyText"/>
        <w:jc w:val="left"/>
      </w:pPr>
    </w:p>
    <w:p w:rsidR="004214D6" w:rsidRDefault="00A93ABF" w:rsidP="00A955DF">
      <w:pPr>
        <w:pStyle w:val="BodyText"/>
        <w:jc w:val="left"/>
      </w:pPr>
      <w:r>
        <w:t>I</w:t>
      </w:r>
      <w:r w:rsidR="004214D6">
        <w:t xml:space="preserve">ssues associated with low legal aid fee rates are acknowledged to include a resultant loss of private practitioners prepared to do legal aid work, especially in the regional locations, and the </w:t>
      </w:r>
      <w:r w:rsidR="004E6D31">
        <w:t>“</w:t>
      </w:r>
      <w:r w:rsidR="004214D6">
        <w:t>juniorisation</w:t>
      </w:r>
      <w:r w:rsidR="004E6D31">
        <w:t>” of those undertakin</w:t>
      </w:r>
      <w:r w:rsidR="004214D6">
        <w:t>g the</w:t>
      </w:r>
      <w:r w:rsidR="004E6D31">
        <w:t xml:space="preserve"> work.  J</w:t>
      </w:r>
      <w:r w:rsidR="004214D6">
        <w:t xml:space="preserve">uniorisation </w:t>
      </w:r>
      <w:r w:rsidR="004E6D31">
        <w:t>is considered to reduce the</w:t>
      </w:r>
      <w:r w:rsidR="004214D6">
        <w:t xml:space="preserve"> efficiency for the justice system and </w:t>
      </w:r>
      <w:r w:rsidR="001E0B21">
        <w:t xml:space="preserve">has </w:t>
      </w:r>
      <w:r w:rsidR="004214D6">
        <w:t xml:space="preserve">the potential </w:t>
      </w:r>
      <w:r w:rsidR="001E0B21">
        <w:t xml:space="preserve">to produce quality issues </w:t>
      </w:r>
      <w:r w:rsidR="004214D6">
        <w:t xml:space="preserve">for </w:t>
      </w:r>
      <w:r w:rsidR="001E0B21">
        <w:t>legal assistance clients</w:t>
      </w:r>
      <w:r w:rsidR="004214D6">
        <w:t xml:space="preserve">. </w:t>
      </w:r>
    </w:p>
    <w:p w:rsidR="004214D6" w:rsidRDefault="004214D6" w:rsidP="00A955DF">
      <w:pPr>
        <w:pStyle w:val="BodyText"/>
        <w:jc w:val="left"/>
      </w:pPr>
    </w:p>
    <w:p w:rsidR="009F1838" w:rsidRDefault="000F763B" w:rsidP="00A955DF">
      <w:pPr>
        <w:pStyle w:val="BodyText"/>
        <w:jc w:val="left"/>
      </w:pPr>
      <w:r>
        <w:t>T</w:t>
      </w:r>
      <w:r w:rsidR="004214D6">
        <w:t xml:space="preserve">he value of fees has been eroded </w:t>
      </w:r>
      <w:r w:rsidR="00F17921">
        <w:t xml:space="preserve">by </w:t>
      </w:r>
      <w:r w:rsidR="004214D6">
        <w:t xml:space="preserve">increased costs associated with </w:t>
      </w:r>
      <w:r w:rsidR="00F17921">
        <w:t>service provision.  Lump sum fees</w:t>
      </w:r>
      <w:r w:rsidR="000C67B0">
        <w:t>,</w:t>
      </w:r>
      <w:r w:rsidR="00F17921">
        <w:t xml:space="preserve"> which are an effective</w:t>
      </w:r>
      <w:r w:rsidR="00286865">
        <w:t xml:space="preserve"> mechanism for managing grants of legal aid, have </w:t>
      </w:r>
      <w:r w:rsidR="006A662C">
        <w:t xml:space="preserve">also </w:t>
      </w:r>
      <w:r w:rsidR="00286865">
        <w:t>been impacted</w:t>
      </w:r>
      <w:r w:rsidR="004214D6">
        <w:t xml:space="preserve"> </w:t>
      </w:r>
      <w:r w:rsidR="006A662C">
        <w:t xml:space="preserve">because </w:t>
      </w:r>
      <w:r w:rsidR="004214D6">
        <w:t xml:space="preserve">of </w:t>
      </w:r>
      <w:r w:rsidR="006A662C">
        <w:t xml:space="preserve">increased complexities in the law and </w:t>
      </w:r>
      <w:r w:rsidR="000C67B0">
        <w:lastRenderedPageBreak/>
        <w:t xml:space="preserve">the time </w:t>
      </w:r>
      <w:r w:rsidR="006A662C">
        <w:t>it takes practitioners to discharge</w:t>
      </w:r>
      <w:r w:rsidR="000C67B0">
        <w:t xml:space="preserve"> </w:t>
      </w:r>
      <w:r w:rsidR="006A662C">
        <w:t xml:space="preserve">related </w:t>
      </w:r>
      <w:r w:rsidR="004214D6">
        <w:t>responsibilities</w:t>
      </w:r>
      <w:r w:rsidR="008B0ED9">
        <w:t xml:space="preserve">.   For example, family violence reforms in family law have extended professional and practice responsibilities.  </w:t>
      </w:r>
      <w:r w:rsidR="00F158F8">
        <w:t>To help emerge</w:t>
      </w:r>
      <w:r w:rsidR="002B6975">
        <w:t>,</w:t>
      </w:r>
      <w:r w:rsidR="00F158F8">
        <w:t xml:space="preserve"> </w:t>
      </w:r>
      <w:r w:rsidR="00A45911">
        <w:t>and respond appropriately</w:t>
      </w:r>
      <w:r w:rsidR="002B6975">
        <w:t>,</w:t>
      </w:r>
      <w:r w:rsidR="00A45911">
        <w:t xml:space="preserve"> to </w:t>
      </w:r>
      <w:r w:rsidR="00F158F8">
        <w:t xml:space="preserve">child safety and family violence issues these reforms must be supported but they come at </w:t>
      </w:r>
      <w:r w:rsidR="008B0ED9">
        <w:t xml:space="preserve">a cost.  </w:t>
      </w:r>
      <w:r w:rsidR="00F158F8">
        <w:t>A particular illustration is t</w:t>
      </w:r>
      <w:r w:rsidR="008B0ED9">
        <w:t xml:space="preserve">he </w:t>
      </w:r>
      <w:r w:rsidR="006133FC">
        <w:t xml:space="preserve">collaboration between </w:t>
      </w:r>
      <w:r w:rsidR="008C319F">
        <w:t xml:space="preserve">the Federal Circuit Court and Families SA </w:t>
      </w:r>
      <w:r w:rsidR="006133FC">
        <w:t xml:space="preserve">in </w:t>
      </w:r>
      <w:r w:rsidR="008C319F">
        <w:t xml:space="preserve">a </w:t>
      </w:r>
      <w:r w:rsidR="006133FC">
        <w:t xml:space="preserve">project being piloted </w:t>
      </w:r>
      <w:r w:rsidR="008C319F">
        <w:t xml:space="preserve">in </w:t>
      </w:r>
      <w:r w:rsidR="006133FC">
        <w:t xml:space="preserve">South Australia.  This project </w:t>
      </w:r>
      <w:r w:rsidR="00943315">
        <w:t xml:space="preserve">seeks to facilitate the early identification of risk in parenting matters when allegations of violence or abuse are raised.   The Court has introduced a requirement </w:t>
      </w:r>
      <w:r w:rsidR="008B0ED9">
        <w:t xml:space="preserve">for a </w:t>
      </w:r>
      <w:r w:rsidR="00943315">
        <w:t>Notice of R</w:t>
      </w:r>
      <w:r w:rsidR="008B0ED9">
        <w:t xml:space="preserve">isk to </w:t>
      </w:r>
      <w:r w:rsidR="00F158F8">
        <w:t xml:space="preserve">be filed </w:t>
      </w:r>
      <w:r w:rsidR="00114580">
        <w:t xml:space="preserve">with every Application or Response in proceedings seeking parenting orders.  The </w:t>
      </w:r>
      <w:r w:rsidR="00F158F8">
        <w:t>practi</w:t>
      </w:r>
      <w:r w:rsidR="004B51EC">
        <w:t xml:space="preserve">tioner prepares </w:t>
      </w:r>
      <w:r w:rsidR="00473319">
        <w:t>and files the Notice with other documents and the C</w:t>
      </w:r>
      <w:r w:rsidR="00F158F8">
        <w:t>ourt then forwards</w:t>
      </w:r>
      <w:r w:rsidR="00473319">
        <w:t xml:space="preserve"> the N</w:t>
      </w:r>
      <w:r w:rsidR="008B0ED9">
        <w:t xml:space="preserve">otice to Families </w:t>
      </w:r>
      <w:r w:rsidR="00473319">
        <w:t xml:space="preserve">SA which prepares a report in relation to </w:t>
      </w:r>
      <w:r w:rsidR="00F158F8">
        <w:t xml:space="preserve">risk issues </w:t>
      </w:r>
      <w:r w:rsidR="00473319">
        <w:t>and the Department’s invo</w:t>
      </w:r>
      <w:r w:rsidR="004B51EC">
        <w:t xml:space="preserve">lvement </w:t>
      </w:r>
      <w:r w:rsidR="00F158F8">
        <w:t xml:space="preserve">for the information </w:t>
      </w:r>
      <w:r w:rsidR="00473319">
        <w:t>of the C</w:t>
      </w:r>
      <w:r w:rsidR="00F158F8">
        <w:t>ourt</w:t>
      </w:r>
      <w:r w:rsidR="008B0ED9">
        <w:t xml:space="preserve">.  </w:t>
      </w:r>
      <w:r w:rsidR="00F158F8">
        <w:t xml:space="preserve"> </w:t>
      </w:r>
      <w:r w:rsidR="00473319">
        <w:t>E</w:t>
      </w:r>
      <w:r w:rsidR="006133FC">
        <w:t xml:space="preserve">xtra </w:t>
      </w:r>
      <w:r w:rsidR="00F158F8">
        <w:t>time is required to take instructions</w:t>
      </w:r>
      <w:r w:rsidR="004B51EC">
        <w:t xml:space="preserve"> on and to </w:t>
      </w:r>
      <w:r w:rsidR="00F158F8">
        <w:t>complete the form</w:t>
      </w:r>
      <w:r w:rsidR="00F158F8" w:rsidRPr="009453E0">
        <w:rPr>
          <w:b/>
        </w:rPr>
        <w:t>,</w:t>
      </w:r>
      <w:r w:rsidR="004B51EC">
        <w:t xml:space="preserve"> </w:t>
      </w:r>
      <w:r w:rsidR="00473319">
        <w:t xml:space="preserve">and to </w:t>
      </w:r>
      <w:r w:rsidR="00F158F8">
        <w:t xml:space="preserve">receive and read the ensuing report and </w:t>
      </w:r>
      <w:r w:rsidR="00473319">
        <w:t xml:space="preserve">to </w:t>
      </w:r>
      <w:r w:rsidR="00F158F8">
        <w:t xml:space="preserve">respond </w:t>
      </w:r>
      <w:r w:rsidR="00473319">
        <w:t xml:space="preserve">to it </w:t>
      </w:r>
      <w:r w:rsidR="00F158F8">
        <w:t>accordingly.</w:t>
      </w:r>
    </w:p>
    <w:p w:rsidR="00C73A81" w:rsidRDefault="00C73A81" w:rsidP="004214D6">
      <w:pPr>
        <w:pStyle w:val="BodyText"/>
      </w:pPr>
    </w:p>
    <w:p w:rsidR="00C73A81" w:rsidRPr="00FD0F1C" w:rsidRDefault="00C73A81" w:rsidP="00C73A81">
      <w:pPr>
        <w:pStyle w:val="BodyText"/>
        <w:rPr>
          <w:szCs w:val="24"/>
        </w:rPr>
      </w:pPr>
      <w:r w:rsidRPr="00FD0F1C">
        <w:rPr>
          <w:szCs w:val="24"/>
          <w:highlight w:val="lightGray"/>
        </w:rPr>
        <w:t>“Some evidence suggests that partners typically charge more than $600 per hour, while associates charge around $400 per hour (figure 3.1).”</w:t>
      </w:r>
      <w:r w:rsidRPr="00FD0F1C">
        <w:rPr>
          <w:rStyle w:val="FootnoteReference"/>
          <w:szCs w:val="24"/>
          <w:highlight w:val="lightGray"/>
        </w:rPr>
        <w:footnoteReference w:id="10"/>
      </w:r>
    </w:p>
    <w:p w:rsidR="00C73A81" w:rsidRPr="00FD0F1C" w:rsidRDefault="00C73A81" w:rsidP="004214D6">
      <w:pPr>
        <w:pStyle w:val="BodyText"/>
        <w:rPr>
          <w:szCs w:val="24"/>
        </w:rPr>
      </w:pPr>
    </w:p>
    <w:p w:rsidR="004214D6" w:rsidRDefault="009E064A" w:rsidP="00A955DF">
      <w:pPr>
        <w:pStyle w:val="BodyText"/>
        <w:jc w:val="left"/>
      </w:pPr>
      <w:r>
        <w:t>It is suggested that a</w:t>
      </w:r>
      <w:r w:rsidR="004214D6">
        <w:t>pproaches to the question about the cost of adjusting legal aid fee rates</w:t>
      </w:r>
      <w:r w:rsidR="00BB5691">
        <w:t xml:space="preserve"> </w:t>
      </w:r>
      <w:r>
        <w:t xml:space="preserve">could </w:t>
      </w:r>
      <w:r w:rsidR="00BB5691">
        <w:t>include</w:t>
      </w:r>
      <w:r w:rsidR="004214D6">
        <w:t>:</w:t>
      </w:r>
    </w:p>
    <w:p w:rsidR="00B10FD1" w:rsidRDefault="00B10FD1" w:rsidP="00A955DF">
      <w:pPr>
        <w:pStyle w:val="BodyText"/>
        <w:jc w:val="left"/>
      </w:pPr>
    </w:p>
    <w:p w:rsidR="00D97AE5" w:rsidRDefault="00B10FD1" w:rsidP="00A955DF">
      <w:pPr>
        <w:pStyle w:val="BodyText"/>
        <w:numPr>
          <w:ilvl w:val="0"/>
          <w:numId w:val="41"/>
        </w:numPr>
        <w:jc w:val="left"/>
      </w:pPr>
      <w:r>
        <w:t>Model</w:t>
      </w:r>
      <w:r w:rsidR="006821F2">
        <w:t>ling</w:t>
      </w:r>
      <w:r>
        <w:t xml:space="preserve"> a percentage split on other rates paid.  </w:t>
      </w:r>
    </w:p>
    <w:p w:rsidR="00D97AE5" w:rsidRDefault="00D97AE5" w:rsidP="00A955DF">
      <w:pPr>
        <w:pStyle w:val="BodyText"/>
        <w:ind w:left="720"/>
        <w:jc w:val="left"/>
      </w:pPr>
    </w:p>
    <w:p w:rsidR="00276DEC" w:rsidRDefault="00B10FD1" w:rsidP="00A955DF">
      <w:pPr>
        <w:pStyle w:val="BodyText"/>
        <w:ind w:left="720"/>
        <w:jc w:val="left"/>
      </w:pPr>
      <w:r>
        <w:t xml:space="preserve">Legal aid fees were initially modelled on 80% of court fee scales, with 20% of the scale fee considered to have been forgone by the practitioner for the public good.  </w:t>
      </w:r>
    </w:p>
    <w:p w:rsidR="00276DEC" w:rsidRDefault="00276DEC" w:rsidP="00A955DF">
      <w:pPr>
        <w:pStyle w:val="BodyText"/>
        <w:ind w:left="720"/>
        <w:jc w:val="left"/>
      </w:pPr>
    </w:p>
    <w:p w:rsidR="00B10FD1" w:rsidRDefault="00276DEC" w:rsidP="00A955DF">
      <w:pPr>
        <w:pStyle w:val="BodyText"/>
        <w:ind w:left="720"/>
        <w:jc w:val="left"/>
      </w:pPr>
      <w:r>
        <w:t xml:space="preserve">One approach might be to model different percentage splits e.g. on court fee scales where they continue to exist, market rates to the extent that they can be </w:t>
      </w:r>
      <w:r w:rsidR="00F62AF7">
        <w:t xml:space="preserve">identified (see above), and/or </w:t>
      </w:r>
      <w:r w:rsidR="00B10FD1">
        <w:t>rates paid by the Commonwealth for legal services</w:t>
      </w:r>
      <w:r>
        <w:t xml:space="preserve"> purchased by the Commonwealth</w:t>
      </w:r>
      <w:r w:rsidR="00B10FD1">
        <w:t>.</w:t>
      </w:r>
    </w:p>
    <w:p w:rsidR="004214D6" w:rsidRDefault="004214D6" w:rsidP="00A955DF">
      <w:pPr>
        <w:pStyle w:val="BodyText"/>
        <w:ind w:left="720"/>
        <w:jc w:val="left"/>
      </w:pPr>
    </w:p>
    <w:p w:rsidR="004214D6" w:rsidRDefault="00D831AF" w:rsidP="00A955DF">
      <w:pPr>
        <w:pStyle w:val="BodyText"/>
        <w:numPr>
          <w:ilvl w:val="0"/>
          <w:numId w:val="41"/>
        </w:numPr>
        <w:jc w:val="left"/>
      </w:pPr>
      <w:r>
        <w:t>Pri</w:t>
      </w:r>
      <w:r w:rsidR="006821F2">
        <w:t>cing</w:t>
      </w:r>
      <w:r>
        <w:t xml:space="preserve"> the </w:t>
      </w:r>
      <w:r w:rsidR="00B10FD1">
        <w:t>cost if existing fees were</w:t>
      </w:r>
      <w:r w:rsidR="004214D6">
        <w:t xml:space="preserve"> increase</w:t>
      </w:r>
      <w:r w:rsidR="00B10FD1">
        <w:t>d</w:t>
      </w:r>
      <w:r w:rsidR="004214D6">
        <w:t xml:space="preserve"> by each of, for example, </w:t>
      </w:r>
      <w:r w:rsidR="00EB46E8">
        <w:t>33</w:t>
      </w:r>
      <w:r w:rsidR="004214D6">
        <w:t xml:space="preserve">%, </w:t>
      </w:r>
      <w:r w:rsidR="00EB46E8">
        <w:t>66</w:t>
      </w:r>
      <w:r w:rsidR="004214D6">
        <w:t xml:space="preserve">%, </w:t>
      </w:r>
      <w:r w:rsidR="00EB46E8">
        <w:t>100</w:t>
      </w:r>
      <w:r w:rsidR="004214D6">
        <w:t>% etc</w:t>
      </w:r>
      <w:r w:rsidR="00CF6CDD">
        <w:t>.</w:t>
      </w:r>
      <w:r w:rsidR="004214D6">
        <w:t xml:space="preserve"> across the country given current levels of service delivery.</w:t>
      </w:r>
    </w:p>
    <w:p w:rsidR="000D326F" w:rsidRDefault="000D326F" w:rsidP="00A955DF">
      <w:pPr>
        <w:pStyle w:val="BodyText"/>
        <w:ind w:left="720"/>
        <w:jc w:val="left"/>
      </w:pPr>
    </w:p>
    <w:p w:rsidR="000C7497" w:rsidRDefault="000C7497" w:rsidP="00A955DF">
      <w:pPr>
        <w:pStyle w:val="BodyText"/>
        <w:ind w:left="720"/>
        <w:jc w:val="left"/>
      </w:pPr>
    </w:p>
    <w:p w:rsidR="000C7497" w:rsidRDefault="000C7497" w:rsidP="00A955DF">
      <w:pPr>
        <w:pStyle w:val="BodyText"/>
        <w:ind w:left="720"/>
        <w:jc w:val="left"/>
      </w:pPr>
    </w:p>
    <w:p w:rsidR="000C7497" w:rsidRDefault="000C7497" w:rsidP="00A955DF">
      <w:pPr>
        <w:pStyle w:val="BodyText"/>
        <w:ind w:left="720"/>
        <w:jc w:val="left"/>
      </w:pPr>
    </w:p>
    <w:p w:rsidR="000C7497" w:rsidRDefault="000C7497" w:rsidP="00A955DF">
      <w:pPr>
        <w:pStyle w:val="BodyText"/>
        <w:ind w:left="720"/>
        <w:jc w:val="left"/>
      </w:pPr>
    </w:p>
    <w:p w:rsidR="000C7497" w:rsidRDefault="000C7497" w:rsidP="00A955DF">
      <w:pPr>
        <w:pStyle w:val="BodyText"/>
        <w:ind w:left="720"/>
        <w:jc w:val="left"/>
      </w:pPr>
    </w:p>
    <w:p w:rsidR="004214D6" w:rsidRDefault="004214D6" w:rsidP="00A955DF">
      <w:pPr>
        <w:pStyle w:val="ListParagraph"/>
      </w:pPr>
    </w:p>
    <w:p w:rsidR="004214D6" w:rsidRPr="00AF0C30" w:rsidRDefault="004214D6" w:rsidP="004214D6">
      <w:pPr>
        <w:pStyle w:val="ListParagraph"/>
        <w:ind w:left="0"/>
        <w:rPr>
          <w:highlight w:val="darkGray"/>
        </w:rPr>
      </w:pPr>
      <w:r w:rsidRPr="00AF0C30">
        <w:rPr>
          <w:rFonts w:ascii="Calibri" w:hAnsi="Calibri" w:cs="Calibri"/>
          <w:b/>
          <w:sz w:val="28"/>
          <w:szCs w:val="28"/>
          <w:highlight w:val="darkGray"/>
        </w:rPr>
        <w:lastRenderedPageBreak/>
        <w:t>21.6 Does the distribution of funds need changing?</w:t>
      </w:r>
    </w:p>
    <w:p w:rsidR="004214D6" w:rsidRPr="00A955DF" w:rsidRDefault="004214D6" w:rsidP="004214D6">
      <w:pPr>
        <w:pStyle w:val="RecTitle"/>
        <w:rPr>
          <w:rFonts w:ascii="Calibri" w:hAnsi="Calibri" w:cs="Calibri"/>
          <w:color w:val="FF0000"/>
          <w:szCs w:val="24"/>
          <w:highlight w:val="darkGray"/>
        </w:rPr>
      </w:pPr>
      <w:r w:rsidRPr="00A955DF">
        <w:rPr>
          <w:rFonts w:ascii="Calibri" w:hAnsi="Calibri" w:cs="Calibri"/>
          <w:szCs w:val="24"/>
          <w:highlight w:val="darkGray"/>
        </w:rPr>
        <w:t>draft Recommendation 21.4</w:t>
      </w:r>
    </w:p>
    <w:p w:rsidR="004214D6" w:rsidRPr="00A955DF" w:rsidRDefault="004214D6" w:rsidP="004214D6">
      <w:pPr>
        <w:spacing w:before="240" w:line="320" w:lineRule="atLeast"/>
        <w:jc w:val="both"/>
        <w:rPr>
          <w:rFonts w:ascii="Calibri" w:hAnsi="Calibri" w:cs="Calibri"/>
          <w:b/>
          <w:i/>
          <w:szCs w:val="24"/>
          <w:highlight w:val="darkGray"/>
        </w:rPr>
      </w:pPr>
      <w:r w:rsidRPr="00A955DF">
        <w:rPr>
          <w:rFonts w:ascii="Calibri" w:hAnsi="Calibri" w:cs="Calibri"/>
          <w:b/>
          <w:i/>
          <w:szCs w:val="24"/>
          <w:highlight w:val="darkGray"/>
        </w:rPr>
        <w:t>The Commonwealth Government should:</w:t>
      </w:r>
    </w:p>
    <w:p w:rsidR="004214D6" w:rsidRPr="00A955DF" w:rsidRDefault="004214D6" w:rsidP="004214D6">
      <w:pPr>
        <w:pStyle w:val="RecBullet"/>
        <w:rPr>
          <w:rFonts w:ascii="Calibri" w:hAnsi="Calibri" w:cs="Calibri"/>
          <w:sz w:val="24"/>
          <w:szCs w:val="24"/>
          <w:highlight w:val="darkGray"/>
        </w:rPr>
      </w:pPr>
      <w:r w:rsidRPr="00A955DF">
        <w:rPr>
          <w:rFonts w:ascii="Calibri" w:hAnsi="Calibri" w:cs="Calibri"/>
          <w:sz w:val="24"/>
          <w:szCs w:val="24"/>
          <w:highlight w:val="darkGray"/>
        </w:rPr>
        <w:t>discontinue the current historically</w:t>
      </w:r>
      <w:r w:rsidRPr="00A955DF">
        <w:rPr>
          <w:rFonts w:ascii="Calibri" w:hAnsi="Calibri" w:cs="Calibri"/>
          <w:sz w:val="24"/>
          <w:szCs w:val="24"/>
          <w:highlight w:val="darkGray"/>
        </w:rPr>
        <w:noBreakHyphen/>
        <w:t>based Community Legal Services Program (CLSP) funding model</w:t>
      </w:r>
    </w:p>
    <w:p w:rsidR="004214D6" w:rsidRPr="00A955DF" w:rsidRDefault="004214D6" w:rsidP="004214D6">
      <w:pPr>
        <w:pStyle w:val="RecBullet"/>
        <w:rPr>
          <w:rFonts w:ascii="Calibri" w:hAnsi="Calibri" w:cs="Calibri"/>
          <w:sz w:val="24"/>
          <w:szCs w:val="24"/>
          <w:highlight w:val="darkGray"/>
        </w:rPr>
      </w:pPr>
      <w:r w:rsidRPr="00A955DF">
        <w:rPr>
          <w:rFonts w:ascii="Calibri" w:hAnsi="Calibri" w:cs="Calibri"/>
          <w:sz w:val="24"/>
          <w:szCs w:val="24"/>
          <w:highlight w:val="darkGray"/>
        </w:rPr>
        <w:t>employ the same model used to allocate legal aid commissions funds to allocate funding for the CLSP to state and territory jurisdictions</w:t>
      </w:r>
    </w:p>
    <w:p w:rsidR="004214D6" w:rsidRPr="00A955DF" w:rsidRDefault="004214D6" w:rsidP="004214D6">
      <w:pPr>
        <w:pStyle w:val="RecBullet"/>
        <w:rPr>
          <w:rFonts w:ascii="Calibri" w:hAnsi="Calibri" w:cs="Calibri"/>
          <w:sz w:val="24"/>
          <w:szCs w:val="24"/>
          <w:highlight w:val="darkGray"/>
        </w:rPr>
      </w:pPr>
      <w:r w:rsidRPr="00A955DF">
        <w:rPr>
          <w:rFonts w:ascii="Calibri" w:hAnsi="Calibri" w:cs="Calibri"/>
          <w:sz w:val="24"/>
          <w:szCs w:val="24"/>
          <w:highlight w:val="darkGray"/>
        </w:rPr>
        <w:t>divert the Commonwealth’s CLSP funding contribution into the National Partnership Agreement on Legal Assistance Services and require state and territory governments to transparently allocate CLSP funds to identified areas of ‘highest need’ within their jurisdictions. Measures of need should be based on regular and systematic analyses in conjunction with consultation at the local level.</w:t>
      </w:r>
    </w:p>
    <w:p w:rsidR="004214D6" w:rsidRPr="00A955DF" w:rsidRDefault="004214D6" w:rsidP="004214D6">
      <w:pPr>
        <w:pStyle w:val="RecTitle"/>
        <w:rPr>
          <w:rFonts w:ascii="Calibri" w:hAnsi="Calibri" w:cs="Calibri"/>
          <w:szCs w:val="24"/>
          <w:highlight w:val="darkGray"/>
        </w:rPr>
      </w:pPr>
      <w:r w:rsidRPr="00A955DF">
        <w:rPr>
          <w:rFonts w:ascii="Calibri" w:hAnsi="Calibri" w:cs="Calibri"/>
          <w:szCs w:val="24"/>
          <w:highlight w:val="darkGray"/>
        </w:rPr>
        <w:t>Information request 21.3</w:t>
      </w:r>
    </w:p>
    <w:p w:rsidR="004214D6" w:rsidRPr="00FD0F1C" w:rsidRDefault="004214D6" w:rsidP="004214D6">
      <w:pPr>
        <w:pStyle w:val="InformationRequest"/>
        <w:rPr>
          <w:rFonts w:ascii="Calibri" w:hAnsi="Calibri" w:cs="Calibri"/>
          <w:color w:val="FF0000"/>
          <w:szCs w:val="24"/>
        </w:rPr>
      </w:pPr>
      <w:r w:rsidRPr="00FD0F1C">
        <w:rPr>
          <w:rFonts w:ascii="Calibri" w:hAnsi="Calibri" w:cs="Calibri"/>
          <w:szCs w:val="24"/>
          <w:highlight w:val="darkGray"/>
        </w:rPr>
        <w:t>The Commission seeks feedback on how Community Legal Centre (CLC) funds should be distributed across providers while at the same time ensuring providers are of sufficient scale and the benefits of the historic community support of CLCs are not lost. Competitive tendering might be one possible method for allocating funds. The Commission seeks feedback on the costs and benefits of such a process and how they compare with the costs and benefits of alternative methods of allocating CLC funding.</w:t>
      </w:r>
    </w:p>
    <w:p w:rsidR="004214D6" w:rsidRDefault="004214D6" w:rsidP="00A955DF">
      <w:pPr>
        <w:pStyle w:val="BodyText"/>
        <w:jc w:val="left"/>
      </w:pPr>
    </w:p>
    <w:p w:rsidR="004214D6" w:rsidRDefault="004214D6" w:rsidP="00A955DF">
      <w:pPr>
        <w:pStyle w:val="BodyText"/>
        <w:jc w:val="left"/>
      </w:pPr>
      <w:r>
        <w:t>NLA supports accountable and transparent processes for the management of public</w:t>
      </w:r>
      <w:r w:rsidR="008F23D2">
        <w:t xml:space="preserve"> money.  </w:t>
      </w:r>
      <w:r>
        <w:t xml:space="preserve"> </w:t>
      </w:r>
    </w:p>
    <w:p w:rsidR="004214D6" w:rsidRDefault="004214D6" w:rsidP="00A955DF">
      <w:pPr>
        <w:pStyle w:val="BodyText"/>
        <w:jc w:val="left"/>
      </w:pPr>
    </w:p>
    <w:p w:rsidR="00455531" w:rsidRDefault="00455531" w:rsidP="004214D6">
      <w:pPr>
        <w:pStyle w:val="BodyText"/>
      </w:pPr>
      <w:r w:rsidRPr="00BB4BB7">
        <w:rPr>
          <w:highlight w:val="lightGray"/>
        </w:rPr>
        <w:t>“The budgets for legal assistance are not set on the basis of identified legal need and/or who should be entitled to what assistance.”</w:t>
      </w:r>
      <w:r w:rsidRPr="00BB4BB7">
        <w:rPr>
          <w:rStyle w:val="FootnoteReference"/>
          <w:highlight w:val="lightGray"/>
        </w:rPr>
        <w:footnoteReference w:id="11"/>
      </w:r>
    </w:p>
    <w:p w:rsidR="004214D6" w:rsidRDefault="004214D6" w:rsidP="00A955DF">
      <w:pPr>
        <w:pStyle w:val="BodyText"/>
        <w:jc w:val="left"/>
      </w:pPr>
    </w:p>
    <w:p w:rsidR="004214D6" w:rsidRDefault="00BD215D" w:rsidP="00A955DF">
      <w:pPr>
        <w:pStyle w:val="BodyText"/>
        <w:jc w:val="left"/>
      </w:pPr>
      <w:r>
        <w:t xml:space="preserve">NLA suggests that </w:t>
      </w:r>
      <w:r w:rsidR="004214D6">
        <w:t xml:space="preserve">further investigation into the applicability of the </w:t>
      </w:r>
      <w:r>
        <w:t xml:space="preserve">funding allocation </w:t>
      </w:r>
      <w:r w:rsidR="004214D6">
        <w:t>model both generally and particularly, is warranted.</w:t>
      </w:r>
    </w:p>
    <w:p w:rsidR="004214D6" w:rsidRDefault="004214D6" w:rsidP="00A955DF">
      <w:pPr>
        <w:pStyle w:val="BodyText"/>
        <w:jc w:val="left"/>
      </w:pPr>
    </w:p>
    <w:p w:rsidR="00EE4181" w:rsidRDefault="004214D6" w:rsidP="00A955DF">
      <w:pPr>
        <w:pStyle w:val="BodyText"/>
        <w:jc w:val="left"/>
      </w:pPr>
      <w:r>
        <w:t xml:space="preserve">NLA </w:t>
      </w:r>
      <w:r w:rsidR="00315AD4">
        <w:t xml:space="preserve">accepts the principles of allocative efficiency, and appreciates that some CLCs are not in places where they would ideally be placed now.  </w:t>
      </w:r>
      <w:r>
        <w:t>We also understand</w:t>
      </w:r>
      <w:r w:rsidR="00315AD4">
        <w:t xml:space="preserve"> however</w:t>
      </w:r>
      <w:r>
        <w:t xml:space="preserve"> that as part of the Review of </w:t>
      </w:r>
      <w:r w:rsidR="00315AD4">
        <w:t xml:space="preserve">the </w:t>
      </w:r>
      <w:r>
        <w:t>National Partnership Agreement on Legal Assistance Services ACIL Allen Consulting found that 80% of CLC clients in 2011/12 earned less than $26,000</w:t>
      </w:r>
      <w:r w:rsidR="00A73293">
        <w:t xml:space="preserve">. </w:t>
      </w:r>
    </w:p>
    <w:p w:rsidR="00EE4181" w:rsidRDefault="00EE4181" w:rsidP="00A955DF">
      <w:pPr>
        <w:pStyle w:val="BodyText"/>
        <w:jc w:val="left"/>
      </w:pPr>
    </w:p>
    <w:p w:rsidR="004214D6" w:rsidRDefault="00315AD4" w:rsidP="00A955DF">
      <w:pPr>
        <w:pStyle w:val="BodyText"/>
        <w:jc w:val="left"/>
      </w:pPr>
      <w:r>
        <w:lastRenderedPageBreak/>
        <w:t xml:space="preserve">In all the circumstances, </w:t>
      </w:r>
      <w:r w:rsidR="00A73293">
        <w:t xml:space="preserve">the </w:t>
      </w:r>
      <w:r w:rsidR="004214D6">
        <w:t>sugges</w:t>
      </w:r>
      <w:r w:rsidR="00EE4181">
        <w:t>tion of a competitive tender as a response i</w:t>
      </w:r>
      <w:r w:rsidR="004214D6">
        <w:t xml:space="preserve">s not supported by NLA. </w:t>
      </w:r>
      <w:r w:rsidR="00A955DF">
        <w:t xml:space="preserve"> </w:t>
      </w:r>
      <w:r w:rsidR="004214D6">
        <w:t>The design, issuing, management, and assessment of the tender process are likely to be expensive.  Resources of existing service providers are also likely to be consumed</w:t>
      </w:r>
      <w:r w:rsidR="00A955DF">
        <w:t xml:space="preserve"> in responding to the tender.  </w:t>
      </w:r>
      <w:r w:rsidR="004214D6">
        <w:t xml:space="preserve">NLA would prefer a negotiated approach involving co-design of service placement and delivery including to address those areas where a real issue of location has been identified. </w:t>
      </w:r>
      <w:r w:rsidR="00A955DF">
        <w:t xml:space="preserve"> </w:t>
      </w:r>
      <w:r w:rsidR="004214D6">
        <w:t xml:space="preserve">This would help retain beneficial community connections including </w:t>
      </w:r>
      <w:r w:rsidR="00E12E15">
        <w:t xml:space="preserve">volunteer </w:t>
      </w:r>
      <w:r w:rsidR="004214D6">
        <w:t xml:space="preserve">contributions from </w:t>
      </w:r>
      <w:r w:rsidR="00E12E15">
        <w:t xml:space="preserve">practitioners </w:t>
      </w:r>
      <w:r w:rsidR="005A65F1">
        <w:t>at after-</w:t>
      </w:r>
      <w:r w:rsidR="004214D6">
        <w:t>hour</w:t>
      </w:r>
      <w:r w:rsidR="00E12E15">
        <w:t>s</w:t>
      </w:r>
      <w:r w:rsidR="004214D6">
        <w:t xml:space="preserve"> legal advice sessions and </w:t>
      </w:r>
      <w:r w:rsidR="00E12E15">
        <w:t xml:space="preserve">management committee </w:t>
      </w:r>
      <w:r w:rsidR="004214D6">
        <w:t xml:space="preserve">members.  NLA suggests that </w:t>
      </w:r>
      <w:r w:rsidR="00E12E15">
        <w:t xml:space="preserve">a </w:t>
      </w:r>
      <w:r w:rsidR="004214D6">
        <w:t xml:space="preserve">collaborative approach </w:t>
      </w:r>
      <w:r w:rsidR="00E12E15">
        <w:t xml:space="preserve">such as that </w:t>
      </w:r>
      <w:r w:rsidR="004214D6">
        <w:t xml:space="preserve">used in WA to conduct the CLC Review in 2003, and then in updating the WA Review in </w:t>
      </w:r>
      <w:r w:rsidR="00E12E15">
        <w:t>2009</w:t>
      </w:r>
      <w:r w:rsidR="00BF1A11">
        <w:t>, could</w:t>
      </w:r>
      <w:r w:rsidR="004214D6">
        <w:t xml:space="preserve"> be used as a model for allocating funds under the CCLSP. </w:t>
      </w:r>
    </w:p>
    <w:p w:rsidR="004214D6" w:rsidRDefault="004214D6" w:rsidP="00A955DF">
      <w:pPr>
        <w:pStyle w:val="BodyText"/>
        <w:jc w:val="left"/>
      </w:pPr>
    </w:p>
    <w:p w:rsidR="004214D6" w:rsidRPr="00FD0F1C" w:rsidRDefault="004214D6" w:rsidP="004214D6">
      <w:pPr>
        <w:pStyle w:val="RecTitle"/>
        <w:rPr>
          <w:rFonts w:ascii="Calibri" w:hAnsi="Calibri" w:cs="Calibri"/>
          <w:szCs w:val="24"/>
          <w:highlight w:val="lightGray"/>
        </w:rPr>
      </w:pPr>
      <w:r w:rsidRPr="00FD0F1C">
        <w:rPr>
          <w:rFonts w:ascii="Calibri" w:hAnsi="Calibri" w:cs="Calibri"/>
          <w:szCs w:val="24"/>
          <w:highlight w:val="lightGray"/>
        </w:rPr>
        <w:t>Information request 21.4</w:t>
      </w:r>
    </w:p>
    <w:p w:rsidR="004214D6" w:rsidRPr="00FD0F1C" w:rsidRDefault="004214D6" w:rsidP="004214D6">
      <w:pPr>
        <w:pStyle w:val="InformationRequest"/>
        <w:rPr>
          <w:rFonts w:ascii="Calibri" w:hAnsi="Calibri" w:cs="Calibri"/>
          <w:szCs w:val="24"/>
          <w:highlight w:val="lightGray"/>
        </w:rPr>
      </w:pPr>
      <w:r w:rsidRPr="00FD0F1C">
        <w:rPr>
          <w:rFonts w:ascii="Calibri" w:hAnsi="Calibri" w:cs="Calibri"/>
          <w:szCs w:val="24"/>
          <w:highlight w:val="lightGray"/>
        </w:rPr>
        <w:t xml:space="preserve">The Commission seeks feedback on the extent of, and the costs associated with, meeting the civil legal needs of disadvantaged Australians, and the benefits that would result. </w:t>
      </w:r>
    </w:p>
    <w:p w:rsidR="005B5A9A" w:rsidRPr="00FD0F1C" w:rsidRDefault="005B5A9A" w:rsidP="005B5A9A">
      <w:pPr>
        <w:pStyle w:val="BodyText"/>
        <w:rPr>
          <w:szCs w:val="24"/>
          <w:highlight w:val="lightGray"/>
        </w:rPr>
      </w:pPr>
    </w:p>
    <w:p w:rsidR="005B5A9A" w:rsidRPr="00FD0F1C" w:rsidRDefault="005B5A9A" w:rsidP="005B5A9A">
      <w:pPr>
        <w:pStyle w:val="BodyText"/>
        <w:rPr>
          <w:szCs w:val="24"/>
          <w:highlight w:val="lightGray"/>
        </w:rPr>
      </w:pPr>
      <w:r w:rsidRPr="00FD0F1C">
        <w:rPr>
          <w:szCs w:val="24"/>
          <w:highlight w:val="lightGray"/>
        </w:rPr>
        <w:t>DRAFT FINDING 2</w:t>
      </w:r>
      <w:r w:rsidR="003C2AA1" w:rsidRPr="00FD0F1C">
        <w:rPr>
          <w:szCs w:val="24"/>
          <w:highlight w:val="lightGray"/>
        </w:rPr>
        <w:t>1</w:t>
      </w:r>
      <w:r w:rsidRPr="00FD0F1C">
        <w:rPr>
          <w:szCs w:val="24"/>
          <w:highlight w:val="lightGray"/>
        </w:rPr>
        <w:t>.2</w:t>
      </w:r>
    </w:p>
    <w:p w:rsidR="005B5A9A" w:rsidRPr="00FD0F1C" w:rsidRDefault="005B5A9A" w:rsidP="005B5A9A">
      <w:pPr>
        <w:pStyle w:val="BodyText"/>
        <w:rPr>
          <w:rFonts w:asciiTheme="minorHAnsi" w:hAnsiTheme="minorHAnsi" w:cstheme="minorHAnsi"/>
          <w:i/>
          <w:szCs w:val="24"/>
        </w:rPr>
      </w:pPr>
      <w:r w:rsidRPr="00FD0F1C">
        <w:rPr>
          <w:i/>
          <w:szCs w:val="24"/>
          <w:highlight w:val="lightGray"/>
        </w:rPr>
        <w:t xml:space="preserve">Informal dispute resolution mechanisms such as ombudsmen could be better employed to address a significant share of unmet legal need, potentially reducing the </w:t>
      </w:r>
      <w:r w:rsidRPr="00FD0F1C">
        <w:rPr>
          <w:rFonts w:asciiTheme="minorHAnsi" w:hAnsiTheme="minorHAnsi" w:cstheme="minorHAnsi"/>
          <w:i/>
          <w:szCs w:val="24"/>
          <w:highlight w:val="lightGray"/>
        </w:rPr>
        <w:t>proportion of the population with unmet legal need from 17% to 5%.</w:t>
      </w:r>
    </w:p>
    <w:p w:rsidR="004214D6" w:rsidRPr="005A65F1" w:rsidRDefault="004214D6" w:rsidP="00A955DF">
      <w:pPr>
        <w:pStyle w:val="BodyText"/>
        <w:jc w:val="left"/>
        <w:rPr>
          <w:rFonts w:asciiTheme="minorHAnsi" w:hAnsiTheme="minorHAnsi" w:cstheme="minorHAnsi"/>
          <w:sz w:val="22"/>
          <w:szCs w:val="22"/>
        </w:rPr>
      </w:pPr>
    </w:p>
    <w:p w:rsidR="004214D6" w:rsidRPr="005A65F1" w:rsidRDefault="004214D6" w:rsidP="005A65F1">
      <w:pPr>
        <w:pStyle w:val="BodyText"/>
      </w:pPr>
      <w:r w:rsidRPr="005A65F1">
        <w:t>The LAW</w:t>
      </w:r>
      <w:r w:rsidR="00A955DF" w:rsidRPr="005A65F1">
        <w:t xml:space="preserve"> </w:t>
      </w:r>
      <w:r w:rsidRPr="005A65F1">
        <w:t xml:space="preserve">Survey provides the best picture that we have of the extent of </w:t>
      </w:r>
      <w:r w:rsidR="00BA3F9D" w:rsidRPr="005A65F1">
        <w:t xml:space="preserve">the </w:t>
      </w:r>
      <w:r w:rsidRPr="005A65F1">
        <w:t xml:space="preserve">civil legal needs of disadvantaged people living in Australia.  </w:t>
      </w:r>
    </w:p>
    <w:p w:rsidR="00BA3F9D" w:rsidRPr="005A65F1" w:rsidRDefault="00BA3F9D" w:rsidP="00A955DF">
      <w:pPr>
        <w:pStyle w:val="BodyText"/>
        <w:jc w:val="left"/>
        <w:rPr>
          <w:rFonts w:asciiTheme="minorHAnsi" w:hAnsiTheme="minorHAnsi" w:cstheme="minorHAnsi"/>
          <w:sz w:val="22"/>
          <w:szCs w:val="22"/>
        </w:rPr>
      </w:pPr>
    </w:p>
    <w:p w:rsidR="000C69A8" w:rsidRDefault="001F22CA" w:rsidP="005A65F1">
      <w:pPr>
        <w:pStyle w:val="BodyText"/>
      </w:pPr>
      <w:r w:rsidRPr="005A65F1">
        <w:t xml:space="preserve">Appendix B </w:t>
      </w:r>
      <w:r w:rsidR="009B0B34" w:rsidRPr="005A65F1">
        <w:t xml:space="preserve">of the draft report </w:t>
      </w:r>
      <w:r w:rsidRPr="005A65F1">
        <w:t>“provides some greater detail around the informal dispute resolution mechanisms” that the Commission suggests “could be used to satisfy unmet legal need.”</w:t>
      </w:r>
      <w:r w:rsidRPr="005A65F1">
        <w:rPr>
          <w:rStyle w:val="FootnoteReference"/>
          <w:rFonts w:asciiTheme="minorHAnsi" w:hAnsiTheme="minorHAnsi" w:cstheme="minorHAnsi"/>
          <w:sz w:val="22"/>
          <w:szCs w:val="22"/>
        </w:rPr>
        <w:footnoteReference w:id="12"/>
      </w:r>
      <w:r w:rsidR="00A042A2">
        <w:t xml:space="preserve">  </w:t>
      </w:r>
      <w:r w:rsidR="00DF7BAA">
        <w:t xml:space="preserve">Whilst NLA supports an approach which is based on solutions proportionate to problems, </w:t>
      </w:r>
      <w:r w:rsidR="00E069AA" w:rsidRPr="005A65F1">
        <w:t xml:space="preserve">NLA </w:t>
      </w:r>
      <w:r w:rsidR="00DF7BAA">
        <w:t xml:space="preserve">is concerned </w:t>
      </w:r>
      <w:r w:rsidR="00E069AA" w:rsidRPr="005A65F1">
        <w:t>that the place of legal advice has been underestimated.</w:t>
      </w:r>
      <w:r w:rsidR="00FC65B0" w:rsidRPr="005A65F1">
        <w:t xml:space="preserve">  </w:t>
      </w:r>
      <w:r w:rsidR="00AD2D68" w:rsidRPr="005A65F1">
        <w:t xml:space="preserve">In </w:t>
      </w:r>
      <w:r w:rsidR="003C2AA1" w:rsidRPr="005A65F1">
        <w:t xml:space="preserve">relation to the information under the heading ‘family problems’ </w:t>
      </w:r>
      <w:r w:rsidR="000C69A8" w:rsidRPr="005A65F1">
        <w:t>NLA has some particular concerns that the nature and the extent of problems, and how those problems should be addressed, may be being significantl</w:t>
      </w:r>
      <w:r w:rsidR="000C69A8" w:rsidRPr="00CC4179">
        <w:t xml:space="preserve">y oversimplified.   In relation to child support, it is not uncommon for the </w:t>
      </w:r>
      <w:r w:rsidR="00DC72DE">
        <w:t xml:space="preserve">Department of Human Services - </w:t>
      </w:r>
      <w:r w:rsidR="000C69A8" w:rsidRPr="00CC4179">
        <w:t xml:space="preserve">Child Support </w:t>
      </w:r>
      <w:r w:rsidR="009C0C0D">
        <w:t>(“DHS-CS”</w:t>
      </w:r>
      <w:r w:rsidR="00BF1A11">
        <w:t>)</w:t>
      </w:r>
      <w:r w:rsidR="00BF1A11" w:rsidRPr="00CC4179">
        <w:t xml:space="preserve"> to</w:t>
      </w:r>
      <w:r w:rsidR="000C69A8" w:rsidRPr="00CC4179">
        <w:t xml:space="preserve"> refer matters to the LACs when they identify that legal advice in relation to child support issues and related family/law arrangements is required.   The staff of </w:t>
      </w:r>
      <w:r w:rsidR="00DC72DE">
        <w:t>DHS - CS</w:t>
      </w:r>
      <w:r w:rsidR="000C69A8" w:rsidRPr="00CC4179">
        <w:t xml:space="preserve"> and LACs regularly discuss issues arising both informally, and formally through mechanisms like national and local stakeholder engagement meetings</w:t>
      </w:r>
      <w:r w:rsidR="00DC72DE">
        <w:t>, and the practitioner hotline</w:t>
      </w:r>
      <w:r w:rsidR="000C69A8" w:rsidRPr="00CC4179">
        <w:t>.  It is suggested that the Ombudsman is less likely to be an avenue of appeal for child suppo</w:t>
      </w:r>
      <w:r w:rsidR="000C69A8" w:rsidRPr="00163328">
        <w:t>rt issues</w:t>
      </w:r>
      <w:r w:rsidR="00A61DD2">
        <w:t xml:space="preserve">, and </w:t>
      </w:r>
      <w:r w:rsidR="00A61DD2">
        <w:lastRenderedPageBreak/>
        <w:t>more likely to be an avenue in the event of complaint/concerns raised with the administration of the scheme</w:t>
      </w:r>
      <w:r w:rsidR="000C69A8" w:rsidRPr="00163328">
        <w:t>.  Depending on the issues, appeals are more likely to be</w:t>
      </w:r>
      <w:r w:rsidR="009C0C0D">
        <w:t xml:space="preserve"> through the </w:t>
      </w:r>
      <w:r w:rsidR="00A61DD2">
        <w:t xml:space="preserve">DHS- CS </w:t>
      </w:r>
      <w:r w:rsidR="009C0C0D">
        <w:t xml:space="preserve">internal objections process in relation to, for example, a change of assessment objection, and then </w:t>
      </w:r>
      <w:r w:rsidR="00A61DD2">
        <w:t xml:space="preserve">any </w:t>
      </w:r>
      <w:r w:rsidR="009C0C0D">
        <w:t>further review would occur through the SSAT</w:t>
      </w:r>
      <w:r w:rsidR="009C0C0D">
        <w:rPr>
          <w:rStyle w:val="FootnoteReference"/>
        </w:rPr>
        <w:footnoteReference w:id="13"/>
      </w:r>
      <w:r w:rsidR="009C0C0D">
        <w:t>.  Care decisions generally follow the same process but can also be reviewed by the AAT</w:t>
      </w:r>
      <w:r w:rsidR="000C69A8" w:rsidRPr="00163328">
        <w:t>.  In relation to separation and the suggestion about FDR accommodating “many of these other problem types”, we have serious concerns about FDR occurring in family law matters without the benefit of the parties havin</w:t>
      </w:r>
      <w:r w:rsidR="009E334A">
        <w:t>g received some legal advice.</w:t>
      </w:r>
      <w:r w:rsidR="00C52B57">
        <w:t xml:space="preserve">  </w:t>
      </w:r>
      <w:r w:rsidR="007C78D7">
        <w:t xml:space="preserve">Power imbalances, </w:t>
      </w:r>
      <w:r w:rsidR="000C69A8" w:rsidRPr="00CC4179">
        <w:t>and a lack of understanding about entitlements, an</w:t>
      </w:r>
      <w:r w:rsidR="007C78D7">
        <w:t xml:space="preserve">d the </w:t>
      </w:r>
      <w:r w:rsidR="000C69A8" w:rsidRPr="00CC4179">
        <w:t xml:space="preserve">inter-relationship between care of children, child support, and property division are common. </w:t>
      </w:r>
      <w:r w:rsidR="00A61DD2">
        <w:t xml:space="preserve"> </w:t>
      </w:r>
      <w:r w:rsidR="00957BF2" w:rsidRPr="005A65F1">
        <w:t xml:space="preserve">In some cases FDR will not be appropriate at all. </w:t>
      </w:r>
    </w:p>
    <w:p w:rsidR="009C0C0D" w:rsidRPr="005A65F1" w:rsidRDefault="009C0C0D" w:rsidP="005A65F1">
      <w:pPr>
        <w:pStyle w:val="BodyText"/>
      </w:pPr>
    </w:p>
    <w:p w:rsidR="004214D6" w:rsidRDefault="00C5734F" w:rsidP="00A955DF">
      <w:pPr>
        <w:pStyle w:val="BodyText"/>
        <w:jc w:val="left"/>
      </w:pPr>
      <w:r>
        <w:t xml:space="preserve">In relation to the question of </w:t>
      </w:r>
      <w:r w:rsidR="00616760">
        <w:t xml:space="preserve">the </w:t>
      </w:r>
      <w:r>
        <w:t xml:space="preserve">cost of meeting civil law need, </w:t>
      </w:r>
      <w:r w:rsidR="00C62AC7">
        <w:t xml:space="preserve">it is relevant that </w:t>
      </w:r>
      <w:r>
        <w:t xml:space="preserve">prior to 1997/1998 </w:t>
      </w:r>
      <w:r w:rsidR="00616760">
        <w:t xml:space="preserve">LACs </w:t>
      </w:r>
      <w:r>
        <w:t>operated significant civil law programs</w:t>
      </w:r>
      <w:r w:rsidR="00A528C8">
        <w:t xml:space="preserve">.  </w:t>
      </w:r>
      <w:r>
        <w:t>LACs were unable to continue these programs when the Commonwealth reduced funding to LACs</w:t>
      </w:r>
      <w:r w:rsidR="00A955DF">
        <w:t xml:space="preserve"> by </w:t>
      </w:r>
      <w:r w:rsidR="00B90440">
        <w:t xml:space="preserve">15.6 % or </w:t>
      </w:r>
      <w:r w:rsidR="00A955DF">
        <w:t xml:space="preserve">$33.16 million per annum.  </w:t>
      </w:r>
      <w:r>
        <w:t xml:space="preserve">NLA suggests that it would be </w:t>
      </w:r>
      <w:r w:rsidR="00A528C8">
        <w:t xml:space="preserve">useful for </w:t>
      </w:r>
      <w:r>
        <w:t xml:space="preserve">the draft report </w:t>
      </w:r>
      <w:r w:rsidR="00A528C8">
        <w:t>to include</w:t>
      </w:r>
      <w:r>
        <w:t xml:space="preserve"> the </w:t>
      </w:r>
      <w:r w:rsidR="002C6DA3">
        <w:t xml:space="preserve">1996/1997 baseline and the </w:t>
      </w:r>
      <w:r>
        <w:t>history of the funding of civil law</w:t>
      </w:r>
      <w:r w:rsidR="00A528C8">
        <w:t xml:space="preserve"> at LACs</w:t>
      </w:r>
      <w:r>
        <w:t xml:space="preserve">.   </w:t>
      </w:r>
    </w:p>
    <w:p w:rsidR="004E11A7" w:rsidRDefault="004E11A7" w:rsidP="00A955DF">
      <w:pPr>
        <w:pStyle w:val="BodyText"/>
        <w:jc w:val="left"/>
      </w:pPr>
    </w:p>
    <w:p w:rsidR="004214D6" w:rsidRDefault="00E14625" w:rsidP="00A955DF">
      <w:pPr>
        <w:pStyle w:val="BodyText"/>
        <w:jc w:val="left"/>
      </w:pPr>
      <w:r>
        <w:t>It is envisaged</w:t>
      </w:r>
      <w:r w:rsidR="006C24B4">
        <w:t xml:space="preserve"> </w:t>
      </w:r>
      <w:r w:rsidR="004214D6">
        <w:t>that the cost of meeting the civil law legal needs in Australia wo</w:t>
      </w:r>
      <w:r w:rsidR="00227FBD">
        <w:t>uld be significant.  Priorities</w:t>
      </w:r>
      <w:r w:rsidR="004214D6">
        <w:t xml:space="preserve"> </w:t>
      </w:r>
      <w:r w:rsidR="00227FBD">
        <w:t>(</w:t>
      </w:r>
      <w:r w:rsidR="004214D6">
        <w:t xml:space="preserve">which may </w:t>
      </w:r>
      <w:r w:rsidR="00227FBD">
        <w:t xml:space="preserve">differ) </w:t>
      </w:r>
      <w:r w:rsidR="004214D6">
        <w:t>around the country</w:t>
      </w:r>
      <w:r w:rsidR="00227FBD">
        <w:t xml:space="preserve"> and proportionate service responses would need to be identified with questions of eligibility addressed.  A range of graduated responses such as advice services, “duty services</w:t>
      </w:r>
      <w:r w:rsidR="00B05D4A">
        <w:t>” at courts</w:t>
      </w:r>
      <w:r w:rsidR="00227FBD">
        <w:t xml:space="preserve"> and tribunals,</w:t>
      </w:r>
      <w:r w:rsidR="00227FBD" w:rsidRPr="00227FBD">
        <w:t xml:space="preserve"> </w:t>
      </w:r>
      <w:r w:rsidR="00227FBD">
        <w:t>dispute resolution services, and</w:t>
      </w:r>
      <w:r w:rsidR="00B05D4A">
        <w:t xml:space="preserve"> grants of aid could all assist to keep cost down.</w:t>
      </w:r>
      <w:r w:rsidR="00227FBD">
        <w:t xml:space="preserve"> </w:t>
      </w:r>
      <w:r w:rsidR="007705B6">
        <w:t xml:space="preserve"> Relevant to the question of cost would be any efficiencies achieved by providing the service, such as the cost associated with reduced court time.</w:t>
      </w:r>
    </w:p>
    <w:p w:rsidR="004214D6" w:rsidRDefault="004214D6" w:rsidP="00A955DF">
      <w:pPr>
        <w:pStyle w:val="BodyText"/>
        <w:jc w:val="left"/>
      </w:pPr>
    </w:p>
    <w:p w:rsidR="004214D6" w:rsidRDefault="004214D6" w:rsidP="00A955DF">
      <w:pPr>
        <w:pStyle w:val="BodyText"/>
        <w:jc w:val="left"/>
      </w:pPr>
    </w:p>
    <w:p w:rsidR="004214D6" w:rsidRPr="00E64DF8" w:rsidRDefault="004214D6" w:rsidP="004214D6">
      <w:pPr>
        <w:pStyle w:val="BodyText"/>
        <w:rPr>
          <w:b/>
          <w:highlight w:val="lightGray"/>
        </w:rPr>
      </w:pPr>
      <w:r w:rsidRPr="00244A90">
        <w:rPr>
          <w:b/>
          <w:highlight w:val="lightGray"/>
        </w:rPr>
        <w:t>21.8 How well do the governance arrangements work?</w:t>
      </w:r>
    </w:p>
    <w:p w:rsidR="004214D6" w:rsidRPr="00524CD5" w:rsidRDefault="004214D6" w:rsidP="004214D6">
      <w:pPr>
        <w:pStyle w:val="RecTitle"/>
        <w:rPr>
          <w:rFonts w:ascii="Calibri" w:hAnsi="Calibri" w:cs="Calibri"/>
          <w:szCs w:val="24"/>
          <w:highlight w:val="lightGray"/>
        </w:rPr>
      </w:pPr>
      <w:r w:rsidRPr="00524CD5">
        <w:rPr>
          <w:rFonts w:ascii="Calibri" w:hAnsi="Calibri" w:cs="Calibri"/>
          <w:szCs w:val="24"/>
          <w:highlight w:val="lightGray"/>
        </w:rPr>
        <w:t>draft Recommendation 21.5</w:t>
      </w:r>
    </w:p>
    <w:p w:rsidR="004214D6" w:rsidRPr="00524CD5" w:rsidRDefault="004214D6" w:rsidP="004214D6">
      <w:pPr>
        <w:spacing w:before="240" w:line="320" w:lineRule="atLeast"/>
        <w:jc w:val="both"/>
        <w:rPr>
          <w:rFonts w:ascii="Calibri" w:hAnsi="Calibri" w:cs="Calibri"/>
          <w:b/>
          <w:i/>
          <w:szCs w:val="24"/>
        </w:rPr>
      </w:pPr>
      <w:r w:rsidRPr="00524CD5">
        <w:rPr>
          <w:rFonts w:ascii="Calibri" w:hAnsi="Calibri" w:cs="Calibri"/>
          <w:b/>
          <w:i/>
          <w:szCs w:val="24"/>
          <w:highlight w:val="lightGray"/>
        </w:rPr>
        <w:t>The Commonwealth and the state and territory governments should renegotiate the National Partnership Agreement on Legal Assistance Services (following the current one expiring) and seek agreement on national core priorities, priority clients, and aligned eligibility tests across legal assistance providers.</w:t>
      </w:r>
      <w:r w:rsidRPr="00524CD5">
        <w:rPr>
          <w:rFonts w:ascii="Calibri" w:hAnsi="Calibri" w:cs="Calibri"/>
          <w:b/>
          <w:i/>
          <w:szCs w:val="24"/>
        </w:rPr>
        <w:t xml:space="preserve"> </w:t>
      </w:r>
    </w:p>
    <w:p w:rsidR="004214D6" w:rsidRDefault="004214D6" w:rsidP="00A955DF">
      <w:pPr>
        <w:pStyle w:val="BodyText"/>
        <w:jc w:val="left"/>
      </w:pPr>
    </w:p>
    <w:p w:rsidR="004214D6" w:rsidRDefault="007B5D1E" w:rsidP="00A955DF">
      <w:pPr>
        <w:pStyle w:val="BodyText"/>
        <w:jc w:val="left"/>
      </w:pPr>
      <w:r>
        <w:t xml:space="preserve">NLA </w:t>
      </w:r>
      <w:r w:rsidR="004369D8">
        <w:t xml:space="preserve">would seek that legal assistance service providers were consulted in </w:t>
      </w:r>
      <w:r w:rsidR="004214D6">
        <w:t>relation to the matters of national core priorities, priority clients</w:t>
      </w:r>
      <w:r w:rsidR="004369D8">
        <w:t>, and aligned eligibility tests</w:t>
      </w:r>
      <w:r w:rsidR="004214D6">
        <w:t>.</w:t>
      </w:r>
    </w:p>
    <w:p w:rsidR="004214D6" w:rsidRDefault="004214D6" w:rsidP="00A955DF">
      <w:pPr>
        <w:pStyle w:val="BodyText"/>
        <w:jc w:val="left"/>
      </w:pPr>
    </w:p>
    <w:p w:rsidR="00524CD5" w:rsidRDefault="00524CD5" w:rsidP="00A955DF">
      <w:pPr>
        <w:pStyle w:val="BodyText"/>
        <w:jc w:val="left"/>
      </w:pPr>
    </w:p>
    <w:p w:rsidR="00A955DF" w:rsidRPr="00A955DF" w:rsidRDefault="00A955DF" w:rsidP="00A955DF">
      <w:pPr>
        <w:pStyle w:val="BodyText"/>
        <w:jc w:val="left"/>
      </w:pPr>
    </w:p>
    <w:p w:rsidR="004214D6" w:rsidRDefault="004214D6" w:rsidP="004214D6">
      <w:pPr>
        <w:pStyle w:val="Heading3"/>
        <w:spacing w:after="120"/>
        <w:jc w:val="left"/>
        <w:rPr>
          <w:rFonts w:ascii="Calibri" w:hAnsi="Calibri" w:cs="Calibri"/>
          <w:sz w:val="28"/>
          <w:szCs w:val="28"/>
        </w:rPr>
      </w:pPr>
      <w:r w:rsidRPr="0010272F">
        <w:rPr>
          <w:rFonts w:ascii="Calibri" w:hAnsi="Calibri" w:cs="Calibri"/>
          <w:sz w:val="28"/>
          <w:szCs w:val="28"/>
          <w:highlight w:val="lightGray"/>
        </w:rPr>
        <w:lastRenderedPageBreak/>
        <w:t>Chapter 24: Data and evidence &amp; Appendix J Building the evidence base</w:t>
      </w:r>
    </w:p>
    <w:p w:rsidR="0026019D" w:rsidRPr="00435FBC" w:rsidRDefault="0026019D" w:rsidP="0026019D">
      <w:pPr>
        <w:pStyle w:val="RecTitle"/>
        <w:rPr>
          <w:rFonts w:ascii="Calibri" w:hAnsi="Calibri" w:cs="Calibri"/>
          <w:szCs w:val="24"/>
          <w:highlight w:val="lightGray"/>
        </w:rPr>
      </w:pPr>
      <w:r w:rsidRPr="00435FBC">
        <w:rPr>
          <w:rFonts w:ascii="Calibri" w:hAnsi="Calibri" w:cs="Calibri"/>
          <w:szCs w:val="24"/>
          <w:highlight w:val="lightGray"/>
        </w:rPr>
        <w:t>DRAFT RECOMMENDATION 24.1</w:t>
      </w:r>
    </w:p>
    <w:p w:rsidR="0026019D" w:rsidRPr="00435FBC" w:rsidRDefault="0026019D" w:rsidP="0026019D">
      <w:pPr>
        <w:spacing w:before="240" w:line="320" w:lineRule="atLeast"/>
        <w:jc w:val="both"/>
        <w:rPr>
          <w:rFonts w:ascii="Calibri" w:hAnsi="Calibri" w:cs="Calibri"/>
          <w:b/>
          <w:i/>
          <w:szCs w:val="24"/>
          <w:highlight w:val="lightGray"/>
        </w:rPr>
      </w:pPr>
      <w:r w:rsidRPr="00435FBC">
        <w:rPr>
          <w:rFonts w:ascii="Calibri" w:hAnsi="Calibri" w:cs="Calibri"/>
          <w:b/>
          <w:i/>
          <w:szCs w:val="24"/>
          <w:highlight w:val="lightGray"/>
        </w:rPr>
        <w:t xml:space="preserve">All governments should work together and with the legal services sector as a whole to develop and implement reforms to collect and report data (the detail of which is outlined in this report). </w:t>
      </w:r>
    </w:p>
    <w:p w:rsidR="0026019D" w:rsidRPr="00435FBC" w:rsidRDefault="0026019D" w:rsidP="0026019D">
      <w:pPr>
        <w:spacing w:before="240" w:line="320" w:lineRule="atLeast"/>
        <w:jc w:val="both"/>
        <w:rPr>
          <w:rFonts w:ascii="Calibri" w:hAnsi="Calibri" w:cs="Calibri"/>
          <w:b/>
          <w:i/>
          <w:szCs w:val="24"/>
          <w:highlight w:val="lightGray"/>
        </w:rPr>
      </w:pPr>
      <w:r w:rsidRPr="00435FBC">
        <w:rPr>
          <w:rFonts w:ascii="Calibri" w:hAnsi="Calibri" w:cs="Calibri"/>
          <w:b/>
          <w:i/>
          <w:szCs w:val="24"/>
          <w:highlight w:val="lightGray"/>
        </w:rPr>
        <w:t>To maximise the usefulness of legal services data sets, reform in the collection and reporting of data should be implemented through:</w:t>
      </w:r>
    </w:p>
    <w:p w:rsidR="0026019D" w:rsidRPr="00435FBC" w:rsidRDefault="0026019D" w:rsidP="0026019D">
      <w:pPr>
        <w:pStyle w:val="RecBullet"/>
        <w:rPr>
          <w:rFonts w:ascii="Calibri" w:hAnsi="Calibri" w:cs="Calibri"/>
          <w:sz w:val="24"/>
          <w:szCs w:val="24"/>
          <w:highlight w:val="lightGray"/>
        </w:rPr>
      </w:pPr>
      <w:r w:rsidRPr="00435FBC">
        <w:rPr>
          <w:rFonts w:ascii="Calibri" w:hAnsi="Calibri" w:cs="Calibri"/>
          <w:sz w:val="24"/>
          <w:szCs w:val="24"/>
          <w:highlight w:val="lightGray"/>
        </w:rPr>
        <w:t>adopting common definitions, measures and collection protocols</w:t>
      </w:r>
    </w:p>
    <w:p w:rsidR="0026019D" w:rsidRPr="00435FBC" w:rsidRDefault="0026019D" w:rsidP="0026019D">
      <w:pPr>
        <w:pStyle w:val="RecBullet"/>
        <w:rPr>
          <w:rFonts w:ascii="Calibri" w:hAnsi="Calibri" w:cs="Calibri"/>
          <w:sz w:val="24"/>
          <w:szCs w:val="24"/>
          <w:highlight w:val="lightGray"/>
        </w:rPr>
      </w:pPr>
      <w:r w:rsidRPr="00435FBC">
        <w:rPr>
          <w:rFonts w:ascii="Calibri" w:hAnsi="Calibri" w:cs="Calibri"/>
          <w:sz w:val="24"/>
          <w:szCs w:val="24"/>
          <w:highlight w:val="lightGray"/>
        </w:rPr>
        <w:t>linking databases and investing in de</w:t>
      </w:r>
      <w:r w:rsidRPr="00435FBC">
        <w:rPr>
          <w:rFonts w:ascii="Calibri" w:hAnsi="Calibri" w:cs="Calibri"/>
          <w:sz w:val="24"/>
          <w:szCs w:val="24"/>
          <w:highlight w:val="lightGray"/>
        </w:rPr>
        <w:noBreakHyphen/>
        <w:t>identification of new data sets</w:t>
      </w:r>
    </w:p>
    <w:p w:rsidR="0026019D" w:rsidRPr="00435FBC" w:rsidRDefault="0026019D" w:rsidP="0026019D">
      <w:pPr>
        <w:pStyle w:val="RecBullet"/>
        <w:rPr>
          <w:rFonts w:ascii="Calibri" w:hAnsi="Calibri" w:cs="Calibri"/>
          <w:sz w:val="24"/>
          <w:szCs w:val="24"/>
          <w:highlight w:val="lightGray"/>
        </w:rPr>
      </w:pPr>
      <w:r w:rsidRPr="00435FBC">
        <w:rPr>
          <w:rFonts w:ascii="Calibri" w:hAnsi="Calibri" w:cs="Calibri"/>
          <w:sz w:val="24"/>
          <w:szCs w:val="24"/>
          <w:highlight w:val="lightGray"/>
        </w:rPr>
        <w:t>developing, where practicable, outcomes based data standards as a better measure of service effectiveness.</w:t>
      </w:r>
    </w:p>
    <w:p w:rsidR="0026019D" w:rsidRPr="00435FBC" w:rsidRDefault="0026019D" w:rsidP="0026019D">
      <w:pPr>
        <w:spacing w:before="240" w:line="320" w:lineRule="atLeast"/>
        <w:jc w:val="both"/>
        <w:rPr>
          <w:rFonts w:ascii="Calibri" w:hAnsi="Calibri" w:cs="Calibri"/>
          <w:b/>
          <w:i/>
          <w:szCs w:val="24"/>
        </w:rPr>
      </w:pPr>
      <w:r w:rsidRPr="00435FBC">
        <w:rPr>
          <w:rFonts w:ascii="Calibri" w:hAnsi="Calibri" w:cs="Calibri"/>
          <w:b/>
          <w:i/>
          <w:szCs w:val="24"/>
          <w:highlight w:val="lightGray"/>
        </w:rPr>
        <w:t>Research findings on the legal services sector, including evaluations undertaken by government departments, should be made public and released in a timely manner.</w:t>
      </w:r>
      <w:r w:rsidRPr="00435FBC">
        <w:rPr>
          <w:rFonts w:ascii="Calibri" w:hAnsi="Calibri" w:cs="Calibri"/>
          <w:b/>
          <w:i/>
          <w:szCs w:val="24"/>
        </w:rPr>
        <w:t xml:space="preserve"> </w:t>
      </w:r>
    </w:p>
    <w:p w:rsidR="0026019D" w:rsidRDefault="0026019D" w:rsidP="0026019D">
      <w:pPr>
        <w:rPr>
          <w:rFonts w:asciiTheme="minorHAnsi" w:hAnsiTheme="minorHAnsi" w:cstheme="minorHAnsi"/>
          <w:sz w:val="22"/>
          <w:szCs w:val="22"/>
        </w:rPr>
      </w:pPr>
    </w:p>
    <w:p w:rsidR="0026019D" w:rsidRPr="00FD0F1C" w:rsidRDefault="0026019D" w:rsidP="0026019D">
      <w:pPr>
        <w:rPr>
          <w:rFonts w:asciiTheme="minorHAnsi" w:hAnsiTheme="minorHAnsi" w:cstheme="minorHAnsi"/>
          <w:szCs w:val="24"/>
        </w:rPr>
      </w:pPr>
      <w:r w:rsidRPr="00FD0F1C">
        <w:rPr>
          <w:rFonts w:asciiTheme="minorHAnsi" w:hAnsiTheme="minorHAnsi" w:cstheme="minorHAnsi"/>
          <w:szCs w:val="24"/>
          <w:highlight w:val="lightGray"/>
        </w:rPr>
        <w:t>“The Commission considers that the suite of data outlined in appendix J should form the basis for future data collection.”</w:t>
      </w:r>
      <w:r w:rsidRPr="00FD0F1C">
        <w:rPr>
          <w:rStyle w:val="FootnoteReference"/>
          <w:rFonts w:asciiTheme="minorHAnsi" w:hAnsiTheme="minorHAnsi" w:cstheme="minorHAnsi"/>
          <w:szCs w:val="24"/>
          <w:highlight w:val="lightGray"/>
        </w:rPr>
        <w:footnoteReference w:id="14"/>
      </w:r>
      <w:r w:rsidRPr="00FD0F1C">
        <w:rPr>
          <w:rFonts w:asciiTheme="minorHAnsi" w:hAnsiTheme="minorHAnsi" w:cstheme="minorHAnsi"/>
          <w:szCs w:val="24"/>
        </w:rPr>
        <w:t xml:space="preserve">   </w:t>
      </w:r>
    </w:p>
    <w:p w:rsidR="0026019D" w:rsidRDefault="0026019D" w:rsidP="0026019D">
      <w:pPr>
        <w:rPr>
          <w:rFonts w:ascii="Calibri" w:hAnsi="Calibri" w:cs="Calibri"/>
          <w:szCs w:val="24"/>
        </w:rPr>
      </w:pPr>
    </w:p>
    <w:p w:rsidR="004214D6" w:rsidRPr="00A955DF" w:rsidRDefault="004214D6" w:rsidP="004214D6">
      <w:pPr>
        <w:pStyle w:val="Heading3"/>
        <w:spacing w:after="120"/>
        <w:jc w:val="left"/>
        <w:rPr>
          <w:rFonts w:ascii="Calibri" w:hAnsi="Calibri"/>
          <w:b w:val="0"/>
          <w:sz w:val="24"/>
          <w:u w:val="none"/>
        </w:rPr>
      </w:pPr>
      <w:r w:rsidRPr="00A955DF">
        <w:rPr>
          <w:rFonts w:ascii="Calibri" w:hAnsi="Calibri"/>
          <w:b w:val="0"/>
          <w:sz w:val="24"/>
          <w:u w:val="none"/>
        </w:rPr>
        <w:t xml:space="preserve">NLA is supportive of data collected for the purposes of informing and improving service delivery, for reporting to funders, and for comparison across providers where appropriate.  </w:t>
      </w:r>
      <w:r w:rsidR="00516AD5">
        <w:rPr>
          <w:rFonts w:ascii="Calibri" w:hAnsi="Calibri"/>
          <w:b w:val="0"/>
          <w:sz w:val="24"/>
          <w:u w:val="none"/>
        </w:rPr>
        <w:t xml:space="preserve">LACs </w:t>
      </w:r>
      <w:r w:rsidR="00BE3440">
        <w:rPr>
          <w:rFonts w:ascii="Calibri" w:hAnsi="Calibri"/>
          <w:b w:val="0"/>
          <w:sz w:val="24"/>
          <w:u w:val="none"/>
        </w:rPr>
        <w:t xml:space="preserve">analyse </w:t>
      </w:r>
      <w:r w:rsidR="00005BB4" w:rsidRPr="00A955DF">
        <w:rPr>
          <w:rFonts w:ascii="Calibri" w:hAnsi="Calibri"/>
          <w:b w:val="0"/>
          <w:sz w:val="24"/>
          <w:u w:val="none"/>
        </w:rPr>
        <w:t>data collected and reported by us for these purposes.</w:t>
      </w:r>
    </w:p>
    <w:p w:rsidR="00005BB4" w:rsidRPr="00A955DF" w:rsidRDefault="00005BB4" w:rsidP="00005BB4">
      <w:pPr>
        <w:rPr>
          <w:rFonts w:ascii="Calibri" w:hAnsi="Calibri"/>
        </w:rPr>
      </w:pPr>
    </w:p>
    <w:p w:rsidR="004214D6" w:rsidRPr="0070760B" w:rsidRDefault="004214D6" w:rsidP="0070760B">
      <w:pPr>
        <w:jc w:val="both"/>
        <w:rPr>
          <w:rFonts w:asciiTheme="minorHAnsi" w:hAnsiTheme="minorHAnsi" w:cstheme="minorHAnsi"/>
          <w:szCs w:val="24"/>
        </w:rPr>
      </w:pPr>
      <w:r w:rsidRPr="0070760B">
        <w:rPr>
          <w:rFonts w:asciiTheme="minorHAnsi" w:hAnsiTheme="minorHAnsi" w:cstheme="minorHAnsi"/>
          <w:szCs w:val="24"/>
          <w:highlight w:val="lightGray"/>
        </w:rPr>
        <w:t xml:space="preserve">“Before imposing additional data requirements, existing data need to be fully assessed and used so that data collection fatigue is not compounded.  Efforts need to be made to identify and reduce </w:t>
      </w:r>
      <w:r w:rsidR="0085540B">
        <w:rPr>
          <w:rFonts w:asciiTheme="minorHAnsi" w:hAnsiTheme="minorHAnsi" w:cstheme="minorHAnsi"/>
          <w:szCs w:val="24"/>
          <w:highlight w:val="lightGray"/>
        </w:rPr>
        <w:t xml:space="preserve">“redundant data” requirements.  </w:t>
      </w:r>
      <w:r w:rsidR="00BF1A11" w:rsidRPr="0070760B">
        <w:rPr>
          <w:rFonts w:asciiTheme="minorHAnsi" w:hAnsiTheme="minorHAnsi" w:cstheme="minorHAnsi"/>
          <w:szCs w:val="24"/>
          <w:highlight w:val="lightGray"/>
        </w:rPr>
        <w:t>This process should be undertaken in consultation wi</w:t>
      </w:r>
      <w:r w:rsidR="00BF1A11">
        <w:rPr>
          <w:rFonts w:asciiTheme="minorHAnsi" w:hAnsiTheme="minorHAnsi" w:cstheme="minorHAnsi"/>
          <w:szCs w:val="24"/>
          <w:highlight w:val="lightGray"/>
        </w:rPr>
        <w:t xml:space="preserve">th providers and institutions.  </w:t>
      </w:r>
      <w:r w:rsidR="00BF1A11" w:rsidRPr="0070760B">
        <w:rPr>
          <w:rFonts w:asciiTheme="minorHAnsi" w:hAnsiTheme="minorHAnsi" w:cstheme="minorHAnsi"/>
          <w:szCs w:val="24"/>
          <w:highlight w:val="lightGray"/>
        </w:rPr>
        <w:t>This would help allay concerns raised by some participants about imposing additional costs on providers and institutions that are already data weary and resource constrained.”</w:t>
      </w:r>
      <w:r w:rsidR="00BF1A11" w:rsidRPr="0070760B">
        <w:rPr>
          <w:rStyle w:val="FootnoteReference"/>
          <w:rFonts w:asciiTheme="minorHAnsi" w:hAnsiTheme="minorHAnsi" w:cstheme="minorHAnsi"/>
          <w:szCs w:val="24"/>
          <w:highlight w:val="lightGray"/>
        </w:rPr>
        <w:footnoteReference w:id="15"/>
      </w:r>
    </w:p>
    <w:p w:rsidR="004214D6" w:rsidRPr="0070760B" w:rsidRDefault="004214D6" w:rsidP="004214D6">
      <w:pPr>
        <w:rPr>
          <w:rFonts w:ascii="Calibri" w:hAnsi="Calibri" w:cs="Calibri"/>
          <w:szCs w:val="24"/>
        </w:rPr>
      </w:pPr>
    </w:p>
    <w:p w:rsidR="004214D6" w:rsidRDefault="004214D6" w:rsidP="004214D6">
      <w:pPr>
        <w:rPr>
          <w:rFonts w:ascii="Calibri" w:hAnsi="Calibri" w:cs="Calibri"/>
          <w:szCs w:val="24"/>
        </w:rPr>
      </w:pPr>
      <w:r w:rsidRPr="0070760B">
        <w:rPr>
          <w:rFonts w:ascii="Calibri" w:hAnsi="Calibri" w:cs="Calibri"/>
          <w:szCs w:val="24"/>
        </w:rPr>
        <w:t xml:space="preserve">NLA welcomes the suggestion that additional data items not be imposed before existing data is fully assessed and used, and that the process should be undertaken in consultation with providers and institutions.   NLA also welcomes the recognition of the relationship between data collection and cost.   </w:t>
      </w:r>
    </w:p>
    <w:p w:rsidR="00FF48A7" w:rsidRDefault="00FF48A7" w:rsidP="004214D6">
      <w:pPr>
        <w:rPr>
          <w:rFonts w:ascii="Calibri" w:hAnsi="Calibri" w:cs="Calibri"/>
          <w:szCs w:val="24"/>
        </w:rPr>
      </w:pPr>
    </w:p>
    <w:p w:rsidR="00EF5A36" w:rsidRDefault="007723D0" w:rsidP="004214D6">
      <w:pPr>
        <w:rPr>
          <w:rFonts w:ascii="Calibri" w:hAnsi="Calibri" w:cs="Calibri"/>
          <w:szCs w:val="24"/>
        </w:rPr>
      </w:pPr>
      <w:r>
        <w:rPr>
          <w:rFonts w:ascii="Calibri" w:hAnsi="Calibri" w:cs="Calibri"/>
          <w:szCs w:val="24"/>
        </w:rPr>
        <w:t>Between 2011 and 2013, t</w:t>
      </w:r>
      <w:r w:rsidR="00093492">
        <w:rPr>
          <w:rFonts w:ascii="Calibri" w:hAnsi="Calibri" w:cs="Calibri"/>
          <w:szCs w:val="24"/>
        </w:rPr>
        <w:t xml:space="preserve">he National Legal Assistance Data Collection Working Group, comprising representatives of NLA, the National Aboriginal and Torres Strait Islander Legal Services, the Family Violence Prevention Legal Services, the National Association of Community Legal Centres and the Commonwealth Attorney-General’s </w:t>
      </w:r>
      <w:r w:rsidR="00093492">
        <w:rPr>
          <w:rFonts w:ascii="Calibri" w:hAnsi="Calibri" w:cs="Calibri"/>
          <w:szCs w:val="24"/>
        </w:rPr>
        <w:lastRenderedPageBreak/>
        <w:t xml:space="preserve">Department </w:t>
      </w:r>
      <w:r>
        <w:rPr>
          <w:rFonts w:ascii="Calibri" w:hAnsi="Calibri" w:cs="Calibri"/>
          <w:szCs w:val="24"/>
        </w:rPr>
        <w:t>worked</w:t>
      </w:r>
      <w:r w:rsidR="00093492">
        <w:rPr>
          <w:rFonts w:ascii="Calibri" w:hAnsi="Calibri" w:cs="Calibri"/>
          <w:szCs w:val="24"/>
        </w:rPr>
        <w:t xml:space="preserve"> on </w:t>
      </w:r>
      <w:r>
        <w:rPr>
          <w:rFonts w:ascii="Calibri" w:hAnsi="Calibri" w:cs="Calibri"/>
          <w:szCs w:val="24"/>
        </w:rPr>
        <w:t xml:space="preserve">the </w:t>
      </w:r>
      <w:r w:rsidR="00093492" w:rsidRPr="0070760B">
        <w:rPr>
          <w:rFonts w:ascii="Calibri" w:hAnsi="Calibri" w:cs="Calibri"/>
          <w:szCs w:val="24"/>
        </w:rPr>
        <w:t>develop</w:t>
      </w:r>
      <w:r>
        <w:rPr>
          <w:rFonts w:ascii="Calibri" w:hAnsi="Calibri" w:cs="Calibri"/>
          <w:szCs w:val="24"/>
        </w:rPr>
        <w:t>ment</w:t>
      </w:r>
      <w:r w:rsidR="00093492">
        <w:rPr>
          <w:rFonts w:ascii="Calibri" w:hAnsi="Calibri" w:cs="Calibri"/>
          <w:szCs w:val="24"/>
        </w:rPr>
        <w:t xml:space="preserve"> </w:t>
      </w:r>
      <w:r>
        <w:rPr>
          <w:rFonts w:ascii="Calibri" w:hAnsi="Calibri" w:cs="Calibri"/>
          <w:szCs w:val="24"/>
        </w:rPr>
        <w:t xml:space="preserve">of a national legal assistance data collection set. </w:t>
      </w:r>
    </w:p>
    <w:p w:rsidR="009453E0" w:rsidRDefault="009453E0" w:rsidP="004214D6">
      <w:pPr>
        <w:rPr>
          <w:rFonts w:ascii="Calibri" w:hAnsi="Calibri" w:cs="Calibri"/>
          <w:szCs w:val="24"/>
        </w:rPr>
      </w:pPr>
    </w:p>
    <w:p w:rsidR="000F2ADF" w:rsidRDefault="00AE69B8" w:rsidP="000F2ADF">
      <w:pPr>
        <w:rPr>
          <w:rFonts w:ascii="Calibri" w:hAnsi="Calibri" w:cs="Calibri"/>
          <w:szCs w:val="24"/>
        </w:rPr>
      </w:pPr>
      <w:r>
        <w:rPr>
          <w:rFonts w:ascii="Calibri" w:hAnsi="Calibri" w:cs="Calibri"/>
          <w:szCs w:val="24"/>
        </w:rPr>
        <w:t xml:space="preserve">NLA is </w:t>
      </w:r>
      <w:r w:rsidR="004C091C">
        <w:rPr>
          <w:rFonts w:ascii="Calibri" w:hAnsi="Calibri" w:cs="Calibri"/>
          <w:szCs w:val="24"/>
        </w:rPr>
        <w:t xml:space="preserve">supportive of national legal assistance data collection, </w:t>
      </w:r>
      <w:r>
        <w:rPr>
          <w:rFonts w:ascii="Calibri" w:hAnsi="Calibri" w:cs="Calibri"/>
          <w:szCs w:val="24"/>
        </w:rPr>
        <w:t xml:space="preserve">although </w:t>
      </w:r>
      <w:r w:rsidR="004C091C">
        <w:rPr>
          <w:rFonts w:ascii="Calibri" w:hAnsi="Calibri" w:cs="Calibri"/>
          <w:szCs w:val="24"/>
        </w:rPr>
        <w:t>d</w:t>
      </w:r>
      <w:r w:rsidR="00EF5A36">
        <w:rPr>
          <w:rFonts w:ascii="Calibri" w:hAnsi="Calibri" w:cs="Calibri"/>
          <w:szCs w:val="24"/>
        </w:rPr>
        <w:t xml:space="preserve">eveloping one data set </w:t>
      </w:r>
      <w:r w:rsidR="00C61BC6">
        <w:rPr>
          <w:rFonts w:ascii="Calibri" w:hAnsi="Calibri" w:cs="Calibri"/>
          <w:szCs w:val="24"/>
        </w:rPr>
        <w:t xml:space="preserve">with associated definitions, </w:t>
      </w:r>
      <w:r w:rsidR="00EF5A36">
        <w:rPr>
          <w:rFonts w:ascii="Calibri" w:hAnsi="Calibri" w:cs="Calibri"/>
          <w:szCs w:val="24"/>
        </w:rPr>
        <w:t>counting rules</w:t>
      </w:r>
      <w:r w:rsidR="00C61BC6">
        <w:rPr>
          <w:rFonts w:ascii="Calibri" w:hAnsi="Calibri" w:cs="Calibri"/>
          <w:szCs w:val="24"/>
        </w:rPr>
        <w:t>, and weightings</w:t>
      </w:r>
      <w:r w:rsidR="00EF5A36">
        <w:rPr>
          <w:rFonts w:ascii="Calibri" w:hAnsi="Calibri" w:cs="Calibri"/>
          <w:szCs w:val="24"/>
        </w:rPr>
        <w:t xml:space="preserve"> is not an easy task.  Systems which enable the capture, recording, and reporting of new data sets also need to be developed and implemented, and there are significant resource issues associated with the adjustment of electronic</w:t>
      </w:r>
      <w:r w:rsidR="006868D9">
        <w:rPr>
          <w:rStyle w:val="FootnoteReference"/>
          <w:rFonts w:ascii="Calibri" w:hAnsi="Calibri" w:cs="Calibri"/>
          <w:szCs w:val="24"/>
        </w:rPr>
        <w:footnoteReference w:id="16"/>
      </w:r>
      <w:r w:rsidR="006868D9">
        <w:rPr>
          <w:rFonts w:ascii="Calibri" w:hAnsi="Calibri" w:cs="Calibri"/>
          <w:szCs w:val="24"/>
        </w:rPr>
        <w:t xml:space="preserve"> </w:t>
      </w:r>
      <w:r w:rsidR="00EF5A36">
        <w:rPr>
          <w:rFonts w:ascii="Calibri" w:hAnsi="Calibri" w:cs="Calibri"/>
          <w:szCs w:val="24"/>
        </w:rPr>
        <w:t xml:space="preserve">and other systems associated with data collection, recording and reporting.  The capacity to resource proposed changes is a relevant factor in decision making about proposed data collection. </w:t>
      </w:r>
    </w:p>
    <w:p w:rsidR="001C7C5A" w:rsidRDefault="001C7C5A" w:rsidP="000F2ADF">
      <w:pPr>
        <w:rPr>
          <w:rFonts w:ascii="Calibri" w:hAnsi="Calibri" w:cs="Calibri"/>
          <w:szCs w:val="24"/>
        </w:rPr>
      </w:pPr>
    </w:p>
    <w:p w:rsidR="001C7C5A" w:rsidRDefault="005B1C65" w:rsidP="000F2ADF">
      <w:pPr>
        <w:rPr>
          <w:rFonts w:ascii="Calibri" w:hAnsi="Calibri" w:cs="Calibri"/>
          <w:szCs w:val="24"/>
        </w:rPr>
      </w:pPr>
      <w:r>
        <w:rPr>
          <w:rFonts w:ascii="Calibri" w:hAnsi="Calibri" w:cs="Calibri"/>
          <w:szCs w:val="24"/>
        </w:rPr>
        <w:t xml:space="preserve">Other practical and related </w:t>
      </w:r>
      <w:r w:rsidR="001C7C5A">
        <w:rPr>
          <w:rFonts w:ascii="Calibri" w:hAnsi="Calibri" w:cs="Calibri"/>
          <w:szCs w:val="24"/>
        </w:rPr>
        <w:t xml:space="preserve">issues include ensuring data collection is proportionate to service delivery and that </w:t>
      </w:r>
      <w:r w:rsidR="00082902">
        <w:rPr>
          <w:rFonts w:ascii="Calibri" w:hAnsi="Calibri" w:cs="Calibri"/>
          <w:szCs w:val="24"/>
        </w:rPr>
        <w:t xml:space="preserve">any data presentations are properly contextualised to prevent </w:t>
      </w:r>
      <w:r w:rsidR="001C7C5A">
        <w:rPr>
          <w:rFonts w:ascii="Calibri" w:hAnsi="Calibri" w:cs="Calibri"/>
          <w:szCs w:val="24"/>
        </w:rPr>
        <w:t xml:space="preserve">inappropriate </w:t>
      </w:r>
      <w:r w:rsidR="00B90F93">
        <w:rPr>
          <w:rFonts w:ascii="Calibri" w:hAnsi="Calibri" w:cs="Calibri"/>
          <w:szCs w:val="24"/>
        </w:rPr>
        <w:t xml:space="preserve">data </w:t>
      </w:r>
      <w:r w:rsidR="001C7C5A">
        <w:rPr>
          <w:rFonts w:ascii="Calibri" w:hAnsi="Calibri" w:cs="Calibri"/>
          <w:szCs w:val="24"/>
        </w:rPr>
        <w:t xml:space="preserve">comparisons </w:t>
      </w:r>
      <w:r w:rsidR="00B90F93">
        <w:rPr>
          <w:rFonts w:ascii="Calibri" w:hAnsi="Calibri" w:cs="Calibri"/>
          <w:szCs w:val="24"/>
        </w:rPr>
        <w:t xml:space="preserve">being </w:t>
      </w:r>
      <w:r w:rsidR="001C7C5A">
        <w:rPr>
          <w:rFonts w:ascii="Calibri" w:hAnsi="Calibri" w:cs="Calibri"/>
          <w:szCs w:val="24"/>
        </w:rPr>
        <w:t xml:space="preserve">made to the potential disadvantage of the client base. </w:t>
      </w:r>
    </w:p>
    <w:p w:rsidR="009A380C" w:rsidRDefault="009A380C" w:rsidP="000F2ADF">
      <w:pPr>
        <w:rPr>
          <w:rFonts w:ascii="Calibri" w:hAnsi="Calibri" w:cs="Calibri"/>
          <w:szCs w:val="24"/>
        </w:rPr>
      </w:pPr>
    </w:p>
    <w:p w:rsidR="000F7C81" w:rsidRDefault="002234F2" w:rsidP="00D359EA">
      <w:pPr>
        <w:rPr>
          <w:rFonts w:ascii="Calibri" w:hAnsi="Calibri" w:cs="Calibri"/>
          <w:szCs w:val="24"/>
        </w:rPr>
      </w:pPr>
      <w:r>
        <w:rPr>
          <w:rFonts w:ascii="Calibri" w:hAnsi="Calibri" w:cs="Calibri"/>
          <w:szCs w:val="24"/>
        </w:rPr>
        <w:t>W</w:t>
      </w:r>
      <w:r w:rsidR="005068D6">
        <w:rPr>
          <w:rFonts w:ascii="Calibri" w:hAnsi="Calibri" w:cs="Calibri"/>
          <w:szCs w:val="24"/>
        </w:rPr>
        <w:t xml:space="preserve">hat is </w:t>
      </w:r>
      <w:r w:rsidR="00EF5A36">
        <w:rPr>
          <w:rFonts w:ascii="Calibri" w:hAnsi="Calibri" w:cs="Calibri"/>
          <w:szCs w:val="24"/>
        </w:rPr>
        <w:t xml:space="preserve">often referred to </w:t>
      </w:r>
      <w:r w:rsidR="005068D6">
        <w:rPr>
          <w:rFonts w:ascii="Calibri" w:hAnsi="Calibri" w:cs="Calibri"/>
          <w:szCs w:val="24"/>
        </w:rPr>
        <w:t>as “the count of 1” hel</w:t>
      </w:r>
      <w:r w:rsidR="000F2ADF">
        <w:rPr>
          <w:rFonts w:ascii="Calibri" w:hAnsi="Calibri" w:cs="Calibri"/>
          <w:szCs w:val="24"/>
        </w:rPr>
        <w:t xml:space="preserve">ps to illustrate </w:t>
      </w:r>
      <w:r>
        <w:rPr>
          <w:rFonts w:ascii="Calibri" w:hAnsi="Calibri" w:cs="Calibri"/>
          <w:szCs w:val="24"/>
        </w:rPr>
        <w:t xml:space="preserve">one of the </w:t>
      </w:r>
      <w:r w:rsidR="00621E56">
        <w:rPr>
          <w:rFonts w:ascii="Calibri" w:hAnsi="Calibri" w:cs="Calibri"/>
          <w:szCs w:val="24"/>
        </w:rPr>
        <w:t xml:space="preserve">data comparability </w:t>
      </w:r>
      <w:r>
        <w:rPr>
          <w:rFonts w:ascii="Calibri" w:hAnsi="Calibri" w:cs="Calibri"/>
          <w:szCs w:val="24"/>
        </w:rPr>
        <w:t>challenges</w:t>
      </w:r>
      <w:r w:rsidR="001B1991">
        <w:rPr>
          <w:rFonts w:ascii="Calibri" w:hAnsi="Calibri" w:cs="Calibri"/>
          <w:szCs w:val="24"/>
        </w:rPr>
        <w:t>:</w:t>
      </w:r>
      <w:r w:rsidR="005068D6">
        <w:rPr>
          <w:rFonts w:ascii="Calibri" w:hAnsi="Calibri" w:cs="Calibri"/>
          <w:szCs w:val="24"/>
        </w:rPr>
        <w:t xml:space="preserve">  </w:t>
      </w:r>
    </w:p>
    <w:p w:rsidR="000F7C81" w:rsidRDefault="000F7C81" w:rsidP="00D359EA">
      <w:pPr>
        <w:rPr>
          <w:rFonts w:ascii="Calibri" w:hAnsi="Calibri" w:cs="Calibri"/>
          <w:szCs w:val="24"/>
        </w:rPr>
      </w:pPr>
    </w:p>
    <w:p w:rsidR="002234F2" w:rsidRPr="000F5A5B" w:rsidRDefault="002234F2" w:rsidP="00D359EA">
      <w:pPr>
        <w:rPr>
          <w:rFonts w:ascii="Calibri" w:hAnsi="Calibri" w:cs="Calibri"/>
          <w:szCs w:val="24"/>
          <w:u w:val="single"/>
        </w:rPr>
      </w:pPr>
      <w:r w:rsidRPr="000F5A5B">
        <w:rPr>
          <w:rFonts w:ascii="Calibri" w:hAnsi="Calibri" w:cs="Calibri"/>
          <w:szCs w:val="24"/>
          <w:u w:val="single"/>
        </w:rPr>
        <w:t>Example – service type – “legal representation”</w:t>
      </w:r>
      <w:r w:rsidR="0029178B" w:rsidRPr="000F5A5B">
        <w:rPr>
          <w:rStyle w:val="FootnoteReference"/>
          <w:rFonts w:ascii="Calibri" w:hAnsi="Calibri" w:cs="Calibri"/>
          <w:szCs w:val="24"/>
          <w:u w:val="single"/>
        </w:rPr>
        <w:footnoteReference w:id="17"/>
      </w:r>
      <w:r w:rsidRPr="000F5A5B">
        <w:rPr>
          <w:rFonts w:ascii="Calibri" w:hAnsi="Calibri" w:cs="Calibri"/>
          <w:szCs w:val="24"/>
          <w:u w:val="single"/>
        </w:rPr>
        <w:t xml:space="preserve">   </w:t>
      </w:r>
    </w:p>
    <w:p w:rsidR="009A380C" w:rsidRDefault="002F74F7" w:rsidP="00D359EA">
      <w:pPr>
        <w:rPr>
          <w:rFonts w:ascii="Calibri" w:hAnsi="Calibri" w:cs="Calibri"/>
          <w:szCs w:val="24"/>
        </w:rPr>
      </w:pPr>
      <w:r>
        <w:rPr>
          <w:rFonts w:ascii="Calibri" w:hAnsi="Calibri" w:cs="Calibri"/>
          <w:szCs w:val="24"/>
        </w:rPr>
        <w:t xml:space="preserve">A matter involving </w:t>
      </w:r>
      <w:r w:rsidR="0066186A">
        <w:rPr>
          <w:rFonts w:ascii="Calibri" w:hAnsi="Calibri" w:cs="Calibri"/>
          <w:szCs w:val="24"/>
        </w:rPr>
        <w:t>“legal representation”</w:t>
      </w:r>
      <w:r w:rsidR="001B1991">
        <w:rPr>
          <w:rFonts w:ascii="Calibri" w:hAnsi="Calibri" w:cs="Calibri"/>
          <w:szCs w:val="24"/>
        </w:rPr>
        <w:t xml:space="preserve"> </w:t>
      </w:r>
      <w:r>
        <w:rPr>
          <w:rFonts w:ascii="Calibri" w:hAnsi="Calibri" w:cs="Calibri"/>
          <w:szCs w:val="24"/>
        </w:rPr>
        <w:t>could</w:t>
      </w:r>
      <w:r w:rsidR="000F7C81">
        <w:rPr>
          <w:rFonts w:ascii="Calibri" w:hAnsi="Calibri" w:cs="Calibri"/>
          <w:szCs w:val="24"/>
        </w:rPr>
        <w:t xml:space="preserve"> </w:t>
      </w:r>
      <w:r>
        <w:rPr>
          <w:rFonts w:ascii="Calibri" w:hAnsi="Calibri" w:cs="Calibri"/>
          <w:szCs w:val="24"/>
        </w:rPr>
        <w:t>settle</w:t>
      </w:r>
      <w:r w:rsidR="000F7C81">
        <w:rPr>
          <w:rFonts w:ascii="Calibri" w:hAnsi="Calibri" w:cs="Calibri"/>
          <w:szCs w:val="24"/>
        </w:rPr>
        <w:t xml:space="preserve"> at </w:t>
      </w:r>
      <w:r w:rsidR="009A380C">
        <w:rPr>
          <w:rFonts w:ascii="Calibri" w:hAnsi="Calibri" w:cs="Calibri"/>
          <w:szCs w:val="24"/>
        </w:rPr>
        <w:t xml:space="preserve">negotiation or </w:t>
      </w:r>
      <w:r w:rsidR="000F7C81">
        <w:rPr>
          <w:rFonts w:ascii="Calibri" w:hAnsi="Calibri" w:cs="Calibri"/>
          <w:szCs w:val="24"/>
        </w:rPr>
        <w:t>dispute resolution</w:t>
      </w:r>
      <w:r>
        <w:rPr>
          <w:rFonts w:ascii="Calibri" w:hAnsi="Calibri" w:cs="Calibri"/>
          <w:szCs w:val="24"/>
        </w:rPr>
        <w:t xml:space="preserve"> stage very quickly or over time</w:t>
      </w:r>
      <w:r w:rsidR="00BF1A11">
        <w:rPr>
          <w:rFonts w:ascii="Calibri" w:hAnsi="Calibri" w:cs="Calibri"/>
          <w:szCs w:val="24"/>
        </w:rPr>
        <w:t>, or</w:t>
      </w:r>
      <w:r w:rsidR="000F7C81">
        <w:rPr>
          <w:rFonts w:ascii="Calibri" w:hAnsi="Calibri" w:cs="Calibri"/>
          <w:szCs w:val="24"/>
        </w:rPr>
        <w:t xml:space="preserve"> it </w:t>
      </w:r>
      <w:r w:rsidR="009A380C">
        <w:rPr>
          <w:rFonts w:ascii="Calibri" w:hAnsi="Calibri" w:cs="Calibri"/>
          <w:szCs w:val="24"/>
        </w:rPr>
        <w:t>might not settle</w:t>
      </w:r>
      <w:r>
        <w:rPr>
          <w:rFonts w:ascii="Calibri" w:hAnsi="Calibri" w:cs="Calibri"/>
          <w:szCs w:val="24"/>
        </w:rPr>
        <w:t xml:space="preserve">, </w:t>
      </w:r>
      <w:r w:rsidR="009A380C">
        <w:rPr>
          <w:rFonts w:ascii="Calibri" w:hAnsi="Calibri" w:cs="Calibri"/>
          <w:szCs w:val="24"/>
        </w:rPr>
        <w:t xml:space="preserve">and entail multiple court appearances </w:t>
      </w:r>
      <w:r w:rsidR="0042625E">
        <w:rPr>
          <w:rFonts w:ascii="Calibri" w:hAnsi="Calibri" w:cs="Calibri"/>
          <w:szCs w:val="24"/>
        </w:rPr>
        <w:t xml:space="preserve">including a fully defended final hearing </w:t>
      </w:r>
      <w:r w:rsidR="009A380C">
        <w:rPr>
          <w:rFonts w:ascii="Calibri" w:hAnsi="Calibri" w:cs="Calibri"/>
          <w:szCs w:val="24"/>
        </w:rPr>
        <w:t xml:space="preserve">before resolution.  </w:t>
      </w:r>
      <w:r w:rsidR="00F536ED">
        <w:rPr>
          <w:rFonts w:ascii="Calibri" w:hAnsi="Calibri" w:cs="Calibri"/>
          <w:szCs w:val="24"/>
        </w:rPr>
        <w:t xml:space="preserve">Final defended </w:t>
      </w:r>
      <w:r>
        <w:rPr>
          <w:rFonts w:ascii="Calibri" w:hAnsi="Calibri" w:cs="Calibri"/>
          <w:szCs w:val="24"/>
        </w:rPr>
        <w:t>hearing</w:t>
      </w:r>
      <w:r w:rsidR="00F536ED">
        <w:rPr>
          <w:rFonts w:ascii="Calibri" w:hAnsi="Calibri" w:cs="Calibri"/>
          <w:szCs w:val="24"/>
        </w:rPr>
        <w:t>s</w:t>
      </w:r>
      <w:r w:rsidR="0042625E">
        <w:rPr>
          <w:rFonts w:ascii="Calibri" w:hAnsi="Calibri" w:cs="Calibri"/>
          <w:szCs w:val="24"/>
        </w:rPr>
        <w:t xml:space="preserve"> also vary in their length and the complexity of the issues involved</w:t>
      </w:r>
      <w:r>
        <w:rPr>
          <w:rFonts w:ascii="Calibri" w:hAnsi="Calibri" w:cs="Calibri"/>
          <w:szCs w:val="24"/>
        </w:rPr>
        <w:t xml:space="preserve">.  </w:t>
      </w:r>
    </w:p>
    <w:p w:rsidR="009A380C" w:rsidRDefault="009A380C" w:rsidP="00D359EA">
      <w:pPr>
        <w:rPr>
          <w:rFonts w:ascii="Calibri" w:hAnsi="Calibri" w:cs="Calibri"/>
          <w:szCs w:val="24"/>
        </w:rPr>
      </w:pPr>
    </w:p>
    <w:p w:rsidR="00294414" w:rsidRDefault="002F74F7" w:rsidP="00D359EA">
      <w:pPr>
        <w:rPr>
          <w:rFonts w:ascii="Calibri" w:hAnsi="Calibri" w:cs="Calibri"/>
          <w:szCs w:val="24"/>
        </w:rPr>
      </w:pPr>
      <w:r>
        <w:rPr>
          <w:rFonts w:ascii="Calibri" w:hAnsi="Calibri" w:cs="Calibri"/>
          <w:szCs w:val="24"/>
        </w:rPr>
        <w:t xml:space="preserve">If the </w:t>
      </w:r>
      <w:r w:rsidR="00294414">
        <w:rPr>
          <w:rFonts w:ascii="Calibri" w:hAnsi="Calibri" w:cs="Calibri"/>
          <w:szCs w:val="24"/>
        </w:rPr>
        <w:t xml:space="preserve">data item </w:t>
      </w:r>
      <w:r w:rsidR="000F5A5B">
        <w:rPr>
          <w:rFonts w:ascii="Calibri" w:hAnsi="Calibri" w:cs="Calibri"/>
          <w:szCs w:val="24"/>
        </w:rPr>
        <w:t>is “legal representation”, and it is suggested t</w:t>
      </w:r>
      <w:r w:rsidR="00AB1AFF">
        <w:rPr>
          <w:rFonts w:ascii="Calibri" w:hAnsi="Calibri" w:cs="Calibri"/>
          <w:szCs w:val="24"/>
        </w:rPr>
        <w:t xml:space="preserve">hat a “legal representation” data item </w:t>
      </w:r>
      <w:r w:rsidR="000F5A5B">
        <w:rPr>
          <w:rFonts w:ascii="Calibri" w:hAnsi="Calibri" w:cs="Calibri"/>
          <w:szCs w:val="24"/>
        </w:rPr>
        <w:t xml:space="preserve">does accurately reflect the service activity, </w:t>
      </w:r>
      <w:r>
        <w:rPr>
          <w:rFonts w:ascii="Calibri" w:hAnsi="Calibri" w:cs="Calibri"/>
          <w:szCs w:val="24"/>
        </w:rPr>
        <w:t>then each</w:t>
      </w:r>
      <w:r w:rsidR="0042625E">
        <w:rPr>
          <w:rFonts w:ascii="Calibri" w:hAnsi="Calibri" w:cs="Calibri"/>
          <w:szCs w:val="24"/>
        </w:rPr>
        <w:t xml:space="preserve"> of the above scenarios is a “count of 1”, i.e. o</w:t>
      </w:r>
      <w:r>
        <w:rPr>
          <w:rFonts w:ascii="Calibri" w:hAnsi="Calibri" w:cs="Calibri"/>
          <w:szCs w:val="24"/>
        </w:rPr>
        <w:t xml:space="preserve">n the face of the data no distinction is made between the </w:t>
      </w:r>
      <w:r w:rsidR="004222E8">
        <w:rPr>
          <w:rFonts w:ascii="Calibri" w:hAnsi="Calibri" w:cs="Calibri"/>
          <w:szCs w:val="24"/>
        </w:rPr>
        <w:t xml:space="preserve">respective complexity and resources required to resolve the issues.  To achieve a </w:t>
      </w:r>
      <w:r w:rsidR="0029178B">
        <w:rPr>
          <w:rFonts w:ascii="Calibri" w:hAnsi="Calibri" w:cs="Calibri"/>
          <w:szCs w:val="24"/>
        </w:rPr>
        <w:t>distinction</w:t>
      </w:r>
      <w:r w:rsidR="00BF1A11">
        <w:rPr>
          <w:rFonts w:ascii="Calibri" w:hAnsi="Calibri" w:cs="Calibri"/>
          <w:szCs w:val="24"/>
        </w:rPr>
        <w:t>, weightings</w:t>
      </w:r>
      <w:r w:rsidR="004222E8">
        <w:rPr>
          <w:rFonts w:ascii="Calibri" w:hAnsi="Calibri" w:cs="Calibri"/>
          <w:szCs w:val="24"/>
        </w:rPr>
        <w:t xml:space="preserve"> for complexity as well as mechanisms to identify </w:t>
      </w:r>
      <w:r w:rsidR="00020114">
        <w:rPr>
          <w:rFonts w:ascii="Calibri" w:hAnsi="Calibri" w:cs="Calibri"/>
          <w:szCs w:val="24"/>
        </w:rPr>
        <w:t xml:space="preserve">activities along </w:t>
      </w:r>
      <w:r w:rsidR="004222E8">
        <w:rPr>
          <w:rFonts w:ascii="Calibri" w:hAnsi="Calibri" w:cs="Calibri"/>
          <w:szCs w:val="24"/>
        </w:rPr>
        <w:t xml:space="preserve">the </w:t>
      </w:r>
      <w:r w:rsidR="00020114">
        <w:rPr>
          <w:rFonts w:ascii="Calibri" w:hAnsi="Calibri" w:cs="Calibri"/>
          <w:szCs w:val="24"/>
        </w:rPr>
        <w:t xml:space="preserve">pathway to disposition and the </w:t>
      </w:r>
      <w:r w:rsidR="004222E8">
        <w:rPr>
          <w:rFonts w:ascii="Calibri" w:hAnsi="Calibri" w:cs="Calibri"/>
          <w:szCs w:val="24"/>
        </w:rPr>
        <w:t xml:space="preserve">point of disposition are </w:t>
      </w:r>
      <w:r w:rsidR="002A4138">
        <w:rPr>
          <w:rFonts w:ascii="Calibri" w:hAnsi="Calibri" w:cs="Calibri"/>
          <w:szCs w:val="24"/>
        </w:rPr>
        <w:t xml:space="preserve">likely to be </w:t>
      </w:r>
      <w:r w:rsidR="004222E8">
        <w:rPr>
          <w:rFonts w:ascii="Calibri" w:hAnsi="Calibri" w:cs="Calibri"/>
          <w:szCs w:val="24"/>
        </w:rPr>
        <w:t xml:space="preserve">required.  </w:t>
      </w:r>
      <w:r w:rsidR="00DA1DC1">
        <w:rPr>
          <w:rFonts w:ascii="Calibri" w:hAnsi="Calibri" w:cs="Calibri"/>
          <w:szCs w:val="24"/>
        </w:rPr>
        <w:t>Depending on the degree of specific detail required t</w:t>
      </w:r>
      <w:r w:rsidR="004222E8">
        <w:rPr>
          <w:rFonts w:ascii="Calibri" w:hAnsi="Calibri" w:cs="Calibri"/>
          <w:szCs w:val="24"/>
        </w:rPr>
        <w:t xml:space="preserve">his can be expected to entail </w:t>
      </w:r>
      <w:r w:rsidR="00450422">
        <w:rPr>
          <w:rFonts w:ascii="Calibri" w:hAnsi="Calibri" w:cs="Calibri"/>
          <w:szCs w:val="24"/>
        </w:rPr>
        <w:t xml:space="preserve">development of </w:t>
      </w:r>
      <w:r w:rsidR="00020114">
        <w:rPr>
          <w:rFonts w:ascii="Calibri" w:hAnsi="Calibri" w:cs="Calibri"/>
          <w:szCs w:val="24"/>
        </w:rPr>
        <w:t xml:space="preserve">more or less </w:t>
      </w:r>
      <w:r w:rsidR="004222E8">
        <w:rPr>
          <w:rFonts w:ascii="Calibri" w:hAnsi="Calibri" w:cs="Calibri"/>
          <w:szCs w:val="24"/>
        </w:rPr>
        <w:t xml:space="preserve">extensive </w:t>
      </w:r>
      <w:r w:rsidR="00450422">
        <w:rPr>
          <w:rFonts w:ascii="Calibri" w:hAnsi="Calibri" w:cs="Calibri"/>
          <w:szCs w:val="24"/>
        </w:rPr>
        <w:t xml:space="preserve">data </w:t>
      </w:r>
      <w:r w:rsidR="004222E8">
        <w:rPr>
          <w:rFonts w:ascii="Calibri" w:hAnsi="Calibri" w:cs="Calibri"/>
          <w:szCs w:val="24"/>
        </w:rPr>
        <w:t>pick lists</w:t>
      </w:r>
      <w:r w:rsidR="00720E60">
        <w:rPr>
          <w:rFonts w:ascii="Calibri" w:hAnsi="Calibri" w:cs="Calibri"/>
          <w:szCs w:val="24"/>
        </w:rPr>
        <w:t xml:space="preserve">/codes </w:t>
      </w:r>
      <w:r w:rsidR="00020114">
        <w:rPr>
          <w:rFonts w:ascii="Calibri" w:hAnsi="Calibri" w:cs="Calibri"/>
          <w:szCs w:val="24"/>
        </w:rPr>
        <w:t>and associated further definitional work</w:t>
      </w:r>
      <w:r w:rsidR="00720E60">
        <w:rPr>
          <w:rFonts w:ascii="Calibri" w:hAnsi="Calibri" w:cs="Calibri"/>
          <w:szCs w:val="24"/>
        </w:rPr>
        <w:t xml:space="preserve">.   The more detail </w:t>
      </w:r>
      <w:r w:rsidR="00020114">
        <w:rPr>
          <w:rFonts w:ascii="Calibri" w:hAnsi="Calibri" w:cs="Calibri"/>
          <w:szCs w:val="24"/>
        </w:rPr>
        <w:t xml:space="preserve">that is required, the more data entry options, </w:t>
      </w:r>
      <w:r w:rsidR="002234F2">
        <w:rPr>
          <w:rFonts w:ascii="Calibri" w:hAnsi="Calibri" w:cs="Calibri"/>
          <w:szCs w:val="24"/>
        </w:rPr>
        <w:t xml:space="preserve">systems adjustment, </w:t>
      </w:r>
      <w:r w:rsidR="00020114">
        <w:rPr>
          <w:rFonts w:ascii="Calibri" w:hAnsi="Calibri" w:cs="Calibri"/>
          <w:szCs w:val="24"/>
        </w:rPr>
        <w:t xml:space="preserve">and </w:t>
      </w:r>
      <w:r w:rsidR="00DA1DC1">
        <w:rPr>
          <w:rFonts w:ascii="Calibri" w:hAnsi="Calibri" w:cs="Calibri"/>
          <w:szCs w:val="24"/>
        </w:rPr>
        <w:t xml:space="preserve">data entry training that </w:t>
      </w:r>
      <w:r w:rsidR="009B7881">
        <w:rPr>
          <w:rFonts w:ascii="Calibri" w:hAnsi="Calibri" w:cs="Calibri"/>
          <w:szCs w:val="24"/>
        </w:rPr>
        <w:t xml:space="preserve">is </w:t>
      </w:r>
      <w:r w:rsidR="00020114">
        <w:rPr>
          <w:rFonts w:ascii="Calibri" w:hAnsi="Calibri" w:cs="Calibri"/>
          <w:szCs w:val="24"/>
        </w:rPr>
        <w:t xml:space="preserve">required.  </w:t>
      </w:r>
      <w:r w:rsidR="00DA1DC1">
        <w:rPr>
          <w:rFonts w:ascii="Calibri" w:hAnsi="Calibri" w:cs="Calibri"/>
          <w:szCs w:val="24"/>
        </w:rPr>
        <w:t>I</w:t>
      </w:r>
      <w:r w:rsidR="00720E60">
        <w:rPr>
          <w:rFonts w:ascii="Calibri" w:hAnsi="Calibri" w:cs="Calibri"/>
          <w:szCs w:val="24"/>
        </w:rPr>
        <w:t xml:space="preserve">nevitably the more </w:t>
      </w:r>
      <w:r w:rsidR="00DA1DC1">
        <w:rPr>
          <w:rFonts w:ascii="Calibri" w:hAnsi="Calibri" w:cs="Calibri"/>
          <w:szCs w:val="24"/>
        </w:rPr>
        <w:t xml:space="preserve">data items and the more data entry options provided for each data item, the more room for data entry error, and </w:t>
      </w:r>
      <w:r w:rsidR="00720E60">
        <w:rPr>
          <w:rFonts w:ascii="Calibri" w:hAnsi="Calibri" w:cs="Calibri"/>
          <w:szCs w:val="24"/>
        </w:rPr>
        <w:t xml:space="preserve">“fatigued” </w:t>
      </w:r>
      <w:r w:rsidR="00DA1DC1">
        <w:rPr>
          <w:rFonts w:ascii="Calibri" w:hAnsi="Calibri" w:cs="Calibri"/>
          <w:szCs w:val="24"/>
        </w:rPr>
        <w:t>service providers</w:t>
      </w:r>
      <w:r w:rsidR="00720E60">
        <w:rPr>
          <w:rFonts w:ascii="Calibri" w:hAnsi="Calibri" w:cs="Calibri"/>
          <w:szCs w:val="24"/>
        </w:rPr>
        <w:t xml:space="preserve">. </w:t>
      </w:r>
      <w:r w:rsidR="000F2ADF">
        <w:rPr>
          <w:rFonts w:ascii="Calibri" w:hAnsi="Calibri" w:cs="Calibri"/>
          <w:szCs w:val="24"/>
        </w:rPr>
        <w:t xml:space="preserve">  </w:t>
      </w:r>
    </w:p>
    <w:p w:rsidR="0026019D" w:rsidRDefault="0026019D" w:rsidP="00D359EA">
      <w:pPr>
        <w:rPr>
          <w:rFonts w:ascii="Calibri" w:hAnsi="Calibri" w:cs="Calibri"/>
          <w:szCs w:val="24"/>
        </w:rPr>
      </w:pPr>
    </w:p>
    <w:p w:rsidR="0026019D" w:rsidRDefault="0026019D" w:rsidP="00D359EA">
      <w:pPr>
        <w:rPr>
          <w:rFonts w:ascii="Calibri" w:hAnsi="Calibri" w:cs="Calibri"/>
          <w:szCs w:val="24"/>
        </w:rPr>
      </w:pPr>
      <w:r>
        <w:rPr>
          <w:rFonts w:ascii="Calibri" w:hAnsi="Calibri" w:cs="Calibri"/>
          <w:szCs w:val="24"/>
        </w:rPr>
        <w:t>T</w:t>
      </w:r>
      <w:r w:rsidRPr="0070760B">
        <w:rPr>
          <w:rFonts w:ascii="Calibri" w:hAnsi="Calibri" w:cs="Calibri"/>
          <w:szCs w:val="24"/>
        </w:rPr>
        <w:t>he “</w:t>
      </w:r>
      <w:r>
        <w:rPr>
          <w:rFonts w:ascii="Calibri" w:hAnsi="Calibri" w:cs="Calibri"/>
          <w:szCs w:val="24"/>
        </w:rPr>
        <w:t xml:space="preserve">data collection </w:t>
      </w:r>
      <w:r w:rsidRPr="0070760B">
        <w:rPr>
          <w:rFonts w:ascii="Calibri" w:hAnsi="Calibri" w:cs="Calibri"/>
          <w:szCs w:val="24"/>
        </w:rPr>
        <w:t xml:space="preserve">fatigue” </w:t>
      </w:r>
      <w:r>
        <w:rPr>
          <w:rFonts w:ascii="Calibri" w:hAnsi="Calibri" w:cs="Calibri"/>
          <w:szCs w:val="24"/>
        </w:rPr>
        <w:t xml:space="preserve">referred to in the draft report is attributed </w:t>
      </w:r>
      <w:r w:rsidRPr="0070760B">
        <w:rPr>
          <w:rFonts w:ascii="Calibri" w:hAnsi="Calibri" w:cs="Calibri"/>
          <w:szCs w:val="24"/>
        </w:rPr>
        <w:t>to reporting requirements which are burdensome and “a perception that data i</w:t>
      </w:r>
      <w:r>
        <w:rPr>
          <w:rFonts w:ascii="Calibri" w:hAnsi="Calibri" w:cs="Calibri"/>
          <w:szCs w:val="24"/>
        </w:rPr>
        <w:t xml:space="preserve">s collected for </w:t>
      </w:r>
      <w:r>
        <w:rPr>
          <w:rFonts w:ascii="Calibri" w:hAnsi="Calibri" w:cs="Calibri"/>
          <w:szCs w:val="24"/>
        </w:rPr>
        <w:lastRenderedPageBreak/>
        <w:t>data’s sake”.   The draft report also suggests that there is “lack of awareness of how data will be used.”</w:t>
      </w:r>
      <w:r>
        <w:rPr>
          <w:rStyle w:val="FootnoteReference"/>
          <w:rFonts w:ascii="Calibri" w:hAnsi="Calibri" w:cs="Calibri"/>
          <w:szCs w:val="24"/>
        </w:rPr>
        <w:footnoteReference w:id="18"/>
      </w:r>
      <w:r w:rsidR="008247D3">
        <w:rPr>
          <w:rFonts w:ascii="Calibri" w:hAnsi="Calibri" w:cs="Calibri"/>
          <w:szCs w:val="24"/>
        </w:rPr>
        <w:t xml:space="preserve">  </w:t>
      </w:r>
      <w:r>
        <w:rPr>
          <w:rFonts w:ascii="Calibri" w:hAnsi="Calibri" w:cs="Calibri"/>
          <w:szCs w:val="24"/>
        </w:rPr>
        <w:t>NLA suggests</w:t>
      </w:r>
      <w:r w:rsidRPr="0070760B">
        <w:rPr>
          <w:rFonts w:ascii="Calibri" w:hAnsi="Calibri" w:cs="Calibri"/>
          <w:szCs w:val="24"/>
        </w:rPr>
        <w:t xml:space="preserve"> that</w:t>
      </w:r>
      <w:r w:rsidR="008247D3">
        <w:rPr>
          <w:rFonts w:ascii="Calibri" w:hAnsi="Calibri" w:cs="Calibri"/>
          <w:szCs w:val="24"/>
        </w:rPr>
        <w:t xml:space="preserve"> another </w:t>
      </w:r>
      <w:r>
        <w:rPr>
          <w:rFonts w:ascii="Calibri" w:hAnsi="Calibri" w:cs="Calibri"/>
          <w:szCs w:val="24"/>
        </w:rPr>
        <w:t xml:space="preserve">cause of fatigue is the ongoing disjuncture between theoretical and practical understandings of the extent to which data can </w:t>
      </w:r>
      <w:r w:rsidR="00BF1A11">
        <w:rPr>
          <w:rFonts w:ascii="Calibri" w:hAnsi="Calibri" w:cs="Calibri"/>
          <w:szCs w:val="24"/>
        </w:rPr>
        <w:t>be collected</w:t>
      </w:r>
      <w:r>
        <w:rPr>
          <w:rFonts w:ascii="Calibri" w:hAnsi="Calibri" w:cs="Calibri"/>
          <w:szCs w:val="24"/>
        </w:rPr>
        <w:t xml:space="preserve"> and recorded, and the uses to which that data can be put.  </w:t>
      </w:r>
    </w:p>
    <w:p w:rsidR="004214D6" w:rsidRPr="0070760B" w:rsidRDefault="004214D6" w:rsidP="004214D6">
      <w:pPr>
        <w:rPr>
          <w:rFonts w:ascii="Calibri" w:hAnsi="Calibri" w:cs="Calibri"/>
          <w:szCs w:val="24"/>
        </w:rPr>
      </w:pPr>
    </w:p>
    <w:p w:rsidR="004214D6" w:rsidRPr="0070760B" w:rsidRDefault="00294414" w:rsidP="004214D6">
      <w:pPr>
        <w:rPr>
          <w:rFonts w:ascii="Calibri" w:hAnsi="Calibri" w:cs="Calibri"/>
          <w:szCs w:val="24"/>
        </w:rPr>
      </w:pPr>
      <w:r>
        <w:rPr>
          <w:rFonts w:ascii="Calibri" w:hAnsi="Calibri" w:cs="Calibri"/>
          <w:szCs w:val="24"/>
        </w:rPr>
        <w:t>T</w:t>
      </w:r>
      <w:r w:rsidR="009107C0" w:rsidRPr="0070760B">
        <w:rPr>
          <w:rFonts w:ascii="Calibri" w:hAnsi="Calibri" w:cs="Calibri"/>
          <w:szCs w:val="24"/>
        </w:rPr>
        <w:t xml:space="preserve">o alleviate </w:t>
      </w:r>
      <w:r>
        <w:rPr>
          <w:rFonts w:ascii="Calibri" w:hAnsi="Calibri" w:cs="Calibri"/>
          <w:szCs w:val="24"/>
        </w:rPr>
        <w:t xml:space="preserve">“data </w:t>
      </w:r>
      <w:r w:rsidR="009107C0" w:rsidRPr="0070760B">
        <w:rPr>
          <w:rFonts w:ascii="Calibri" w:hAnsi="Calibri" w:cs="Calibri"/>
          <w:szCs w:val="24"/>
        </w:rPr>
        <w:t>f</w:t>
      </w:r>
      <w:r w:rsidR="004214D6" w:rsidRPr="0070760B">
        <w:rPr>
          <w:rFonts w:ascii="Calibri" w:hAnsi="Calibri" w:cs="Calibri"/>
          <w:szCs w:val="24"/>
        </w:rPr>
        <w:t>atigue</w:t>
      </w:r>
      <w:r>
        <w:rPr>
          <w:rFonts w:ascii="Calibri" w:hAnsi="Calibri" w:cs="Calibri"/>
          <w:szCs w:val="24"/>
        </w:rPr>
        <w:t>”</w:t>
      </w:r>
      <w:r w:rsidR="004214D6" w:rsidRPr="0070760B">
        <w:rPr>
          <w:rFonts w:ascii="Calibri" w:hAnsi="Calibri" w:cs="Calibri"/>
          <w:szCs w:val="24"/>
        </w:rPr>
        <w:t xml:space="preserve">, </w:t>
      </w:r>
      <w:r w:rsidR="00A522E6">
        <w:rPr>
          <w:rFonts w:ascii="Calibri" w:hAnsi="Calibri" w:cs="Calibri"/>
          <w:szCs w:val="24"/>
        </w:rPr>
        <w:t xml:space="preserve">it is important that </w:t>
      </w:r>
      <w:r>
        <w:rPr>
          <w:rFonts w:ascii="Calibri" w:hAnsi="Calibri" w:cs="Calibri"/>
          <w:szCs w:val="24"/>
        </w:rPr>
        <w:t xml:space="preserve">legal assistance </w:t>
      </w:r>
      <w:r w:rsidR="00A522E6">
        <w:rPr>
          <w:rFonts w:ascii="Calibri" w:hAnsi="Calibri" w:cs="Calibri"/>
          <w:szCs w:val="24"/>
        </w:rPr>
        <w:t xml:space="preserve">service providers with practical and operational experience </w:t>
      </w:r>
      <w:r>
        <w:rPr>
          <w:rFonts w:ascii="Calibri" w:hAnsi="Calibri" w:cs="Calibri"/>
          <w:szCs w:val="24"/>
        </w:rPr>
        <w:t xml:space="preserve">are </w:t>
      </w:r>
      <w:r w:rsidR="00A522E6">
        <w:rPr>
          <w:rFonts w:ascii="Calibri" w:hAnsi="Calibri" w:cs="Calibri"/>
          <w:szCs w:val="24"/>
        </w:rPr>
        <w:t>directly engaged in formulating any data proposals</w:t>
      </w:r>
      <w:r>
        <w:rPr>
          <w:rFonts w:ascii="Calibri" w:hAnsi="Calibri" w:cs="Calibri"/>
          <w:szCs w:val="24"/>
        </w:rPr>
        <w:t xml:space="preserve"> </w:t>
      </w:r>
      <w:r w:rsidR="004214D6" w:rsidRPr="0070760B">
        <w:rPr>
          <w:rFonts w:ascii="Calibri" w:hAnsi="Calibri" w:cs="Calibri"/>
          <w:szCs w:val="24"/>
        </w:rPr>
        <w:t xml:space="preserve">and that </w:t>
      </w:r>
      <w:r>
        <w:rPr>
          <w:rFonts w:ascii="Calibri" w:hAnsi="Calibri" w:cs="Calibri"/>
          <w:szCs w:val="24"/>
        </w:rPr>
        <w:t xml:space="preserve">the </w:t>
      </w:r>
      <w:r w:rsidR="004214D6" w:rsidRPr="0070760B">
        <w:rPr>
          <w:rFonts w:ascii="Calibri" w:hAnsi="Calibri" w:cs="Calibri"/>
          <w:szCs w:val="24"/>
        </w:rPr>
        <w:t>following</w:t>
      </w:r>
      <w:r>
        <w:rPr>
          <w:rFonts w:ascii="Calibri" w:hAnsi="Calibri" w:cs="Calibri"/>
          <w:szCs w:val="24"/>
        </w:rPr>
        <w:t xml:space="preserve"> </w:t>
      </w:r>
      <w:r w:rsidR="00A05BB3">
        <w:rPr>
          <w:rFonts w:ascii="Calibri" w:hAnsi="Calibri" w:cs="Calibri"/>
          <w:szCs w:val="24"/>
        </w:rPr>
        <w:t xml:space="preserve">questions </w:t>
      </w:r>
      <w:r>
        <w:rPr>
          <w:rFonts w:ascii="Calibri" w:hAnsi="Calibri" w:cs="Calibri"/>
          <w:szCs w:val="24"/>
        </w:rPr>
        <w:t>are addressed</w:t>
      </w:r>
      <w:r w:rsidR="004214D6" w:rsidRPr="0070760B">
        <w:rPr>
          <w:rFonts w:ascii="Calibri" w:hAnsi="Calibri" w:cs="Calibri"/>
          <w:szCs w:val="24"/>
        </w:rPr>
        <w:t>:</w:t>
      </w:r>
    </w:p>
    <w:p w:rsidR="004214D6" w:rsidRPr="0070760B" w:rsidRDefault="004214D6" w:rsidP="004214D6">
      <w:pPr>
        <w:rPr>
          <w:rFonts w:ascii="Calibri" w:hAnsi="Calibri" w:cs="Calibri"/>
          <w:szCs w:val="24"/>
        </w:rPr>
      </w:pPr>
    </w:p>
    <w:p w:rsidR="004214D6" w:rsidRPr="0070760B" w:rsidRDefault="004214D6" w:rsidP="004214D6">
      <w:pPr>
        <w:pStyle w:val="ListParagraph"/>
        <w:numPr>
          <w:ilvl w:val="0"/>
          <w:numId w:val="46"/>
        </w:numPr>
        <w:rPr>
          <w:rFonts w:ascii="Calibri" w:hAnsi="Calibri" w:cs="Calibri"/>
          <w:szCs w:val="24"/>
        </w:rPr>
      </w:pPr>
      <w:r w:rsidRPr="0070760B">
        <w:rPr>
          <w:rFonts w:ascii="Calibri" w:hAnsi="Calibri" w:cs="Calibri"/>
          <w:szCs w:val="24"/>
        </w:rPr>
        <w:t>Is there a demonstrable benefit to the community and</w:t>
      </w:r>
      <w:r w:rsidR="00F055CA">
        <w:rPr>
          <w:rFonts w:ascii="Calibri" w:hAnsi="Calibri" w:cs="Calibri"/>
          <w:szCs w:val="24"/>
        </w:rPr>
        <w:t>/or</w:t>
      </w:r>
      <w:r w:rsidRPr="0070760B">
        <w:rPr>
          <w:rFonts w:ascii="Calibri" w:hAnsi="Calibri" w:cs="Calibri"/>
          <w:szCs w:val="24"/>
        </w:rPr>
        <w:t xml:space="preserve"> service users to be achieve</w:t>
      </w:r>
      <w:r w:rsidR="001C5026">
        <w:rPr>
          <w:rFonts w:ascii="Calibri" w:hAnsi="Calibri" w:cs="Calibri"/>
          <w:szCs w:val="24"/>
        </w:rPr>
        <w:t>d from the data? C</w:t>
      </w:r>
      <w:r w:rsidRPr="0070760B">
        <w:rPr>
          <w:rFonts w:ascii="Calibri" w:hAnsi="Calibri" w:cs="Calibri"/>
          <w:szCs w:val="24"/>
        </w:rPr>
        <w:t>an that benefit be clearly articulated?</w:t>
      </w:r>
    </w:p>
    <w:p w:rsidR="004214D6" w:rsidRPr="0070760B" w:rsidRDefault="004214D6" w:rsidP="004214D6">
      <w:pPr>
        <w:pStyle w:val="ListParagraph"/>
        <w:numPr>
          <w:ilvl w:val="0"/>
          <w:numId w:val="46"/>
        </w:numPr>
        <w:rPr>
          <w:rFonts w:ascii="Calibri" w:hAnsi="Calibri" w:cs="Calibri"/>
          <w:szCs w:val="24"/>
        </w:rPr>
      </w:pPr>
      <w:r w:rsidRPr="0070760B">
        <w:rPr>
          <w:rFonts w:ascii="Calibri" w:hAnsi="Calibri" w:cs="Calibri"/>
          <w:szCs w:val="24"/>
        </w:rPr>
        <w:t xml:space="preserve">Is the data capable of being interrogated, cross-referenced, </w:t>
      </w:r>
      <w:r w:rsidR="00BB4C01">
        <w:rPr>
          <w:rFonts w:ascii="Calibri" w:hAnsi="Calibri" w:cs="Calibri"/>
          <w:szCs w:val="24"/>
        </w:rPr>
        <w:t xml:space="preserve">and/or </w:t>
      </w:r>
      <w:r w:rsidRPr="0070760B">
        <w:rPr>
          <w:rFonts w:ascii="Calibri" w:hAnsi="Calibri" w:cs="Calibri"/>
          <w:szCs w:val="24"/>
        </w:rPr>
        <w:t>analysed in a way and for the purpose envisage</w:t>
      </w:r>
      <w:r w:rsidR="00294414">
        <w:rPr>
          <w:rFonts w:ascii="Calibri" w:hAnsi="Calibri" w:cs="Calibri"/>
          <w:szCs w:val="24"/>
        </w:rPr>
        <w:t>d</w:t>
      </w:r>
      <w:r w:rsidRPr="0070760B">
        <w:rPr>
          <w:rFonts w:ascii="Calibri" w:hAnsi="Calibri" w:cs="Calibri"/>
          <w:szCs w:val="24"/>
        </w:rPr>
        <w:t xml:space="preserve">, </w:t>
      </w:r>
      <w:r w:rsidR="003A2F9A" w:rsidRPr="0070760B">
        <w:rPr>
          <w:rFonts w:ascii="Calibri" w:hAnsi="Calibri" w:cs="Calibri"/>
          <w:szCs w:val="24"/>
        </w:rPr>
        <w:t>i.e.</w:t>
      </w:r>
      <w:r w:rsidRPr="0070760B">
        <w:rPr>
          <w:rFonts w:ascii="Calibri" w:hAnsi="Calibri" w:cs="Calibri"/>
          <w:szCs w:val="24"/>
        </w:rPr>
        <w:t xml:space="preserve"> to achieve the benefit?</w:t>
      </w:r>
    </w:p>
    <w:p w:rsidR="004214D6" w:rsidRPr="0070760B" w:rsidRDefault="004214D6" w:rsidP="004214D6">
      <w:pPr>
        <w:pStyle w:val="ListParagraph"/>
        <w:numPr>
          <w:ilvl w:val="0"/>
          <w:numId w:val="46"/>
        </w:numPr>
        <w:rPr>
          <w:rFonts w:ascii="Calibri" w:hAnsi="Calibri" w:cs="Calibri"/>
          <w:szCs w:val="24"/>
        </w:rPr>
      </w:pPr>
      <w:r w:rsidRPr="0070760B">
        <w:rPr>
          <w:rFonts w:ascii="Calibri" w:hAnsi="Calibri" w:cs="Calibri"/>
          <w:szCs w:val="24"/>
        </w:rPr>
        <w:t>Is there an impact on the individual from whom the data is to be collected?</w:t>
      </w:r>
    </w:p>
    <w:p w:rsidR="004214D6" w:rsidRDefault="004214D6" w:rsidP="004214D6">
      <w:pPr>
        <w:pStyle w:val="ListParagraph"/>
        <w:numPr>
          <w:ilvl w:val="0"/>
          <w:numId w:val="46"/>
        </w:numPr>
        <w:rPr>
          <w:rFonts w:ascii="Calibri" w:hAnsi="Calibri" w:cs="Calibri"/>
          <w:szCs w:val="24"/>
        </w:rPr>
      </w:pPr>
      <w:r w:rsidRPr="0070760B">
        <w:rPr>
          <w:rFonts w:ascii="Calibri" w:hAnsi="Calibri" w:cs="Calibri"/>
          <w:szCs w:val="24"/>
        </w:rPr>
        <w:t>Is the data collection proportionate to the service to be delivered?</w:t>
      </w:r>
    </w:p>
    <w:p w:rsidR="00BB4C01" w:rsidRPr="00BB4C01" w:rsidRDefault="00BB4C01" w:rsidP="00BB4C01">
      <w:pPr>
        <w:pStyle w:val="ListParagraph"/>
        <w:numPr>
          <w:ilvl w:val="0"/>
          <w:numId w:val="46"/>
        </w:numPr>
        <w:rPr>
          <w:rFonts w:ascii="Calibri" w:hAnsi="Calibri" w:cs="Calibri"/>
          <w:szCs w:val="24"/>
        </w:rPr>
      </w:pPr>
      <w:r w:rsidRPr="0070760B">
        <w:rPr>
          <w:rFonts w:ascii="Calibri" w:hAnsi="Calibri" w:cs="Calibri"/>
          <w:szCs w:val="24"/>
        </w:rPr>
        <w:t>Is the data collection proportionate to its usefulness?</w:t>
      </w:r>
    </w:p>
    <w:p w:rsidR="004214D6" w:rsidRPr="0070760B" w:rsidRDefault="004214D6" w:rsidP="004214D6">
      <w:pPr>
        <w:pStyle w:val="ListParagraph"/>
        <w:numPr>
          <w:ilvl w:val="0"/>
          <w:numId w:val="46"/>
        </w:numPr>
        <w:rPr>
          <w:rFonts w:ascii="Calibri" w:hAnsi="Calibri" w:cs="Calibri"/>
          <w:szCs w:val="24"/>
        </w:rPr>
      </w:pPr>
      <w:r w:rsidRPr="0070760B">
        <w:rPr>
          <w:rFonts w:ascii="Calibri" w:hAnsi="Calibri" w:cs="Calibri"/>
          <w:szCs w:val="24"/>
        </w:rPr>
        <w:t>Is the data to be collected capable of being accurately collected</w:t>
      </w:r>
      <w:r w:rsidR="00BB4C01">
        <w:rPr>
          <w:rFonts w:ascii="Calibri" w:hAnsi="Calibri" w:cs="Calibri"/>
          <w:szCs w:val="24"/>
        </w:rPr>
        <w:t>/compared</w:t>
      </w:r>
      <w:r w:rsidRPr="0070760B">
        <w:rPr>
          <w:rFonts w:ascii="Calibri" w:hAnsi="Calibri" w:cs="Calibri"/>
          <w:szCs w:val="24"/>
        </w:rPr>
        <w:t>?</w:t>
      </w:r>
      <w:r w:rsidR="0070760B">
        <w:rPr>
          <w:rFonts w:ascii="Calibri" w:hAnsi="Calibri" w:cs="Calibri"/>
          <w:szCs w:val="24"/>
        </w:rPr>
        <w:t xml:space="preserve"> </w:t>
      </w:r>
      <w:r w:rsidRPr="0070760B">
        <w:rPr>
          <w:rFonts w:ascii="Calibri" w:hAnsi="Calibri" w:cs="Calibri"/>
          <w:szCs w:val="24"/>
        </w:rPr>
        <w:t xml:space="preserve"> If not, why not? </w:t>
      </w:r>
    </w:p>
    <w:p w:rsidR="004214D6" w:rsidRPr="0070760B" w:rsidRDefault="004214D6" w:rsidP="004214D6">
      <w:pPr>
        <w:pStyle w:val="ListParagraph"/>
        <w:numPr>
          <w:ilvl w:val="0"/>
          <w:numId w:val="46"/>
        </w:numPr>
        <w:rPr>
          <w:rFonts w:ascii="Calibri" w:hAnsi="Calibri" w:cs="Calibri"/>
          <w:szCs w:val="24"/>
        </w:rPr>
      </w:pPr>
      <w:r w:rsidRPr="0070760B">
        <w:rPr>
          <w:rFonts w:ascii="Calibri" w:hAnsi="Calibri" w:cs="Calibri"/>
          <w:szCs w:val="24"/>
        </w:rPr>
        <w:t>What is the cost associated with the data collection?  Are there systems adjustment and training cost issues? Is the data cost effective to collect?</w:t>
      </w:r>
    </w:p>
    <w:p w:rsidR="004214D6" w:rsidRPr="0070760B" w:rsidRDefault="004214D6" w:rsidP="004214D6">
      <w:pPr>
        <w:pStyle w:val="ListParagraph"/>
        <w:numPr>
          <w:ilvl w:val="0"/>
          <w:numId w:val="46"/>
        </w:numPr>
        <w:rPr>
          <w:rFonts w:ascii="Calibri" w:hAnsi="Calibri" w:cs="Calibri"/>
          <w:szCs w:val="24"/>
        </w:rPr>
      </w:pPr>
      <w:r w:rsidRPr="0070760B">
        <w:rPr>
          <w:rFonts w:ascii="Calibri" w:hAnsi="Calibri" w:cs="Calibri"/>
          <w:szCs w:val="24"/>
        </w:rPr>
        <w:t xml:space="preserve">How would the data best be collected?  Over time, snap-shot/s?  </w:t>
      </w:r>
    </w:p>
    <w:p w:rsidR="004214D6" w:rsidRPr="0070760B" w:rsidRDefault="00C35113" w:rsidP="004214D6">
      <w:pPr>
        <w:pStyle w:val="ListParagraph"/>
        <w:numPr>
          <w:ilvl w:val="0"/>
          <w:numId w:val="46"/>
        </w:numPr>
        <w:rPr>
          <w:rFonts w:ascii="Calibri" w:hAnsi="Calibri" w:cs="Calibri"/>
          <w:szCs w:val="24"/>
        </w:rPr>
      </w:pPr>
      <w:r w:rsidRPr="0070760B">
        <w:rPr>
          <w:rFonts w:ascii="Calibri" w:hAnsi="Calibri" w:cs="Calibri"/>
          <w:szCs w:val="24"/>
        </w:rPr>
        <w:t>Definitions and counting rules</w:t>
      </w:r>
      <w:r w:rsidR="0026019D">
        <w:rPr>
          <w:rFonts w:ascii="Calibri" w:hAnsi="Calibri" w:cs="Calibri"/>
          <w:szCs w:val="24"/>
        </w:rPr>
        <w:t>?</w:t>
      </w:r>
    </w:p>
    <w:p w:rsidR="004214D6" w:rsidRPr="00CC4179" w:rsidRDefault="004214D6" w:rsidP="00CC4179">
      <w:pPr>
        <w:pStyle w:val="RecTitle"/>
        <w:jc w:val="left"/>
        <w:rPr>
          <w:rFonts w:ascii="Calibri" w:hAnsi="Calibri" w:cs="Calibri"/>
          <w:caps w:val="0"/>
          <w:szCs w:val="24"/>
        </w:rPr>
      </w:pPr>
      <w:r w:rsidRPr="0070760B">
        <w:rPr>
          <w:rFonts w:ascii="Calibri" w:hAnsi="Calibri" w:cs="Calibri"/>
          <w:caps w:val="0"/>
          <w:szCs w:val="24"/>
        </w:rPr>
        <w:t xml:space="preserve">NLA suggests that </w:t>
      </w:r>
      <w:r w:rsidR="000B5C41" w:rsidRPr="0070760B">
        <w:rPr>
          <w:rFonts w:ascii="Calibri" w:hAnsi="Calibri" w:cs="Calibri"/>
          <w:caps w:val="0"/>
          <w:szCs w:val="24"/>
        </w:rPr>
        <w:t xml:space="preserve">it would </w:t>
      </w:r>
      <w:r w:rsidR="00BB4C01">
        <w:rPr>
          <w:rFonts w:ascii="Calibri" w:hAnsi="Calibri" w:cs="Calibri"/>
          <w:caps w:val="0"/>
          <w:szCs w:val="24"/>
        </w:rPr>
        <w:t xml:space="preserve">also </w:t>
      </w:r>
      <w:r w:rsidR="000B5C41" w:rsidRPr="0070760B">
        <w:rPr>
          <w:rFonts w:ascii="Calibri" w:hAnsi="Calibri" w:cs="Calibri"/>
          <w:caps w:val="0"/>
          <w:szCs w:val="24"/>
        </w:rPr>
        <w:t xml:space="preserve">be helpful to recognise that </w:t>
      </w:r>
      <w:r w:rsidRPr="0070760B">
        <w:rPr>
          <w:rFonts w:ascii="Calibri" w:hAnsi="Calibri" w:cs="Calibri"/>
          <w:caps w:val="0"/>
          <w:szCs w:val="24"/>
        </w:rPr>
        <w:t>there is a distinction to be made between “core data sets” which should be collected by legal assistance providers</w:t>
      </w:r>
      <w:r w:rsidR="00BB4C01">
        <w:rPr>
          <w:rFonts w:ascii="Calibri" w:hAnsi="Calibri" w:cs="Calibri"/>
          <w:caps w:val="0"/>
          <w:szCs w:val="24"/>
        </w:rPr>
        <w:t xml:space="preserve"> as a matter of course</w:t>
      </w:r>
      <w:r w:rsidRPr="0070760B">
        <w:rPr>
          <w:rFonts w:ascii="Calibri" w:hAnsi="Calibri" w:cs="Calibri"/>
          <w:caps w:val="0"/>
          <w:szCs w:val="24"/>
        </w:rPr>
        <w:t>, and more expansive data collection which would be better obtained by survey</w:t>
      </w:r>
      <w:r w:rsidR="00BB4C01">
        <w:rPr>
          <w:rFonts w:ascii="Calibri" w:hAnsi="Calibri" w:cs="Calibri"/>
          <w:caps w:val="0"/>
          <w:szCs w:val="24"/>
        </w:rPr>
        <w:t>,</w:t>
      </w:r>
      <w:r w:rsidRPr="0070760B">
        <w:rPr>
          <w:rFonts w:ascii="Calibri" w:hAnsi="Calibri" w:cs="Calibri"/>
          <w:caps w:val="0"/>
          <w:szCs w:val="24"/>
        </w:rPr>
        <w:t xml:space="preserve"> or as </w:t>
      </w:r>
      <w:r w:rsidR="00BB4C01">
        <w:rPr>
          <w:rFonts w:ascii="Calibri" w:hAnsi="Calibri" w:cs="Calibri"/>
          <w:caps w:val="0"/>
          <w:szCs w:val="24"/>
        </w:rPr>
        <w:t>“</w:t>
      </w:r>
      <w:r w:rsidRPr="0070760B">
        <w:rPr>
          <w:rFonts w:ascii="Calibri" w:hAnsi="Calibri" w:cs="Calibri"/>
          <w:caps w:val="0"/>
          <w:szCs w:val="24"/>
        </w:rPr>
        <w:t>snapshots</w:t>
      </w:r>
      <w:r w:rsidR="00BB4C01">
        <w:rPr>
          <w:rFonts w:ascii="Calibri" w:hAnsi="Calibri" w:cs="Calibri"/>
          <w:caps w:val="0"/>
          <w:szCs w:val="24"/>
        </w:rPr>
        <w:t>”</w:t>
      </w:r>
      <w:r w:rsidRPr="0070760B">
        <w:rPr>
          <w:rFonts w:ascii="Calibri" w:hAnsi="Calibri" w:cs="Calibri"/>
          <w:caps w:val="0"/>
          <w:szCs w:val="24"/>
        </w:rPr>
        <w:t xml:space="preserve"> in or over time.  </w:t>
      </w:r>
    </w:p>
    <w:p w:rsidR="000601AC" w:rsidRDefault="000601AC" w:rsidP="00D41601">
      <w:pPr>
        <w:rPr>
          <w:rFonts w:ascii="Calibri" w:hAnsi="Calibri" w:cs="Calibri"/>
          <w:szCs w:val="24"/>
        </w:rPr>
      </w:pPr>
    </w:p>
    <w:p w:rsidR="00D41601" w:rsidRDefault="00D1144C" w:rsidP="00D41601">
      <w:pPr>
        <w:rPr>
          <w:rFonts w:ascii="Calibri" w:hAnsi="Calibri" w:cs="Calibri"/>
          <w:szCs w:val="24"/>
        </w:rPr>
      </w:pPr>
      <w:r>
        <w:rPr>
          <w:rFonts w:ascii="Calibri" w:hAnsi="Calibri" w:cs="Calibri"/>
          <w:szCs w:val="24"/>
        </w:rPr>
        <w:t>“O</w:t>
      </w:r>
      <w:r w:rsidR="00DF2086" w:rsidRPr="0070760B">
        <w:rPr>
          <w:rFonts w:ascii="Calibri" w:hAnsi="Calibri" w:cs="Calibri"/>
          <w:szCs w:val="24"/>
        </w:rPr>
        <w:t xml:space="preserve">utcomes based data” </w:t>
      </w:r>
      <w:r w:rsidR="001427A3">
        <w:rPr>
          <w:rFonts w:ascii="Calibri" w:hAnsi="Calibri" w:cs="Calibri"/>
          <w:szCs w:val="24"/>
        </w:rPr>
        <w:t xml:space="preserve">potentially encompasses </w:t>
      </w:r>
      <w:r w:rsidR="00524563" w:rsidRPr="0070760B">
        <w:rPr>
          <w:rFonts w:ascii="Calibri" w:hAnsi="Calibri" w:cs="Calibri"/>
          <w:szCs w:val="24"/>
        </w:rPr>
        <w:t xml:space="preserve">a range of </w:t>
      </w:r>
      <w:r w:rsidR="001427A3">
        <w:rPr>
          <w:rFonts w:ascii="Calibri" w:hAnsi="Calibri" w:cs="Calibri"/>
          <w:szCs w:val="24"/>
        </w:rPr>
        <w:t xml:space="preserve">vastly </w:t>
      </w:r>
      <w:r w:rsidR="00524563" w:rsidRPr="0070760B">
        <w:rPr>
          <w:rFonts w:ascii="Calibri" w:hAnsi="Calibri" w:cs="Calibri"/>
          <w:szCs w:val="24"/>
        </w:rPr>
        <w:t xml:space="preserve">different data, some of which </w:t>
      </w:r>
      <w:r w:rsidR="0057587D" w:rsidRPr="0070760B">
        <w:rPr>
          <w:rFonts w:ascii="Calibri" w:hAnsi="Calibri" w:cs="Calibri"/>
          <w:szCs w:val="24"/>
        </w:rPr>
        <w:t xml:space="preserve">might </w:t>
      </w:r>
      <w:r w:rsidR="00524563" w:rsidRPr="0070760B">
        <w:rPr>
          <w:rFonts w:ascii="Calibri" w:hAnsi="Calibri" w:cs="Calibri"/>
          <w:szCs w:val="24"/>
        </w:rPr>
        <w:t>be</w:t>
      </w:r>
      <w:r w:rsidR="00867A61" w:rsidRPr="0070760B">
        <w:rPr>
          <w:rFonts w:ascii="Calibri" w:hAnsi="Calibri" w:cs="Calibri"/>
          <w:szCs w:val="24"/>
        </w:rPr>
        <w:t xml:space="preserve"> more readily obtainable (</w:t>
      </w:r>
      <w:r w:rsidR="003A2F9A" w:rsidRPr="0070760B">
        <w:rPr>
          <w:rFonts w:ascii="Calibri" w:hAnsi="Calibri" w:cs="Calibri"/>
          <w:szCs w:val="24"/>
        </w:rPr>
        <w:t>e.g.</w:t>
      </w:r>
      <w:r w:rsidR="00524563" w:rsidRPr="0070760B">
        <w:rPr>
          <w:rFonts w:ascii="Calibri" w:hAnsi="Calibri" w:cs="Calibri"/>
          <w:szCs w:val="24"/>
        </w:rPr>
        <w:t xml:space="preserve"> settlement rates published by LACs in relation to LAC dispute resolution)</w:t>
      </w:r>
      <w:r w:rsidR="00135AAA">
        <w:rPr>
          <w:rFonts w:ascii="Calibri" w:hAnsi="Calibri" w:cs="Calibri"/>
          <w:szCs w:val="24"/>
        </w:rPr>
        <w:t xml:space="preserve">, and others </w:t>
      </w:r>
      <w:r w:rsidR="001427A3">
        <w:rPr>
          <w:rFonts w:ascii="Calibri" w:hAnsi="Calibri" w:cs="Calibri"/>
          <w:szCs w:val="24"/>
        </w:rPr>
        <w:t xml:space="preserve">which will require the development, capture, recording, cross-referencing and analysis of multiple data to achieve results.   </w:t>
      </w:r>
      <w:r w:rsidR="00022B20" w:rsidRPr="0070760B">
        <w:rPr>
          <w:rFonts w:ascii="Calibri" w:hAnsi="Calibri" w:cs="Calibri"/>
          <w:szCs w:val="24"/>
        </w:rPr>
        <w:t>“</w:t>
      </w:r>
      <w:r w:rsidR="0084323F">
        <w:rPr>
          <w:rFonts w:ascii="Calibri" w:hAnsi="Calibri" w:cs="Calibri"/>
          <w:szCs w:val="24"/>
        </w:rPr>
        <w:t>O</w:t>
      </w:r>
      <w:r w:rsidR="00022B20" w:rsidRPr="0070760B">
        <w:rPr>
          <w:rFonts w:ascii="Calibri" w:hAnsi="Calibri" w:cs="Calibri"/>
          <w:szCs w:val="24"/>
        </w:rPr>
        <w:t xml:space="preserve">utcomes data” </w:t>
      </w:r>
      <w:r w:rsidR="004A6073">
        <w:rPr>
          <w:rFonts w:ascii="Calibri" w:hAnsi="Calibri" w:cs="Calibri"/>
          <w:szCs w:val="24"/>
        </w:rPr>
        <w:t xml:space="preserve">could also </w:t>
      </w:r>
      <w:r w:rsidR="00022B20" w:rsidRPr="0070760B">
        <w:rPr>
          <w:rFonts w:ascii="Calibri" w:hAnsi="Calibri" w:cs="Calibri"/>
          <w:szCs w:val="24"/>
        </w:rPr>
        <w:t xml:space="preserve">require the administering of controlled questions about </w:t>
      </w:r>
      <w:r w:rsidR="001427A3">
        <w:rPr>
          <w:rFonts w:ascii="Calibri" w:hAnsi="Calibri" w:cs="Calibri"/>
          <w:szCs w:val="24"/>
        </w:rPr>
        <w:t xml:space="preserve">the </w:t>
      </w:r>
      <w:r w:rsidR="00022B20" w:rsidRPr="0070760B">
        <w:rPr>
          <w:rFonts w:ascii="Calibri" w:hAnsi="Calibri" w:cs="Calibri"/>
          <w:szCs w:val="24"/>
        </w:rPr>
        <w:t>client</w:t>
      </w:r>
      <w:r w:rsidR="001427A3">
        <w:rPr>
          <w:rFonts w:ascii="Calibri" w:hAnsi="Calibri" w:cs="Calibri"/>
          <w:szCs w:val="24"/>
        </w:rPr>
        <w:t>’s situation and/or</w:t>
      </w:r>
      <w:r w:rsidR="00022B20" w:rsidRPr="0070760B">
        <w:rPr>
          <w:rFonts w:ascii="Calibri" w:hAnsi="Calibri" w:cs="Calibri"/>
          <w:szCs w:val="24"/>
        </w:rPr>
        <w:t xml:space="preserve"> experience</w:t>
      </w:r>
      <w:r w:rsidR="001427A3">
        <w:rPr>
          <w:rFonts w:ascii="Calibri" w:hAnsi="Calibri" w:cs="Calibri"/>
          <w:szCs w:val="24"/>
        </w:rPr>
        <w:t xml:space="preserve"> over time</w:t>
      </w:r>
      <w:r w:rsidR="00022B20" w:rsidRPr="0070760B">
        <w:rPr>
          <w:rFonts w:ascii="Calibri" w:hAnsi="Calibri" w:cs="Calibri"/>
          <w:szCs w:val="24"/>
        </w:rPr>
        <w:t xml:space="preserve">.  </w:t>
      </w:r>
      <w:r w:rsidR="003A2F9A" w:rsidRPr="0070760B">
        <w:rPr>
          <w:rFonts w:ascii="Calibri" w:hAnsi="Calibri" w:cs="Calibri"/>
          <w:szCs w:val="24"/>
        </w:rPr>
        <w:t xml:space="preserve">Such exercises </w:t>
      </w:r>
      <w:r w:rsidR="001427A3">
        <w:rPr>
          <w:rFonts w:ascii="Calibri" w:hAnsi="Calibri" w:cs="Calibri"/>
          <w:szCs w:val="24"/>
        </w:rPr>
        <w:t xml:space="preserve">are usually more labour intensive and costly.  </w:t>
      </w:r>
      <w:r w:rsidR="00D41601">
        <w:rPr>
          <w:rFonts w:ascii="Calibri" w:hAnsi="Calibri" w:cs="Calibri"/>
          <w:szCs w:val="24"/>
        </w:rPr>
        <w:t xml:space="preserve"> </w:t>
      </w:r>
    </w:p>
    <w:p w:rsidR="00D41601" w:rsidRDefault="00D41601" w:rsidP="00D41601">
      <w:pPr>
        <w:rPr>
          <w:rFonts w:ascii="Calibri" w:hAnsi="Calibri" w:cs="Calibri"/>
          <w:szCs w:val="24"/>
        </w:rPr>
      </w:pPr>
    </w:p>
    <w:p w:rsidR="00D41601" w:rsidRDefault="009853A4" w:rsidP="00D41601">
      <w:pPr>
        <w:rPr>
          <w:rFonts w:ascii="Calibri" w:hAnsi="Calibri" w:cs="Calibri"/>
          <w:szCs w:val="24"/>
        </w:rPr>
      </w:pPr>
      <w:r>
        <w:rPr>
          <w:rFonts w:ascii="Calibri" w:hAnsi="Calibri" w:cs="Calibri"/>
          <w:szCs w:val="24"/>
        </w:rPr>
        <w:t xml:space="preserve">Performance indicator 1 in the NPA required reporting on </w:t>
      </w:r>
      <w:r w:rsidR="00D41601" w:rsidRPr="0070760B">
        <w:rPr>
          <w:rFonts w:ascii="Calibri" w:hAnsi="Calibri" w:cs="Calibri"/>
          <w:szCs w:val="24"/>
        </w:rPr>
        <w:t xml:space="preserve">“successful </w:t>
      </w:r>
      <w:r w:rsidR="00D41601">
        <w:rPr>
          <w:rFonts w:ascii="Calibri" w:hAnsi="Calibri" w:cs="Calibri"/>
          <w:szCs w:val="24"/>
        </w:rPr>
        <w:t xml:space="preserve">legal aid service </w:t>
      </w:r>
      <w:r w:rsidR="00225120">
        <w:rPr>
          <w:rFonts w:ascii="Calibri" w:hAnsi="Calibri" w:cs="Calibri"/>
          <w:szCs w:val="24"/>
        </w:rPr>
        <w:t xml:space="preserve">outcomes”.  The first of these was specified in the NPA as “less than 20% of legal aid grant recipients return seeking a grant of aid for the same type of matter within a 24 month period” and the NPA did not contain requisite definitions.  The other “successful outcomes” referred to in </w:t>
      </w:r>
      <w:r w:rsidR="001E2580">
        <w:rPr>
          <w:rFonts w:ascii="Calibri" w:hAnsi="Calibri" w:cs="Calibri"/>
          <w:szCs w:val="24"/>
        </w:rPr>
        <w:t xml:space="preserve">Performance Indicator 1 of </w:t>
      </w:r>
      <w:r w:rsidR="00225120">
        <w:rPr>
          <w:rFonts w:ascii="Calibri" w:hAnsi="Calibri" w:cs="Calibri"/>
          <w:szCs w:val="24"/>
        </w:rPr>
        <w:t xml:space="preserve">the NPA </w:t>
      </w:r>
      <w:r w:rsidR="00D41601" w:rsidRPr="0070760B">
        <w:rPr>
          <w:rFonts w:ascii="Calibri" w:hAnsi="Calibri" w:cs="Calibri"/>
          <w:szCs w:val="24"/>
        </w:rPr>
        <w:t>were not identified or defined prior to the signing of the NPA.  Definitions, and additional reporting therefore had to be</w:t>
      </w:r>
      <w:r w:rsidR="00D41601">
        <w:rPr>
          <w:rFonts w:ascii="Calibri" w:hAnsi="Calibri" w:cs="Calibri"/>
          <w:szCs w:val="24"/>
        </w:rPr>
        <w:t xml:space="preserve"> hurriedly</w:t>
      </w:r>
      <w:r w:rsidR="00D41601" w:rsidRPr="0070760B">
        <w:rPr>
          <w:rFonts w:ascii="Calibri" w:hAnsi="Calibri" w:cs="Calibri"/>
          <w:szCs w:val="24"/>
        </w:rPr>
        <w:t xml:space="preserve"> retro-fitted on the basis of existing data sets</w:t>
      </w:r>
      <w:r w:rsidR="00834A0A">
        <w:rPr>
          <w:rFonts w:ascii="Calibri" w:hAnsi="Calibri" w:cs="Calibri"/>
          <w:szCs w:val="24"/>
        </w:rPr>
        <w:t xml:space="preserve">.  </w:t>
      </w:r>
      <w:r w:rsidR="001E2580">
        <w:rPr>
          <w:rFonts w:ascii="Calibri" w:hAnsi="Calibri" w:cs="Calibri"/>
          <w:szCs w:val="24"/>
        </w:rPr>
        <w:t>T</w:t>
      </w:r>
      <w:r w:rsidR="00CE1A5B">
        <w:rPr>
          <w:rFonts w:ascii="Calibri" w:hAnsi="Calibri" w:cs="Calibri"/>
          <w:szCs w:val="24"/>
        </w:rPr>
        <w:t xml:space="preserve">he </w:t>
      </w:r>
      <w:r w:rsidR="00D41601" w:rsidRPr="0070760B">
        <w:rPr>
          <w:rFonts w:ascii="Calibri" w:hAnsi="Calibri" w:cs="Calibri"/>
          <w:szCs w:val="24"/>
        </w:rPr>
        <w:t>capacity to glean anything beyond what was already known was</w:t>
      </w:r>
      <w:r w:rsidR="001E2580">
        <w:rPr>
          <w:rFonts w:ascii="Calibri" w:hAnsi="Calibri" w:cs="Calibri"/>
          <w:szCs w:val="24"/>
        </w:rPr>
        <w:t xml:space="preserve"> </w:t>
      </w:r>
      <w:r w:rsidR="00C003B1">
        <w:rPr>
          <w:rFonts w:ascii="Calibri" w:hAnsi="Calibri" w:cs="Calibri"/>
          <w:szCs w:val="24"/>
        </w:rPr>
        <w:t xml:space="preserve">therefore </w:t>
      </w:r>
      <w:r w:rsidR="00D41601" w:rsidRPr="0070760B">
        <w:rPr>
          <w:rFonts w:ascii="Calibri" w:hAnsi="Calibri" w:cs="Calibri"/>
          <w:szCs w:val="24"/>
        </w:rPr>
        <w:t>minimal</w:t>
      </w:r>
      <w:r w:rsidR="001E2580">
        <w:rPr>
          <w:rFonts w:ascii="Calibri" w:hAnsi="Calibri" w:cs="Calibri"/>
          <w:szCs w:val="24"/>
        </w:rPr>
        <w:t>, and the reporting of data could not be said to be cost-effective</w:t>
      </w:r>
      <w:r w:rsidR="00D41601" w:rsidRPr="0070760B">
        <w:rPr>
          <w:rFonts w:ascii="Calibri" w:hAnsi="Calibri" w:cs="Calibri"/>
          <w:szCs w:val="24"/>
        </w:rPr>
        <w:t xml:space="preserve">.   </w:t>
      </w:r>
    </w:p>
    <w:p w:rsidR="0070760B" w:rsidRDefault="003850BC" w:rsidP="0070760B">
      <w:pPr>
        <w:rPr>
          <w:rFonts w:ascii="Calibri" w:hAnsi="Calibri" w:cs="Calibri"/>
          <w:szCs w:val="24"/>
        </w:rPr>
      </w:pPr>
      <w:r>
        <w:rPr>
          <w:rFonts w:ascii="Calibri" w:hAnsi="Calibri" w:cs="Calibri"/>
          <w:szCs w:val="24"/>
        </w:rPr>
        <w:lastRenderedPageBreak/>
        <w:t>It is suggested that w</w:t>
      </w:r>
      <w:r w:rsidR="00E059F5" w:rsidRPr="0070760B">
        <w:rPr>
          <w:rFonts w:ascii="Calibri" w:hAnsi="Calibri" w:cs="Calibri"/>
          <w:szCs w:val="24"/>
        </w:rPr>
        <w:t>hatever the data sought to be obtained, carefully planned design and appropriate resourcing</w:t>
      </w:r>
      <w:r w:rsidR="0089030F" w:rsidRPr="0070760B">
        <w:rPr>
          <w:rFonts w:ascii="Calibri" w:hAnsi="Calibri" w:cs="Calibri"/>
          <w:szCs w:val="24"/>
        </w:rPr>
        <w:t xml:space="preserve"> of the design, collection, recording and reporting</w:t>
      </w:r>
      <w:r w:rsidR="00E059F5" w:rsidRPr="0070760B">
        <w:rPr>
          <w:rFonts w:ascii="Calibri" w:hAnsi="Calibri" w:cs="Calibri"/>
          <w:szCs w:val="24"/>
        </w:rPr>
        <w:t xml:space="preserve"> is essential.  </w:t>
      </w:r>
    </w:p>
    <w:p w:rsidR="002D1662" w:rsidRPr="0070760B" w:rsidRDefault="002D1662" w:rsidP="0070760B">
      <w:pPr>
        <w:rPr>
          <w:rFonts w:ascii="Calibri" w:hAnsi="Calibri" w:cs="Calibri"/>
          <w:szCs w:val="24"/>
        </w:rPr>
      </w:pPr>
    </w:p>
    <w:p w:rsidR="004214D6" w:rsidRPr="0070760B" w:rsidRDefault="004214D6" w:rsidP="0070760B">
      <w:pPr>
        <w:rPr>
          <w:rFonts w:ascii="Calibri" w:hAnsi="Calibri" w:cs="Calibri"/>
          <w:szCs w:val="24"/>
        </w:rPr>
      </w:pPr>
      <w:r w:rsidRPr="0070760B">
        <w:rPr>
          <w:rFonts w:ascii="Calibri" w:hAnsi="Calibri" w:cs="Calibri"/>
          <w:szCs w:val="24"/>
        </w:rPr>
        <w:t xml:space="preserve">In relation to Appendix J and the data response it proposes, </w:t>
      </w:r>
      <w:r w:rsidR="00806A77">
        <w:rPr>
          <w:rFonts w:ascii="Calibri" w:hAnsi="Calibri" w:cs="Calibri"/>
          <w:szCs w:val="24"/>
        </w:rPr>
        <w:t xml:space="preserve">it is respectfully suggested that </w:t>
      </w:r>
      <w:r w:rsidRPr="0070760B">
        <w:rPr>
          <w:rFonts w:ascii="Calibri" w:hAnsi="Calibri" w:cs="Calibri"/>
          <w:szCs w:val="24"/>
        </w:rPr>
        <w:t>the costs involved to achieve some of what is proposed are likely to be extraordinary, and have the potential to compound data fatigue if they are not approached in a manner that takes account of all relevant factors</w:t>
      </w:r>
      <w:r w:rsidR="00806A77">
        <w:rPr>
          <w:rFonts w:ascii="Calibri" w:hAnsi="Calibri" w:cs="Calibri"/>
          <w:szCs w:val="24"/>
        </w:rPr>
        <w:t xml:space="preserve"> as described above</w:t>
      </w:r>
      <w:r w:rsidRPr="0070760B">
        <w:rPr>
          <w:rFonts w:ascii="Calibri" w:hAnsi="Calibri" w:cs="Calibri"/>
          <w:szCs w:val="24"/>
        </w:rPr>
        <w:t xml:space="preserve">.  Concerns specific to the “legal assistance landscape” aspects of Appendix J, are attached to this submission.   </w:t>
      </w:r>
    </w:p>
    <w:p w:rsidR="004214D6" w:rsidRPr="0070760B" w:rsidRDefault="004214D6" w:rsidP="0070760B">
      <w:pPr>
        <w:rPr>
          <w:rFonts w:ascii="Calibri" w:hAnsi="Calibri" w:cs="Calibri"/>
          <w:szCs w:val="24"/>
        </w:rPr>
      </w:pPr>
    </w:p>
    <w:p w:rsidR="004214D6" w:rsidRPr="00094AD3" w:rsidRDefault="004214D6" w:rsidP="004214D6">
      <w:pPr>
        <w:pStyle w:val="RecTitle"/>
        <w:rPr>
          <w:rFonts w:ascii="Calibri" w:hAnsi="Calibri" w:cs="Calibri"/>
          <w:szCs w:val="24"/>
          <w:highlight w:val="lightGray"/>
        </w:rPr>
      </w:pPr>
      <w:r w:rsidRPr="00094AD3">
        <w:rPr>
          <w:rFonts w:ascii="Calibri" w:hAnsi="Calibri" w:cs="Calibri"/>
          <w:szCs w:val="24"/>
          <w:highlight w:val="lightGray"/>
        </w:rPr>
        <w:t>draft recommendation 24.2</w:t>
      </w:r>
    </w:p>
    <w:p w:rsidR="004214D6" w:rsidRPr="00094AD3" w:rsidRDefault="004214D6" w:rsidP="004214D6">
      <w:pPr>
        <w:spacing w:before="240" w:line="320" w:lineRule="atLeast"/>
        <w:jc w:val="both"/>
        <w:rPr>
          <w:rFonts w:ascii="Calibri" w:hAnsi="Calibri" w:cs="Calibri"/>
          <w:b/>
          <w:i/>
          <w:szCs w:val="24"/>
        </w:rPr>
      </w:pPr>
      <w:r w:rsidRPr="00094AD3">
        <w:rPr>
          <w:rFonts w:ascii="Calibri" w:hAnsi="Calibri" w:cs="Calibri"/>
          <w:b/>
          <w:i/>
          <w:szCs w:val="24"/>
          <w:highlight w:val="lightGray"/>
        </w:rPr>
        <w:t>As part of draft recommendation 24.1, existing data systems should be overhauled so that providers can track outcomes for intensive users of legal assistance services over time.</w:t>
      </w:r>
    </w:p>
    <w:p w:rsidR="005F1D44" w:rsidRPr="0070760B" w:rsidRDefault="005F1D44" w:rsidP="004214D6">
      <w:pPr>
        <w:rPr>
          <w:rFonts w:ascii="Calibri" w:hAnsi="Calibri" w:cs="Calibri"/>
          <w:szCs w:val="24"/>
        </w:rPr>
      </w:pPr>
    </w:p>
    <w:p w:rsidR="004214D6" w:rsidRPr="0070760B" w:rsidRDefault="00DA7D21" w:rsidP="004214D6">
      <w:pPr>
        <w:rPr>
          <w:rFonts w:ascii="Calibri" w:hAnsi="Calibri" w:cs="Calibri"/>
          <w:szCs w:val="24"/>
        </w:rPr>
      </w:pPr>
      <w:r>
        <w:rPr>
          <w:rFonts w:ascii="Calibri" w:hAnsi="Calibri" w:cs="Calibri"/>
          <w:szCs w:val="24"/>
        </w:rPr>
        <w:t>As suggested above, a</w:t>
      </w:r>
      <w:r w:rsidR="004214D6" w:rsidRPr="0070760B">
        <w:rPr>
          <w:rFonts w:ascii="Calibri" w:hAnsi="Calibri" w:cs="Calibri"/>
          <w:szCs w:val="24"/>
        </w:rPr>
        <w:t xml:space="preserve">n overhaul of legal assistance data systems </w:t>
      </w:r>
      <w:r>
        <w:rPr>
          <w:rFonts w:ascii="Calibri" w:hAnsi="Calibri" w:cs="Calibri"/>
          <w:szCs w:val="24"/>
        </w:rPr>
        <w:t xml:space="preserve">will </w:t>
      </w:r>
      <w:r w:rsidR="005F1D44" w:rsidRPr="0070760B">
        <w:rPr>
          <w:rFonts w:ascii="Calibri" w:hAnsi="Calibri" w:cs="Calibri"/>
          <w:szCs w:val="24"/>
        </w:rPr>
        <w:t>be expensive.  T</w:t>
      </w:r>
      <w:r w:rsidR="004214D6" w:rsidRPr="0070760B">
        <w:rPr>
          <w:rFonts w:ascii="Calibri" w:hAnsi="Calibri" w:cs="Calibri"/>
          <w:szCs w:val="24"/>
        </w:rPr>
        <w:t>he requirement for ongoing capture and recording data over time</w:t>
      </w:r>
      <w:r w:rsidR="005F1D44" w:rsidRPr="0070760B">
        <w:rPr>
          <w:rFonts w:ascii="Calibri" w:hAnsi="Calibri" w:cs="Calibri"/>
          <w:szCs w:val="24"/>
        </w:rPr>
        <w:t xml:space="preserve"> also entails expense in terms of staff training and time</w:t>
      </w:r>
      <w:r w:rsidR="004214D6" w:rsidRPr="0070760B">
        <w:rPr>
          <w:rFonts w:ascii="Calibri" w:hAnsi="Calibri" w:cs="Calibri"/>
          <w:szCs w:val="24"/>
        </w:rPr>
        <w:t>.</w:t>
      </w:r>
    </w:p>
    <w:p w:rsidR="004214D6" w:rsidRPr="0070760B" w:rsidRDefault="004214D6" w:rsidP="004214D6">
      <w:pPr>
        <w:rPr>
          <w:rFonts w:ascii="Calibri" w:hAnsi="Calibri" w:cs="Calibri"/>
          <w:szCs w:val="24"/>
        </w:rPr>
      </w:pPr>
    </w:p>
    <w:p w:rsidR="004214D6" w:rsidRPr="0070760B" w:rsidRDefault="004214D6" w:rsidP="004214D6">
      <w:pPr>
        <w:rPr>
          <w:rFonts w:ascii="Calibri" w:hAnsi="Calibri" w:cs="Calibri"/>
          <w:szCs w:val="24"/>
        </w:rPr>
      </w:pPr>
      <w:r w:rsidRPr="0070760B">
        <w:rPr>
          <w:rFonts w:ascii="Calibri" w:hAnsi="Calibri" w:cs="Calibri"/>
          <w:szCs w:val="24"/>
        </w:rPr>
        <w:t xml:space="preserve">NLA suggests that further consideration </w:t>
      </w:r>
      <w:r w:rsidR="005F1D44" w:rsidRPr="0070760B">
        <w:rPr>
          <w:rFonts w:ascii="Calibri" w:hAnsi="Calibri" w:cs="Calibri"/>
          <w:szCs w:val="24"/>
        </w:rPr>
        <w:t xml:space="preserve">is warranted in relation to </w:t>
      </w:r>
      <w:r w:rsidRPr="0070760B">
        <w:rPr>
          <w:rFonts w:ascii="Calibri" w:hAnsi="Calibri" w:cs="Calibri"/>
          <w:szCs w:val="24"/>
        </w:rPr>
        <w:t>what should be tracked, why it should be tracked, how</w:t>
      </w:r>
      <w:r w:rsidR="005F1D44" w:rsidRPr="0070760B">
        <w:rPr>
          <w:rFonts w:ascii="Calibri" w:hAnsi="Calibri" w:cs="Calibri"/>
          <w:szCs w:val="24"/>
        </w:rPr>
        <w:t>/when</w:t>
      </w:r>
      <w:r w:rsidRPr="0070760B">
        <w:rPr>
          <w:rFonts w:ascii="Calibri" w:hAnsi="Calibri" w:cs="Calibri"/>
          <w:szCs w:val="24"/>
        </w:rPr>
        <w:t xml:space="preserve"> it should be tracked, and who should be</w:t>
      </w:r>
      <w:r w:rsidR="005F1D44" w:rsidRPr="0070760B">
        <w:rPr>
          <w:rFonts w:ascii="Calibri" w:hAnsi="Calibri" w:cs="Calibri"/>
          <w:szCs w:val="24"/>
        </w:rPr>
        <w:t xml:space="preserve"> tracking it</w:t>
      </w:r>
      <w:r w:rsidRPr="0070760B">
        <w:rPr>
          <w:rFonts w:ascii="Calibri" w:hAnsi="Calibri" w:cs="Calibri"/>
          <w:szCs w:val="24"/>
        </w:rPr>
        <w:t xml:space="preserve">. </w:t>
      </w:r>
    </w:p>
    <w:p w:rsidR="004214D6" w:rsidRPr="0070760B" w:rsidRDefault="004214D6" w:rsidP="004214D6">
      <w:pPr>
        <w:rPr>
          <w:rFonts w:ascii="Calibri" w:hAnsi="Calibri" w:cs="Calibri"/>
          <w:szCs w:val="24"/>
        </w:rPr>
      </w:pPr>
    </w:p>
    <w:p w:rsidR="004214D6" w:rsidRPr="00E6306C" w:rsidRDefault="004214D6" w:rsidP="004214D6">
      <w:pPr>
        <w:pStyle w:val="RecTitle"/>
        <w:rPr>
          <w:rFonts w:ascii="Calibri" w:hAnsi="Calibri" w:cs="Calibri"/>
          <w:szCs w:val="24"/>
          <w:highlight w:val="lightGray"/>
        </w:rPr>
      </w:pPr>
      <w:r w:rsidRPr="00E6306C">
        <w:rPr>
          <w:rFonts w:ascii="Calibri" w:hAnsi="Calibri" w:cs="Calibri"/>
          <w:szCs w:val="24"/>
          <w:highlight w:val="lightGray"/>
        </w:rPr>
        <w:t>Information request 24.1</w:t>
      </w:r>
    </w:p>
    <w:p w:rsidR="004214D6" w:rsidRPr="00E6306C" w:rsidRDefault="004214D6" w:rsidP="004214D6">
      <w:pPr>
        <w:pStyle w:val="InformationRequest"/>
        <w:rPr>
          <w:rFonts w:ascii="Calibri" w:hAnsi="Calibri" w:cs="Calibri"/>
          <w:szCs w:val="24"/>
        </w:rPr>
      </w:pPr>
      <w:r w:rsidRPr="00E6306C">
        <w:rPr>
          <w:rFonts w:ascii="Calibri" w:hAnsi="Calibri" w:cs="Calibri"/>
          <w:szCs w:val="24"/>
          <w:highlight w:val="lightGray"/>
        </w:rPr>
        <w:t>The Commission seeks feedback on where a data clearinghouse for data on legal services should be located. Such a clearinghouse needs to be able to coordinate data collection from multiple civil justice stakeholders and disseminate the information in a timely fashion. It should also have some expertise in linking, using and presenting data, especially administrative data. Ideally, the clearinghouse should also have experience in liaising with legal service providers and different levels of government, have an understanding of the operation of the civil justice system and understand the principles behind benchmarking.</w:t>
      </w:r>
      <w:r w:rsidRPr="00E6306C">
        <w:rPr>
          <w:rFonts w:ascii="Calibri" w:hAnsi="Calibri" w:cs="Calibri"/>
          <w:szCs w:val="24"/>
        </w:rPr>
        <w:t xml:space="preserve"> </w:t>
      </w:r>
    </w:p>
    <w:p w:rsidR="00B62364" w:rsidRPr="0070760B" w:rsidRDefault="004214D6" w:rsidP="0070760B">
      <w:pPr>
        <w:rPr>
          <w:rFonts w:ascii="Calibri" w:hAnsi="Calibri" w:cs="Calibri"/>
          <w:szCs w:val="24"/>
        </w:rPr>
      </w:pPr>
      <w:r w:rsidRPr="00E6306C">
        <w:rPr>
          <w:rFonts w:ascii="Calibri" w:hAnsi="Calibri" w:cs="Calibri"/>
          <w:szCs w:val="24"/>
        </w:rPr>
        <w:t>This information request assumes that a data clearing house for data on lega</w:t>
      </w:r>
      <w:r w:rsidR="00353F63" w:rsidRPr="00E6306C">
        <w:rPr>
          <w:rFonts w:ascii="Calibri" w:hAnsi="Calibri" w:cs="Calibri"/>
          <w:szCs w:val="24"/>
        </w:rPr>
        <w:t>l</w:t>
      </w:r>
      <w:r w:rsidR="00353F63" w:rsidRPr="0070760B">
        <w:rPr>
          <w:rFonts w:ascii="Calibri" w:hAnsi="Calibri" w:cs="Calibri"/>
          <w:szCs w:val="24"/>
        </w:rPr>
        <w:t xml:space="preserve"> services would be beneficial</w:t>
      </w:r>
      <w:r w:rsidRPr="0070760B">
        <w:rPr>
          <w:rFonts w:ascii="Calibri" w:hAnsi="Calibri" w:cs="Calibri"/>
          <w:szCs w:val="24"/>
        </w:rPr>
        <w:t>.  Wh</w:t>
      </w:r>
      <w:r w:rsidR="00B62364" w:rsidRPr="0070760B">
        <w:rPr>
          <w:rFonts w:ascii="Calibri" w:hAnsi="Calibri" w:cs="Calibri"/>
          <w:szCs w:val="24"/>
        </w:rPr>
        <w:t xml:space="preserve">ilst this may </w:t>
      </w:r>
      <w:r w:rsidR="003C7116">
        <w:rPr>
          <w:rFonts w:ascii="Calibri" w:hAnsi="Calibri" w:cs="Calibri"/>
          <w:szCs w:val="24"/>
        </w:rPr>
        <w:t xml:space="preserve">well </w:t>
      </w:r>
      <w:r w:rsidR="00B62364" w:rsidRPr="0070760B">
        <w:rPr>
          <w:rFonts w:ascii="Calibri" w:hAnsi="Calibri" w:cs="Calibri"/>
          <w:szCs w:val="24"/>
        </w:rPr>
        <w:t>be so, NLA is concerned</w:t>
      </w:r>
      <w:r w:rsidRPr="0070760B">
        <w:rPr>
          <w:rFonts w:ascii="Calibri" w:hAnsi="Calibri" w:cs="Calibri"/>
          <w:szCs w:val="24"/>
        </w:rPr>
        <w:t xml:space="preserve"> that there </w:t>
      </w:r>
      <w:r w:rsidR="00C5327E">
        <w:rPr>
          <w:rFonts w:ascii="Calibri" w:hAnsi="Calibri" w:cs="Calibri"/>
          <w:szCs w:val="24"/>
        </w:rPr>
        <w:t xml:space="preserve">are </w:t>
      </w:r>
      <w:r w:rsidRPr="0070760B">
        <w:rPr>
          <w:rFonts w:ascii="Calibri" w:hAnsi="Calibri" w:cs="Calibri"/>
          <w:szCs w:val="24"/>
        </w:rPr>
        <w:t xml:space="preserve">currently insufficient </w:t>
      </w:r>
      <w:r w:rsidR="00C5327E">
        <w:rPr>
          <w:rFonts w:ascii="Calibri" w:hAnsi="Calibri" w:cs="Calibri"/>
          <w:szCs w:val="24"/>
        </w:rPr>
        <w:t xml:space="preserve">funds </w:t>
      </w:r>
      <w:r w:rsidRPr="0070760B">
        <w:rPr>
          <w:rFonts w:ascii="Calibri" w:hAnsi="Calibri" w:cs="Calibri"/>
          <w:szCs w:val="24"/>
        </w:rPr>
        <w:t>for critical legal assistance services delivery</w:t>
      </w:r>
      <w:r w:rsidR="00B62364" w:rsidRPr="0070760B">
        <w:rPr>
          <w:rFonts w:ascii="Calibri" w:hAnsi="Calibri" w:cs="Calibri"/>
          <w:szCs w:val="24"/>
        </w:rPr>
        <w:t xml:space="preserve"> with existing data already demonstrating the need for further funding</w:t>
      </w:r>
      <w:r w:rsidRPr="0070760B">
        <w:rPr>
          <w:rFonts w:ascii="Calibri" w:hAnsi="Calibri" w:cs="Calibri"/>
          <w:szCs w:val="24"/>
        </w:rPr>
        <w:t xml:space="preserve">.  </w:t>
      </w:r>
    </w:p>
    <w:p w:rsidR="00B62364" w:rsidRPr="0070760B" w:rsidRDefault="00B62364" w:rsidP="0070760B">
      <w:pPr>
        <w:rPr>
          <w:rFonts w:ascii="Calibri" w:hAnsi="Calibri" w:cs="Calibri"/>
          <w:szCs w:val="24"/>
        </w:rPr>
      </w:pPr>
    </w:p>
    <w:p w:rsidR="004214D6" w:rsidRPr="0070760B" w:rsidRDefault="004214D6" w:rsidP="00D70D92">
      <w:pPr>
        <w:rPr>
          <w:rFonts w:ascii="Calibri" w:hAnsi="Calibri" w:cs="Calibri"/>
          <w:szCs w:val="24"/>
        </w:rPr>
      </w:pPr>
      <w:r w:rsidRPr="0070760B">
        <w:rPr>
          <w:rFonts w:ascii="Calibri" w:hAnsi="Calibri" w:cs="Calibri"/>
          <w:szCs w:val="24"/>
        </w:rPr>
        <w:t xml:space="preserve">In a situation where funding to </w:t>
      </w:r>
      <w:r w:rsidR="0027636D">
        <w:rPr>
          <w:rFonts w:ascii="Calibri" w:hAnsi="Calibri" w:cs="Calibri"/>
          <w:szCs w:val="24"/>
        </w:rPr>
        <w:t xml:space="preserve">legal assistance </w:t>
      </w:r>
      <w:r w:rsidRPr="0070760B">
        <w:rPr>
          <w:rFonts w:ascii="Calibri" w:hAnsi="Calibri" w:cs="Calibri"/>
          <w:szCs w:val="24"/>
        </w:rPr>
        <w:t xml:space="preserve">service providers has </w:t>
      </w:r>
      <w:r w:rsidR="00B62364" w:rsidRPr="0070760B">
        <w:rPr>
          <w:rFonts w:ascii="Calibri" w:hAnsi="Calibri" w:cs="Calibri"/>
          <w:szCs w:val="24"/>
        </w:rPr>
        <w:t xml:space="preserve">recently </w:t>
      </w:r>
      <w:r w:rsidRPr="0070760B">
        <w:rPr>
          <w:rFonts w:ascii="Calibri" w:hAnsi="Calibri" w:cs="Calibri"/>
          <w:szCs w:val="24"/>
        </w:rPr>
        <w:t xml:space="preserve">been reduced the question appears to be whether allocating money for the establishment of a clearing house </w:t>
      </w:r>
      <w:r w:rsidR="002D1662">
        <w:rPr>
          <w:rFonts w:ascii="Calibri" w:hAnsi="Calibri" w:cs="Calibri"/>
          <w:szCs w:val="24"/>
        </w:rPr>
        <w:t xml:space="preserve">at this time is warranted.  </w:t>
      </w:r>
    </w:p>
    <w:p w:rsidR="004214D6" w:rsidRPr="0070760B" w:rsidRDefault="004214D6" w:rsidP="0070760B">
      <w:pPr>
        <w:rPr>
          <w:rFonts w:ascii="Calibri" w:hAnsi="Calibri" w:cs="Calibri"/>
          <w:szCs w:val="24"/>
        </w:rPr>
      </w:pPr>
    </w:p>
    <w:p w:rsidR="004214D6" w:rsidRPr="00E6306C" w:rsidRDefault="004214D6" w:rsidP="004214D6">
      <w:pPr>
        <w:pStyle w:val="RecTitle"/>
        <w:rPr>
          <w:rFonts w:ascii="Calibri" w:hAnsi="Calibri" w:cs="Calibri"/>
          <w:szCs w:val="24"/>
          <w:highlight w:val="lightGray"/>
        </w:rPr>
      </w:pPr>
      <w:r w:rsidRPr="00E6306C">
        <w:rPr>
          <w:rFonts w:ascii="Calibri" w:hAnsi="Calibri" w:cs="Calibri"/>
          <w:szCs w:val="24"/>
          <w:highlight w:val="lightGray"/>
        </w:rPr>
        <w:lastRenderedPageBreak/>
        <w:t>DRAFT RECOMMENDATION 24.3</w:t>
      </w:r>
    </w:p>
    <w:p w:rsidR="004214D6" w:rsidRPr="00E6306C" w:rsidRDefault="004214D6" w:rsidP="004214D6">
      <w:pPr>
        <w:spacing w:before="240" w:line="320" w:lineRule="atLeast"/>
        <w:jc w:val="both"/>
        <w:rPr>
          <w:rFonts w:ascii="Calibri" w:hAnsi="Calibri" w:cs="Calibri"/>
          <w:b/>
          <w:i/>
          <w:szCs w:val="24"/>
        </w:rPr>
      </w:pPr>
      <w:r w:rsidRPr="00E6306C">
        <w:rPr>
          <w:rFonts w:ascii="Calibri" w:hAnsi="Calibri" w:cs="Calibri"/>
          <w:b/>
          <w:i/>
          <w:szCs w:val="24"/>
          <w:highlight w:val="lightGray"/>
        </w:rPr>
        <w:t>The Commission recommends that the LAW Survey, or a survey of similar scope and detail, be undertaken on a regular basis at least every 5 years. The results of, and underlying data from such surveys should be made publicly available.</w:t>
      </w:r>
    </w:p>
    <w:p w:rsidR="00F811F5" w:rsidRPr="00E6306C" w:rsidRDefault="00F811F5" w:rsidP="0070760B">
      <w:pPr>
        <w:rPr>
          <w:rFonts w:ascii="Calibri" w:hAnsi="Calibri" w:cs="Calibri"/>
          <w:szCs w:val="24"/>
        </w:rPr>
      </w:pPr>
    </w:p>
    <w:p w:rsidR="004214D6" w:rsidRPr="0070760B" w:rsidRDefault="004214D6" w:rsidP="0070760B">
      <w:pPr>
        <w:rPr>
          <w:rFonts w:ascii="Calibri" w:hAnsi="Calibri" w:cs="Calibri"/>
          <w:szCs w:val="24"/>
        </w:rPr>
      </w:pPr>
      <w:r w:rsidRPr="00E6306C">
        <w:rPr>
          <w:rFonts w:ascii="Calibri" w:hAnsi="Calibri" w:cs="Calibri"/>
          <w:szCs w:val="24"/>
        </w:rPr>
        <w:t xml:space="preserve">The Law Survey has been a valuable research exercise. </w:t>
      </w:r>
      <w:r w:rsidR="00226476" w:rsidRPr="00E6306C">
        <w:rPr>
          <w:rFonts w:ascii="Calibri" w:hAnsi="Calibri" w:cs="Calibri"/>
          <w:szCs w:val="24"/>
        </w:rPr>
        <w:t xml:space="preserve"> LACs contributed to its</w:t>
      </w:r>
      <w:r w:rsidR="00655A62">
        <w:rPr>
          <w:rFonts w:ascii="Calibri" w:hAnsi="Calibri" w:cs="Calibri"/>
          <w:szCs w:val="24"/>
        </w:rPr>
        <w:t xml:space="preserve"> significant cost.  </w:t>
      </w:r>
      <w:r w:rsidR="00226476" w:rsidRPr="0070760B">
        <w:rPr>
          <w:rFonts w:ascii="Calibri" w:hAnsi="Calibri" w:cs="Calibri"/>
          <w:szCs w:val="24"/>
        </w:rPr>
        <w:t>The survey</w:t>
      </w:r>
      <w:r w:rsidRPr="0070760B">
        <w:rPr>
          <w:rFonts w:ascii="Calibri" w:hAnsi="Calibri" w:cs="Calibri"/>
          <w:szCs w:val="24"/>
        </w:rPr>
        <w:t xml:space="preserve"> has </w:t>
      </w:r>
      <w:r w:rsidR="00AF68F9">
        <w:rPr>
          <w:rFonts w:ascii="Calibri" w:hAnsi="Calibri" w:cs="Calibri"/>
          <w:szCs w:val="24"/>
        </w:rPr>
        <w:t xml:space="preserve">contributed to </w:t>
      </w:r>
      <w:r w:rsidR="000A3DE7">
        <w:rPr>
          <w:rFonts w:ascii="Calibri" w:hAnsi="Calibri" w:cs="Calibri"/>
          <w:szCs w:val="24"/>
        </w:rPr>
        <w:t xml:space="preserve">the </w:t>
      </w:r>
      <w:r w:rsidRPr="0070760B">
        <w:rPr>
          <w:rFonts w:ascii="Calibri" w:hAnsi="Calibri" w:cs="Calibri"/>
          <w:szCs w:val="24"/>
        </w:rPr>
        <w:t xml:space="preserve">evidence base that </w:t>
      </w:r>
      <w:r w:rsidR="00AF68F9">
        <w:rPr>
          <w:rFonts w:ascii="Calibri" w:hAnsi="Calibri" w:cs="Calibri"/>
          <w:szCs w:val="24"/>
        </w:rPr>
        <w:t xml:space="preserve">it had been suggested to NLA </w:t>
      </w:r>
      <w:r w:rsidR="0077021B">
        <w:rPr>
          <w:rFonts w:ascii="Calibri" w:hAnsi="Calibri" w:cs="Calibri"/>
          <w:szCs w:val="24"/>
        </w:rPr>
        <w:t xml:space="preserve">would be necessary </w:t>
      </w:r>
      <w:r w:rsidRPr="0070760B">
        <w:rPr>
          <w:rFonts w:ascii="Calibri" w:hAnsi="Calibri" w:cs="Calibri"/>
          <w:szCs w:val="24"/>
        </w:rPr>
        <w:t xml:space="preserve">if further funding for legal assistance services was to be forthcoming.  The data obtained is consistent with that achieved in other jurisdictions by similar surveys and supports the assertions based on experience and made over many years by legal assistance service providers. </w:t>
      </w:r>
    </w:p>
    <w:p w:rsidR="004214D6" w:rsidRPr="0070760B" w:rsidRDefault="004214D6" w:rsidP="0070760B">
      <w:pPr>
        <w:rPr>
          <w:rFonts w:ascii="Calibri" w:hAnsi="Calibri" w:cs="Calibri"/>
          <w:szCs w:val="24"/>
        </w:rPr>
      </w:pPr>
    </w:p>
    <w:p w:rsidR="004214D6" w:rsidRDefault="007A67DE" w:rsidP="0070760B">
      <w:pPr>
        <w:rPr>
          <w:rFonts w:ascii="Calibri" w:hAnsi="Calibri" w:cs="Calibri"/>
          <w:szCs w:val="24"/>
        </w:rPr>
      </w:pPr>
      <w:r w:rsidRPr="0070760B">
        <w:rPr>
          <w:rFonts w:ascii="Calibri" w:hAnsi="Calibri" w:cs="Calibri"/>
          <w:szCs w:val="24"/>
        </w:rPr>
        <w:t xml:space="preserve">If Government considers it desirable to commission </w:t>
      </w:r>
      <w:r w:rsidR="004214D6" w:rsidRPr="0070760B">
        <w:rPr>
          <w:rFonts w:ascii="Calibri" w:hAnsi="Calibri" w:cs="Calibri"/>
          <w:szCs w:val="24"/>
        </w:rPr>
        <w:t>further similar surveys, NLA notes:</w:t>
      </w:r>
    </w:p>
    <w:p w:rsidR="0070760B" w:rsidRPr="0070760B" w:rsidRDefault="0070760B" w:rsidP="0070760B">
      <w:pPr>
        <w:rPr>
          <w:rFonts w:ascii="Calibri" w:hAnsi="Calibri" w:cs="Calibri"/>
          <w:szCs w:val="24"/>
        </w:rPr>
      </w:pPr>
    </w:p>
    <w:p w:rsidR="004214D6" w:rsidRPr="000A3DE7" w:rsidRDefault="000A3DE7" w:rsidP="000A3DE7">
      <w:pPr>
        <w:pStyle w:val="ListParagraph"/>
        <w:numPr>
          <w:ilvl w:val="0"/>
          <w:numId w:val="41"/>
        </w:numPr>
        <w:rPr>
          <w:rFonts w:ascii="Calibri" w:hAnsi="Calibri" w:cs="Calibri"/>
          <w:szCs w:val="24"/>
        </w:rPr>
      </w:pPr>
      <w:r w:rsidRPr="000A3DE7">
        <w:rPr>
          <w:rFonts w:ascii="Calibri" w:hAnsi="Calibri" w:cs="Calibri"/>
          <w:szCs w:val="24"/>
        </w:rPr>
        <w:t>D</w:t>
      </w:r>
      <w:r w:rsidR="004214D6" w:rsidRPr="000A3DE7">
        <w:rPr>
          <w:rFonts w:ascii="Calibri" w:hAnsi="Calibri" w:cs="Calibri"/>
          <w:szCs w:val="24"/>
        </w:rPr>
        <w:t>evelopment and implementation of the existing survey extended over a 5 year period</w:t>
      </w:r>
    </w:p>
    <w:p w:rsidR="0070760B" w:rsidRPr="0070760B" w:rsidRDefault="0070760B" w:rsidP="0070760B">
      <w:pPr>
        <w:rPr>
          <w:rFonts w:ascii="Calibri" w:hAnsi="Calibri" w:cs="Calibri"/>
          <w:szCs w:val="24"/>
        </w:rPr>
      </w:pPr>
    </w:p>
    <w:p w:rsidR="004214D6" w:rsidRPr="000A3DE7" w:rsidRDefault="004214D6" w:rsidP="000A3DE7">
      <w:pPr>
        <w:pStyle w:val="ListParagraph"/>
        <w:numPr>
          <w:ilvl w:val="0"/>
          <w:numId w:val="41"/>
        </w:numPr>
        <w:rPr>
          <w:rFonts w:ascii="Calibri" w:hAnsi="Calibri" w:cs="Calibri"/>
          <w:szCs w:val="24"/>
        </w:rPr>
      </w:pPr>
      <w:r w:rsidRPr="000A3DE7">
        <w:rPr>
          <w:rFonts w:ascii="Calibri" w:hAnsi="Calibri" w:cs="Calibri"/>
          <w:szCs w:val="24"/>
        </w:rPr>
        <w:t>A landline telephone based survey is unlikely to provide a complete picture of legal need across the country, many people do not have access to landlines or even mobile phones.</w:t>
      </w:r>
    </w:p>
    <w:p w:rsidR="0070760B" w:rsidRPr="0070760B" w:rsidRDefault="0070760B" w:rsidP="0070760B">
      <w:pPr>
        <w:rPr>
          <w:rFonts w:ascii="Calibri" w:hAnsi="Calibri" w:cs="Calibri"/>
          <w:szCs w:val="24"/>
        </w:rPr>
      </w:pPr>
    </w:p>
    <w:p w:rsidR="003942BF" w:rsidRPr="000A3DE7" w:rsidRDefault="007A67DE" w:rsidP="000A3DE7">
      <w:pPr>
        <w:pStyle w:val="ListParagraph"/>
        <w:numPr>
          <w:ilvl w:val="0"/>
          <w:numId w:val="41"/>
        </w:numPr>
        <w:rPr>
          <w:rFonts w:ascii="Calibri" w:hAnsi="Calibri" w:cs="Calibri"/>
          <w:szCs w:val="24"/>
        </w:rPr>
      </w:pPr>
      <w:r w:rsidRPr="000A3DE7">
        <w:rPr>
          <w:rFonts w:ascii="Calibri" w:hAnsi="Calibri" w:cs="Calibri"/>
          <w:szCs w:val="24"/>
        </w:rPr>
        <w:t>NLA would not want the</w:t>
      </w:r>
      <w:r w:rsidR="000A3DE7">
        <w:rPr>
          <w:rFonts w:ascii="Calibri" w:hAnsi="Calibri" w:cs="Calibri"/>
          <w:szCs w:val="24"/>
        </w:rPr>
        <w:t xml:space="preserve"> research to come at the cost of</w:t>
      </w:r>
      <w:r w:rsidRPr="000A3DE7">
        <w:rPr>
          <w:rFonts w:ascii="Calibri" w:hAnsi="Calibri" w:cs="Calibri"/>
          <w:szCs w:val="24"/>
        </w:rPr>
        <w:t xml:space="preserve"> front line service delivery</w:t>
      </w:r>
      <w:r w:rsidR="000A3DE7">
        <w:rPr>
          <w:rFonts w:ascii="Calibri" w:hAnsi="Calibri" w:cs="Calibri"/>
          <w:szCs w:val="24"/>
        </w:rPr>
        <w:t>.</w:t>
      </w:r>
    </w:p>
    <w:p w:rsidR="003942BF" w:rsidRDefault="003942BF" w:rsidP="0070760B">
      <w:pPr>
        <w:rPr>
          <w:rFonts w:ascii="Calibri" w:hAnsi="Calibri" w:cs="Calibri"/>
          <w:szCs w:val="24"/>
        </w:rPr>
      </w:pPr>
    </w:p>
    <w:p w:rsidR="007E06CC" w:rsidRPr="0070760B" w:rsidRDefault="007E06CC" w:rsidP="0070760B">
      <w:pPr>
        <w:rPr>
          <w:rFonts w:ascii="Calibri" w:hAnsi="Calibri" w:cs="Calibri"/>
          <w:szCs w:val="24"/>
        </w:rPr>
      </w:pPr>
    </w:p>
    <w:p w:rsidR="00EC37FC" w:rsidRPr="0070760B" w:rsidRDefault="00EC37FC" w:rsidP="0070760B">
      <w:pPr>
        <w:rPr>
          <w:rFonts w:ascii="Calibri" w:hAnsi="Calibri" w:cs="Calibri"/>
          <w:szCs w:val="24"/>
        </w:rPr>
      </w:pPr>
    </w:p>
    <w:p w:rsidR="00F01EF3" w:rsidRPr="002C66A1" w:rsidRDefault="00F01EF3" w:rsidP="00F01EF3">
      <w:pPr>
        <w:pStyle w:val="Heading3"/>
        <w:spacing w:after="120"/>
        <w:jc w:val="left"/>
        <w:rPr>
          <w:rFonts w:ascii="Calibri" w:hAnsi="Calibri" w:cs="Calibri"/>
          <w:sz w:val="24"/>
          <w:szCs w:val="24"/>
          <w:highlight w:val="lightGray"/>
        </w:rPr>
      </w:pPr>
      <w:r w:rsidRPr="002C66A1">
        <w:rPr>
          <w:rFonts w:ascii="Calibri" w:hAnsi="Calibri" w:cs="Calibri"/>
          <w:sz w:val="24"/>
          <w:szCs w:val="24"/>
          <w:highlight w:val="lightGray"/>
        </w:rPr>
        <w:t>Chapter 5: Understanding and navigating the system</w:t>
      </w:r>
    </w:p>
    <w:p w:rsidR="006D4D7F" w:rsidRDefault="006D4D7F" w:rsidP="00B15483">
      <w:pPr>
        <w:pStyle w:val="BodyText"/>
        <w:rPr>
          <w:highlight w:val="lightGray"/>
        </w:rPr>
      </w:pPr>
    </w:p>
    <w:p w:rsidR="00B15483" w:rsidRPr="002C66A1" w:rsidRDefault="0001145D" w:rsidP="00B15483">
      <w:pPr>
        <w:pStyle w:val="BodyText"/>
        <w:rPr>
          <w:highlight w:val="lightGray"/>
        </w:rPr>
      </w:pPr>
      <w:r w:rsidRPr="002C66A1">
        <w:rPr>
          <w:highlight w:val="lightGray"/>
        </w:rPr>
        <w:t>DRAFT RECOMMENDATION 5.1</w:t>
      </w:r>
    </w:p>
    <w:p w:rsidR="0001145D" w:rsidRPr="002C66A1" w:rsidRDefault="0001145D" w:rsidP="00B15483">
      <w:pPr>
        <w:pStyle w:val="BodyText"/>
        <w:rPr>
          <w:i/>
          <w:highlight w:val="lightGray"/>
        </w:rPr>
      </w:pPr>
      <w:r w:rsidRPr="002C66A1">
        <w:rPr>
          <w:i/>
          <w:highlight w:val="lightGray"/>
        </w:rPr>
        <w:t>All states and territories should rationalise existing services to establish a widely recognised single contact point for legal assistance and referral.  The service should be responsible for providing telephone and web-based legal information, and should have the capacity to provide basic advice for more straight forward matters and to refer clients to oth</w:t>
      </w:r>
      <w:r w:rsidR="00F5623A">
        <w:rPr>
          <w:i/>
          <w:highlight w:val="lightGray"/>
        </w:rPr>
        <w:t xml:space="preserve">er appropriate legal services. </w:t>
      </w:r>
      <w:r w:rsidRPr="002C66A1">
        <w:rPr>
          <w:i/>
          <w:highlight w:val="lightGray"/>
        </w:rPr>
        <w:t>The LawAccess model in NSW provides a working template.</w:t>
      </w:r>
    </w:p>
    <w:p w:rsidR="0001145D" w:rsidRPr="002C66A1" w:rsidRDefault="0001145D" w:rsidP="00B15483">
      <w:pPr>
        <w:pStyle w:val="BodyText"/>
        <w:rPr>
          <w:i/>
          <w:highlight w:val="lightGray"/>
        </w:rPr>
      </w:pPr>
    </w:p>
    <w:p w:rsidR="0001145D" w:rsidRDefault="0001145D" w:rsidP="00B15483">
      <w:pPr>
        <w:pStyle w:val="BodyText"/>
        <w:rPr>
          <w:i/>
        </w:rPr>
      </w:pPr>
      <w:r w:rsidRPr="002C66A1">
        <w:rPr>
          <w:i/>
          <w:highlight w:val="lightGray"/>
        </w:rPr>
        <w:t>Single-entry point information and referral services should be funded by state and territory governments in partnership with the Commonwealth.  The legal professions in each state and territory should also contribute to the development of these services.  Efforts should be made to reduce costs by encouraging greater co-operation between jurisdictions.</w:t>
      </w:r>
    </w:p>
    <w:p w:rsidR="0023774D" w:rsidRDefault="0023774D" w:rsidP="00B15483">
      <w:pPr>
        <w:pStyle w:val="BodyText"/>
        <w:rPr>
          <w:i/>
        </w:rPr>
      </w:pPr>
    </w:p>
    <w:p w:rsidR="00111A66" w:rsidRDefault="00C02C67" w:rsidP="0070760B">
      <w:pPr>
        <w:pStyle w:val="BodyText"/>
        <w:jc w:val="left"/>
      </w:pPr>
      <w:r>
        <w:lastRenderedPageBreak/>
        <w:t xml:space="preserve">NLA is supportive of a main provider of </w:t>
      </w:r>
      <w:r w:rsidR="00F92FD3">
        <w:t>telephone and web</w:t>
      </w:r>
      <w:r w:rsidR="00F5623A">
        <w:t xml:space="preserve"> </w:t>
      </w:r>
      <w:r w:rsidR="00F92FD3">
        <w:t>- based</w:t>
      </w:r>
      <w:r w:rsidR="00BE6276">
        <w:t xml:space="preserve"> legal</w:t>
      </w:r>
      <w:r w:rsidR="00F92FD3">
        <w:t xml:space="preserve"> </w:t>
      </w:r>
      <w:r w:rsidR="006674AF">
        <w:t>information services</w:t>
      </w:r>
      <w:r w:rsidR="00BE6276">
        <w:t xml:space="preserve"> with the capacity to provide basic advice for more straightforward matters</w:t>
      </w:r>
      <w:r w:rsidR="006674AF">
        <w:t xml:space="preserve"> </w:t>
      </w:r>
      <w:r w:rsidR="00E35FCE">
        <w:t xml:space="preserve">in each State and Territory.  </w:t>
      </w:r>
    </w:p>
    <w:p w:rsidR="00111A66" w:rsidRDefault="00111A66" w:rsidP="0070760B">
      <w:pPr>
        <w:pStyle w:val="BodyText"/>
        <w:jc w:val="left"/>
      </w:pPr>
    </w:p>
    <w:p w:rsidR="00554BC4" w:rsidRDefault="00173AAD" w:rsidP="0070760B">
      <w:pPr>
        <w:pStyle w:val="BodyText"/>
        <w:jc w:val="left"/>
      </w:pPr>
      <w:r>
        <w:t xml:space="preserve">We </w:t>
      </w:r>
      <w:r w:rsidR="00962E44">
        <w:t>understand that the draft report is not suggestin</w:t>
      </w:r>
      <w:r w:rsidR="007433D7">
        <w:t>g that a single contact point should be</w:t>
      </w:r>
      <w:r w:rsidR="00962E44">
        <w:t xml:space="preserve"> the only way into acc</w:t>
      </w:r>
      <w:r w:rsidR="007433D7">
        <w:t>essing legal assistance</w:t>
      </w:r>
      <w:r w:rsidR="00645D6B">
        <w:t>, and agree</w:t>
      </w:r>
      <w:r w:rsidR="00804619">
        <w:t xml:space="preserve"> </w:t>
      </w:r>
      <w:r w:rsidR="0039527F">
        <w:t>that there is lik</w:t>
      </w:r>
      <w:r w:rsidR="00804619">
        <w:t>ely to be scope for some change.</w:t>
      </w:r>
      <w:r w:rsidR="00A4559F">
        <w:t xml:space="preserve">   </w:t>
      </w:r>
    </w:p>
    <w:p w:rsidR="00772065" w:rsidRDefault="00772065" w:rsidP="0070760B">
      <w:pPr>
        <w:pStyle w:val="BodyText"/>
        <w:jc w:val="left"/>
      </w:pPr>
    </w:p>
    <w:p w:rsidR="00304C5B" w:rsidRDefault="00944B7C" w:rsidP="0070760B">
      <w:pPr>
        <w:pStyle w:val="BodyText"/>
        <w:jc w:val="left"/>
      </w:pPr>
      <w:r>
        <w:t>I</w:t>
      </w:r>
      <w:r w:rsidR="00A46AE5">
        <w:t>n any rationalising</w:t>
      </w:r>
      <w:r w:rsidR="00DE7D13">
        <w:t>,</w:t>
      </w:r>
      <w:r w:rsidR="00A46AE5">
        <w:t xml:space="preserve"> it</w:t>
      </w:r>
      <w:r w:rsidR="007E60D9">
        <w:t xml:space="preserve"> </w:t>
      </w:r>
      <w:r w:rsidR="00A46AE5">
        <w:t xml:space="preserve">will be important </w:t>
      </w:r>
      <w:r w:rsidR="007E60D9">
        <w:t>for a</w:t>
      </w:r>
      <w:r w:rsidR="00756A0C">
        <w:t xml:space="preserve">ccount to be taken of the precise nature of the </w:t>
      </w:r>
      <w:r w:rsidR="00304C5B">
        <w:t xml:space="preserve">existing </w:t>
      </w:r>
      <w:r w:rsidR="00756A0C">
        <w:t>services</w:t>
      </w:r>
      <w:r w:rsidR="00F5623A">
        <w:t xml:space="preserve">, i.e. </w:t>
      </w:r>
      <w:r w:rsidR="00304C5B">
        <w:t>information/advice</w:t>
      </w:r>
      <w:r w:rsidR="00B14878">
        <w:t xml:space="preserve">, </w:t>
      </w:r>
      <w:r w:rsidR="00304C5B">
        <w:t xml:space="preserve">service </w:t>
      </w:r>
      <w:r w:rsidR="009050EC">
        <w:t>infrastructure</w:t>
      </w:r>
      <w:r w:rsidR="00B14878">
        <w:t>,</w:t>
      </w:r>
      <w:r w:rsidR="00756A0C">
        <w:t xml:space="preserve"> </w:t>
      </w:r>
      <w:r w:rsidR="00F52F5D">
        <w:t xml:space="preserve">the continuum of related services offered by the provider which might be required by the “caller”, and </w:t>
      </w:r>
      <w:r w:rsidR="00B426C4">
        <w:t xml:space="preserve">the </w:t>
      </w:r>
      <w:r w:rsidR="00FB17A9">
        <w:t xml:space="preserve">geographic sub-markets </w:t>
      </w:r>
      <w:r w:rsidR="00B426C4">
        <w:t xml:space="preserve">in which </w:t>
      </w:r>
      <w:r w:rsidR="00F52F5D">
        <w:t xml:space="preserve">the services </w:t>
      </w:r>
      <w:r w:rsidR="00B426C4">
        <w:t>operate</w:t>
      </w:r>
      <w:r w:rsidR="00B31FC0">
        <w:t xml:space="preserve"> in the individual states and territories</w:t>
      </w:r>
      <w:r w:rsidR="00B426C4">
        <w:t xml:space="preserve">.  </w:t>
      </w:r>
    </w:p>
    <w:p w:rsidR="00304C5B" w:rsidRDefault="00304C5B" w:rsidP="0070760B">
      <w:pPr>
        <w:pStyle w:val="BodyText"/>
        <w:jc w:val="left"/>
      </w:pPr>
    </w:p>
    <w:p w:rsidR="00A46AE5" w:rsidRDefault="00F52F5D" w:rsidP="0070760B">
      <w:pPr>
        <w:pStyle w:val="BodyText"/>
        <w:jc w:val="left"/>
      </w:pPr>
      <w:r>
        <w:t xml:space="preserve">Care will need to be taken to ensure that an extra layer of service is not being created for some callers, and that </w:t>
      </w:r>
      <w:r w:rsidR="00304C5B">
        <w:t xml:space="preserve">well recognised services </w:t>
      </w:r>
      <w:r w:rsidR="008A2A18">
        <w:t xml:space="preserve">with a </w:t>
      </w:r>
      <w:r w:rsidR="00E378AF">
        <w:t xml:space="preserve">proven service delivery history are not dismantled in the interests of uniformity which may do no more than </w:t>
      </w:r>
      <w:r w:rsidR="00370D4B">
        <w:t xml:space="preserve">result in </w:t>
      </w:r>
      <w:r w:rsidR="00E378AF">
        <w:t xml:space="preserve">a lowest common </w:t>
      </w:r>
      <w:r w:rsidR="003A2F9A">
        <w:t>denominator</w:t>
      </w:r>
      <w:r w:rsidR="00304C5B">
        <w:t xml:space="preserve"> approach.  For</w:t>
      </w:r>
      <w:r w:rsidR="00E378AF">
        <w:t xml:space="preserve"> example </w:t>
      </w:r>
      <w:r w:rsidR="00B675AB">
        <w:t xml:space="preserve">it may be </w:t>
      </w:r>
      <w:r w:rsidR="00E378AF">
        <w:t xml:space="preserve">appropriate for </w:t>
      </w:r>
      <w:r w:rsidR="005C71C7">
        <w:t>a</w:t>
      </w:r>
      <w:r w:rsidR="00B14878">
        <w:t xml:space="preserve"> legal advice</w:t>
      </w:r>
      <w:r w:rsidR="005C71C7">
        <w:t xml:space="preserve"> </w:t>
      </w:r>
      <w:r w:rsidR="00B14878">
        <w:t xml:space="preserve">telephone service </w:t>
      </w:r>
      <w:r w:rsidR="00E378AF">
        <w:t xml:space="preserve">of a provider </w:t>
      </w:r>
      <w:r w:rsidR="00B14878">
        <w:t>specialising in a particular area</w:t>
      </w:r>
      <w:r w:rsidR="00E378AF">
        <w:t>/s</w:t>
      </w:r>
      <w:r w:rsidR="00B14878">
        <w:t xml:space="preserve"> of law operated by people with expertise in that area of law </w:t>
      </w:r>
      <w:r w:rsidR="00C10E6C">
        <w:t>and who provide a con</w:t>
      </w:r>
      <w:r w:rsidR="00265632">
        <w:t xml:space="preserve">tinuum of service </w:t>
      </w:r>
      <w:r w:rsidR="000A6A7A">
        <w:t xml:space="preserve">to continue to exist </w:t>
      </w:r>
      <w:r w:rsidR="00B14878">
        <w:t xml:space="preserve">alongside the main provider.  </w:t>
      </w:r>
    </w:p>
    <w:p w:rsidR="00E363E5" w:rsidRDefault="00E363E5" w:rsidP="0070760B">
      <w:pPr>
        <w:pStyle w:val="BodyText"/>
        <w:jc w:val="left"/>
      </w:pPr>
    </w:p>
    <w:p w:rsidR="006A61FF" w:rsidRDefault="00A46AE5" w:rsidP="0070760B">
      <w:pPr>
        <w:pStyle w:val="BodyText"/>
        <w:jc w:val="left"/>
      </w:pPr>
      <w:r>
        <w:t xml:space="preserve">In relation to the </w:t>
      </w:r>
      <w:r w:rsidR="0085166C">
        <w:t xml:space="preserve">suggestion that “efforts should be made to reduce costs by encouraging greater co-operation between the jurisdictions” NLA </w:t>
      </w:r>
      <w:r w:rsidR="006A61FF">
        <w:t xml:space="preserve">has well established </w:t>
      </w:r>
      <w:r w:rsidR="0085166C">
        <w:t>network</w:t>
      </w:r>
      <w:r w:rsidR="006A61FF">
        <w:t>s</w:t>
      </w:r>
      <w:r w:rsidR="0085166C">
        <w:t xml:space="preserve"> of people across the country who share information, </w:t>
      </w:r>
      <w:r w:rsidR="006A61FF">
        <w:t>knowledge, skills and experience, and who collaborate on national projects</w:t>
      </w:r>
      <w:r w:rsidR="006A3957">
        <w:t>, including in relation to community legal education materials</w:t>
      </w:r>
      <w:r w:rsidR="000C7EDC">
        <w:t xml:space="preserve"> as appropriate</w:t>
      </w:r>
      <w:r w:rsidR="00E15BE9">
        <w:t>.</w:t>
      </w:r>
    </w:p>
    <w:p w:rsidR="00E15BE9" w:rsidRDefault="00E15BE9" w:rsidP="0070760B">
      <w:pPr>
        <w:pStyle w:val="BodyText"/>
        <w:jc w:val="left"/>
      </w:pPr>
    </w:p>
    <w:p w:rsidR="00F01EF3" w:rsidRPr="00FD6D7C" w:rsidRDefault="00F01EF3" w:rsidP="00F01EF3">
      <w:pPr>
        <w:pStyle w:val="RecTitle"/>
        <w:rPr>
          <w:rFonts w:ascii="Calibri" w:hAnsi="Calibri" w:cs="Calibri"/>
          <w:szCs w:val="24"/>
          <w:highlight w:val="lightGray"/>
        </w:rPr>
      </w:pPr>
      <w:r w:rsidRPr="00FD6D7C">
        <w:rPr>
          <w:rFonts w:ascii="Calibri" w:hAnsi="Calibri" w:cs="Calibri"/>
          <w:szCs w:val="24"/>
          <w:highlight w:val="lightGray"/>
        </w:rPr>
        <w:t>Information request 5.2</w:t>
      </w:r>
    </w:p>
    <w:p w:rsidR="00F01EF3" w:rsidRPr="00FD6D7C" w:rsidRDefault="00F01EF3" w:rsidP="00EC37FC">
      <w:pPr>
        <w:pStyle w:val="Finding"/>
        <w:rPr>
          <w:rFonts w:ascii="Calibri" w:hAnsi="Calibri" w:cs="Calibri"/>
          <w:sz w:val="24"/>
          <w:szCs w:val="24"/>
          <w:highlight w:val="lightGray"/>
        </w:rPr>
      </w:pPr>
      <w:r w:rsidRPr="00FD6D7C">
        <w:rPr>
          <w:rFonts w:ascii="Calibri" w:hAnsi="Calibri" w:cs="Calibri"/>
          <w:sz w:val="24"/>
          <w:szCs w:val="24"/>
          <w:highlight w:val="lightGray"/>
        </w:rPr>
        <w:t>Information is sought on the costs and benefits of adopting the legal problem identification training module (being developed by the Commonwealth Attorney</w:t>
      </w:r>
      <w:r w:rsidRPr="00FD6D7C">
        <w:rPr>
          <w:rFonts w:ascii="Calibri" w:hAnsi="Calibri" w:cs="Calibri"/>
          <w:sz w:val="24"/>
          <w:szCs w:val="24"/>
          <w:highlight w:val="lightGray"/>
        </w:rPr>
        <w:noBreakHyphen/>
        <w:t>General’s Department and Department of Human Services) more widely among non</w:t>
      </w:r>
      <w:r w:rsidRPr="00FD6D7C">
        <w:rPr>
          <w:rFonts w:ascii="Calibri" w:hAnsi="Calibri" w:cs="Calibri"/>
          <w:sz w:val="24"/>
          <w:szCs w:val="24"/>
          <w:highlight w:val="lightGray"/>
        </w:rPr>
        <w:noBreakHyphen/>
        <w:t xml:space="preserve">legal workers who provide services to disadvantaged groups. </w:t>
      </w:r>
    </w:p>
    <w:p w:rsidR="00F01EF3" w:rsidRPr="00FD6D7C" w:rsidRDefault="00F01EF3" w:rsidP="00EC37FC">
      <w:pPr>
        <w:pStyle w:val="Finding"/>
        <w:rPr>
          <w:rFonts w:ascii="Calibri" w:hAnsi="Calibri" w:cs="Calibri"/>
          <w:sz w:val="24"/>
          <w:szCs w:val="24"/>
          <w:highlight w:val="lightGray"/>
        </w:rPr>
      </w:pPr>
      <w:r w:rsidRPr="00FD6D7C">
        <w:rPr>
          <w:rFonts w:ascii="Calibri" w:hAnsi="Calibri" w:cs="Calibri"/>
          <w:sz w:val="24"/>
          <w:szCs w:val="24"/>
          <w:highlight w:val="lightGray"/>
        </w:rPr>
        <w:t>Feedback is also sought on which agencies’ staff should receive this training and whether funding should be provided to cover training costs.</w:t>
      </w:r>
    </w:p>
    <w:p w:rsidR="00EC37FC" w:rsidRPr="00FD6D7C" w:rsidRDefault="00EC37FC" w:rsidP="00EC37FC">
      <w:pPr>
        <w:pStyle w:val="BodyText"/>
        <w:rPr>
          <w:rFonts w:cs="Calibri"/>
          <w:szCs w:val="24"/>
          <w:highlight w:val="lightGray"/>
        </w:rPr>
      </w:pPr>
    </w:p>
    <w:p w:rsidR="00F01EF3" w:rsidRPr="00FD6D7C" w:rsidRDefault="00F01EF3" w:rsidP="00F01EF3">
      <w:pPr>
        <w:pStyle w:val="RecTitle"/>
        <w:rPr>
          <w:rFonts w:ascii="Calibri" w:hAnsi="Calibri" w:cs="Calibri"/>
          <w:szCs w:val="24"/>
          <w:highlight w:val="lightGray"/>
        </w:rPr>
      </w:pPr>
      <w:r w:rsidRPr="00FD6D7C">
        <w:rPr>
          <w:rFonts w:ascii="Calibri" w:hAnsi="Calibri" w:cs="Calibri"/>
          <w:szCs w:val="24"/>
          <w:highlight w:val="lightGray"/>
        </w:rPr>
        <w:t>Information request 5.3</w:t>
      </w:r>
    </w:p>
    <w:p w:rsidR="00F01EF3" w:rsidRPr="00FD6D7C" w:rsidRDefault="00F01EF3" w:rsidP="00EC37FC">
      <w:pPr>
        <w:pStyle w:val="Finding"/>
        <w:rPr>
          <w:rFonts w:ascii="Calibri" w:hAnsi="Calibri" w:cs="Calibri"/>
          <w:sz w:val="24"/>
          <w:szCs w:val="24"/>
        </w:rPr>
      </w:pPr>
      <w:r w:rsidRPr="00FD6D7C">
        <w:rPr>
          <w:rFonts w:ascii="Calibri" w:hAnsi="Calibri" w:cs="Calibri"/>
          <w:sz w:val="24"/>
          <w:szCs w:val="24"/>
          <w:highlight w:val="lightGray"/>
        </w:rPr>
        <w:t>The Commission seeks feedback on how best to facilitate effective referrals for legal assistance between organisations responsible for human service delivery, and, where appropriate, greater information sharing across departments and agencies.</w:t>
      </w:r>
      <w:r w:rsidRPr="00FD6D7C">
        <w:rPr>
          <w:rFonts w:ascii="Calibri" w:hAnsi="Calibri" w:cs="Calibri"/>
          <w:sz w:val="24"/>
          <w:szCs w:val="24"/>
        </w:rPr>
        <w:t xml:space="preserve"> </w:t>
      </w:r>
    </w:p>
    <w:p w:rsidR="00EC37FC" w:rsidRDefault="00EC37FC" w:rsidP="0070760B">
      <w:pPr>
        <w:pStyle w:val="BodyText"/>
        <w:jc w:val="left"/>
      </w:pPr>
    </w:p>
    <w:p w:rsidR="008D0FA8" w:rsidRDefault="0004297D" w:rsidP="0070760B">
      <w:pPr>
        <w:pStyle w:val="BodyText"/>
        <w:jc w:val="left"/>
      </w:pPr>
      <w:r>
        <w:t>NLA suggests that the question about how best to facilitate effective referrals for legal assistance will depend on both the human service delivery and legal assistance organisations potentially involved</w:t>
      </w:r>
      <w:r w:rsidR="006B07EE">
        <w:t xml:space="preserve">, and </w:t>
      </w:r>
      <w:r w:rsidR="00A67853">
        <w:t xml:space="preserve">their </w:t>
      </w:r>
      <w:r w:rsidR="006B07EE">
        <w:t>respective locations</w:t>
      </w:r>
      <w:r w:rsidR="008D0FA8">
        <w:t xml:space="preserve"> and resources</w:t>
      </w:r>
      <w:r>
        <w:t xml:space="preserve">.   </w:t>
      </w:r>
      <w:r w:rsidR="008D0FA8">
        <w:t>It is likely that a number of different approaches will be helpful.</w:t>
      </w:r>
    </w:p>
    <w:p w:rsidR="008D0FA8" w:rsidRDefault="008D0FA8" w:rsidP="0070760B">
      <w:pPr>
        <w:pStyle w:val="BodyText"/>
        <w:jc w:val="left"/>
      </w:pPr>
    </w:p>
    <w:p w:rsidR="00CE0F02" w:rsidRDefault="00CE0F02" w:rsidP="007F711B">
      <w:pPr>
        <w:pStyle w:val="Heading3"/>
        <w:spacing w:after="120"/>
        <w:jc w:val="left"/>
        <w:rPr>
          <w:rFonts w:ascii="Calibri" w:hAnsi="Calibri"/>
          <w:b w:val="0"/>
          <w:sz w:val="24"/>
          <w:u w:val="none"/>
        </w:rPr>
      </w:pPr>
    </w:p>
    <w:p w:rsidR="007F711B" w:rsidRPr="004D08CA" w:rsidRDefault="00F01EF3" w:rsidP="007F711B">
      <w:pPr>
        <w:pStyle w:val="Heading3"/>
        <w:spacing w:after="120"/>
        <w:jc w:val="left"/>
        <w:rPr>
          <w:rFonts w:ascii="Calibri" w:hAnsi="Calibri" w:cs="Calibri"/>
          <w:sz w:val="24"/>
          <w:szCs w:val="24"/>
          <w:highlight w:val="lightGray"/>
        </w:rPr>
      </w:pPr>
      <w:r w:rsidRPr="004D08CA">
        <w:rPr>
          <w:rFonts w:ascii="Calibri" w:hAnsi="Calibri" w:cs="Calibri"/>
          <w:sz w:val="24"/>
          <w:szCs w:val="24"/>
          <w:highlight w:val="lightGray"/>
        </w:rPr>
        <w:t>Chapter 6: Information and redress for consumers</w:t>
      </w:r>
    </w:p>
    <w:p w:rsidR="007F711B" w:rsidRPr="004D08CA" w:rsidRDefault="007F711B" w:rsidP="007F711B">
      <w:pPr>
        <w:pStyle w:val="Heading3"/>
        <w:spacing w:after="120"/>
        <w:jc w:val="left"/>
        <w:rPr>
          <w:rFonts w:ascii="Calibri" w:hAnsi="Calibri" w:cs="Calibri"/>
          <w:sz w:val="24"/>
          <w:szCs w:val="24"/>
          <w:highlight w:val="lightGray"/>
        </w:rPr>
      </w:pPr>
    </w:p>
    <w:p w:rsidR="00F01EF3" w:rsidRPr="009304BA" w:rsidRDefault="00F01EF3" w:rsidP="007F711B">
      <w:pPr>
        <w:pStyle w:val="Heading3"/>
        <w:spacing w:after="120"/>
        <w:jc w:val="left"/>
        <w:rPr>
          <w:rFonts w:ascii="Calibri" w:hAnsi="Calibri" w:cs="Calibri"/>
          <w:b w:val="0"/>
          <w:sz w:val="24"/>
          <w:szCs w:val="24"/>
          <w:highlight w:val="lightGray"/>
        </w:rPr>
      </w:pPr>
      <w:r w:rsidRPr="009304BA">
        <w:rPr>
          <w:rFonts w:ascii="Calibri" w:hAnsi="Calibri" w:cs="Calibri"/>
          <w:b w:val="0"/>
          <w:sz w:val="24"/>
          <w:szCs w:val="24"/>
          <w:highlight w:val="lightGray"/>
        </w:rPr>
        <w:t>INFORMATION REQUEST 6.3</w:t>
      </w:r>
    </w:p>
    <w:p w:rsidR="00F01EF3" w:rsidRPr="009304BA" w:rsidRDefault="00F01EF3" w:rsidP="00B15483">
      <w:pPr>
        <w:pStyle w:val="Finding"/>
        <w:rPr>
          <w:rFonts w:ascii="Calibri" w:hAnsi="Calibri" w:cs="Calibri"/>
          <w:sz w:val="24"/>
          <w:szCs w:val="24"/>
          <w:highlight w:val="lightGray"/>
        </w:rPr>
      </w:pPr>
      <w:r w:rsidRPr="009304BA">
        <w:rPr>
          <w:rFonts w:ascii="Calibri" w:hAnsi="Calibri" w:cs="Calibri"/>
          <w:sz w:val="24"/>
          <w:szCs w:val="24"/>
          <w:highlight w:val="lightGray"/>
        </w:rPr>
        <w:t>The Commission is seeking views on the appropriate ‘hosts’ for central online resources with information about legal fees — should they be hosted by each jurisdiction’s Attorney</w:t>
      </w:r>
      <w:r w:rsidRPr="009304BA">
        <w:rPr>
          <w:rFonts w:ascii="Calibri" w:hAnsi="Calibri" w:cs="Calibri"/>
          <w:sz w:val="24"/>
          <w:szCs w:val="24"/>
          <w:highlight w:val="lightGray"/>
        </w:rPr>
        <w:noBreakHyphen/>
        <w:t>General’s department, legal services commissioner (or equivalent) or legal aid commission? Could this resource exist alongside a ‘directory’ listing of firms who are willing to advertise their prices through, say, a law society website?</w:t>
      </w:r>
    </w:p>
    <w:p w:rsidR="00777460" w:rsidRPr="009304BA" w:rsidRDefault="00F01EF3" w:rsidP="002D1662">
      <w:pPr>
        <w:pStyle w:val="Finding"/>
        <w:rPr>
          <w:rFonts w:ascii="Calibri" w:hAnsi="Calibri" w:cs="Calibri"/>
          <w:sz w:val="24"/>
          <w:szCs w:val="24"/>
        </w:rPr>
      </w:pPr>
      <w:r w:rsidRPr="009304BA">
        <w:rPr>
          <w:rFonts w:ascii="Calibri" w:hAnsi="Calibri" w:cs="Calibri"/>
          <w:sz w:val="24"/>
          <w:szCs w:val="24"/>
          <w:highlight w:val="lightGray"/>
        </w:rPr>
        <w:t>How could information on quality of service elements best be gathered and reported? Are there international examples that would be applicable in Australia? Where should such ratings be reported — should they be ‘hosted’ by governments, professional associations or independent providers?</w:t>
      </w:r>
    </w:p>
    <w:p w:rsidR="00CE0F02" w:rsidRDefault="00CE0F02" w:rsidP="0070760B">
      <w:pPr>
        <w:pStyle w:val="BodyText"/>
        <w:jc w:val="left"/>
      </w:pPr>
    </w:p>
    <w:p w:rsidR="00CE0F02" w:rsidRDefault="00CE0F02" w:rsidP="0070760B">
      <w:pPr>
        <w:pStyle w:val="BodyText"/>
        <w:jc w:val="left"/>
      </w:pPr>
      <w:r>
        <w:t xml:space="preserve">It is suggested that this information request is related to draft recommendation 5.1, establishing a widely recognised single point of contact.   </w:t>
      </w:r>
      <w:r w:rsidR="00BF1A11">
        <w:t>A main</w:t>
      </w:r>
      <w:r w:rsidR="000C6658">
        <w:t xml:space="preserve"> </w:t>
      </w:r>
      <w:r>
        <w:t xml:space="preserve">point of contact identified by each State and Territory might ultimately be the best host for information about fees.  </w:t>
      </w:r>
    </w:p>
    <w:p w:rsidR="002D1662" w:rsidRDefault="002D1662" w:rsidP="0070760B">
      <w:pPr>
        <w:pStyle w:val="BodyText"/>
        <w:jc w:val="left"/>
      </w:pPr>
    </w:p>
    <w:p w:rsidR="00120C15" w:rsidRDefault="00120C15" w:rsidP="0070760B">
      <w:pPr>
        <w:pStyle w:val="BodyText"/>
        <w:jc w:val="left"/>
      </w:pPr>
    </w:p>
    <w:p w:rsidR="00CE0F02" w:rsidRDefault="00CE0F02" w:rsidP="0070760B">
      <w:pPr>
        <w:pStyle w:val="BodyText"/>
        <w:jc w:val="left"/>
      </w:pPr>
    </w:p>
    <w:p w:rsidR="007A40F2" w:rsidRPr="007A40F2" w:rsidRDefault="00F01EF3" w:rsidP="007A40F2">
      <w:pPr>
        <w:pStyle w:val="Heading3"/>
        <w:spacing w:after="120"/>
        <w:jc w:val="left"/>
        <w:rPr>
          <w:rFonts w:ascii="Calibri" w:hAnsi="Calibri" w:cs="Calibri"/>
          <w:sz w:val="24"/>
          <w:szCs w:val="24"/>
          <w:highlight w:val="lightGray"/>
        </w:rPr>
      </w:pPr>
      <w:r w:rsidRPr="00C14A39">
        <w:rPr>
          <w:rFonts w:ascii="Calibri" w:hAnsi="Calibri" w:cs="Calibri"/>
          <w:sz w:val="24"/>
          <w:szCs w:val="24"/>
          <w:highlight w:val="lightGray"/>
        </w:rPr>
        <w:t>Chapter 7: A responsive legal profession</w:t>
      </w:r>
    </w:p>
    <w:p w:rsidR="00F01EF3" w:rsidRPr="007A40F2" w:rsidRDefault="00F01EF3" w:rsidP="00F01EF3">
      <w:pPr>
        <w:pStyle w:val="RecTitle"/>
        <w:rPr>
          <w:rFonts w:ascii="Calibri" w:hAnsi="Calibri" w:cs="Calibri"/>
          <w:szCs w:val="24"/>
          <w:highlight w:val="lightGray"/>
        </w:rPr>
      </w:pPr>
      <w:r w:rsidRPr="007A40F2">
        <w:rPr>
          <w:rFonts w:ascii="Calibri" w:hAnsi="Calibri" w:cs="Calibri"/>
          <w:szCs w:val="24"/>
          <w:highlight w:val="lightGray"/>
        </w:rPr>
        <w:t>Information request 7.4</w:t>
      </w:r>
    </w:p>
    <w:p w:rsidR="00F01EF3" w:rsidRPr="007A40F2" w:rsidRDefault="00F01EF3" w:rsidP="00F01EF3">
      <w:pPr>
        <w:pStyle w:val="InformationRequest"/>
        <w:rPr>
          <w:rFonts w:ascii="Calibri" w:hAnsi="Calibri" w:cs="Calibri"/>
          <w:szCs w:val="24"/>
        </w:rPr>
      </w:pPr>
      <w:r w:rsidRPr="007A40F2">
        <w:rPr>
          <w:rFonts w:ascii="Calibri" w:hAnsi="Calibri" w:cs="Calibri"/>
          <w:szCs w:val="24"/>
          <w:highlight w:val="lightGray"/>
        </w:rPr>
        <w:t>How should money from ‘public purposes’ funds be most efficiently used?</w:t>
      </w:r>
    </w:p>
    <w:p w:rsidR="0082337D" w:rsidRPr="007A40F2" w:rsidRDefault="0082337D" w:rsidP="0070760B">
      <w:pPr>
        <w:pStyle w:val="BodyText"/>
        <w:jc w:val="left"/>
        <w:rPr>
          <w:szCs w:val="24"/>
        </w:rPr>
      </w:pPr>
    </w:p>
    <w:p w:rsidR="00C14A39" w:rsidRDefault="00FE6428" w:rsidP="0070760B">
      <w:pPr>
        <w:pStyle w:val="BodyText"/>
        <w:jc w:val="left"/>
      </w:pPr>
      <w:r>
        <w:t>Money from public purpose funds</w:t>
      </w:r>
      <w:r w:rsidR="00991C6B">
        <w:t xml:space="preserve"> (PPF)</w:t>
      </w:r>
      <w:r>
        <w:t xml:space="preserve"> currently supports the delivery of legal as</w:t>
      </w:r>
      <w:r w:rsidR="00C14A39">
        <w:t>sistance services</w:t>
      </w:r>
      <w:r w:rsidR="00991C6B">
        <w:t>, and this use is considered appropriate</w:t>
      </w:r>
      <w:r w:rsidR="006410FC">
        <w:t xml:space="preserve">.  </w:t>
      </w:r>
      <w:r w:rsidR="00A702C7">
        <w:t xml:space="preserve"> </w:t>
      </w:r>
    </w:p>
    <w:p w:rsidR="00C14A39" w:rsidRDefault="00C14A39" w:rsidP="0070760B">
      <w:pPr>
        <w:pStyle w:val="BodyText"/>
        <w:jc w:val="left"/>
      </w:pPr>
    </w:p>
    <w:p w:rsidR="00A702C7" w:rsidRDefault="00BA4D19" w:rsidP="0070760B">
      <w:pPr>
        <w:pStyle w:val="BodyText"/>
        <w:jc w:val="left"/>
      </w:pPr>
      <w:hyperlink r:id="rId15" w:history="1">
        <w:r w:rsidR="00A702C7" w:rsidRPr="00186C15">
          <w:rPr>
            <w:rStyle w:val="Hyperlink"/>
          </w:rPr>
          <w:t>http://www.nationallegalaid.org/home/finance/</w:t>
        </w:r>
      </w:hyperlink>
    </w:p>
    <w:p w:rsidR="00A702C7" w:rsidRDefault="00A702C7" w:rsidP="0070760B">
      <w:pPr>
        <w:pStyle w:val="BodyText"/>
        <w:jc w:val="left"/>
      </w:pPr>
    </w:p>
    <w:p w:rsidR="0082337D" w:rsidRDefault="00991C6B" w:rsidP="0070760B">
      <w:pPr>
        <w:pStyle w:val="BodyText"/>
        <w:jc w:val="left"/>
      </w:pPr>
      <w:r>
        <w:t>It is noted that PPF</w:t>
      </w:r>
      <w:r w:rsidR="002D1662">
        <w:t xml:space="preserve"> </w:t>
      </w:r>
      <w:r>
        <w:t>are declining, and that the decline in funds will have a significant impact on the service</w:t>
      </w:r>
      <w:r w:rsidR="00A702C7">
        <w:t xml:space="preserve"> delivery capacity of some LACs.  </w:t>
      </w:r>
    </w:p>
    <w:p w:rsidR="00120C15" w:rsidRDefault="00120C15" w:rsidP="0070760B">
      <w:pPr>
        <w:pStyle w:val="BodyText"/>
        <w:jc w:val="left"/>
      </w:pPr>
    </w:p>
    <w:p w:rsidR="007A40F2" w:rsidRDefault="007A40F2" w:rsidP="0070760B">
      <w:pPr>
        <w:pStyle w:val="BodyText"/>
        <w:jc w:val="left"/>
      </w:pPr>
    </w:p>
    <w:p w:rsidR="007A40F2" w:rsidRDefault="007A40F2" w:rsidP="0070760B">
      <w:pPr>
        <w:pStyle w:val="BodyText"/>
        <w:jc w:val="left"/>
      </w:pPr>
    </w:p>
    <w:p w:rsidR="00120C15" w:rsidRDefault="00120C15" w:rsidP="0070760B">
      <w:pPr>
        <w:pStyle w:val="BodyText"/>
        <w:jc w:val="left"/>
      </w:pPr>
    </w:p>
    <w:p w:rsidR="00F01EF3" w:rsidRPr="0082337D" w:rsidRDefault="00F01EF3" w:rsidP="0082337D">
      <w:pPr>
        <w:pStyle w:val="Heading3"/>
        <w:spacing w:after="120"/>
        <w:jc w:val="left"/>
        <w:rPr>
          <w:rFonts w:ascii="Calibri" w:hAnsi="Calibri" w:cs="Calibri"/>
          <w:sz w:val="24"/>
          <w:szCs w:val="24"/>
        </w:rPr>
      </w:pPr>
      <w:r w:rsidRPr="0082337D">
        <w:rPr>
          <w:rFonts w:ascii="Calibri" w:hAnsi="Calibri" w:cs="Calibri"/>
          <w:sz w:val="24"/>
          <w:szCs w:val="24"/>
        </w:rPr>
        <w:t>Chapter 8: Alternative dispute resolution</w:t>
      </w:r>
    </w:p>
    <w:p w:rsidR="007A40F2" w:rsidRDefault="007A40F2" w:rsidP="0070760B">
      <w:pPr>
        <w:pStyle w:val="BodyText"/>
        <w:jc w:val="left"/>
      </w:pPr>
    </w:p>
    <w:p w:rsidR="000C42AE" w:rsidRPr="0070760B" w:rsidRDefault="000C42AE" w:rsidP="0070760B">
      <w:pPr>
        <w:pStyle w:val="BodyText"/>
        <w:jc w:val="left"/>
      </w:pPr>
      <w:r w:rsidRPr="0070760B">
        <w:t>NLA suggests that the contents of Chapter 8 could better reflect the requirements and provisions of the Family Law Act 1975 in relation to Fam</w:t>
      </w:r>
      <w:r w:rsidR="002776CE" w:rsidRPr="0070760B">
        <w:t xml:space="preserve">ily Dispute Resolution (FDR), </w:t>
      </w:r>
      <w:r w:rsidR="00DB7242" w:rsidRPr="0070760B">
        <w:t>including in relation to certification</w:t>
      </w:r>
      <w:r w:rsidR="00A702C7">
        <w:t xml:space="preserve"> requirements</w:t>
      </w:r>
      <w:r w:rsidR="00DB7242" w:rsidRPr="0070760B">
        <w:t xml:space="preserve">, </w:t>
      </w:r>
      <w:r w:rsidR="002776CE" w:rsidRPr="0070760B">
        <w:t xml:space="preserve">and the existing accreditation requirements for FDRPs. </w:t>
      </w:r>
    </w:p>
    <w:p w:rsidR="000C42AE" w:rsidRDefault="000C42AE" w:rsidP="0070760B">
      <w:pPr>
        <w:pStyle w:val="BodyText"/>
        <w:jc w:val="left"/>
      </w:pPr>
    </w:p>
    <w:p w:rsidR="00EE10FF" w:rsidRDefault="002776CE" w:rsidP="0070760B">
      <w:pPr>
        <w:pStyle w:val="BodyText"/>
        <w:jc w:val="left"/>
      </w:pPr>
      <w:r w:rsidRPr="0070760B">
        <w:t xml:space="preserve">NLA is pleased that </w:t>
      </w:r>
      <w:r w:rsidR="000C42AE" w:rsidRPr="0070760B">
        <w:t xml:space="preserve">LAC </w:t>
      </w:r>
      <w:r w:rsidR="00AE4D83" w:rsidRPr="0070760B">
        <w:t xml:space="preserve">FDR is referred to </w:t>
      </w:r>
      <w:r w:rsidRPr="0070760B">
        <w:t xml:space="preserve">positively in the draft report.  NLA suggests however </w:t>
      </w:r>
      <w:r w:rsidR="00AE4D83" w:rsidRPr="0070760B">
        <w:t xml:space="preserve">that draft report </w:t>
      </w:r>
      <w:r w:rsidRPr="0070760B">
        <w:t xml:space="preserve">could more </w:t>
      </w:r>
      <w:r w:rsidR="00AE4D83" w:rsidRPr="0070760B">
        <w:t xml:space="preserve">accurately reflect the extent </w:t>
      </w:r>
      <w:r w:rsidRPr="0070760B">
        <w:t xml:space="preserve">and </w:t>
      </w:r>
      <w:r w:rsidR="00AE4D83" w:rsidRPr="0070760B">
        <w:t xml:space="preserve">efficacy of </w:t>
      </w:r>
      <w:r w:rsidR="005B137E" w:rsidRPr="0070760B">
        <w:t xml:space="preserve">all </w:t>
      </w:r>
      <w:r w:rsidR="00AE4D83" w:rsidRPr="0070760B">
        <w:t xml:space="preserve">LAC </w:t>
      </w:r>
      <w:r w:rsidR="005B137E" w:rsidRPr="0070760B">
        <w:t>DR programs, including in relation to settlement rates, screening and risk assessments, and strategies for managing power imbalance</w:t>
      </w:r>
      <w:r w:rsidR="00A702C7">
        <w:rPr>
          <w:rStyle w:val="FootnoteReference"/>
        </w:rPr>
        <w:footnoteReference w:id="19"/>
      </w:r>
      <w:r w:rsidR="005B137E" w:rsidRPr="0070760B">
        <w:t xml:space="preserve">.  </w:t>
      </w:r>
      <w:r w:rsidR="00A072B7">
        <w:t xml:space="preserve"> For 2011-2012 the national average full/partial settlement rate for LAC DR programs was 77%, with Victoria Legal Aid, and the Legal Aid Commission of Tasmania achieving 83%. </w:t>
      </w:r>
      <w:r w:rsidR="00030E06">
        <w:t xml:space="preserve">  These settlement rates are considered especially significant as they are achieved in family law matters which </w:t>
      </w:r>
      <w:r w:rsidR="006433A9">
        <w:t>are priorities under the NPA involving</w:t>
      </w:r>
      <w:r w:rsidR="00030E06">
        <w:t xml:space="preserve"> complex</w:t>
      </w:r>
      <w:r w:rsidR="006433A9">
        <w:t xml:space="preserve"> issues, and often highly con</w:t>
      </w:r>
      <w:r w:rsidR="00D5584A">
        <w:t xml:space="preserve">flicted parties in </w:t>
      </w:r>
      <w:r w:rsidR="006433A9">
        <w:t xml:space="preserve">acute circumstances.  </w:t>
      </w:r>
      <w:r w:rsidR="00030E06">
        <w:t xml:space="preserve"> </w:t>
      </w:r>
      <w:r w:rsidR="00A2214D">
        <w:t xml:space="preserve"> </w:t>
      </w:r>
    </w:p>
    <w:p w:rsidR="001E1504" w:rsidRPr="001A63F7" w:rsidRDefault="001E1504" w:rsidP="0070760B">
      <w:pPr>
        <w:pStyle w:val="BodyText"/>
        <w:jc w:val="left"/>
        <w:rPr>
          <w:szCs w:val="24"/>
        </w:rPr>
      </w:pPr>
    </w:p>
    <w:p w:rsidR="00EE10FF" w:rsidRPr="001A63F7" w:rsidRDefault="00EE10FF" w:rsidP="00EE10FF">
      <w:pPr>
        <w:rPr>
          <w:rFonts w:asciiTheme="minorHAnsi" w:hAnsiTheme="minorHAnsi"/>
          <w:szCs w:val="24"/>
        </w:rPr>
      </w:pPr>
      <w:r w:rsidRPr="001A63F7">
        <w:rPr>
          <w:rFonts w:asciiTheme="minorHAnsi" w:hAnsiTheme="minorHAnsi"/>
          <w:szCs w:val="24"/>
          <w:highlight w:val="lightGray"/>
        </w:rPr>
        <w:t>“Family dispute resolution services in LACs were found to deliver benefits that outweighed costs for all jurisdictions except Victoria and the Northern Territory between 2004-2005 and 2007-2008 (table 8.1).  It also found that this model for FDR was effective in avoiding high costs of litigation, enabled management of more complex legal and support needs, and was effective in identifying family violence and child abuse early in the process (KPMG 2008).”</w:t>
      </w:r>
      <w:r w:rsidRPr="001A63F7">
        <w:rPr>
          <w:rStyle w:val="FootnoteReference"/>
          <w:rFonts w:asciiTheme="minorHAnsi" w:hAnsiTheme="minorHAnsi"/>
          <w:szCs w:val="24"/>
          <w:highlight w:val="lightGray"/>
        </w:rPr>
        <w:footnoteReference w:id="20"/>
      </w:r>
    </w:p>
    <w:p w:rsidR="00EE10FF" w:rsidRPr="001A63F7" w:rsidRDefault="00EE10FF" w:rsidP="0070760B">
      <w:pPr>
        <w:pStyle w:val="BodyText"/>
        <w:jc w:val="left"/>
        <w:rPr>
          <w:szCs w:val="24"/>
        </w:rPr>
      </w:pPr>
    </w:p>
    <w:p w:rsidR="00387F3A" w:rsidRDefault="002776CE" w:rsidP="0070760B">
      <w:pPr>
        <w:pStyle w:val="BodyText"/>
        <w:jc w:val="left"/>
      </w:pPr>
      <w:r w:rsidRPr="0070760B">
        <w:t>To contextualise the information from the KPMG report included above, NLA suggests that it would be appropriate to include a note that the FDR programs of each of Victoria</w:t>
      </w:r>
      <w:r w:rsidR="006241E8" w:rsidRPr="0070760B">
        <w:t xml:space="preserve"> Legal Aid and the Northern Territory Legal Aid </w:t>
      </w:r>
      <w:r w:rsidR="00BF1A11" w:rsidRPr="0070760B">
        <w:t xml:space="preserve">Commission </w:t>
      </w:r>
      <w:r w:rsidR="00BF1A11">
        <w:t>were</w:t>
      </w:r>
      <w:r w:rsidR="00C0724E">
        <w:t xml:space="preserve"> the most recently established</w:t>
      </w:r>
      <w:r w:rsidR="002547E6">
        <w:t xml:space="preserve"> LAC programs</w:t>
      </w:r>
      <w:r w:rsidR="00C0724E">
        <w:t xml:space="preserve">, </w:t>
      </w:r>
      <w:r w:rsidR="002547E6">
        <w:t>FDR was not then mandated</w:t>
      </w:r>
      <w:r w:rsidR="00C0724E">
        <w:t>, and client numbers had not reached present volumes</w:t>
      </w:r>
      <w:r w:rsidR="001A63F7">
        <w:t>.</w:t>
      </w:r>
      <w:r w:rsidR="00C0724E">
        <w:t xml:space="preserve"> </w:t>
      </w:r>
    </w:p>
    <w:p w:rsidR="00387F3A" w:rsidRDefault="00387F3A" w:rsidP="0070760B">
      <w:pPr>
        <w:pStyle w:val="BodyText"/>
        <w:jc w:val="left"/>
      </w:pPr>
    </w:p>
    <w:p w:rsidR="00845083" w:rsidRDefault="002776CE" w:rsidP="0070760B">
      <w:pPr>
        <w:pStyle w:val="BodyText"/>
        <w:jc w:val="left"/>
      </w:pPr>
      <w:r w:rsidRPr="0070760B">
        <w:t xml:space="preserve">It is also relevant that </w:t>
      </w:r>
      <w:r w:rsidR="00845083">
        <w:t xml:space="preserve">in 2009 </w:t>
      </w:r>
      <w:r w:rsidR="00387F3A">
        <w:t>when PriceWaterhouseCoopers</w:t>
      </w:r>
      <w:r w:rsidR="00845083">
        <w:t xml:space="preserve"> undertook an analysis of the economic value of legal aid in relation to Commonwealth funded matters with a focus on family law </w:t>
      </w:r>
      <w:r w:rsidR="00820479">
        <w:t xml:space="preserve">it was </w:t>
      </w:r>
      <w:r w:rsidR="00845083">
        <w:t>concluded:</w:t>
      </w:r>
    </w:p>
    <w:p w:rsidR="005D275B" w:rsidRDefault="005D275B" w:rsidP="0070760B">
      <w:pPr>
        <w:pStyle w:val="BodyText"/>
        <w:jc w:val="left"/>
      </w:pPr>
    </w:p>
    <w:p w:rsidR="00845083" w:rsidRDefault="005D275B" w:rsidP="0070760B">
      <w:pPr>
        <w:pStyle w:val="BodyText"/>
        <w:jc w:val="left"/>
      </w:pPr>
      <w:r>
        <w:t>“Governments have a responsibility to provide access to justice, including access to legal assistance</w:t>
      </w:r>
      <w:r w:rsidR="00845083">
        <w:t>, as part of the provision of basic human rights.</w:t>
      </w:r>
    </w:p>
    <w:p w:rsidR="00845083" w:rsidRDefault="00845083" w:rsidP="0070760B">
      <w:pPr>
        <w:pStyle w:val="BodyText"/>
        <w:jc w:val="left"/>
      </w:pPr>
    </w:p>
    <w:p w:rsidR="00845083" w:rsidRDefault="00845083" w:rsidP="0070760B">
      <w:pPr>
        <w:pStyle w:val="BodyText"/>
        <w:jc w:val="left"/>
      </w:pPr>
      <w:r>
        <w:lastRenderedPageBreak/>
        <w:t>Beyond this responsibility there is strong economic justification for the provision of legal aid on multiple levels:</w:t>
      </w:r>
    </w:p>
    <w:p w:rsidR="00845083" w:rsidRDefault="00845083" w:rsidP="0070760B">
      <w:pPr>
        <w:pStyle w:val="BodyText"/>
        <w:jc w:val="left"/>
      </w:pPr>
    </w:p>
    <w:p w:rsidR="00845083" w:rsidRDefault="00845083" w:rsidP="002D1662">
      <w:pPr>
        <w:pStyle w:val="BodyText"/>
        <w:numPr>
          <w:ilvl w:val="0"/>
          <w:numId w:val="51"/>
        </w:numPr>
        <w:jc w:val="left"/>
      </w:pPr>
      <w:r>
        <w:t>Direct legal assistance in relation to court and dispute resolution services for Family Law matters has a net positive efficiency benefit for the justice system.  These benefits outweigh the costs of providing these services, ranging from a return of $1.60 to $2.25 for every dollar spent.” etc.</w:t>
      </w:r>
      <w:r w:rsidRPr="00845083">
        <w:rPr>
          <w:rStyle w:val="FootnoteReference"/>
        </w:rPr>
        <w:t xml:space="preserve"> </w:t>
      </w:r>
      <w:r>
        <w:rPr>
          <w:rStyle w:val="FootnoteReference"/>
        </w:rPr>
        <w:footnoteReference w:id="21"/>
      </w:r>
      <w:r>
        <w:t xml:space="preserve">  </w:t>
      </w:r>
    </w:p>
    <w:p w:rsidR="00845083" w:rsidRPr="0070760B" w:rsidRDefault="00845083" w:rsidP="00163328">
      <w:pPr>
        <w:pStyle w:val="BodyText"/>
        <w:ind w:left="780"/>
        <w:jc w:val="left"/>
      </w:pPr>
    </w:p>
    <w:p w:rsidR="00BC62E3" w:rsidRDefault="00BC62E3" w:rsidP="00163328">
      <w:pPr>
        <w:pStyle w:val="BodyText"/>
        <w:ind w:left="780"/>
        <w:jc w:val="left"/>
        <w:rPr>
          <w:rFonts w:cs="Calibri"/>
          <w:szCs w:val="24"/>
          <w:highlight w:val="lightGray"/>
        </w:rPr>
      </w:pPr>
    </w:p>
    <w:p w:rsidR="00A702C7" w:rsidRPr="00845083" w:rsidRDefault="0046460D" w:rsidP="00BC62E3">
      <w:pPr>
        <w:pStyle w:val="BodyText"/>
        <w:jc w:val="left"/>
        <w:rPr>
          <w:rFonts w:cs="Calibri"/>
          <w:szCs w:val="24"/>
        </w:rPr>
      </w:pPr>
      <w:r w:rsidRPr="00845083">
        <w:rPr>
          <w:rFonts w:cs="Calibri"/>
          <w:szCs w:val="24"/>
          <w:highlight w:val="lightGray"/>
        </w:rPr>
        <w:t>“In some areas, current data reporting requirements could be better targeted to give a clearer picture of ADR activities.  For example, legal assistance service providers should be required to provide information on the provision of ADR services as part of their reporting requirements for public funding.”</w:t>
      </w:r>
      <w:r w:rsidRPr="00A702C7">
        <w:rPr>
          <w:rStyle w:val="FootnoteReference"/>
          <w:rFonts w:cs="Calibri"/>
          <w:i/>
          <w:szCs w:val="24"/>
          <w:highlight w:val="lightGray"/>
        </w:rPr>
        <w:footnoteReference w:id="22"/>
      </w:r>
      <w:r w:rsidRPr="00845083">
        <w:rPr>
          <w:rFonts w:cs="Calibri"/>
          <w:szCs w:val="24"/>
        </w:rPr>
        <w:t xml:space="preserve">   </w:t>
      </w:r>
    </w:p>
    <w:p w:rsidR="00163328" w:rsidRDefault="005E5090" w:rsidP="00163328">
      <w:pPr>
        <w:pStyle w:val="Finding"/>
        <w:rPr>
          <w:rFonts w:ascii="Calibri" w:hAnsi="Calibri" w:cs="Calibri"/>
          <w:i w:val="0"/>
          <w:sz w:val="24"/>
          <w:szCs w:val="24"/>
        </w:rPr>
      </w:pPr>
      <w:r w:rsidRPr="0070760B">
        <w:rPr>
          <w:rFonts w:ascii="Calibri" w:hAnsi="Calibri" w:cs="Calibri"/>
          <w:i w:val="0"/>
          <w:sz w:val="24"/>
          <w:szCs w:val="24"/>
        </w:rPr>
        <w:t>NLA has some conce</w:t>
      </w:r>
      <w:r w:rsidR="00A702C7">
        <w:rPr>
          <w:rFonts w:ascii="Calibri" w:hAnsi="Calibri" w:cs="Calibri"/>
          <w:i w:val="0"/>
          <w:sz w:val="24"/>
          <w:szCs w:val="24"/>
        </w:rPr>
        <w:t xml:space="preserve">rns that the above </w:t>
      </w:r>
      <w:r w:rsidRPr="0070760B">
        <w:rPr>
          <w:rFonts w:ascii="Calibri" w:hAnsi="Calibri" w:cs="Calibri"/>
          <w:i w:val="0"/>
          <w:sz w:val="24"/>
          <w:szCs w:val="24"/>
        </w:rPr>
        <w:t>paragraph as currently worded c</w:t>
      </w:r>
      <w:r w:rsidR="0046460D" w:rsidRPr="0070760B">
        <w:rPr>
          <w:rFonts w:ascii="Calibri" w:hAnsi="Calibri" w:cs="Calibri"/>
          <w:i w:val="0"/>
          <w:sz w:val="24"/>
          <w:szCs w:val="24"/>
        </w:rPr>
        <w:t xml:space="preserve">ould lead to </w:t>
      </w:r>
      <w:r w:rsidRPr="0070760B">
        <w:rPr>
          <w:rFonts w:ascii="Calibri" w:hAnsi="Calibri" w:cs="Calibri"/>
          <w:i w:val="0"/>
          <w:sz w:val="24"/>
          <w:szCs w:val="24"/>
        </w:rPr>
        <w:t xml:space="preserve">an </w:t>
      </w:r>
      <w:r w:rsidR="0046460D" w:rsidRPr="0070760B">
        <w:rPr>
          <w:rFonts w:ascii="Calibri" w:hAnsi="Calibri" w:cs="Calibri"/>
          <w:i w:val="0"/>
          <w:sz w:val="24"/>
          <w:szCs w:val="24"/>
        </w:rPr>
        <w:t>incorrect inference that LACs are not already</w:t>
      </w:r>
      <w:r w:rsidR="00845083">
        <w:rPr>
          <w:rFonts w:ascii="Calibri" w:hAnsi="Calibri" w:cs="Calibri"/>
          <w:i w:val="0"/>
          <w:sz w:val="24"/>
          <w:szCs w:val="24"/>
        </w:rPr>
        <w:t xml:space="preserve"> reporting on the volumes of dispute resolution services that they provide. </w:t>
      </w:r>
    </w:p>
    <w:p w:rsidR="00163328" w:rsidRPr="00163328" w:rsidRDefault="00163328" w:rsidP="00163328">
      <w:pPr>
        <w:pStyle w:val="Finding"/>
        <w:rPr>
          <w:rFonts w:ascii="Calibri" w:hAnsi="Calibri" w:cs="Calibri"/>
          <w:i w:val="0"/>
          <w:sz w:val="24"/>
          <w:szCs w:val="24"/>
        </w:rPr>
      </w:pPr>
    </w:p>
    <w:p w:rsidR="00F01EF3" w:rsidRPr="00672D35" w:rsidRDefault="00F01EF3" w:rsidP="0082337D">
      <w:pPr>
        <w:pStyle w:val="RecTitle"/>
        <w:rPr>
          <w:rFonts w:ascii="Calibri" w:hAnsi="Calibri" w:cs="Calibri"/>
          <w:szCs w:val="24"/>
          <w:highlight w:val="lightGray"/>
        </w:rPr>
      </w:pPr>
      <w:r w:rsidRPr="00672D35">
        <w:rPr>
          <w:rFonts w:ascii="Calibri" w:hAnsi="Calibri" w:cs="Calibri"/>
          <w:szCs w:val="24"/>
          <w:highlight w:val="lightGray"/>
        </w:rPr>
        <w:t>Information request 8.1</w:t>
      </w:r>
    </w:p>
    <w:p w:rsidR="00F01EF3" w:rsidRPr="00672D35" w:rsidRDefault="00F01EF3" w:rsidP="00F01EF3">
      <w:pPr>
        <w:pStyle w:val="InformationRequest"/>
        <w:rPr>
          <w:rFonts w:ascii="Calibri" w:hAnsi="Calibri" w:cs="Calibri"/>
          <w:szCs w:val="24"/>
          <w:highlight w:val="lightGray"/>
        </w:rPr>
      </w:pPr>
      <w:r w:rsidRPr="00672D35">
        <w:rPr>
          <w:rFonts w:ascii="Calibri" w:hAnsi="Calibri" w:cs="Calibri"/>
          <w:szCs w:val="24"/>
          <w:highlight w:val="lightGray"/>
        </w:rPr>
        <w:t xml:space="preserve">The Commission seeks feedback on whether there is merit in courts and tribunals making mediation compulsory for contested disputes of relatively low value (that is, up to $50 000). </w:t>
      </w:r>
    </w:p>
    <w:p w:rsidR="00F01EF3" w:rsidRPr="00672D35" w:rsidRDefault="00F01EF3" w:rsidP="00F01EF3">
      <w:pPr>
        <w:pStyle w:val="InformationRequest"/>
        <w:rPr>
          <w:rFonts w:ascii="Calibri" w:hAnsi="Calibri" w:cs="Calibri"/>
          <w:szCs w:val="24"/>
          <w:highlight w:val="lightGray"/>
        </w:rPr>
      </w:pPr>
      <w:r w:rsidRPr="00672D35">
        <w:rPr>
          <w:rFonts w:ascii="Calibri" w:hAnsi="Calibri" w:cs="Calibri"/>
          <w:szCs w:val="24"/>
          <w:highlight w:val="lightGray"/>
        </w:rPr>
        <w:t xml:space="preserve">What are examples of successful models of targeted referral and alternative dispute resolution processes that could be extended to other types of civil matters, or to similar types of matters in other jurisdictions? </w:t>
      </w:r>
    </w:p>
    <w:p w:rsidR="00F01EF3" w:rsidRPr="00672D35" w:rsidRDefault="00F01EF3" w:rsidP="00F01EF3">
      <w:pPr>
        <w:pStyle w:val="InformationRequest"/>
        <w:rPr>
          <w:rFonts w:ascii="Calibri" w:hAnsi="Calibri" w:cs="Calibri"/>
          <w:szCs w:val="24"/>
        </w:rPr>
      </w:pPr>
      <w:r w:rsidRPr="00672D35">
        <w:rPr>
          <w:rFonts w:ascii="Calibri" w:hAnsi="Calibri" w:cs="Calibri"/>
          <w:szCs w:val="24"/>
          <w:highlight w:val="lightGray"/>
        </w:rPr>
        <w:t>The Commission also seeks feedback on the value of extending requirements to undertake alternative dispute resolution in a wider variety of family law disputes.</w:t>
      </w:r>
      <w:r w:rsidRPr="00672D35">
        <w:rPr>
          <w:rFonts w:ascii="Calibri" w:hAnsi="Calibri" w:cs="Calibri"/>
          <w:szCs w:val="24"/>
        </w:rPr>
        <w:t xml:space="preserve"> </w:t>
      </w:r>
    </w:p>
    <w:p w:rsidR="0082337D" w:rsidRDefault="0082337D" w:rsidP="0070760B">
      <w:pPr>
        <w:pStyle w:val="BodyText"/>
        <w:jc w:val="left"/>
      </w:pPr>
    </w:p>
    <w:p w:rsidR="0006249E" w:rsidRDefault="004C0C96" w:rsidP="0070760B">
      <w:pPr>
        <w:pStyle w:val="BodyText"/>
        <w:jc w:val="left"/>
      </w:pPr>
      <w:r>
        <w:t>Funding permitting, LACs could readily expand</w:t>
      </w:r>
      <w:r w:rsidR="00A14444">
        <w:t xml:space="preserve"> </w:t>
      </w:r>
      <w:r>
        <w:t xml:space="preserve">their </w:t>
      </w:r>
      <w:r w:rsidR="00A14444">
        <w:t xml:space="preserve">dispute resolution </w:t>
      </w:r>
      <w:r w:rsidR="0006249E">
        <w:t xml:space="preserve">conferencing </w:t>
      </w:r>
      <w:r>
        <w:t xml:space="preserve">programs </w:t>
      </w:r>
      <w:r w:rsidR="0006249E">
        <w:t xml:space="preserve">in matters </w:t>
      </w:r>
      <w:r>
        <w:t xml:space="preserve">involving </w:t>
      </w:r>
      <w:r w:rsidR="0006249E">
        <w:t xml:space="preserve">family </w:t>
      </w:r>
      <w:r w:rsidR="00E85638">
        <w:t xml:space="preserve">law </w:t>
      </w:r>
      <w:r w:rsidR="0006249E">
        <w:t>property disputes.</w:t>
      </w:r>
      <w:r w:rsidR="00307339">
        <w:t xml:space="preserve"> </w:t>
      </w:r>
    </w:p>
    <w:p w:rsidR="004C0C96" w:rsidRDefault="004C0C96" w:rsidP="0070760B">
      <w:pPr>
        <w:pStyle w:val="BodyText"/>
        <w:jc w:val="left"/>
      </w:pPr>
    </w:p>
    <w:p w:rsidR="004C0C96" w:rsidRDefault="00E85638" w:rsidP="0070760B">
      <w:pPr>
        <w:pStyle w:val="BodyText"/>
        <w:jc w:val="left"/>
      </w:pPr>
      <w:r>
        <w:t>Prior to being able to file an application in court for family law property law orders, a certificate that the parties have attempted/are exempt from attempting FDR should be filed as is currently the case in relation to children’s matters.</w:t>
      </w:r>
    </w:p>
    <w:p w:rsidR="00E85638" w:rsidRDefault="00E85638" w:rsidP="0070760B">
      <w:pPr>
        <w:pStyle w:val="BodyText"/>
        <w:jc w:val="left"/>
      </w:pPr>
    </w:p>
    <w:p w:rsidR="00E85638" w:rsidRDefault="008D76D8" w:rsidP="0070760B">
      <w:pPr>
        <w:pStyle w:val="BodyText"/>
        <w:jc w:val="left"/>
      </w:pPr>
      <w:r>
        <w:lastRenderedPageBreak/>
        <w:t xml:space="preserve">Family law property dispute resolution </w:t>
      </w:r>
      <w:r w:rsidR="00E85638">
        <w:t>should only be undertaken by lawyers, and there should be a proce</w:t>
      </w:r>
      <w:r w:rsidR="0055336D">
        <w:t>ss for accreditation of those dispute resolution</w:t>
      </w:r>
      <w:r w:rsidR="00E85638">
        <w:t xml:space="preserve"> practitioners in much the same way as there is currently a process for the accreditation of family law dispute resolution practitioners (FDRPs).  Existing FDRPs who are lawyers with family law property knowledge and experience are a ready work force, and capable of resolving all associated family law matters and are currently used by some </w:t>
      </w:r>
      <w:r w:rsidR="00516916">
        <w:t xml:space="preserve">LACs </w:t>
      </w:r>
      <w:r w:rsidR="00E85638">
        <w:t>to resolve both parenting and property matters through dispute resolution.</w:t>
      </w:r>
    </w:p>
    <w:p w:rsidR="009F33C5" w:rsidRDefault="009F33C5" w:rsidP="0070760B">
      <w:pPr>
        <w:pStyle w:val="BodyText"/>
        <w:jc w:val="left"/>
      </w:pPr>
    </w:p>
    <w:p w:rsidR="009F33C5" w:rsidRDefault="009F33C5" w:rsidP="0070760B">
      <w:pPr>
        <w:pStyle w:val="BodyText"/>
        <w:jc w:val="left"/>
      </w:pPr>
      <w:r>
        <w:t>Parties should be able to access accredited service providers of their choice, and where eligible for legal aid should be entitled to the service from an LAC.</w:t>
      </w:r>
    </w:p>
    <w:p w:rsidR="009F33C5" w:rsidRDefault="009F33C5" w:rsidP="0070760B">
      <w:pPr>
        <w:pStyle w:val="BodyText"/>
        <w:jc w:val="left"/>
      </w:pPr>
    </w:p>
    <w:p w:rsidR="009F33C5" w:rsidRDefault="00AF72F5" w:rsidP="0070760B">
      <w:pPr>
        <w:pStyle w:val="BodyText"/>
        <w:jc w:val="left"/>
      </w:pPr>
      <w:r>
        <w:t>NLA is of the view that any accreditation</w:t>
      </w:r>
      <w:r w:rsidR="001A0AE0">
        <w:t xml:space="preserve"> must</w:t>
      </w:r>
      <w:r>
        <w:t xml:space="preserve"> address adequate screening for, and understanding about, the dynamics of family violence which also apply frequently in property law matters.  </w:t>
      </w:r>
    </w:p>
    <w:p w:rsidR="00572108" w:rsidRDefault="00572108" w:rsidP="0070760B">
      <w:pPr>
        <w:pStyle w:val="BodyText"/>
        <w:jc w:val="left"/>
      </w:pPr>
    </w:p>
    <w:p w:rsidR="00D37C17" w:rsidRDefault="00D37C17" w:rsidP="0070760B">
      <w:pPr>
        <w:pStyle w:val="BodyText"/>
        <w:jc w:val="left"/>
      </w:pPr>
      <w:r>
        <w:t>NLA also proposes a “duty mediation service” located at the family law courts which could be provided by LACs, and which would be available in relation to children’s issues and also potentially property law matters.  It is envisaged that this service would assist in reducing the demand upon family law courts and the delays sometimes experienced by the people accessing the courts.  The service could b</w:t>
      </w:r>
      <w:r w:rsidR="00572108">
        <w:t>e</w:t>
      </w:r>
      <w:r>
        <w:t xml:space="preserve"> implemented regardless of whether accreditation for dispute resolution for family law property matters was introduced but otherwise would be complementary to it.  The duty mediation service would also be available for late litigation stage conferences, as provided for example, by LANSW, LAQ and the LSCSA, upon referral from the courts.  The possibility of seeking a financial contribution from those who could afford to pay for the service could be addressed, perhaps using a contributions model such as that employed by LAQ for their Arbitration program on a user pays basis.</w:t>
      </w:r>
    </w:p>
    <w:p w:rsidR="00D37C17" w:rsidRDefault="00D37C17" w:rsidP="0070760B">
      <w:pPr>
        <w:pStyle w:val="BodyText"/>
        <w:jc w:val="left"/>
      </w:pPr>
    </w:p>
    <w:p w:rsidR="00D37C17" w:rsidRDefault="00D37C17" w:rsidP="0070760B">
      <w:pPr>
        <w:pStyle w:val="BodyText"/>
        <w:jc w:val="left"/>
      </w:pPr>
      <w:r>
        <w:t>Whilst funding would be required, it is envisaged that the services would provide direct savings by reason of reduction of court time, and other direct and indirect financial benefits by reason of early resolution.</w:t>
      </w:r>
      <w:r w:rsidR="001F29EA">
        <w:rPr>
          <w:rStyle w:val="FootnoteReference"/>
        </w:rPr>
        <w:footnoteReference w:id="23"/>
      </w:r>
      <w:r>
        <w:t xml:space="preserve"> </w:t>
      </w:r>
    </w:p>
    <w:p w:rsidR="00D37C17" w:rsidRDefault="00D37C17" w:rsidP="0070760B">
      <w:pPr>
        <w:pStyle w:val="BodyText"/>
        <w:jc w:val="left"/>
      </w:pPr>
    </w:p>
    <w:p w:rsidR="00F01EF3" w:rsidRPr="001A0AE0" w:rsidRDefault="00F01EF3" w:rsidP="00F01EF3">
      <w:pPr>
        <w:pStyle w:val="RecTitle"/>
        <w:rPr>
          <w:rFonts w:ascii="Calibri" w:hAnsi="Calibri" w:cs="Calibri"/>
          <w:szCs w:val="24"/>
          <w:highlight w:val="lightGray"/>
        </w:rPr>
      </w:pPr>
      <w:r w:rsidRPr="001A0AE0">
        <w:rPr>
          <w:rFonts w:ascii="Calibri" w:hAnsi="Calibri" w:cs="Calibri"/>
          <w:szCs w:val="24"/>
          <w:highlight w:val="lightGray"/>
        </w:rPr>
        <w:t>draft Recommendation 8.3</w:t>
      </w:r>
    </w:p>
    <w:p w:rsidR="00F01EF3" w:rsidRPr="001A0AE0" w:rsidRDefault="00F01EF3" w:rsidP="0082337D">
      <w:pPr>
        <w:pStyle w:val="Finding"/>
        <w:rPr>
          <w:rFonts w:ascii="Calibri" w:hAnsi="Calibri" w:cs="Calibri"/>
          <w:b/>
          <w:sz w:val="24"/>
          <w:szCs w:val="24"/>
        </w:rPr>
      </w:pPr>
      <w:r w:rsidRPr="001A0AE0">
        <w:rPr>
          <w:rFonts w:ascii="Calibri" w:hAnsi="Calibri" w:cs="Calibri"/>
          <w:b/>
          <w:sz w:val="24"/>
          <w:szCs w:val="24"/>
          <w:highlight w:val="lightGray"/>
        </w:rPr>
        <w:t>Organisations within jurisdictions that are responsible for preparing information and education materials to improve access to justice and increase general awareness about dispute resolution should incorporate alternative dispute resolution as a central platform in those materials.</w:t>
      </w:r>
      <w:r w:rsidRPr="001A0AE0">
        <w:rPr>
          <w:rFonts w:ascii="Calibri" w:hAnsi="Calibri" w:cs="Calibri"/>
          <w:b/>
          <w:sz w:val="24"/>
          <w:szCs w:val="24"/>
        </w:rPr>
        <w:t xml:space="preserve"> </w:t>
      </w:r>
    </w:p>
    <w:p w:rsidR="0070760B" w:rsidRPr="0070760B" w:rsidRDefault="0070760B" w:rsidP="0070760B">
      <w:pPr>
        <w:pStyle w:val="BodyText"/>
        <w:jc w:val="left"/>
      </w:pPr>
    </w:p>
    <w:p w:rsidR="00B43CBC" w:rsidRPr="0070760B" w:rsidRDefault="00B43CBC" w:rsidP="0070760B">
      <w:pPr>
        <w:pStyle w:val="BodyText"/>
        <w:jc w:val="left"/>
      </w:pPr>
      <w:r w:rsidRPr="0070760B">
        <w:lastRenderedPageBreak/>
        <w:t>LACs actively promote dispute resolution services and prioritise these in their service delivery models</w:t>
      </w:r>
      <w:r w:rsidR="00DA4592" w:rsidRPr="0070760B">
        <w:t>.  Dispute resolution is promoted</w:t>
      </w:r>
      <w:r w:rsidRPr="0070760B">
        <w:t xml:space="preserve"> in LAC publications.  Details are reported in annual reports, and statistics are provided to the Commonwealth Attorney-General’s Department.</w:t>
      </w:r>
    </w:p>
    <w:p w:rsidR="00A82BAB" w:rsidRPr="0070760B" w:rsidRDefault="00A82BAB" w:rsidP="0070760B">
      <w:pPr>
        <w:pStyle w:val="BodyText"/>
        <w:jc w:val="left"/>
      </w:pPr>
    </w:p>
    <w:p w:rsidR="00A82BAB" w:rsidRPr="00737061" w:rsidRDefault="00A82BAB" w:rsidP="00A82BAB">
      <w:pPr>
        <w:pStyle w:val="RecTitle"/>
        <w:rPr>
          <w:rFonts w:ascii="Calibri" w:hAnsi="Calibri" w:cs="Calibri"/>
          <w:szCs w:val="24"/>
          <w:highlight w:val="lightGray"/>
        </w:rPr>
      </w:pPr>
      <w:r w:rsidRPr="00737061">
        <w:rPr>
          <w:rFonts w:ascii="Calibri" w:hAnsi="Calibri" w:cs="Calibri"/>
          <w:szCs w:val="24"/>
          <w:highlight w:val="lightGray"/>
        </w:rPr>
        <w:t>DRAFT Recommendation 8.4</w:t>
      </w:r>
    </w:p>
    <w:p w:rsidR="00E90490" w:rsidRPr="00737061" w:rsidRDefault="00A82BAB" w:rsidP="0082337D">
      <w:pPr>
        <w:pStyle w:val="Finding"/>
        <w:rPr>
          <w:rFonts w:ascii="Calibri" w:hAnsi="Calibri" w:cs="Calibri"/>
          <w:b/>
          <w:sz w:val="24"/>
          <w:szCs w:val="24"/>
        </w:rPr>
      </w:pPr>
      <w:r w:rsidRPr="00737061">
        <w:rPr>
          <w:rFonts w:ascii="Calibri" w:hAnsi="Calibri" w:cs="Calibri"/>
          <w:b/>
          <w:sz w:val="24"/>
          <w:szCs w:val="24"/>
        </w:rPr>
        <w:t>Organisations involved in dispute resolution processes should develop guidelines for administrators and decision makers to triage disputes.  Triage should involve allocating disputes to an appropriate mechanism for attempting resolution (including providing access to formal resolution processes when alternative dispute resolution mechanisms are not suitable) or narrowing the scope of disputes and facilitating the early exchange of full information.</w:t>
      </w:r>
    </w:p>
    <w:p w:rsidR="0070760B" w:rsidRPr="0070760B" w:rsidRDefault="0070760B" w:rsidP="0070760B">
      <w:pPr>
        <w:pStyle w:val="BodyText"/>
        <w:jc w:val="left"/>
      </w:pPr>
    </w:p>
    <w:p w:rsidR="00FC6F1C" w:rsidRPr="0070760B" w:rsidRDefault="00FC6F1C" w:rsidP="0070760B">
      <w:pPr>
        <w:pStyle w:val="BodyText"/>
        <w:jc w:val="left"/>
      </w:pPr>
      <w:r w:rsidRPr="0070760B">
        <w:t xml:space="preserve">All LACs have screening, intake, and referral processes to ensure accurate targeting of matters to appropriate FDR </w:t>
      </w:r>
      <w:r w:rsidR="000C1CF4">
        <w:t xml:space="preserve">and other </w:t>
      </w:r>
      <w:r w:rsidRPr="0070760B">
        <w:t xml:space="preserve">services.  </w:t>
      </w:r>
    </w:p>
    <w:p w:rsidR="00A82BAB" w:rsidRPr="0070760B" w:rsidRDefault="00A82BAB" w:rsidP="0070760B">
      <w:pPr>
        <w:pStyle w:val="BodyText"/>
        <w:jc w:val="left"/>
      </w:pPr>
    </w:p>
    <w:p w:rsidR="00F01EF3" w:rsidRPr="00737061" w:rsidRDefault="00F01EF3" w:rsidP="00F01EF3">
      <w:pPr>
        <w:pStyle w:val="RecTitle"/>
        <w:rPr>
          <w:rFonts w:ascii="Calibri" w:hAnsi="Calibri" w:cs="Calibri"/>
          <w:szCs w:val="24"/>
          <w:highlight w:val="lightGray"/>
        </w:rPr>
      </w:pPr>
      <w:r w:rsidRPr="00737061">
        <w:rPr>
          <w:rFonts w:ascii="Calibri" w:hAnsi="Calibri" w:cs="Calibri"/>
          <w:szCs w:val="24"/>
          <w:highlight w:val="lightGray"/>
        </w:rPr>
        <w:t>DRAFT Recommendation 8.6</w:t>
      </w:r>
    </w:p>
    <w:p w:rsidR="0070760B" w:rsidRPr="00737061" w:rsidRDefault="00F01EF3" w:rsidP="00737061">
      <w:pPr>
        <w:pStyle w:val="Finding"/>
        <w:rPr>
          <w:rFonts w:ascii="Calibri" w:hAnsi="Calibri" w:cs="Calibri"/>
          <w:b/>
          <w:sz w:val="24"/>
          <w:szCs w:val="24"/>
        </w:rPr>
      </w:pPr>
      <w:r w:rsidRPr="00737061">
        <w:rPr>
          <w:rFonts w:ascii="Calibri" w:hAnsi="Calibri" w:cs="Calibri"/>
          <w:b/>
          <w:sz w:val="24"/>
          <w:szCs w:val="24"/>
          <w:highlight w:val="lightGray"/>
        </w:rPr>
        <w:t>Peak bodies covering alternative dispute practitioner professions should develop, implement and maintain standards that enable professionals to be independently accredited.</w:t>
      </w:r>
      <w:r w:rsidRPr="00737061">
        <w:rPr>
          <w:rFonts w:ascii="Calibri" w:hAnsi="Calibri" w:cs="Calibri"/>
          <w:b/>
          <w:sz w:val="24"/>
          <w:szCs w:val="24"/>
        </w:rPr>
        <w:t xml:space="preserve"> </w:t>
      </w:r>
    </w:p>
    <w:p w:rsidR="00756705" w:rsidRDefault="00756705" w:rsidP="0070760B">
      <w:pPr>
        <w:pStyle w:val="BodyText"/>
        <w:jc w:val="left"/>
      </w:pPr>
    </w:p>
    <w:p w:rsidR="00720597" w:rsidRDefault="00756705" w:rsidP="0070760B">
      <w:pPr>
        <w:pStyle w:val="BodyText"/>
        <w:jc w:val="left"/>
      </w:pPr>
      <w:r>
        <w:t>A</w:t>
      </w:r>
      <w:r w:rsidR="00D823EF" w:rsidRPr="0070760B">
        <w:t>ll F</w:t>
      </w:r>
      <w:r w:rsidR="00737061">
        <w:t>DRPs</w:t>
      </w:r>
      <w:r>
        <w:rPr>
          <w:rStyle w:val="FootnoteReference"/>
        </w:rPr>
        <w:footnoteReference w:id="24"/>
      </w:r>
      <w:r w:rsidR="00D823EF" w:rsidRPr="0070760B">
        <w:t xml:space="preserve"> </w:t>
      </w:r>
      <w:r w:rsidR="00EA3494" w:rsidRPr="0070760B">
        <w:t xml:space="preserve">who wish to be able to issue certificates under the Family Law Act </w:t>
      </w:r>
      <w:r w:rsidR="00DB60D4" w:rsidRPr="0070760B">
        <w:t>a</w:t>
      </w:r>
      <w:r w:rsidR="00EA3494" w:rsidRPr="0070760B">
        <w:t>re required to be registered with the Commonwealth Attorney-General’s Department and to have met certain accreditation standards</w:t>
      </w:r>
      <w:r w:rsidR="00720597" w:rsidRPr="0070760B">
        <w:t>.</w:t>
      </w:r>
    </w:p>
    <w:p w:rsidR="0070760B" w:rsidRPr="0070760B" w:rsidRDefault="0070760B" w:rsidP="0070760B">
      <w:pPr>
        <w:pStyle w:val="BodyText"/>
        <w:jc w:val="left"/>
      </w:pPr>
    </w:p>
    <w:p w:rsidR="0070760B" w:rsidRDefault="00756705" w:rsidP="0070760B">
      <w:pPr>
        <w:pStyle w:val="BodyText"/>
        <w:jc w:val="left"/>
      </w:pPr>
      <w:r>
        <w:t>Currently</w:t>
      </w:r>
      <w:r w:rsidR="00A431CE">
        <w:rPr>
          <w:rStyle w:val="FootnoteReference"/>
        </w:rPr>
        <w:footnoteReference w:id="25"/>
      </w:r>
      <w:r>
        <w:t xml:space="preserve">, </w:t>
      </w:r>
      <w:r w:rsidR="007806BE">
        <w:t xml:space="preserve">to become a FDRP you must meet the accreditation standards in the “Family Law (Family Dispute Resolution Practitioners) Regulations 2008.  </w:t>
      </w:r>
    </w:p>
    <w:p w:rsidR="007806BE" w:rsidRPr="0070760B" w:rsidRDefault="007806BE" w:rsidP="0070760B">
      <w:pPr>
        <w:pStyle w:val="BodyText"/>
        <w:jc w:val="left"/>
      </w:pPr>
    </w:p>
    <w:p w:rsidR="00111C29" w:rsidRDefault="00D305A7" w:rsidP="0070760B">
      <w:pPr>
        <w:pStyle w:val="BodyText"/>
        <w:jc w:val="left"/>
      </w:pPr>
      <w:r w:rsidRPr="0070760B">
        <w:t>The costs associated with accreditation ar</w:t>
      </w:r>
      <w:r w:rsidR="00F34F1C">
        <w:t>e in the range of $4</w:t>
      </w:r>
      <w:r w:rsidR="00045197">
        <w:t xml:space="preserve">000 - $10,000 per person plus “time out of the office”.  </w:t>
      </w:r>
      <w:r w:rsidR="00111C29" w:rsidRPr="0070760B">
        <w:t xml:space="preserve">NLA is concerned about an ageing workforce and service provision into the future. </w:t>
      </w:r>
      <w:r w:rsidR="00756705">
        <w:t xml:space="preserve"> </w:t>
      </w:r>
    </w:p>
    <w:p w:rsidR="00756705" w:rsidRDefault="00756705" w:rsidP="0070760B">
      <w:pPr>
        <w:pStyle w:val="BodyText"/>
        <w:jc w:val="left"/>
      </w:pPr>
    </w:p>
    <w:p w:rsidR="00756705" w:rsidRDefault="00A431CE" w:rsidP="0070760B">
      <w:pPr>
        <w:pStyle w:val="BodyText"/>
        <w:jc w:val="left"/>
      </w:pPr>
      <w:r>
        <w:t xml:space="preserve">NLA therefore suggests that it would be appropriate to undertake some examination of the potential cost of implementing this draft recommendation, and the related issue of workforce supply. </w:t>
      </w:r>
    </w:p>
    <w:p w:rsidR="00631992" w:rsidRDefault="00631992" w:rsidP="0070760B">
      <w:pPr>
        <w:pStyle w:val="BodyText"/>
        <w:jc w:val="left"/>
      </w:pPr>
    </w:p>
    <w:p w:rsidR="00631992" w:rsidRDefault="00631992" w:rsidP="0070760B">
      <w:pPr>
        <w:pStyle w:val="BodyText"/>
        <w:jc w:val="left"/>
      </w:pPr>
    </w:p>
    <w:p w:rsidR="00A716A8" w:rsidRPr="0070760B" w:rsidRDefault="00A716A8" w:rsidP="0070760B">
      <w:pPr>
        <w:pStyle w:val="BodyText"/>
        <w:jc w:val="left"/>
      </w:pPr>
    </w:p>
    <w:p w:rsidR="00F01EF3" w:rsidRPr="00631992" w:rsidRDefault="00F01EF3" w:rsidP="0082337D">
      <w:pPr>
        <w:pStyle w:val="Heading3"/>
        <w:spacing w:after="120"/>
        <w:jc w:val="left"/>
        <w:rPr>
          <w:rFonts w:ascii="Calibri" w:hAnsi="Calibri" w:cs="Calibri"/>
          <w:sz w:val="24"/>
          <w:szCs w:val="24"/>
          <w:highlight w:val="lightGray"/>
        </w:rPr>
      </w:pPr>
      <w:r w:rsidRPr="00631992">
        <w:rPr>
          <w:rFonts w:ascii="Calibri" w:hAnsi="Calibri" w:cs="Calibri"/>
          <w:sz w:val="24"/>
          <w:szCs w:val="24"/>
          <w:highlight w:val="lightGray"/>
        </w:rPr>
        <w:lastRenderedPageBreak/>
        <w:t>Chapter 9: Ombudsmen and other complaint mechanisms</w:t>
      </w:r>
    </w:p>
    <w:p w:rsidR="00F01EF3" w:rsidRPr="00631992" w:rsidRDefault="00F01EF3" w:rsidP="00F01EF3">
      <w:pPr>
        <w:pStyle w:val="RecTitle"/>
        <w:rPr>
          <w:rFonts w:ascii="Calibri" w:hAnsi="Calibri" w:cs="Calibri"/>
          <w:szCs w:val="24"/>
          <w:highlight w:val="lightGray"/>
        </w:rPr>
      </w:pPr>
      <w:r w:rsidRPr="00631992">
        <w:rPr>
          <w:rFonts w:ascii="Calibri" w:hAnsi="Calibri" w:cs="Calibri"/>
          <w:szCs w:val="24"/>
          <w:highlight w:val="lightGray"/>
        </w:rPr>
        <w:t>draft Recommendation 9.1</w:t>
      </w:r>
    </w:p>
    <w:p w:rsidR="00F01EF3" w:rsidRPr="00631992" w:rsidRDefault="00F01EF3" w:rsidP="0082337D">
      <w:pPr>
        <w:pStyle w:val="Finding"/>
        <w:rPr>
          <w:rFonts w:ascii="Calibri" w:hAnsi="Calibri" w:cs="Calibri"/>
          <w:b/>
          <w:sz w:val="24"/>
          <w:szCs w:val="24"/>
          <w:highlight w:val="lightGray"/>
        </w:rPr>
      </w:pPr>
      <w:r w:rsidRPr="00631992">
        <w:rPr>
          <w:rFonts w:ascii="Calibri" w:hAnsi="Calibri" w:cs="Calibri"/>
          <w:b/>
          <w:sz w:val="24"/>
          <w:szCs w:val="24"/>
          <w:highlight w:val="lightGray"/>
        </w:rPr>
        <w:t>Governments and industry should raise the profile of ombudsman services in Australia. This should include:</w:t>
      </w:r>
    </w:p>
    <w:p w:rsidR="00F01EF3" w:rsidRPr="00631992" w:rsidRDefault="00F01EF3" w:rsidP="00F01EF3">
      <w:pPr>
        <w:pStyle w:val="RecBullet"/>
        <w:rPr>
          <w:rFonts w:ascii="Calibri" w:hAnsi="Calibri" w:cs="Calibri"/>
          <w:sz w:val="24"/>
          <w:szCs w:val="24"/>
          <w:highlight w:val="lightGray"/>
        </w:rPr>
      </w:pPr>
      <w:r w:rsidRPr="00631992">
        <w:rPr>
          <w:rFonts w:ascii="Calibri" w:hAnsi="Calibri" w:cs="Calibri"/>
          <w:sz w:val="24"/>
          <w:szCs w:val="24"/>
          <w:highlight w:val="lightGray"/>
        </w:rPr>
        <w:t xml:space="preserve"> more prominent publishing of which ombudsmen are available and what matters they deal with</w:t>
      </w:r>
    </w:p>
    <w:p w:rsidR="00F01EF3" w:rsidRPr="00631992" w:rsidRDefault="00F01EF3" w:rsidP="00F01EF3">
      <w:pPr>
        <w:pStyle w:val="RecBullet"/>
        <w:rPr>
          <w:rFonts w:ascii="Calibri" w:hAnsi="Calibri" w:cs="Calibri"/>
          <w:sz w:val="24"/>
          <w:szCs w:val="24"/>
          <w:highlight w:val="lightGray"/>
        </w:rPr>
      </w:pPr>
      <w:r w:rsidRPr="00631992">
        <w:rPr>
          <w:rFonts w:ascii="Calibri" w:hAnsi="Calibri" w:cs="Calibri"/>
          <w:sz w:val="24"/>
          <w:szCs w:val="24"/>
          <w:highlight w:val="lightGray"/>
        </w:rPr>
        <w:t>the requirement on service providers to inform consumers about avenues for dispute resolution</w:t>
      </w:r>
    </w:p>
    <w:p w:rsidR="00F01EF3" w:rsidRPr="00631992" w:rsidRDefault="00F01EF3" w:rsidP="00F01EF3">
      <w:pPr>
        <w:pStyle w:val="RecBullet"/>
        <w:rPr>
          <w:rFonts w:ascii="Calibri" w:hAnsi="Calibri" w:cs="Calibri"/>
          <w:sz w:val="24"/>
          <w:szCs w:val="24"/>
          <w:highlight w:val="lightGray"/>
        </w:rPr>
      </w:pPr>
      <w:r w:rsidRPr="00631992">
        <w:rPr>
          <w:rFonts w:ascii="Calibri" w:hAnsi="Calibri" w:cs="Calibri"/>
          <w:sz w:val="24"/>
          <w:szCs w:val="24"/>
          <w:highlight w:val="lightGray"/>
        </w:rPr>
        <w:t>information being made available to providers of referral and legal assistance services.</w:t>
      </w:r>
    </w:p>
    <w:p w:rsidR="001164C9" w:rsidRDefault="001164C9" w:rsidP="0070760B">
      <w:pPr>
        <w:pStyle w:val="BodyText"/>
        <w:jc w:val="left"/>
      </w:pPr>
    </w:p>
    <w:p w:rsidR="0082337D" w:rsidRDefault="001164C9" w:rsidP="0070760B">
      <w:pPr>
        <w:pStyle w:val="BodyText"/>
        <w:jc w:val="left"/>
      </w:pPr>
      <w:r>
        <w:t xml:space="preserve">LAC information and advice services have good referral data bases which are well maintained.  NLA is encouraging of other providers making available any further or different information that it would be considered useful for LACs to have. </w:t>
      </w:r>
    </w:p>
    <w:p w:rsidR="001164C9" w:rsidRDefault="001164C9" w:rsidP="0070760B">
      <w:pPr>
        <w:pStyle w:val="BodyText"/>
        <w:jc w:val="left"/>
      </w:pPr>
    </w:p>
    <w:p w:rsidR="001164C9" w:rsidRDefault="001164C9" w:rsidP="0070760B">
      <w:pPr>
        <w:pStyle w:val="BodyText"/>
        <w:jc w:val="left"/>
      </w:pPr>
    </w:p>
    <w:p w:rsidR="00D07114" w:rsidRDefault="00D07114" w:rsidP="0070760B">
      <w:pPr>
        <w:pStyle w:val="BodyText"/>
        <w:jc w:val="left"/>
      </w:pPr>
    </w:p>
    <w:p w:rsidR="005168BB" w:rsidRPr="00DE7537" w:rsidRDefault="00F01EF3" w:rsidP="00DE7537">
      <w:pPr>
        <w:pStyle w:val="Heading3"/>
        <w:spacing w:after="120"/>
        <w:jc w:val="left"/>
        <w:rPr>
          <w:rFonts w:ascii="Calibri" w:hAnsi="Calibri" w:cs="Calibri"/>
          <w:sz w:val="28"/>
          <w:szCs w:val="28"/>
        </w:rPr>
      </w:pPr>
      <w:r w:rsidRPr="00D84B99">
        <w:rPr>
          <w:rFonts w:ascii="Calibri" w:hAnsi="Calibri" w:cs="Calibri"/>
          <w:sz w:val="28"/>
          <w:szCs w:val="28"/>
        </w:rPr>
        <w:t>Chapter 14: Self</w:t>
      </w:r>
      <w:r w:rsidRPr="00D84B99">
        <w:rPr>
          <w:rFonts w:ascii="Calibri" w:hAnsi="Calibri" w:cs="Calibri"/>
          <w:sz w:val="28"/>
          <w:szCs w:val="28"/>
        </w:rPr>
        <w:noBreakHyphen/>
        <w:t>represented litigants</w:t>
      </w:r>
    </w:p>
    <w:p w:rsidR="00F01EF3" w:rsidRPr="003222A5" w:rsidRDefault="00F01EF3" w:rsidP="00F01EF3">
      <w:pPr>
        <w:pStyle w:val="RecTitle"/>
        <w:rPr>
          <w:rFonts w:ascii="Calibri" w:hAnsi="Calibri" w:cs="Calibri"/>
          <w:szCs w:val="24"/>
          <w:highlight w:val="lightGray"/>
        </w:rPr>
      </w:pPr>
      <w:r w:rsidRPr="003222A5">
        <w:rPr>
          <w:rFonts w:ascii="Calibri" w:hAnsi="Calibri" w:cs="Calibri"/>
          <w:szCs w:val="24"/>
          <w:highlight w:val="lightGray"/>
        </w:rPr>
        <w:t>information request 14.1</w:t>
      </w:r>
    </w:p>
    <w:p w:rsidR="00F01EF3" w:rsidRPr="003222A5" w:rsidRDefault="00F01EF3" w:rsidP="00F01EF3">
      <w:pPr>
        <w:pStyle w:val="InformationRequest"/>
        <w:rPr>
          <w:rFonts w:ascii="Calibri" w:hAnsi="Calibri" w:cs="Calibri"/>
          <w:szCs w:val="24"/>
        </w:rPr>
      </w:pPr>
      <w:r w:rsidRPr="003222A5">
        <w:rPr>
          <w:rFonts w:ascii="Calibri" w:hAnsi="Calibri" w:cs="Calibri"/>
          <w:szCs w:val="24"/>
          <w:highlight w:val="lightGray"/>
        </w:rPr>
        <w:t>What is the most effective and efficient way of assisting self</w:t>
      </w:r>
      <w:r w:rsidRPr="003222A5">
        <w:rPr>
          <w:rFonts w:ascii="Calibri" w:hAnsi="Calibri" w:cs="Calibri"/>
          <w:szCs w:val="24"/>
          <w:highlight w:val="lightGray"/>
        </w:rPr>
        <w:noBreakHyphen/>
        <w:t>represented litigants to understand their rights and obligations at law? How can the growing complexity in the law best be addressed?</w:t>
      </w:r>
    </w:p>
    <w:p w:rsidR="00D84B99" w:rsidRDefault="00D84B99" w:rsidP="00D84B99">
      <w:pPr>
        <w:pStyle w:val="BodyText"/>
      </w:pPr>
    </w:p>
    <w:p w:rsidR="00E94411" w:rsidRDefault="005168BB" w:rsidP="0070760B">
      <w:pPr>
        <w:pStyle w:val="BodyText"/>
        <w:jc w:val="left"/>
      </w:pPr>
      <w:r>
        <w:t>NLA suggests that dut</w:t>
      </w:r>
      <w:r w:rsidR="00DB29D4">
        <w:t>y lawyer services are</w:t>
      </w:r>
      <w:r w:rsidR="009C408A">
        <w:t xml:space="preserve"> an</w:t>
      </w:r>
      <w:r w:rsidR="001A7178">
        <w:t xml:space="preserve"> </w:t>
      </w:r>
      <w:r>
        <w:t>effective and efficient way of assisting self-representing litigants to understand their rights and obligations at law.</w:t>
      </w:r>
      <w:r w:rsidR="001A7178">
        <w:t xml:space="preserve">  </w:t>
      </w:r>
      <w:r w:rsidR="00E94411">
        <w:t xml:space="preserve"> As stated in the draft report;</w:t>
      </w:r>
    </w:p>
    <w:p w:rsidR="00E94411" w:rsidRDefault="00E94411" w:rsidP="0070760B">
      <w:pPr>
        <w:pStyle w:val="BodyText"/>
        <w:jc w:val="left"/>
      </w:pPr>
    </w:p>
    <w:p w:rsidR="00E94411" w:rsidRDefault="00876598" w:rsidP="0070760B">
      <w:pPr>
        <w:pStyle w:val="BodyText"/>
        <w:jc w:val="left"/>
      </w:pPr>
      <w:r w:rsidRPr="00E94411">
        <w:rPr>
          <w:highlight w:val="lightGray"/>
        </w:rPr>
        <w:t>“Hunter,</w:t>
      </w:r>
      <w:r w:rsidR="00487D28" w:rsidRPr="00E94411">
        <w:rPr>
          <w:highlight w:val="lightGray"/>
        </w:rPr>
        <w:t xml:space="preserve"> </w:t>
      </w:r>
      <w:r w:rsidRPr="00E94411">
        <w:rPr>
          <w:highlight w:val="lightGray"/>
        </w:rPr>
        <w:t>Giddings, and Chrzanowski (2003) noted that interactive services such as legal advice sessions, telephone or in person advice, assistance with documents and letters, and duty lawyers, were the services most frequently used by SRLs.”</w:t>
      </w:r>
      <w:r w:rsidR="00487D28" w:rsidRPr="00E94411">
        <w:rPr>
          <w:rStyle w:val="FootnoteReference"/>
          <w:highlight w:val="lightGray"/>
        </w:rPr>
        <w:footnoteReference w:id="26"/>
      </w:r>
      <w:r w:rsidR="00487D28">
        <w:t xml:space="preserve">  </w:t>
      </w:r>
    </w:p>
    <w:p w:rsidR="00E94411" w:rsidRDefault="00E94411" w:rsidP="0070760B">
      <w:pPr>
        <w:pStyle w:val="BodyText"/>
        <w:jc w:val="left"/>
      </w:pPr>
    </w:p>
    <w:p w:rsidR="005168BB" w:rsidRDefault="00487D28" w:rsidP="0070760B">
      <w:pPr>
        <w:pStyle w:val="BodyText"/>
        <w:jc w:val="left"/>
      </w:pPr>
      <w:r>
        <w:t>Hunter et al concluded “It is clear that these services perform an important role for those litigants who are otherwise ineligible for legal aid and self-representing as a result”.</w:t>
      </w:r>
      <w:r>
        <w:rPr>
          <w:rStyle w:val="FootnoteReference"/>
        </w:rPr>
        <w:footnoteReference w:id="27"/>
      </w:r>
    </w:p>
    <w:p w:rsidR="001A7178" w:rsidRDefault="001A7178" w:rsidP="00D84B99">
      <w:pPr>
        <w:pStyle w:val="BodyText"/>
      </w:pPr>
    </w:p>
    <w:p w:rsidR="0035007B" w:rsidRDefault="00D73BFC" w:rsidP="00D84B99">
      <w:pPr>
        <w:pStyle w:val="BodyText"/>
      </w:pPr>
      <w:r>
        <w:lastRenderedPageBreak/>
        <w:t>T</w:t>
      </w:r>
      <w:r w:rsidR="001A7178">
        <w:t xml:space="preserve">he Family Law Duty Lawyer Service </w:t>
      </w:r>
      <w:r>
        <w:t xml:space="preserve">was </w:t>
      </w:r>
      <w:r w:rsidR="001A7178">
        <w:t>developed by</w:t>
      </w:r>
      <w:r w:rsidR="00163328">
        <w:t xml:space="preserve"> </w:t>
      </w:r>
      <w:r w:rsidR="00016DC4">
        <w:t xml:space="preserve">NLA, </w:t>
      </w:r>
      <w:r w:rsidR="001A7178">
        <w:t xml:space="preserve">the Commonwealth Attorney-General’s Department and the </w:t>
      </w:r>
      <w:r>
        <w:t>family law courts.  T</w:t>
      </w:r>
      <w:r w:rsidR="00A148DC">
        <w:t xml:space="preserve">he services are protocol based.  </w:t>
      </w:r>
      <w:r w:rsidR="00745E43">
        <w:t xml:space="preserve">Whilst the National Protocol is dated and </w:t>
      </w:r>
      <w:r w:rsidR="00A148DC">
        <w:t xml:space="preserve">it is suggested </w:t>
      </w:r>
      <w:r w:rsidR="00745E43">
        <w:t xml:space="preserve">requires review, it continues to </w:t>
      </w:r>
      <w:r w:rsidR="00D16593">
        <w:t xml:space="preserve">be </w:t>
      </w:r>
      <w:r w:rsidR="008C2312">
        <w:t xml:space="preserve">a basis for service and </w:t>
      </w:r>
      <w:r w:rsidR="00745E43">
        <w:t>set</w:t>
      </w:r>
      <w:r w:rsidR="00D16593">
        <w:t>s</w:t>
      </w:r>
      <w:r w:rsidR="00745E43">
        <w:t xml:space="preserve"> out principles including with regard to prioritisation, conflict of interest, relationship between Judicial Officers and Duty Lawyers, and </w:t>
      </w:r>
      <w:r w:rsidR="009B454F">
        <w:t xml:space="preserve">the obligations of duty lawyers.  </w:t>
      </w:r>
      <w:r>
        <w:t xml:space="preserve"> The provision is generally for one appearance </w:t>
      </w:r>
      <w:r w:rsidR="0035007B">
        <w:t xml:space="preserve">and at the discretion of the duty lawyer </w:t>
      </w:r>
      <w:r>
        <w:t xml:space="preserve">reflecting </w:t>
      </w:r>
      <w:r w:rsidR="0035007B">
        <w:t>that</w:t>
      </w:r>
      <w:r w:rsidR="004B4660">
        <w:t>:</w:t>
      </w:r>
    </w:p>
    <w:p w:rsidR="004B4660" w:rsidRDefault="004B4660" w:rsidP="00D84B99">
      <w:pPr>
        <w:pStyle w:val="BodyText"/>
      </w:pPr>
    </w:p>
    <w:p w:rsidR="0035007B" w:rsidRDefault="00D73BFC" w:rsidP="0070760B">
      <w:pPr>
        <w:pStyle w:val="BodyText"/>
        <w:numPr>
          <w:ilvl w:val="0"/>
          <w:numId w:val="48"/>
        </w:numPr>
        <w:jc w:val="left"/>
      </w:pPr>
      <w:r>
        <w:t xml:space="preserve">it is not considered appropriate to </w:t>
      </w:r>
      <w:r w:rsidR="0035007B">
        <w:t xml:space="preserve">continue to </w:t>
      </w:r>
      <w:r>
        <w:t xml:space="preserve">provide assistance to self-representing litigants at the expense of making grants of aid to those who </w:t>
      </w:r>
      <w:r w:rsidR="00B9738B">
        <w:t xml:space="preserve">would </w:t>
      </w:r>
      <w:r>
        <w:t>be eligible</w:t>
      </w:r>
    </w:p>
    <w:p w:rsidR="0035007B" w:rsidRDefault="0035007B" w:rsidP="0070760B">
      <w:pPr>
        <w:pStyle w:val="BodyText"/>
        <w:numPr>
          <w:ilvl w:val="0"/>
          <w:numId w:val="48"/>
        </w:numPr>
        <w:jc w:val="left"/>
      </w:pPr>
      <w:r>
        <w:t>the court environment is a pressured one</w:t>
      </w:r>
      <w:r w:rsidR="009C408A">
        <w:t>, there are competing demands and time is limited</w:t>
      </w:r>
    </w:p>
    <w:p w:rsidR="00D73BFC" w:rsidRDefault="007242E3" w:rsidP="0070760B">
      <w:pPr>
        <w:pStyle w:val="BodyText"/>
        <w:numPr>
          <w:ilvl w:val="0"/>
          <w:numId w:val="48"/>
        </w:numPr>
        <w:jc w:val="left"/>
      </w:pPr>
      <w:r>
        <w:t xml:space="preserve">matters are often </w:t>
      </w:r>
      <w:r w:rsidR="0035007B">
        <w:t xml:space="preserve">complicated and </w:t>
      </w:r>
      <w:r w:rsidR="00054144">
        <w:t xml:space="preserve">more comprehensive assistance </w:t>
      </w:r>
      <w:r w:rsidR="00844F3A">
        <w:t xml:space="preserve">than that which can properly be provided by a duty lawyer service </w:t>
      </w:r>
      <w:r w:rsidR="001660E1">
        <w:t xml:space="preserve">is </w:t>
      </w:r>
      <w:r w:rsidR="00F67B36">
        <w:t xml:space="preserve">often </w:t>
      </w:r>
      <w:r w:rsidR="001660E1">
        <w:t>required</w:t>
      </w:r>
    </w:p>
    <w:p w:rsidR="001660E1" w:rsidRDefault="001660E1" w:rsidP="0070760B">
      <w:pPr>
        <w:pStyle w:val="BodyText"/>
        <w:numPr>
          <w:ilvl w:val="0"/>
          <w:numId w:val="48"/>
        </w:numPr>
        <w:jc w:val="left"/>
      </w:pPr>
      <w:r>
        <w:t>some self-representing litigants are persistent, and applications may be brought which are without merit.</w:t>
      </w:r>
    </w:p>
    <w:p w:rsidR="00D60CEF" w:rsidRDefault="00D60CEF" w:rsidP="0070760B">
      <w:pPr>
        <w:pStyle w:val="BodyText"/>
        <w:ind w:left="720"/>
        <w:jc w:val="left"/>
      </w:pPr>
    </w:p>
    <w:p w:rsidR="009B454F" w:rsidRDefault="009B454F" w:rsidP="0070760B">
      <w:pPr>
        <w:pStyle w:val="BodyText"/>
        <w:jc w:val="left"/>
      </w:pPr>
      <w:r>
        <w:t xml:space="preserve">It is noted that the assistance by duty lawyers is sometimes more extensive by reason of the person being assisted being ineligible on means, but clearly not having the capacity to engage a private lawyer, or to continue unassisted. </w:t>
      </w:r>
    </w:p>
    <w:p w:rsidR="00054144" w:rsidRDefault="00054144" w:rsidP="0070760B">
      <w:pPr>
        <w:pStyle w:val="BodyText"/>
        <w:ind w:left="720"/>
        <w:jc w:val="left"/>
      </w:pPr>
    </w:p>
    <w:p w:rsidR="00D73BFC" w:rsidRDefault="00054144" w:rsidP="0070760B">
      <w:pPr>
        <w:pStyle w:val="BodyText"/>
        <w:jc w:val="left"/>
      </w:pPr>
      <w:r>
        <w:t xml:space="preserve">As reflected in the draft report LACs also provide duty lawyer services in non-family law Commonwealth and State civil </w:t>
      </w:r>
      <w:r w:rsidR="00F67B36">
        <w:t xml:space="preserve">(and criminal) </w:t>
      </w:r>
      <w:r>
        <w:t xml:space="preserve">jurisdictions.   </w:t>
      </w:r>
    </w:p>
    <w:p w:rsidR="006E3AFB" w:rsidRDefault="006E3AFB" w:rsidP="0070760B">
      <w:pPr>
        <w:pStyle w:val="BodyText"/>
        <w:jc w:val="left"/>
      </w:pPr>
    </w:p>
    <w:p w:rsidR="006E3AFB" w:rsidRDefault="006E3AFB" w:rsidP="0070760B">
      <w:pPr>
        <w:pStyle w:val="BodyText"/>
        <w:jc w:val="left"/>
      </w:pPr>
      <w:r>
        <w:t>In relation to the suggestion of user contributions for “unbundled services for SRLS who can afford it”</w:t>
      </w:r>
      <w:r>
        <w:rPr>
          <w:rStyle w:val="FootnoteReference"/>
        </w:rPr>
        <w:footnoteReference w:id="28"/>
      </w:r>
      <w:r>
        <w:t xml:space="preserve"> </w:t>
      </w:r>
      <w:r w:rsidR="00DF3C69">
        <w:t xml:space="preserve"> issues of proportionality of the level of testing, the environment in which the service is delivered, </w:t>
      </w:r>
      <w:r w:rsidR="007833CE">
        <w:t xml:space="preserve">the cost of administering and collecting any user contribution, </w:t>
      </w:r>
      <w:r w:rsidR="00DF3C69">
        <w:t xml:space="preserve">and efficiencies accruing to the </w:t>
      </w:r>
      <w:r w:rsidR="007833CE">
        <w:t xml:space="preserve">court system as a result of </w:t>
      </w:r>
      <w:r w:rsidR="00DF3C69">
        <w:t>service</w:t>
      </w:r>
      <w:r w:rsidR="007833CE">
        <w:t>s</w:t>
      </w:r>
      <w:r w:rsidR="00DF3C69">
        <w:t xml:space="preserve">, should be considered. </w:t>
      </w:r>
    </w:p>
    <w:p w:rsidR="005168BB" w:rsidRPr="00D84B99" w:rsidRDefault="005168BB" w:rsidP="0070760B">
      <w:pPr>
        <w:pStyle w:val="BodyText"/>
        <w:jc w:val="left"/>
      </w:pPr>
    </w:p>
    <w:p w:rsidR="00F01EF3" w:rsidRPr="00AD7489" w:rsidRDefault="00F01EF3" w:rsidP="00F01EF3">
      <w:pPr>
        <w:pStyle w:val="RecTitle"/>
        <w:rPr>
          <w:rFonts w:ascii="Calibri" w:hAnsi="Calibri" w:cs="Calibri"/>
          <w:szCs w:val="24"/>
          <w:highlight w:val="lightGray"/>
        </w:rPr>
      </w:pPr>
      <w:r w:rsidRPr="00AD7489">
        <w:rPr>
          <w:rFonts w:ascii="Calibri" w:hAnsi="Calibri" w:cs="Calibri"/>
          <w:szCs w:val="24"/>
          <w:highlight w:val="lightGray"/>
        </w:rPr>
        <w:t>Information request 14.3</w:t>
      </w:r>
    </w:p>
    <w:p w:rsidR="00F01EF3" w:rsidRPr="00AD7489" w:rsidRDefault="00F01EF3" w:rsidP="00F01EF3">
      <w:pPr>
        <w:pStyle w:val="InformationRequest"/>
        <w:rPr>
          <w:rFonts w:ascii="Calibri" w:hAnsi="Calibri" w:cs="Calibri"/>
          <w:szCs w:val="24"/>
        </w:rPr>
      </w:pPr>
      <w:r w:rsidRPr="00AD7489">
        <w:rPr>
          <w:rFonts w:ascii="Calibri" w:hAnsi="Calibri" w:cs="Calibri"/>
          <w:szCs w:val="24"/>
          <w:highlight w:val="lightGray"/>
        </w:rPr>
        <w:t>How widespread are problems around conflicts of interest for providers offering unbundled services? Do provisions that deal with conflicts of interest need to be refined so as not to prevent people benefitting from discrete, one</w:t>
      </w:r>
      <w:r w:rsidRPr="00AD7489">
        <w:rPr>
          <w:rFonts w:ascii="Calibri" w:hAnsi="Calibri" w:cs="Calibri"/>
          <w:szCs w:val="24"/>
          <w:highlight w:val="lightGray"/>
        </w:rPr>
        <w:noBreakHyphen/>
        <w:t>off forms of advice from assistance services and if so, how might this best be done?</w:t>
      </w:r>
      <w:r w:rsidRPr="00AD7489">
        <w:rPr>
          <w:rFonts w:ascii="Calibri" w:hAnsi="Calibri" w:cs="Calibri"/>
          <w:szCs w:val="24"/>
        </w:rPr>
        <w:t xml:space="preserve"> </w:t>
      </w:r>
    </w:p>
    <w:p w:rsidR="008758E9" w:rsidRDefault="008758E9" w:rsidP="00E66CE0">
      <w:pPr>
        <w:pStyle w:val="BodyText"/>
      </w:pPr>
    </w:p>
    <w:p w:rsidR="00AD7489" w:rsidRDefault="008758E9" w:rsidP="0070760B">
      <w:pPr>
        <w:pStyle w:val="BodyText"/>
        <w:jc w:val="left"/>
      </w:pPr>
      <w:r>
        <w:t xml:space="preserve">NLA </w:t>
      </w:r>
      <w:r w:rsidR="0071296E">
        <w:t xml:space="preserve">believes </w:t>
      </w:r>
      <w:r>
        <w:t xml:space="preserve">that provisions that deal with conflicts of interest need to be refined so as not to prevent people benefitting from legal assistance services in situations </w:t>
      </w:r>
      <w:r w:rsidR="0071296E">
        <w:lastRenderedPageBreak/>
        <w:t xml:space="preserve">where conflict </w:t>
      </w:r>
      <w:r>
        <w:t>is not a real issue.</w:t>
      </w:r>
      <w:r w:rsidR="00AD7489">
        <w:t xml:space="preserve">  For example, conflict rules amended for duty lawyer purposes where there was no actual conflict of interest could be expected to assist the courts and achieve efficiencies. </w:t>
      </w:r>
    </w:p>
    <w:p w:rsidR="008F09E2" w:rsidRDefault="008F09E2" w:rsidP="0070760B">
      <w:pPr>
        <w:pStyle w:val="BodyText"/>
        <w:jc w:val="left"/>
      </w:pPr>
    </w:p>
    <w:p w:rsidR="00AD7489" w:rsidRDefault="008F09E2" w:rsidP="0070760B">
      <w:pPr>
        <w:pStyle w:val="BodyText"/>
        <w:jc w:val="left"/>
      </w:pPr>
      <w:r>
        <w:t>Conflict is</w:t>
      </w:r>
      <w:r w:rsidR="0071296E">
        <w:t xml:space="preserve"> particularly a problem in regional</w:t>
      </w:r>
      <w:r>
        <w:t xml:space="preserve"> locations where </w:t>
      </w:r>
      <w:r w:rsidR="0071296E">
        <w:t>there are not as many lawyers.  This problem will be exacerbated if one party is alert to the capacity to conflict</w:t>
      </w:r>
      <w:r w:rsidR="00E770FE">
        <w:t xml:space="preserve"> any available forms of assistance</w:t>
      </w:r>
      <w:r w:rsidR="00AD7489">
        <w:t>, including limited legal assistance options,</w:t>
      </w:r>
      <w:r w:rsidR="00E770FE">
        <w:t xml:space="preserve"> out</w:t>
      </w:r>
      <w:r>
        <w:t>.</w:t>
      </w:r>
    </w:p>
    <w:p w:rsidR="008F09E2" w:rsidRDefault="008F09E2" w:rsidP="0070760B">
      <w:pPr>
        <w:pStyle w:val="BodyText"/>
        <w:jc w:val="left"/>
      </w:pPr>
    </w:p>
    <w:p w:rsidR="0071296E" w:rsidRDefault="0071296E" w:rsidP="0070760B">
      <w:pPr>
        <w:pStyle w:val="BodyText"/>
        <w:jc w:val="left"/>
      </w:pPr>
      <w:r>
        <w:t xml:space="preserve">NLA suggests that changes to </w:t>
      </w:r>
      <w:r w:rsidR="00E770FE">
        <w:t xml:space="preserve">Solicitors Conduct Rules are likely to be </w:t>
      </w:r>
      <w:r>
        <w:t>insufficient and that</w:t>
      </w:r>
      <w:r w:rsidR="00E770FE">
        <w:t xml:space="preserve"> legislative change will be required</w:t>
      </w:r>
      <w:r>
        <w:t>.</w:t>
      </w:r>
      <w:r w:rsidR="00B9738B">
        <w:t xml:space="preserve"> </w:t>
      </w:r>
    </w:p>
    <w:p w:rsidR="00D84B99" w:rsidRPr="00D84B99" w:rsidRDefault="00D84B99" w:rsidP="00D84B99">
      <w:pPr>
        <w:pStyle w:val="BodyText"/>
      </w:pPr>
    </w:p>
    <w:p w:rsidR="00E1498A" w:rsidRDefault="00E1498A" w:rsidP="00E1498A">
      <w:pPr>
        <w:pStyle w:val="BodyText"/>
      </w:pPr>
    </w:p>
    <w:p w:rsidR="00AD7489" w:rsidRDefault="00AD7489" w:rsidP="00E1498A">
      <w:pPr>
        <w:pStyle w:val="BodyText"/>
      </w:pPr>
    </w:p>
    <w:p w:rsidR="00A76FEC" w:rsidRPr="00DE55A2" w:rsidRDefault="00F01EF3" w:rsidP="00DE55A2">
      <w:pPr>
        <w:pStyle w:val="Heading3"/>
        <w:spacing w:after="120"/>
        <w:jc w:val="left"/>
        <w:rPr>
          <w:rFonts w:ascii="Calibri" w:hAnsi="Calibri" w:cs="Calibri"/>
          <w:sz w:val="28"/>
          <w:szCs w:val="28"/>
          <w:highlight w:val="lightGray"/>
        </w:rPr>
      </w:pPr>
      <w:r w:rsidRPr="006C2454">
        <w:rPr>
          <w:rFonts w:ascii="Calibri" w:hAnsi="Calibri" w:cs="Calibri"/>
          <w:sz w:val="28"/>
          <w:szCs w:val="28"/>
          <w:highlight w:val="lightGray"/>
        </w:rPr>
        <w:t>Chapter 19: Bridging the gap</w:t>
      </w:r>
    </w:p>
    <w:p w:rsidR="00C365FC" w:rsidRPr="006C2454" w:rsidRDefault="00C365FC" w:rsidP="00C365FC">
      <w:pPr>
        <w:rPr>
          <w:highlight w:val="lightGray"/>
        </w:rPr>
      </w:pPr>
    </w:p>
    <w:p w:rsidR="00F430F1" w:rsidRPr="00F430F1" w:rsidRDefault="00C365FC" w:rsidP="00F430F1">
      <w:pPr>
        <w:rPr>
          <w:b/>
          <w:highlight w:val="lightGray"/>
        </w:rPr>
      </w:pPr>
      <w:r w:rsidRPr="006C2454">
        <w:rPr>
          <w:b/>
          <w:highlight w:val="lightGray"/>
        </w:rPr>
        <w:t>19.4 Legal Expenses Contribution Scheme</w:t>
      </w:r>
    </w:p>
    <w:p w:rsidR="00F01EF3" w:rsidRPr="00F430F1" w:rsidRDefault="00F01EF3" w:rsidP="00E1498A">
      <w:pPr>
        <w:pStyle w:val="RecTitle"/>
        <w:rPr>
          <w:rFonts w:ascii="Calibri" w:hAnsi="Calibri" w:cs="Calibri"/>
          <w:szCs w:val="24"/>
          <w:highlight w:val="lightGray"/>
        </w:rPr>
      </w:pPr>
      <w:r w:rsidRPr="00F430F1">
        <w:rPr>
          <w:rFonts w:ascii="Calibri" w:hAnsi="Calibri" w:cs="Calibri"/>
          <w:szCs w:val="24"/>
          <w:highlight w:val="lightGray"/>
        </w:rPr>
        <w:t>Information request 19.2</w:t>
      </w:r>
    </w:p>
    <w:p w:rsidR="00F01EF3" w:rsidRPr="00F430F1" w:rsidRDefault="00F01EF3" w:rsidP="00F01EF3">
      <w:pPr>
        <w:pStyle w:val="InformationRequest"/>
        <w:rPr>
          <w:rFonts w:ascii="Calibri" w:hAnsi="Calibri" w:cs="Calibri"/>
          <w:szCs w:val="24"/>
        </w:rPr>
      </w:pPr>
      <w:r w:rsidRPr="00F430F1">
        <w:rPr>
          <w:rFonts w:ascii="Calibri" w:hAnsi="Calibri" w:cs="Calibri"/>
          <w:szCs w:val="24"/>
          <w:highlight w:val="lightGray"/>
        </w:rPr>
        <w:t>The Commission seeks feedback on the strength of the case for a Legal Expenses Contribution Scheme and views on any relevant design features, including what legal expenses should be covered and whether it should be limited to particular matters.</w:t>
      </w:r>
      <w:r w:rsidRPr="00F430F1">
        <w:rPr>
          <w:rFonts w:ascii="Calibri" w:hAnsi="Calibri" w:cs="Calibri"/>
          <w:szCs w:val="24"/>
        </w:rPr>
        <w:t xml:space="preserve"> </w:t>
      </w:r>
    </w:p>
    <w:p w:rsidR="00DE55A2" w:rsidRDefault="00DE55A2" w:rsidP="00C170D9">
      <w:pPr>
        <w:pStyle w:val="BodyText"/>
      </w:pPr>
    </w:p>
    <w:p w:rsidR="00C7018F" w:rsidRDefault="00DE55A2" w:rsidP="0070760B">
      <w:pPr>
        <w:pStyle w:val="BodyText"/>
        <w:jc w:val="left"/>
      </w:pPr>
      <w:r>
        <w:t>The Draft Report state</w:t>
      </w:r>
      <w:r w:rsidR="00FD38E5">
        <w:t xml:space="preserve">s that </w:t>
      </w:r>
      <w:r w:rsidR="00B01817">
        <w:t>“</w:t>
      </w:r>
      <w:r w:rsidR="00FD38E5">
        <w:t>similar arrangements</w:t>
      </w:r>
      <w:r w:rsidR="00B01817">
        <w:t>”</w:t>
      </w:r>
      <w:r w:rsidR="00FD38E5">
        <w:t xml:space="preserve"> to a LECS “curre</w:t>
      </w:r>
      <w:r>
        <w:t>ntly operate within some LACs”</w:t>
      </w:r>
      <w:r>
        <w:rPr>
          <w:rStyle w:val="FootnoteReference"/>
        </w:rPr>
        <w:footnoteReference w:id="29"/>
      </w:r>
      <w:r>
        <w:t xml:space="preserve">, and </w:t>
      </w:r>
      <w:r w:rsidR="00FD38E5">
        <w:t xml:space="preserve">that </w:t>
      </w:r>
    </w:p>
    <w:p w:rsidR="00C7018F" w:rsidRDefault="00C7018F" w:rsidP="0070760B">
      <w:pPr>
        <w:pStyle w:val="BodyText"/>
        <w:jc w:val="left"/>
      </w:pPr>
    </w:p>
    <w:p w:rsidR="00FD38E5" w:rsidRPr="00C7018F" w:rsidRDefault="00FD38E5" w:rsidP="00C170D9">
      <w:pPr>
        <w:pStyle w:val="BodyText"/>
        <w:rPr>
          <w:color w:val="FF0000"/>
        </w:rPr>
      </w:pPr>
      <w:r w:rsidRPr="00C7018F">
        <w:rPr>
          <w:highlight w:val="lightGray"/>
        </w:rPr>
        <w:t>“One of the advantages of the LACs administering a LECS is that as large purchasers of legal services they could use their buying power to purchase services at favourable rates for those clients who did not wish to use their own lawyer”.</w:t>
      </w:r>
      <w:r w:rsidR="00C7018F">
        <w:rPr>
          <w:rStyle w:val="FootnoteReference"/>
          <w:highlight w:val="lightGray"/>
        </w:rPr>
        <w:footnoteReference w:id="30"/>
      </w:r>
    </w:p>
    <w:p w:rsidR="00C828FD" w:rsidRDefault="00C828FD" w:rsidP="00E1498A">
      <w:pPr>
        <w:pStyle w:val="BodyText"/>
      </w:pPr>
    </w:p>
    <w:p w:rsidR="002C5068" w:rsidRPr="00C7018F" w:rsidRDefault="002C5068" w:rsidP="00E1498A">
      <w:pPr>
        <w:pStyle w:val="BodyText"/>
        <w:rPr>
          <w:highlight w:val="lightGray"/>
        </w:rPr>
      </w:pPr>
      <w:r w:rsidRPr="00C7018F">
        <w:rPr>
          <w:highlight w:val="lightGray"/>
        </w:rPr>
        <w:t>“Some of the benefits of the proposed LECS are that it would:</w:t>
      </w:r>
    </w:p>
    <w:p w:rsidR="00E350AC" w:rsidRPr="00C7018F" w:rsidRDefault="00E350AC" w:rsidP="00E1498A">
      <w:pPr>
        <w:pStyle w:val="BodyText"/>
        <w:rPr>
          <w:highlight w:val="lightGray"/>
        </w:rPr>
      </w:pPr>
    </w:p>
    <w:p w:rsidR="002C5068" w:rsidRPr="00C7018F" w:rsidRDefault="002C5068" w:rsidP="002C5068">
      <w:pPr>
        <w:pStyle w:val="BodyText"/>
        <w:numPr>
          <w:ilvl w:val="0"/>
          <w:numId w:val="42"/>
        </w:numPr>
        <w:rPr>
          <w:highlight w:val="lightGray"/>
        </w:rPr>
      </w:pPr>
      <w:r w:rsidRPr="00C7018F">
        <w:rPr>
          <w:highlight w:val="lightGray"/>
        </w:rPr>
        <w:t>apply</w:t>
      </w:r>
      <w:r w:rsidR="00320F1F" w:rsidRPr="00C7018F">
        <w:rPr>
          <w:highlight w:val="lightGray"/>
        </w:rPr>
        <w:t xml:space="preserve"> to civil law</w:t>
      </w:r>
      <w:r w:rsidRPr="00C7018F">
        <w:rPr>
          <w:highlight w:val="lightGray"/>
        </w:rPr>
        <w:t xml:space="preserve"> matters that are currently only “thinly covered’ by LACs</w:t>
      </w:r>
      <w:r w:rsidR="00034F56" w:rsidRPr="00C7018F">
        <w:rPr>
          <w:highlight w:val="lightGray"/>
        </w:rPr>
        <w:t xml:space="preserve"> (</w:t>
      </w:r>
      <w:r w:rsidRPr="00C7018F">
        <w:rPr>
          <w:highlight w:val="lightGray"/>
        </w:rPr>
        <w:t>LACs priority areas of law are criminal and family law matters, chapter 20</w:t>
      </w:r>
      <w:r w:rsidR="00034F56" w:rsidRPr="00C7018F">
        <w:rPr>
          <w:highlight w:val="lightGray"/>
        </w:rPr>
        <w:t>)</w:t>
      </w:r>
    </w:p>
    <w:p w:rsidR="00034F56" w:rsidRPr="00C7018F" w:rsidRDefault="002C5068" w:rsidP="002C5068">
      <w:pPr>
        <w:pStyle w:val="BodyText"/>
        <w:numPr>
          <w:ilvl w:val="0"/>
          <w:numId w:val="42"/>
        </w:numPr>
        <w:rPr>
          <w:highlight w:val="lightGray"/>
        </w:rPr>
      </w:pPr>
      <w:r w:rsidRPr="00C7018F">
        <w:rPr>
          <w:highlight w:val="lightGray"/>
        </w:rPr>
        <w:t>Allow a longer</w:t>
      </w:r>
      <w:r w:rsidR="00034F56" w:rsidRPr="00C7018F">
        <w:rPr>
          <w:highlight w:val="lightGray"/>
        </w:rPr>
        <w:t xml:space="preserve"> period for applicants to make contributions payments (by spreading payments over a longer period of time the immediate financial burden is reduced)</w:t>
      </w:r>
    </w:p>
    <w:p w:rsidR="00F909A2" w:rsidRPr="00C7018F" w:rsidRDefault="00034F56" w:rsidP="00F909A2">
      <w:pPr>
        <w:pStyle w:val="BodyText"/>
        <w:numPr>
          <w:ilvl w:val="0"/>
          <w:numId w:val="42"/>
        </w:numPr>
        <w:rPr>
          <w:highlight w:val="lightGray"/>
        </w:rPr>
      </w:pPr>
      <w:r w:rsidRPr="00C7018F">
        <w:rPr>
          <w:highlight w:val="lightGray"/>
        </w:rPr>
        <w:lastRenderedPageBreak/>
        <w:t xml:space="preserve">Improve equity (by providing another avenue for those </w:t>
      </w:r>
      <w:r w:rsidR="003A2F9A" w:rsidRPr="00C7018F">
        <w:rPr>
          <w:highlight w:val="lightGray"/>
        </w:rPr>
        <w:t>who miss</w:t>
      </w:r>
      <w:r w:rsidRPr="00C7018F">
        <w:rPr>
          <w:highlight w:val="lightGray"/>
        </w:rPr>
        <w:t xml:space="preserve"> out on government funded legal assistance to pursue cases of merit that do not involve monetary claims).</w:t>
      </w:r>
    </w:p>
    <w:p w:rsidR="00F909A2" w:rsidRPr="00C7018F" w:rsidRDefault="00F909A2" w:rsidP="00F909A2">
      <w:pPr>
        <w:pStyle w:val="BodyText"/>
        <w:ind w:left="720"/>
        <w:rPr>
          <w:highlight w:val="lightGray"/>
        </w:rPr>
      </w:pPr>
    </w:p>
    <w:p w:rsidR="002C5068" w:rsidRDefault="00F909A2" w:rsidP="00C7018F">
      <w:pPr>
        <w:pStyle w:val="BodyText"/>
        <w:ind w:left="720"/>
      </w:pPr>
      <w:r w:rsidRPr="00C7018F">
        <w:rPr>
          <w:highlight w:val="lightGray"/>
        </w:rPr>
        <w:t xml:space="preserve">These benefits would not come without costs, indeed it is </w:t>
      </w:r>
      <w:r w:rsidR="00F67B36">
        <w:rPr>
          <w:highlight w:val="lightGray"/>
        </w:rPr>
        <w:t>un</w:t>
      </w:r>
      <w:r w:rsidRPr="00C7018F">
        <w:rPr>
          <w:highlight w:val="lightGray"/>
        </w:rPr>
        <w:t xml:space="preserve">likely that any LECS program would be self-funding.  There is also the question of where to draw the line in relation to </w:t>
      </w:r>
      <w:r w:rsidR="003A2F9A" w:rsidRPr="00C7018F">
        <w:rPr>
          <w:highlight w:val="lightGray"/>
        </w:rPr>
        <w:t>eligibility</w:t>
      </w:r>
      <w:r w:rsidRPr="00C7018F">
        <w:rPr>
          <w:highlight w:val="lightGray"/>
        </w:rPr>
        <w:t>.”</w:t>
      </w:r>
      <w:r w:rsidR="00C7018F">
        <w:rPr>
          <w:rStyle w:val="FootnoteReference"/>
          <w:highlight w:val="lightGray"/>
        </w:rPr>
        <w:footnoteReference w:id="31"/>
      </w:r>
    </w:p>
    <w:p w:rsidR="002C5068" w:rsidRDefault="002C5068" w:rsidP="0070760B">
      <w:pPr>
        <w:pStyle w:val="BodyText"/>
        <w:jc w:val="left"/>
      </w:pPr>
    </w:p>
    <w:p w:rsidR="00843658" w:rsidRDefault="007E44A3" w:rsidP="0070760B">
      <w:pPr>
        <w:pStyle w:val="BodyText"/>
        <w:jc w:val="left"/>
      </w:pPr>
      <w:r>
        <w:t>NLA is of the view that the LE</w:t>
      </w:r>
      <w:r w:rsidR="006F5A5D">
        <w:t>CS proposal is akin to</w:t>
      </w:r>
      <w:r>
        <w:t xml:space="preserve"> the national scheme of grants of legal assistance o</w:t>
      </w:r>
      <w:r w:rsidR="00E04C81">
        <w:t>perated by LACs</w:t>
      </w:r>
      <w:r w:rsidR="00E350AC">
        <w:t>.</w:t>
      </w:r>
      <w:r w:rsidR="00E350AC">
        <w:rPr>
          <w:rStyle w:val="FootnoteReference"/>
        </w:rPr>
        <w:footnoteReference w:id="32"/>
      </w:r>
      <w:r w:rsidR="00E350AC">
        <w:t xml:space="preserve"> </w:t>
      </w:r>
      <w:r w:rsidR="00320F1F">
        <w:t xml:space="preserve">  </w:t>
      </w:r>
      <w:r w:rsidR="00843658">
        <w:t>Grants of legal assistance could be sai</w:t>
      </w:r>
      <w:r w:rsidR="001477A2">
        <w:t>d to provide interest</w:t>
      </w:r>
      <w:r w:rsidR="001A29F1">
        <w:t xml:space="preserve"> free</w:t>
      </w:r>
      <w:r w:rsidR="001477A2">
        <w:t xml:space="preserve"> loans for legal services purchased at rates that are highly unlikely to be available privately.</w:t>
      </w:r>
      <w:r w:rsidR="00C41BD9">
        <w:t xml:space="preserve">  </w:t>
      </w:r>
    </w:p>
    <w:p w:rsidR="00843658" w:rsidRDefault="00843658" w:rsidP="0070760B">
      <w:pPr>
        <w:pStyle w:val="BodyText"/>
        <w:jc w:val="left"/>
      </w:pPr>
    </w:p>
    <w:p w:rsidR="000B71CA" w:rsidRDefault="00187589" w:rsidP="0070760B">
      <w:pPr>
        <w:pStyle w:val="BodyText"/>
        <w:jc w:val="left"/>
      </w:pPr>
      <w:r>
        <w:t xml:space="preserve">When a grant of legal assistance is made by an LAC, </w:t>
      </w:r>
      <w:r w:rsidR="00634AE3">
        <w:t>LAC c</w:t>
      </w:r>
      <w:r w:rsidR="00320F1F">
        <w:t xml:space="preserve">lients </w:t>
      </w:r>
      <w:r>
        <w:t xml:space="preserve">are </w:t>
      </w:r>
      <w:r w:rsidR="005541B7">
        <w:t xml:space="preserve">often </w:t>
      </w:r>
      <w:r>
        <w:t xml:space="preserve">required to </w:t>
      </w:r>
      <w:r w:rsidR="005541B7">
        <w:t>make an</w:t>
      </w:r>
      <w:r w:rsidR="00320F1F">
        <w:t xml:space="preserve"> up-front contribution of a </w:t>
      </w:r>
      <w:r w:rsidR="005541B7">
        <w:t xml:space="preserve">fixed </w:t>
      </w:r>
      <w:r w:rsidR="00320F1F">
        <w:t>sum</w:t>
      </w:r>
      <w:r w:rsidR="005541B7">
        <w:t xml:space="preserve">.  </w:t>
      </w:r>
      <w:r w:rsidR="00320F1F">
        <w:t xml:space="preserve"> </w:t>
      </w:r>
      <w:r w:rsidR="00194BDC">
        <w:t xml:space="preserve">Clients </w:t>
      </w:r>
      <w:r w:rsidR="00320F1F">
        <w:t xml:space="preserve">will also be expected to make a full/partial contribution to the cost of the grant to the extent that </w:t>
      </w:r>
      <w:r w:rsidR="00194BDC">
        <w:t>the</w:t>
      </w:r>
      <w:r w:rsidR="00F430F1">
        <w:t xml:space="preserve">y have the capacity to do so.  </w:t>
      </w:r>
      <w:r w:rsidR="00194BDC">
        <w:t>Contributions will be pursued over time to the extent that it is</w:t>
      </w:r>
      <w:r w:rsidR="00320F1F">
        <w:t xml:space="preserve"> cost effective to</w:t>
      </w:r>
      <w:r w:rsidR="00194BDC">
        <w:t xml:space="preserve"> do so</w:t>
      </w:r>
      <w:r w:rsidR="00320F1F">
        <w:t xml:space="preserve">.  </w:t>
      </w:r>
      <w:r w:rsidR="00A536D8">
        <w:t>Contributions are usually realised on the sale of the home over which an equitable charge has been taken</w:t>
      </w:r>
      <w:r w:rsidR="006A36E2">
        <w:t xml:space="preserve">.  This </w:t>
      </w:r>
      <w:r w:rsidR="00CD1E1E">
        <w:t xml:space="preserve">often </w:t>
      </w:r>
      <w:r w:rsidR="006A36E2">
        <w:t xml:space="preserve">occurs </w:t>
      </w:r>
      <w:r w:rsidR="00A536D8">
        <w:t>many years after the grant was made</w:t>
      </w:r>
      <w:r w:rsidR="006A36E2">
        <w:t xml:space="preserve"> but provides the first opportunity the client </w:t>
      </w:r>
      <w:r w:rsidR="0039701B">
        <w:t xml:space="preserve">has </w:t>
      </w:r>
      <w:r w:rsidR="006A36E2">
        <w:t>to cover the cost of the legal assistance</w:t>
      </w:r>
      <w:r w:rsidR="00A536D8">
        <w:t>.</w:t>
      </w:r>
    </w:p>
    <w:p w:rsidR="00703CD3" w:rsidRDefault="00703CD3" w:rsidP="0070760B">
      <w:pPr>
        <w:pStyle w:val="BodyText"/>
        <w:jc w:val="left"/>
      </w:pPr>
    </w:p>
    <w:p w:rsidR="00454357" w:rsidRDefault="00B321AC" w:rsidP="0070760B">
      <w:pPr>
        <w:pStyle w:val="BodyText"/>
        <w:jc w:val="left"/>
      </w:pPr>
      <w:r>
        <w:t>Certain c</w:t>
      </w:r>
      <w:r w:rsidR="00703CD3">
        <w:t xml:space="preserve">ivil law </w:t>
      </w:r>
      <w:r w:rsidR="00320F1F">
        <w:t>matters</w:t>
      </w:r>
      <w:r w:rsidR="000A54E1">
        <w:t>, including those other than family law and related matters,</w:t>
      </w:r>
      <w:r w:rsidR="00320F1F">
        <w:t xml:space="preserve"> are specified as a priority in the NPA.  </w:t>
      </w:r>
      <w:r w:rsidR="00AA0726">
        <w:t xml:space="preserve">If funding permits, grants of aid can be made in civil law matters as they are for other matters.  </w:t>
      </w:r>
      <w:r w:rsidR="00320F1F">
        <w:t xml:space="preserve">It is the limited funding and competing priorities test which results in more </w:t>
      </w:r>
      <w:r w:rsidR="000A54E1">
        <w:t xml:space="preserve">non family and related </w:t>
      </w:r>
      <w:r w:rsidR="00320F1F">
        <w:t>civi</w:t>
      </w:r>
      <w:r w:rsidR="00703CD3">
        <w:t>l law services not being funded,</w:t>
      </w:r>
      <w:r w:rsidR="00F4402D">
        <w:t xml:space="preserve"> </w:t>
      </w:r>
      <w:r w:rsidR="003A2F9A">
        <w:t>e.g.</w:t>
      </w:r>
      <w:r w:rsidR="000A54E1">
        <w:t xml:space="preserve"> matters involving people’s safety have priority over </w:t>
      </w:r>
      <w:r w:rsidR="001B749C">
        <w:t xml:space="preserve">consumer complaints.  </w:t>
      </w:r>
      <w:r w:rsidR="00320F1F">
        <w:t xml:space="preserve">To the extent that grants of legal assistance are made in civil law matters they are </w:t>
      </w:r>
      <w:r w:rsidR="00703CD3">
        <w:t xml:space="preserve">also </w:t>
      </w:r>
      <w:r w:rsidR="00320F1F">
        <w:t xml:space="preserve">subject to </w:t>
      </w:r>
      <w:r w:rsidR="00703CD3">
        <w:t xml:space="preserve">appropriate </w:t>
      </w:r>
      <w:r w:rsidR="00320F1F">
        <w:t>contribution</w:t>
      </w:r>
      <w:r w:rsidR="008D1C5F">
        <w:t xml:space="preserve"> (LECS like) from the client</w:t>
      </w:r>
      <w:r w:rsidR="00703CD3">
        <w:t xml:space="preserve">.  </w:t>
      </w:r>
    </w:p>
    <w:p w:rsidR="00454357" w:rsidRDefault="00454357" w:rsidP="0070760B">
      <w:pPr>
        <w:pStyle w:val="BodyText"/>
        <w:jc w:val="left"/>
      </w:pPr>
    </w:p>
    <w:p w:rsidR="004B30CB" w:rsidRDefault="002D23B0" w:rsidP="0070760B">
      <w:pPr>
        <w:pStyle w:val="BodyText"/>
        <w:jc w:val="left"/>
      </w:pPr>
      <w:r>
        <w:t>If a LECS were to be established, i</w:t>
      </w:r>
      <w:r w:rsidR="00454357">
        <w:t xml:space="preserve">n relation to the question about where to draw the line for eligibility, </w:t>
      </w:r>
      <w:r w:rsidR="002E6847">
        <w:t>and as</w:t>
      </w:r>
      <w:r>
        <w:t xml:space="preserve"> is </w:t>
      </w:r>
      <w:r w:rsidR="002E6847">
        <w:t xml:space="preserve">the case </w:t>
      </w:r>
      <w:r>
        <w:t xml:space="preserve">for grants of legal assistance, </w:t>
      </w:r>
      <w:r w:rsidR="00651707">
        <w:t xml:space="preserve">it will be important to factor in the applicant’s income, and the anticipated cost and duration of the particular case.   </w:t>
      </w:r>
      <w:r w:rsidR="00F909A2">
        <w:t xml:space="preserve">An issue is at what rate the anticipated cost of the case is calculated, with this having significant funding ramifications.  </w:t>
      </w:r>
      <w:r w:rsidR="00651707">
        <w:t xml:space="preserve"> </w:t>
      </w:r>
    </w:p>
    <w:p w:rsidR="002D23B0" w:rsidRDefault="002D23B0" w:rsidP="0070760B">
      <w:pPr>
        <w:pStyle w:val="BodyText"/>
        <w:jc w:val="left"/>
      </w:pPr>
    </w:p>
    <w:p w:rsidR="002D23B0" w:rsidRDefault="00B72B4A" w:rsidP="0070760B">
      <w:pPr>
        <w:pStyle w:val="BodyText"/>
        <w:jc w:val="left"/>
      </w:pPr>
      <w:r>
        <w:t xml:space="preserve">Rather than setting up a LECS, it is suggested that an appropriate use for any </w:t>
      </w:r>
      <w:r w:rsidR="002D23B0">
        <w:t xml:space="preserve">available </w:t>
      </w:r>
      <w:r>
        <w:t xml:space="preserve">funding would be to expand existing eligibility for grants of legal aid. </w:t>
      </w:r>
      <w:r w:rsidR="00175696">
        <w:t xml:space="preserve"> </w:t>
      </w:r>
      <w:r>
        <w:t xml:space="preserve">This </w:t>
      </w:r>
      <w:r>
        <w:lastRenderedPageBreak/>
        <w:t xml:space="preserve">would appear to be a more cost </w:t>
      </w:r>
      <w:r w:rsidR="002D23B0">
        <w:t xml:space="preserve">effective </w:t>
      </w:r>
      <w:r>
        <w:t>approach</w:t>
      </w:r>
      <w:r w:rsidR="002D23B0">
        <w:t xml:space="preserve"> which would avoid risk to the consumer</w:t>
      </w:r>
      <w:r>
        <w:t xml:space="preserve">. </w:t>
      </w:r>
      <w:r w:rsidR="00175696">
        <w:t xml:space="preserve"> If funding were to be available s</w:t>
      </w:r>
      <w:r w:rsidR="002D23B0">
        <w:t xml:space="preserve">ome modelling might appropriately be undertaken by government/s in consultation with </w:t>
      </w:r>
      <w:r w:rsidR="00175696">
        <w:t>representatives</w:t>
      </w:r>
      <w:r w:rsidR="0020440D">
        <w:t xml:space="preserve"> of NLA</w:t>
      </w:r>
      <w:r w:rsidR="002D23B0">
        <w:t xml:space="preserve">. </w:t>
      </w:r>
    </w:p>
    <w:p w:rsidR="00DB0FD4" w:rsidRDefault="00DB0FD4" w:rsidP="0070760B">
      <w:pPr>
        <w:pStyle w:val="BodyText"/>
        <w:jc w:val="left"/>
      </w:pPr>
    </w:p>
    <w:p w:rsidR="00705D2E" w:rsidRDefault="00705D2E" w:rsidP="0070760B">
      <w:pPr>
        <w:pStyle w:val="BodyText"/>
        <w:jc w:val="left"/>
      </w:pPr>
    </w:p>
    <w:p w:rsidR="002F4A1A" w:rsidRDefault="00DB0FD4" w:rsidP="0070760B">
      <w:pPr>
        <w:pStyle w:val="BodyText"/>
        <w:jc w:val="left"/>
        <w:rPr>
          <w:b/>
        </w:rPr>
      </w:pPr>
      <w:r>
        <w:rPr>
          <w:b/>
        </w:rPr>
        <w:t>Miscellaneou</w:t>
      </w:r>
      <w:r w:rsidR="002F4A1A">
        <w:rPr>
          <w:b/>
        </w:rPr>
        <w:t>s</w:t>
      </w:r>
    </w:p>
    <w:p w:rsidR="00C639E5" w:rsidRDefault="00B14952" w:rsidP="0070760B">
      <w:pPr>
        <w:pStyle w:val="BodyText"/>
        <w:jc w:val="left"/>
      </w:pPr>
      <w:r>
        <w:t>Contextualisation/a</w:t>
      </w:r>
      <w:r w:rsidR="00C639E5">
        <w:t xml:space="preserve">ccuracy/consistency of reference could be undertaken </w:t>
      </w:r>
      <w:r w:rsidR="009655C2">
        <w:t xml:space="preserve">including </w:t>
      </w:r>
      <w:r w:rsidR="00C639E5">
        <w:t>in relation to the following</w:t>
      </w:r>
      <w:r w:rsidR="009655C2">
        <w:t xml:space="preserve"> wherever appearing in the draft report</w:t>
      </w:r>
      <w:r w:rsidR="00C639E5">
        <w:t>:</w:t>
      </w:r>
    </w:p>
    <w:p w:rsidR="00705D2E" w:rsidRPr="002F4A1A" w:rsidRDefault="00705D2E" w:rsidP="0070760B">
      <w:pPr>
        <w:pStyle w:val="BodyText"/>
        <w:jc w:val="left"/>
        <w:rPr>
          <w:b/>
        </w:rPr>
      </w:pPr>
    </w:p>
    <w:p w:rsidR="00C639E5" w:rsidRDefault="00C639E5" w:rsidP="0070760B">
      <w:pPr>
        <w:pStyle w:val="BodyText"/>
        <w:numPr>
          <w:ilvl w:val="0"/>
          <w:numId w:val="49"/>
        </w:numPr>
        <w:jc w:val="left"/>
      </w:pPr>
      <w:r>
        <w:t>Civil law –</w:t>
      </w:r>
      <w:r w:rsidR="00DF644A">
        <w:t xml:space="preserve"> </w:t>
      </w:r>
      <w:r w:rsidR="00D34D40">
        <w:t>consistency throughout the report about</w:t>
      </w:r>
      <w:r w:rsidR="00DF644A">
        <w:t xml:space="preserve"> what is encompassed by the term</w:t>
      </w:r>
      <w:r w:rsidR="00E953EE">
        <w:t xml:space="preserve">, </w:t>
      </w:r>
      <w:r w:rsidR="009655C2">
        <w:t xml:space="preserve">noting that </w:t>
      </w:r>
      <w:r w:rsidR="00E953EE">
        <w:t>this also currently varies from provider to provider</w:t>
      </w:r>
      <w:r w:rsidR="009655C2">
        <w:t>.</w:t>
      </w:r>
    </w:p>
    <w:p w:rsidR="00DB0FD4" w:rsidRPr="00705D2E" w:rsidRDefault="00C639E5" w:rsidP="0070760B">
      <w:pPr>
        <w:pStyle w:val="BodyText"/>
        <w:numPr>
          <w:ilvl w:val="0"/>
          <w:numId w:val="49"/>
        </w:numPr>
        <w:jc w:val="left"/>
        <w:rPr>
          <w:szCs w:val="24"/>
        </w:rPr>
      </w:pPr>
      <w:r w:rsidRPr="00705D2E">
        <w:rPr>
          <w:szCs w:val="24"/>
        </w:rPr>
        <w:t>Family law–</w:t>
      </w:r>
      <w:r w:rsidR="009A1C42" w:rsidRPr="00705D2E">
        <w:rPr>
          <w:szCs w:val="24"/>
        </w:rPr>
        <w:t xml:space="preserve"> currency</w:t>
      </w:r>
      <w:r w:rsidR="00024C8A" w:rsidRPr="00705D2E">
        <w:rPr>
          <w:szCs w:val="24"/>
        </w:rPr>
        <w:t>/accuracy</w:t>
      </w:r>
      <w:r w:rsidR="009A1C42" w:rsidRPr="00705D2E">
        <w:rPr>
          <w:szCs w:val="24"/>
        </w:rPr>
        <w:t xml:space="preserve"> of </w:t>
      </w:r>
      <w:r w:rsidR="00DF644A" w:rsidRPr="00705D2E">
        <w:rPr>
          <w:szCs w:val="24"/>
        </w:rPr>
        <w:t>terminology</w:t>
      </w:r>
      <w:r w:rsidR="009A1C42" w:rsidRPr="00705D2E">
        <w:rPr>
          <w:szCs w:val="24"/>
        </w:rPr>
        <w:t xml:space="preserve"> used</w:t>
      </w:r>
      <w:r w:rsidR="00DF644A" w:rsidRPr="00705D2E">
        <w:rPr>
          <w:szCs w:val="24"/>
        </w:rPr>
        <w:t xml:space="preserve"> to describe problems </w:t>
      </w:r>
      <w:r w:rsidR="00024C8A" w:rsidRPr="00705D2E">
        <w:rPr>
          <w:szCs w:val="24"/>
        </w:rPr>
        <w:t>&amp; related legal issues</w:t>
      </w:r>
      <w:r w:rsidR="009655C2" w:rsidRPr="00705D2E">
        <w:rPr>
          <w:szCs w:val="24"/>
        </w:rPr>
        <w:t>.</w:t>
      </w:r>
      <w:r w:rsidR="00024C8A" w:rsidRPr="00705D2E">
        <w:rPr>
          <w:szCs w:val="24"/>
        </w:rPr>
        <w:t xml:space="preserve"> (</w:t>
      </w:r>
      <w:r w:rsidR="003A2F9A" w:rsidRPr="00705D2E">
        <w:rPr>
          <w:szCs w:val="24"/>
        </w:rPr>
        <w:t>e.g.</w:t>
      </w:r>
      <w:r w:rsidR="00024C8A" w:rsidRPr="00705D2E">
        <w:rPr>
          <w:szCs w:val="24"/>
        </w:rPr>
        <w:t xml:space="preserve"> “contested divorce proceeding”</w:t>
      </w:r>
      <w:r w:rsidR="00024C8A" w:rsidRPr="00705D2E">
        <w:rPr>
          <w:rStyle w:val="FootnoteReference"/>
          <w:szCs w:val="24"/>
        </w:rPr>
        <w:footnoteReference w:id="33"/>
      </w:r>
      <w:r w:rsidR="00024C8A" w:rsidRPr="00705D2E">
        <w:rPr>
          <w:szCs w:val="24"/>
        </w:rPr>
        <w:t xml:space="preserve"> might </w:t>
      </w:r>
      <w:r w:rsidR="000B3DCC" w:rsidRPr="00705D2E">
        <w:rPr>
          <w:szCs w:val="24"/>
        </w:rPr>
        <w:t>be better referred to as</w:t>
      </w:r>
      <w:r w:rsidR="00024C8A" w:rsidRPr="00705D2E">
        <w:rPr>
          <w:szCs w:val="24"/>
        </w:rPr>
        <w:t xml:space="preserve"> “contested family law matters”,</w:t>
      </w:r>
      <w:r w:rsidR="00082B10" w:rsidRPr="00705D2E">
        <w:rPr>
          <w:szCs w:val="24"/>
        </w:rPr>
        <w:t xml:space="preserve"> “child custody dispute”</w:t>
      </w:r>
      <w:r w:rsidR="00082B10" w:rsidRPr="00705D2E">
        <w:rPr>
          <w:rStyle w:val="FootnoteReference"/>
          <w:szCs w:val="24"/>
        </w:rPr>
        <w:footnoteReference w:id="34"/>
      </w:r>
      <w:r w:rsidR="00D34D40" w:rsidRPr="00705D2E">
        <w:rPr>
          <w:szCs w:val="24"/>
        </w:rPr>
        <w:t xml:space="preserve"> might be better described as “disputes about </w:t>
      </w:r>
      <w:r w:rsidR="00970FD1" w:rsidRPr="00705D2E">
        <w:rPr>
          <w:szCs w:val="24"/>
        </w:rPr>
        <w:t xml:space="preserve"> a child’s living arrangements </w:t>
      </w:r>
      <w:r w:rsidR="00D34D40" w:rsidRPr="00705D2E">
        <w:rPr>
          <w:szCs w:val="24"/>
        </w:rPr>
        <w:t>etc)</w:t>
      </w:r>
    </w:p>
    <w:p w:rsidR="00777687" w:rsidRPr="00705D2E" w:rsidRDefault="00777687" w:rsidP="0070760B">
      <w:pPr>
        <w:pStyle w:val="ListParagraph"/>
        <w:numPr>
          <w:ilvl w:val="0"/>
          <w:numId w:val="49"/>
        </w:numPr>
        <w:rPr>
          <w:rFonts w:asciiTheme="minorHAnsi" w:hAnsiTheme="minorHAnsi"/>
          <w:szCs w:val="24"/>
        </w:rPr>
      </w:pPr>
      <w:r w:rsidRPr="00705D2E">
        <w:rPr>
          <w:rFonts w:asciiTheme="minorHAnsi" w:hAnsiTheme="minorHAnsi"/>
          <w:szCs w:val="24"/>
        </w:rPr>
        <w:t>Legal assistance – there</w:t>
      </w:r>
      <w:r w:rsidR="00900A88" w:rsidRPr="00705D2E">
        <w:rPr>
          <w:rFonts w:asciiTheme="minorHAnsi" w:hAnsiTheme="minorHAnsi"/>
          <w:szCs w:val="24"/>
        </w:rPr>
        <w:t xml:space="preserve"> appears to be a</w:t>
      </w:r>
      <w:r w:rsidR="003D4E8B" w:rsidRPr="00705D2E">
        <w:rPr>
          <w:rFonts w:asciiTheme="minorHAnsi" w:hAnsiTheme="minorHAnsi"/>
          <w:szCs w:val="24"/>
        </w:rPr>
        <w:t xml:space="preserve"> blurring in</w:t>
      </w:r>
      <w:r w:rsidR="00900A88" w:rsidRPr="00705D2E">
        <w:rPr>
          <w:rFonts w:asciiTheme="minorHAnsi" w:hAnsiTheme="minorHAnsi"/>
          <w:szCs w:val="24"/>
        </w:rPr>
        <w:t xml:space="preserve"> some parts of the draft report </w:t>
      </w:r>
      <w:r w:rsidR="00BF1A11" w:rsidRPr="00705D2E">
        <w:rPr>
          <w:rFonts w:asciiTheme="minorHAnsi" w:hAnsiTheme="minorHAnsi"/>
          <w:szCs w:val="24"/>
        </w:rPr>
        <w:t>in relation</w:t>
      </w:r>
      <w:r w:rsidR="003D4E8B" w:rsidRPr="00705D2E">
        <w:rPr>
          <w:rFonts w:asciiTheme="minorHAnsi" w:hAnsiTheme="minorHAnsi"/>
          <w:szCs w:val="24"/>
        </w:rPr>
        <w:t xml:space="preserve"> to </w:t>
      </w:r>
      <w:r w:rsidR="00900A88" w:rsidRPr="00705D2E">
        <w:rPr>
          <w:rFonts w:asciiTheme="minorHAnsi" w:hAnsiTheme="minorHAnsi"/>
          <w:szCs w:val="24"/>
        </w:rPr>
        <w:t xml:space="preserve">what is </w:t>
      </w:r>
      <w:r w:rsidR="003D4E8B" w:rsidRPr="00705D2E">
        <w:rPr>
          <w:rFonts w:asciiTheme="minorHAnsi" w:hAnsiTheme="minorHAnsi"/>
          <w:szCs w:val="24"/>
        </w:rPr>
        <w:t>non/legal wor</w:t>
      </w:r>
      <w:r w:rsidR="00A375D6" w:rsidRPr="00705D2E">
        <w:rPr>
          <w:rFonts w:asciiTheme="minorHAnsi" w:hAnsiTheme="minorHAnsi"/>
          <w:szCs w:val="24"/>
        </w:rPr>
        <w:t>k</w:t>
      </w:r>
      <w:r w:rsidR="00A375D6" w:rsidRPr="00705D2E">
        <w:rPr>
          <w:rStyle w:val="FootnoteReference"/>
          <w:rFonts w:asciiTheme="minorHAnsi" w:hAnsiTheme="minorHAnsi"/>
          <w:szCs w:val="24"/>
        </w:rPr>
        <w:footnoteReference w:id="35"/>
      </w:r>
      <w:r w:rsidR="00A375D6" w:rsidRPr="00705D2E">
        <w:rPr>
          <w:rFonts w:asciiTheme="minorHAnsi" w:hAnsiTheme="minorHAnsi"/>
          <w:szCs w:val="24"/>
        </w:rPr>
        <w:t xml:space="preserve">. </w:t>
      </w:r>
    </w:p>
    <w:p w:rsidR="000B3DCC" w:rsidRPr="00DD1A7E" w:rsidRDefault="000B3DCC" w:rsidP="00900A88">
      <w:pPr>
        <w:pStyle w:val="BodyText"/>
        <w:ind w:left="360"/>
      </w:pPr>
    </w:p>
    <w:p w:rsidR="001744F0" w:rsidRDefault="001744F0" w:rsidP="00E270BD">
      <w:pPr>
        <w:spacing w:line="280" w:lineRule="atLeast"/>
        <w:rPr>
          <w:rFonts w:ascii="Calibri" w:hAnsi="Calibri"/>
          <w:szCs w:val="24"/>
        </w:rPr>
      </w:pPr>
    </w:p>
    <w:p w:rsidR="001744F0" w:rsidRPr="009020E0" w:rsidRDefault="009020E0" w:rsidP="00E270BD">
      <w:pPr>
        <w:spacing w:line="280" w:lineRule="atLeast"/>
        <w:rPr>
          <w:rFonts w:ascii="Calibri" w:hAnsi="Calibri"/>
          <w:b/>
          <w:szCs w:val="24"/>
        </w:rPr>
      </w:pPr>
      <w:r>
        <w:rPr>
          <w:rFonts w:ascii="Calibri" w:hAnsi="Calibri"/>
          <w:b/>
          <w:szCs w:val="24"/>
        </w:rPr>
        <w:t>Conclusion</w:t>
      </w:r>
    </w:p>
    <w:p w:rsidR="00C93F80" w:rsidRDefault="00E270BD" w:rsidP="00E270BD">
      <w:pPr>
        <w:spacing w:line="280" w:lineRule="atLeast"/>
        <w:rPr>
          <w:rFonts w:ascii="Calibri" w:hAnsi="Calibri"/>
          <w:szCs w:val="24"/>
        </w:rPr>
      </w:pPr>
      <w:r w:rsidRPr="001A66CA">
        <w:rPr>
          <w:rFonts w:ascii="Calibri" w:hAnsi="Calibri"/>
          <w:szCs w:val="24"/>
        </w:rPr>
        <w:t xml:space="preserve">We thank you </w:t>
      </w:r>
      <w:r w:rsidR="00705D2E">
        <w:rPr>
          <w:rFonts w:ascii="Calibri" w:hAnsi="Calibri"/>
          <w:szCs w:val="24"/>
        </w:rPr>
        <w:t>for the opportunity to make these comments</w:t>
      </w:r>
      <w:r w:rsidRPr="001A66CA">
        <w:rPr>
          <w:rFonts w:ascii="Calibri" w:hAnsi="Calibri"/>
          <w:szCs w:val="24"/>
        </w:rPr>
        <w:t xml:space="preserve">.  </w:t>
      </w:r>
    </w:p>
    <w:p w:rsidR="00C93F80" w:rsidRDefault="00C93F80" w:rsidP="00E270BD">
      <w:pPr>
        <w:spacing w:line="280" w:lineRule="atLeast"/>
        <w:rPr>
          <w:rFonts w:ascii="Calibri" w:hAnsi="Calibri"/>
          <w:szCs w:val="24"/>
        </w:rPr>
      </w:pPr>
    </w:p>
    <w:p w:rsidR="00E270BD" w:rsidRPr="001A66CA" w:rsidRDefault="00E270BD" w:rsidP="00E270BD">
      <w:pPr>
        <w:spacing w:line="280" w:lineRule="atLeast"/>
        <w:rPr>
          <w:rFonts w:ascii="Calibri" w:hAnsi="Calibri"/>
          <w:szCs w:val="24"/>
        </w:rPr>
      </w:pPr>
      <w:r w:rsidRPr="001A66CA">
        <w:rPr>
          <w:rFonts w:ascii="Calibri" w:hAnsi="Calibri"/>
          <w:szCs w:val="24"/>
        </w:rPr>
        <w:t>Please do not hesitate to contact us if you require any further information</w:t>
      </w:r>
      <w:r w:rsidR="00705D2E">
        <w:rPr>
          <w:rFonts w:ascii="Calibri" w:hAnsi="Calibri"/>
          <w:szCs w:val="24"/>
        </w:rPr>
        <w:t xml:space="preserve"> from us</w:t>
      </w:r>
      <w:r w:rsidRPr="001A66CA">
        <w:rPr>
          <w:rFonts w:ascii="Calibri" w:hAnsi="Calibri"/>
          <w:szCs w:val="24"/>
        </w:rPr>
        <w:t>.</w:t>
      </w:r>
    </w:p>
    <w:p w:rsidR="00E270BD" w:rsidRPr="001A66CA" w:rsidRDefault="00E270BD" w:rsidP="00E270BD">
      <w:pPr>
        <w:spacing w:line="280" w:lineRule="atLeast"/>
        <w:rPr>
          <w:rFonts w:ascii="Calibri" w:hAnsi="Calibri"/>
          <w:szCs w:val="24"/>
        </w:rPr>
      </w:pPr>
    </w:p>
    <w:p w:rsidR="00C93F80" w:rsidRDefault="00E270BD" w:rsidP="00E270BD">
      <w:pPr>
        <w:spacing w:line="280" w:lineRule="atLeast"/>
        <w:rPr>
          <w:rFonts w:ascii="Calibri" w:hAnsi="Calibri"/>
          <w:szCs w:val="24"/>
        </w:rPr>
      </w:pPr>
      <w:r w:rsidRPr="001A66CA">
        <w:rPr>
          <w:rFonts w:ascii="Calibri" w:hAnsi="Calibri"/>
          <w:szCs w:val="24"/>
        </w:rPr>
        <w:t>Yours sincerely</w:t>
      </w:r>
      <w:r w:rsidR="00C93F80">
        <w:rPr>
          <w:rFonts w:ascii="Calibri" w:hAnsi="Calibri"/>
          <w:szCs w:val="24"/>
        </w:rPr>
        <w:t>,</w:t>
      </w:r>
    </w:p>
    <w:p w:rsidR="00C93F80" w:rsidRDefault="00C93F80" w:rsidP="00E270BD">
      <w:pPr>
        <w:spacing w:line="280" w:lineRule="atLeast"/>
        <w:rPr>
          <w:rFonts w:ascii="Calibri" w:hAnsi="Calibri"/>
          <w:noProof/>
          <w:szCs w:val="24"/>
        </w:rPr>
      </w:pPr>
    </w:p>
    <w:p w:rsidR="004E66E4" w:rsidRDefault="004E66E4" w:rsidP="00E270BD">
      <w:pPr>
        <w:spacing w:line="280" w:lineRule="atLeast"/>
        <w:rPr>
          <w:rFonts w:ascii="Calibri" w:hAnsi="Calibri"/>
          <w:noProof/>
          <w:szCs w:val="24"/>
        </w:rPr>
      </w:pPr>
    </w:p>
    <w:p w:rsidR="004E66E4" w:rsidRDefault="004E66E4" w:rsidP="00E270BD">
      <w:pPr>
        <w:spacing w:line="280" w:lineRule="atLeast"/>
        <w:rPr>
          <w:rFonts w:ascii="Calibri" w:hAnsi="Calibri"/>
          <w:noProof/>
          <w:szCs w:val="24"/>
        </w:rPr>
      </w:pPr>
    </w:p>
    <w:p w:rsidR="004E66E4" w:rsidRPr="001A66CA" w:rsidRDefault="004E66E4" w:rsidP="00E270BD">
      <w:pPr>
        <w:spacing w:line="280" w:lineRule="atLeast"/>
        <w:rPr>
          <w:rFonts w:ascii="Calibri" w:hAnsi="Calibri"/>
          <w:szCs w:val="24"/>
        </w:rPr>
      </w:pPr>
    </w:p>
    <w:p w:rsidR="00E270BD" w:rsidRPr="001A66CA" w:rsidRDefault="00C93F80" w:rsidP="00E270BD">
      <w:pPr>
        <w:spacing w:line="280" w:lineRule="atLeast"/>
        <w:rPr>
          <w:rFonts w:ascii="Calibri" w:hAnsi="Calibri"/>
          <w:szCs w:val="24"/>
        </w:rPr>
      </w:pPr>
      <w:r>
        <w:rPr>
          <w:rFonts w:ascii="Calibri" w:hAnsi="Calibri"/>
          <w:szCs w:val="24"/>
        </w:rPr>
        <w:t>George Turnbull</w:t>
      </w:r>
      <w:bookmarkStart w:id="0" w:name="_GoBack"/>
      <w:bookmarkEnd w:id="0"/>
    </w:p>
    <w:p w:rsidR="00E270BD" w:rsidRPr="001A66CA" w:rsidRDefault="00E270BD" w:rsidP="00E270BD">
      <w:pPr>
        <w:spacing w:line="280" w:lineRule="atLeast"/>
        <w:rPr>
          <w:rFonts w:ascii="Calibri" w:hAnsi="Calibri"/>
          <w:szCs w:val="24"/>
        </w:rPr>
      </w:pPr>
      <w:r w:rsidRPr="001A66CA">
        <w:rPr>
          <w:rFonts w:ascii="Calibri" w:hAnsi="Calibri"/>
          <w:szCs w:val="24"/>
        </w:rPr>
        <w:t>Chair</w:t>
      </w:r>
    </w:p>
    <w:p w:rsidR="00DA22B8" w:rsidRDefault="00DA22B8" w:rsidP="00E270BD">
      <w:pPr>
        <w:spacing w:line="280" w:lineRule="atLeast"/>
        <w:rPr>
          <w:rFonts w:ascii="Calibri" w:hAnsi="Calibri"/>
          <w:szCs w:val="24"/>
        </w:rPr>
      </w:pPr>
    </w:p>
    <w:p w:rsidR="006770FD" w:rsidRDefault="006770FD" w:rsidP="00E270BD">
      <w:pPr>
        <w:spacing w:line="280" w:lineRule="atLeast"/>
        <w:rPr>
          <w:rFonts w:ascii="Calibri" w:hAnsi="Calibri"/>
          <w:szCs w:val="24"/>
        </w:rPr>
      </w:pPr>
    </w:p>
    <w:sectPr w:rsidR="006770FD">
      <w:headerReference w:type="even" r:id="rId16"/>
      <w:headerReference w:type="default" r:id="rId17"/>
      <w:footerReference w:type="first" r:id="rId18"/>
      <w:pgSz w:w="11906" w:h="16838"/>
      <w:pgMar w:top="1440" w:right="1797" w:bottom="1440" w:left="179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BAA" w:rsidRDefault="00DF7BAA">
      <w:r>
        <w:separator/>
      </w:r>
    </w:p>
  </w:endnote>
  <w:endnote w:type="continuationSeparator" w:id="0">
    <w:p w:rsidR="00DF7BAA" w:rsidRDefault="00DF7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BAA" w:rsidRPr="00644083" w:rsidRDefault="00DF7BAA" w:rsidP="00644083">
    <w:pPr>
      <w:pStyle w:val="Footer"/>
      <w:pBdr>
        <w:top w:val="single" w:sz="4" w:space="1" w:color="auto"/>
      </w:pBdr>
      <w:rPr>
        <w:rFonts w:ascii="Calibri" w:hAnsi="Calibri"/>
        <w:i/>
        <w:sz w:val="22"/>
        <w:szCs w:val="22"/>
      </w:rPr>
    </w:pPr>
    <w:r>
      <w:rPr>
        <w:rFonts w:ascii="Calibri" w:hAnsi="Calibri"/>
        <w:i/>
        <w:sz w:val="22"/>
        <w:szCs w:val="22"/>
      </w:rPr>
      <w:tab/>
    </w:r>
    <w:r>
      <w:rPr>
        <w:rFonts w:ascii="Calibri" w:hAnsi="Calibri"/>
        <w:i/>
        <w:sz w:val="22"/>
        <w:szCs w:val="22"/>
      </w:rPr>
      <w:tab/>
      <w:t>Pag</w:t>
    </w:r>
    <w:r w:rsidRPr="00644083">
      <w:rPr>
        <w:rFonts w:ascii="Calibri" w:hAnsi="Calibri"/>
        <w:i/>
        <w:sz w:val="22"/>
        <w:szCs w:val="22"/>
      </w:rPr>
      <w:t xml:space="preserve">e </w:t>
    </w:r>
    <w:r w:rsidRPr="00644083">
      <w:rPr>
        <w:rStyle w:val="PageNumber"/>
        <w:rFonts w:ascii="Calibri" w:hAnsi="Calibri"/>
        <w:i/>
        <w:sz w:val="22"/>
        <w:szCs w:val="22"/>
      </w:rPr>
      <w:fldChar w:fldCharType="begin"/>
    </w:r>
    <w:r w:rsidRPr="00644083">
      <w:rPr>
        <w:rStyle w:val="PageNumber"/>
        <w:rFonts w:ascii="Calibri" w:hAnsi="Calibri"/>
        <w:i/>
        <w:sz w:val="22"/>
        <w:szCs w:val="22"/>
      </w:rPr>
      <w:instrText xml:space="preserve"> PAGE </w:instrText>
    </w:r>
    <w:r w:rsidRPr="00644083">
      <w:rPr>
        <w:rStyle w:val="PageNumber"/>
        <w:rFonts w:ascii="Calibri" w:hAnsi="Calibri"/>
        <w:i/>
        <w:sz w:val="22"/>
        <w:szCs w:val="22"/>
      </w:rPr>
      <w:fldChar w:fldCharType="separate"/>
    </w:r>
    <w:r w:rsidR="004E66E4">
      <w:rPr>
        <w:rStyle w:val="PageNumber"/>
        <w:rFonts w:ascii="Calibri" w:hAnsi="Calibri"/>
        <w:i/>
        <w:noProof/>
        <w:sz w:val="22"/>
        <w:szCs w:val="22"/>
      </w:rPr>
      <w:t>1</w:t>
    </w:r>
    <w:r w:rsidRPr="00644083">
      <w:rPr>
        <w:rStyle w:val="PageNumber"/>
        <w:rFonts w:ascii="Calibri" w:hAnsi="Calibri"/>
        <w:i/>
        <w:sz w:val="22"/>
        <w:szCs w:val="22"/>
      </w:rPr>
      <w:fldChar w:fldCharType="end"/>
    </w:r>
    <w:r w:rsidRPr="00644083">
      <w:rPr>
        <w:rStyle w:val="PageNumber"/>
        <w:rFonts w:ascii="Calibri" w:hAnsi="Calibri"/>
        <w:i/>
        <w:sz w:val="22"/>
        <w:szCs w:val="22"/>
      </w:rPr>
      <w:t xml:space="preserve"> of </w:t>
    </w:r>
    <w:r w:rsidRPr="00644083">
      <w:rPr>
        <w:rStyle w:val="PageNumber"/>
        <w:rFonts w:ascii="Calibri" w:hAnsi="Calibri"/>
        <w:i/>
        <w:sz w:val="22"/>
        <w:szCs w:val="22"/>
      </w:rPr>
      <w:fldChar w:fldCharType="begin"/>
    </w:r>
    <w:r w:rsidRPr="00644083">
      <w:rPr>
        <w:rStyle w:val="PageNumber"/>
        <w:rFonts w:ascii="Calibri" w:hAnsi="Calibri"/>
        <w:i/>
        <w:sz w:val="22"/>
        <w:szCs w:val="22"/>
      </w:rPr>
      <w:instrText xml:space="preserve"> NUMPAGES </w:instrText>
    </w:r>
    <w:r w:rsidRPr="00644083">
      <w:rPr>
        <w:rStyle w:val="PageNumber"/>
        <w:rFonts w:ascii="Calibri" w:hAnsi="Calibri"/>
        <w:i/>
        <w:sz w:val="22"/>
        <w:szCs w:val="22"/>
      </w:rPr>
      <w:fldChar w:fldCharType="separate"/>
    </w:r>
    <w:r w:rsidR="004E66E4">
      <w:rPr>
        <w:rStyle w:val="PageNumber"/>
        <w:rFonts w:ascii="Calibri" w:hAnsi="Calibri"/>
        <w:i/>
        <w:noProof/>
        <w:sz w:val="22"/>
        <w:szCs w:val="22"/>
      </w:rPr>
      <w:t>25</w:t>
    </w:r>
    <w:r w:rsidRPr="00644083">
      <w:rPr>
        <w:rStyle w:val="PageNumber"/>
        <w:rFonts w:ascii="Calibri" w:hAnsi="Calibri"/>
        <w:i/>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BAA" w:rsidRDefault="00DF7BAA">
      <w:r>
        <w:separator/>
      </w:r>
    </w:p>
  </w:footnote>
  <w:footnote w:type="continuationSeparator" w:id="0">
    <w:p w:rsidR="00DF7BAA" w:rsidRDefault="00DF7BAA">
      <w:r>
        <w:continuationSeparator/>
      </w:r>
    </w:p>
  </w:footnote>
  <w:footnote w:id="1">
    <w:p w:rsidR="00DF7BAA" w:rsidRPr="00481FFB" w:rsidRDefault="00DF7BAA">
      <w:pPr>
        <w:pStyle w:val="FootnoteText"/>
        <w:rPr>
          <w:rFonts w:asciiTheme="minorHAnsi" w:hAnsiTheme="minorHAnsi"/>
        </w:rPr>
      </w:pPr>
      <w:r w:rsidRPr="00481FFB">
        <w:rPr>
          <w:rStyle w:val="FootnoteReference"/>
          <w:rFonts w:asciiTheme="minorHAnsi" w:hAnsiTheme="minorHAnsi"/>
        </w:rPr>
        <w:footnoteRef/>
      </w:r>
      <w:r w:rsidRPr="00481FFB">
        <w:rPr>
          <w:rFonts w:asciiTheme="minorHAnsi" w:hAnsiTheme="minorHAnsi"/>
        </w:rPr>
        <w:t xml:space="preserve"> </w:t>
      </w:r>
      <w:r w:rsidRPr="00481FFB">
        <w:rPr>
          <w:rFonts w:asciiTheme="minorHAnsi" w:hAnsiTheme="minorHAnsi"/>
          <w:szCs w:val="24"/>
        </w:rPr>
        <w:t>Other than family and related law matters</w:t>
      </w:r>
    </w:p>
  </w:footnote>
  <w:footnote w:id="2">
    <w:p w:rsidR="00DF7BAA" w:rsidRPr="00481FFB" w:rsidRDefault="00DF7BAA" w:rsidP="00043378">
      <w:pPr>
        <w:pStyle w:val="FootnoteText"/>
        <w:rPr>
          <w:rFonts w:asciiTheme="minorHAnsi" w:hAnsiTheme="minorHAnsi"/>
          <w:lang w:val="en-US"/>
        </w:rPr>
      </w:pPr>
      <w:r w:rsidRPr="00481FFB">
        <w:rPr>
          <w:rStyle w:val="FootnoteReference"/>
          <w:rFonts w:asciiTheme="minorHAnsi" w:hAnsiTheme="minorHAnsi"/>
        </w:rPr>
        <w:footnoteRef/>
      </w:r>
      <w:r w:rsidRPr="00481FFB">
        <w:rPr>
          <w:rFonts w:asciiTheme="minorHAnsi" w:hAnsiTheme="minorHAnsi"/>
        </w:rPr>
        <w:t xml:space="preserve"> </w:t>
      </w:r>
      <w:r>
        <w:rPr>
          <w:rFonts w:asciiTheme="minorHAnsi" w:hAnsiTheme="minorHAnsi"/>
          <w:lang w:val="en-US"/>
        </w:rPr>
        <w:t>P.585</w:t>
      </w:r>
    </w:p>
  </w:footnote>
  <w:footnote w:id="3">
    <w:p w:rsidR="00DF7BAA" w:rsidRDefault="00DF7BAA">
      <w:pPr>
        <w:pStyle w:val="FootnoteText"/>
      </w:pPr>
      <w:r>
        <w:rPr>
          <w:rStyle w:val="FootnoteReference"/>
        </w:rPr>
        <w:footnoteRef/>
      </w:r>
      <w:r>
        <w:t xml:space="preserve"> </w:t>
      </w:r>
      <w:r>
        <w:rPr>
          <w:rFonts w:ascii="Calibri" w:hAnsi="Calibri"/>
          <w:szCs w:val="24"/>
        </w:rPr>
        <w:t>I</w:t>
      </w:r>
      <w:r w:rsidRPr="0068138D">
        <w:rPr>
          <w:rFonts w:ascii="Calibri" w:hAnsi="Calibri"/>
          <w:szCs w:val="24"/>
        </w:rPr>
        <w:t>n person and video</w:t>
      </w:r>
    </w:p>
  </w:footnote>
  <w:footnote w:id="4">
    <w:p w:rsidR="00DF7BAA" w:rsidRPr="004834EE" w:rsidRDefault="00DF7BAA">
      <w:pPr>
        <w:pStyle w:val="FootnoteText"/>
        <w:rPr>
          <w:rFonts w:asciiTheme="minorHAnsi" w:hAnsiTheme="minorHAnsi"/>
          <w:lang w:val="en-US"/>
        </w:rPr>
      </w:pPr>
      <w:r w:rsidRPr="004834EE">
        <w:rPr>
          <w:rStyle w:val="FootnoteReference"/>
          <w:rFonts w:asciiTheme="minorHAnsi" w:hAnsiTheme="minorHAnsi"/>
        </w:rPr>
        <w:footnoteRef/>
      </w:r>
      <w:r w:rsidRPr="004834EE">
        <w:rPr>
          <w:rFonts w:asciiTheme="minorHAnsi" w:hAnsiTheme="minorHAnsi"/>
        </w:rPr>
        <w:t xml:space="preserve"> </w:t>
      </w:r>
      <w:r w:rsidRPr="004834EE">
        <w:rPr>
          <w:rFonts w:asciiTheme="minorHAnsi" w:hAnsiTheme="minorHAnsi"/>
          <w:lang w:val="en-US"/>
        </w:rPr>
        <w:t>See comments on Chapter 24 Data and evaluation</w:t>
      </w:r>
    </w:p>
  </w:footnote>
  <w:footnote w:id="5">
    <w:p w:rsidR="00DF7BAA" w:rsidRPr="00A955DF" w:rsidRDefault="00DF7BAA" w:rsidP="00A661E6">
      <w:pPr>
        <w:pStyle w:val="FootnoteText"/>
        <w:rPr>
          <w:rFonts w:ascii="Calibri" w:hAnsi="Calibri" w:cs="Calibri"/>
          <w:lang w:val="en-US"/>
        </w:rPr>
      </w:pPr>
      <w:r w:rsidRPr="00A955DF">
        <w:rPr>
          <w:rStyle w:val="FootnoteReference"/>
          <w:rFonts w:ascii="Calibri" w:hAnsi="Calibri" w:cs="Calibri"/>
        </w:rPr>
        <w:footnoteRef/>
      </w:r>
      <w:r w:rsidRPr="00A955DF">
        <w:rPr>
          <w:rFonts w:ascii="Calibri" w:hAnsi="Calibri" w:cs="Calibri"/>
        </w:rPr>
        <w:t xml:space="preserve"> </w:t>
      </w:r>
      <w:r w:rsidRPr="00A955DF">
        <w:rPr>
          <w:rFonts w:ascii="Calibri" w:hAnsi="Calibri" w:cs="Calibri"/>
          <w:lang w:val="en-US"/>
        </w:rPr>
        <w:t>P.638</w:t>
      </w:r>
    </w:p>
  </w:footnote>
  <w:footnote w:id="6">
    <w:p w:rsidR="00DF7BAA" w:rsidRPr="009453E0" w:rsidRDefault="00DF7BAA" w:rsidP="00893FC3">
      <w:pPr>
        <w:pStyle w:val="FootnoteText"/>
        <w:rPr>
          <w:rFonts w:asciiTheme="minorHAnsi" w:hAnsiTheme="minorHAnsi" w:cs="Calibri"/>
          <w:lang w:val="en-US"/>
        </w:rPr>
      </w:pPr>
      <w:r w:rsidRPr="009453E0">
        <w:rPr>
          <w:rStyle w:val="FootnoteReference"/>
          <w:rFonts w:asciiTheme="minorHAnsi" w:hAnsiTheme="minorHAnsi" w:cs="Calibri"/>
        </w:rPr>
        <w:footnoteRef/>
      </w:r>
      <w:r w:rsidRPr="009453E0">
        <w:rPr>
          <w:rFonts w:asciiTheme="minorHAnsi" w:hAnsiTheme="minorHAnsi" w:cs="Calibri"/>
        </w:rPr>
        <w:t xml:space="preserve"> </w:t>
      </w:r>
      <w:r w:rsidRPr="009453E0">
        <w:rPr>
          <w:rFonts w:asciiTheme="minorHAnsi" w:hAnsiTheme="minorHAnsi" w:cs="Calibri"/>
          <w:lang w:val="en-US"/>
        </w:rPr>
        <w:t>P.644</w:t>
      </w:r>
    </w:p>
  </w:footnote>
  <w:footnote w:id="7">
    <w:p w:rsidR="00DF7BAA" w:rsidRPr="009453E0" w:rsidRDefault="00DF7BAA">
      <w:pPr>
        <w:pStyle w:val="FootnoteText"/>
        <w:rPr>
          <w:lang w:val="en-US"/>
        </w:rPr>
      </w:pPr>
      <w:r w:rsidRPr="009453E0">
        <w:rPr>
          <w:rStyle w:val="FootnoteReference"/>
          <w:rFonts w:asciiTheme="minorHAnsi" w:hAnsiTheme="minorHAnsi"/>
        </w:rPr>
        <w:footnoteRef/>
      </w:r>
      <w:r w:rsidRPr="009453E0">
        <w:rPr>
          <w:rFonts w:asciiTheme="minorHAnsi" w:hAnsiTheme="minorHAnsi"/>
        </w:rPr>
        <w:t xml:space="preserve"> </w:t>
      </w:r>
      <w:r w:rsidRPr="009453E0">
        <w:rPr>
          <w:rFonts w:asciiTheme="minorHAnsi" w:hAnsiTheme="minorHAnsi"/>
          <w:lang w:val="en-US"/>
        </w:rPr>
        <w:t>P.647</w:t>
      </w:r>
    </w:p>
  </w:footnote>
  <w:footnote w:id="8">
    <w:p w:rsidR="00DF7BAA" w:rsidRPr="009453E0" w:rsidRDefault="00DF7BAA" w:rsidP="00616D07">
      <w:pPr>
        <w:pStyle w:val="FootnoteText"/>
        <w:rPr>
          <w:rFonts w:asciiTheme="minorHAnsi" w:hAnsiTheme="minorHAnsi"/>
        </w:rPr>
      </w:pPr>
      <w:r w:rsidRPr="009453E0">
        <w:rPr>
          <w:rStyle w:val="FootnoteReference"/>
          <w:rFonts w:asciiTheme="minorHAnsi" w:hAnsiTheme="minorHAnsi"/>
        </w:rPr>
        <w:footnoteRef/>
      </w:r>
      <w:r w:rsidRPr="009453E0">
        <w:rPr>
          <w:rFonts w:asciiTheme="minorHAnsi" w:hAnsiTheme="minorHAnsi"/>
        </w:rPr>
        <w:t xml:space="preserve"> P. 662 NLA is not able to comment on the assertion contained in submission 96 that the means test is “set at 50-70% of the HPL in most jurisdictions” without more information.   There are definitional issues &amp; calculations of some complexity involved.  The various indicators used in making these calculations are however well below appropriate standards around the country. </w:t>
      </w:r>
    </w:p>
  </w:footnote>
  <w:footnote w:id="9">
    <w:p w:rsidR="00DF7BAA" w:rsidRDefault="00DF7BAA">
      <w:pPr>
        <w:pStyle w:val="FootnoteText"/>
      </w:pPr>
      <w:r w:rsidRPr="00CC4179">
        <w:rPr>
          <w:rStyle w:val="FootnoteReference"/>
          <w:rFonts w:asciiTheme="minorHAnsi" w:hAnsiTheme="minorHAnsi"/>
        </w:rPr>
        <w:footnoteRef/>
      </w:r>
      <w:r w:rsidRPr="00CC4179">
        <w:rPr>
          <w:rFonts w:asciiTheme="minorHAnsi" w:hAnsiTheme="minorHAnsi"/>
        </w:rPr>
        <w:t xml:space="preserve"> P.iv Study of the Participation of Private Legal Practitioners in the Provision of Legal Aid Services in Australia, March 2007, tns social research.</w:t>
      </w:r>
      <w:r>
        <w:t xml:space="preserve"> </w:t>
      </w:r>
    </w:p>
  </w:footnote>
  <w:footnote w:id="10">
    <w:p w:rsidR="00DF7BAA" w:rsidRPr="00A955DF" w:rsidRDefault="00DF7BAA" w:rsidP="00C73A81">
      <w:pPr>
        <w:pStyle w:val="FootnoteText"/>
        <w:rPr>
          <w:rFonts w:ascii="Calibri" w:hAnsi="Calibri" w:cs="Calibri"/>
          <w:lang w:val="en-US"/>
        </w:rPr>
      </w:pPr>
      <w:r w:rsidRPr="00A955DF">
        <w:rPr>
          <w:rStyle w:val="FootnoteReference"/>
          <w:rFonts w:ascii="Calibri" w:hAnsi="Calibri" w:cs="Calibri"/>
        </w:rPr>
        <w:footnoteRef/>
      </w:r>
      <w:r w:rsidRPr="00A955DF">
        <w:rPr>
          <w:rFonts w:ascii="Calibri" w:hAnsi="Calibri" w:cs="Calibri"/>
        </w:rPr>
        <w:t xml:space="preserve"> </w:t>
      </w:r>
      <w:r w:rsidRPr="00A955DF">
        <w:rPr>
          <w:rFonts w:ascii="Calibri" w:hAnsi="Calibri" w:cs="Calibri"/>
          <w:lang w:val="en-US"/>
        </w:rPr>
        <w:t>P.111</w:t>
      </w:r>
    </w:p>
  </w:footnote>
  <w:footnote w:id="11">
    <w:p w:rsidR="00DF7BAA" w:rsidRPr="00A955DF" w:rsidRDefault="00DF7BAA">
      <w:pPr>
        <w:pStyle w:val="FootnoteText"/>
        <w:rPr>
          <w:rFonts w:ascii="Calibri" w:hAnsi="Calibri" w:cs="Calibri"/>
          <w:lang w:val="en-US"/>
        </w:rPr>
      </w:pPr>
      <w:r w:rsidRPr="00A955DF">
        <w:rPr>
          <w:rStyle w:val="FootnoteReference"/>
          <w:rFonts w:ascii="Calibri" w:hAnsi="Calibri" w:cs="Calibri"/>
        </w:rPr>
        <w:footnoteRef/>
      </w:r>
      <w:r w:rsidRPr="00A955DF">
        <w:rPr>
          <w:rFonts w:ascii="Calibri" w:hAnsi="Calibri" w:cs="Calibri"/>
        </w:rPr>
        <w:t xml:space="preserve"> </w:t>
      </w:r>
      <w:r w:rsidRPr="00A955DF">
        <w:rPr>
          <w:rFonts w:ascii="Calibri" w:hAnsi="Calibri" w:cs="Calibri"/>
          <w:lang w:val="en-US"/>
        </w:rPr>
        <w:t>P.637</w:t>
      </w:r>
    </w:p>
  </w:footnote>
  <w:footnote w:id="12">
    <w:p w:rsidR="00DF7BAA" w:rsidRPr="00A955DF" w:rsidRDefault="00DF7BAA">
      <w:pPr>
        <w:pStyle w:val="FootnoteText"/>
        <w:rPr>
          <w:rFonts w:ascii="Calibri" w:hAnsi="Calibri" w:cs="Calibri"/>
          <w:lang w:val="en-US"/>
        </w:rPr>
      </w:pPr>
      <w:r w:rsidRPr="00A955DF">
        <w:rPr>
          <w:rStyle w:val="FootnoteReference"/>
          <w:rFonts w:ascii="Calibri" w:hAnsi="Calibri" w:cs="Calibri"/>
        </w:rPr>
        <w:footnoteRef/>
      </w:r>
      <w:r w:rsidRPr="00A955DF">
        <w:rPr>
          <w:rFonts w:ascii="Calibri" w:hAnsi="Calibri" w:cs="Calibri"/>
        </w:rPr>
        <w:t xml:space="preserve"> </w:t>
      </w:r>
      <w:r w:rsidRPr="00A955DF">
        <w:rPr>
          <w:rFonts w:ascii="Calibri" w:hAnsi="Calibri" w:cs="Calibri"/>
          <w:lang w:val="en-US"/>
        </w:rPr>
        <w:t>P.813</w:t>
      </w:r>
    </w:p>
  </w:footnote>
  <w:footnote w:id="13">
    <w:p w:rsidR="00DF7BAA" w:rsidRPr="009C0C0D" w:rsidRDefault="00DF7BAA">
      <w:pPr>
        <w:pStyle w:val="FootnoteText"/>
        <w:rPr>
          <w:rFonts w:asciiTheme="minorHAnsi" w:hAnsiTheme="minorHAnsi" w:cstheme="minorHAnsi"/>
        </w:rPr>
      </w:pPr>
      <w:r w:rsidRPr="009C0C0D">
        <w:rPr>
          <w:rStyle w:val="FootnoteReference"/>
          <w:rFonts w:asciiTheme="minorHAnsi" w:hAnsiTheme="minorHAnsi" w:cstheme="minorHAnsi"/>
        </w:rPr>
        <w:footnoteRef/>
      </w:r>
      <w:r w:rsidRPr="009C0C0D">
        <w:rPr>
          <w:rFonts w:asciiTheme="minorHAnsi" w:hAnsiTheme="minorHAnsi" w:cstheme="minorHAnsi"/>
        </w:rPr>
        <w:t xml:space="preserve"> Appeals to the family law courts are then available only on a question of law. </w:t>
      </w:r>
    </w:p>
  </w:footnote>
  <w:footnote w:id="14">
    <w:p w:rsidR="00DF7BAA" w:rsidRPr="007A67A3" w:rsidRDefault="00DF7BAA" w:rsidP="0026019D">
      <w:pPr>
        <w:pStyle w:val="FootnoteText"/>
        <w:rPr>
          <w:rFonts w:asciiTheme="minorHAnsi" w:hAnsiTheme="minorHAnsi" w:cstheme="minorHAnsi"/>
          <w:lang w:val="en-US"/>
        </w:rPr>
      </w:pPr>
      <w:r w:rsidRPr="007A67A3">
        <w:rPr>
          <w:rStyle w:val="FootnoteReference"/>
          <w:rFonts w:asciiTheme="minorHAnsi" w:hAnsiTheme="minorHAnsi" w:cstheme="minorHAnsi"/>
        </w:rPr>
        <w:footnoteRef/>
      </w:r>
      <w:r w:rsidRPr="007A67A3">
        <w:rPr>
          <w:rFonts w:asciiTheme="minorHAnsi" w:hAnsiTheme="minorHAnsi" w:cstheme="minorHAnsi"/>
        </w:rPr>
        <w:t xml:space="preserve"> </w:t>
      </w:r>
      <w:r w:rsidRPr="007A67A3">
        <w:rPr>
          <w:rFonts w:asciiTheme="minorHAnsi" w:hAnsiTheme="minorHAnsi" w:cstheme="minorHAnsi"/>
          <w:lang w:val="en-US"/>
        </w:rPr>
        <w:t>P.762</w:t>
      </w:r>
    </w:p>
  </w:footnote>
  <w:footnote w:id="15">
    <w:p w:rsidR="00DF7BAA" w:rsidRPr="007A67A3" w:rsidRDefault="00DF7BAA" w:rsidP="004214D6">
      <w:pPr>
        <w:pStyle w:val="FootnoteText"/>
        <w:rPr>
          <w:rFonts w:asciiTheme="minorHAnsi" w:hAnsiTheme="minorHAnsi" w:cstheme="minorHAnsi"/>
        </w:rPr>
      </w:pPr>
      <w:r w:rsidRPr="007A67A3">
        <w:rPr>
          <w:rStyle w:val="FootnoteReference"/>
          <w:rFonts w:asciiTheme="minorHAnsi" w:hAnsiTheme="minorHAnsi" w:cstheme="minorHAnsi"/>
        </w:rPr>
        <w:footnoteRef/>
      </w:r>
      <w:r w:rsidRPr="007A67A3">
        <w:rPr>
          <w:rFonts w:asciiTheme="minorHAnsi" w:hAnsiTheme="minorHAnsi" w:cstheme="minorHAnsi"/>
        </w:rPr>
        <w:t xml:space="preserve"> P.757</w:t>
      </w:r>
    </w:p>
  </w:footnote>
  <w:footnote w:id="16">
    <w:p w:rsidR="00DF7BAA" w:rsidRPr="007A67A3" w:rsidRDefault="00DF7BAA">
      <w:pPr>
        <w:pStyle w:val="FootnoteText"/>
        <w:rPr>
          <w:rFonts w:asciiTheme="minorHAnsi" w:hAnsiTheme="minorHAnsi" w:cstheme="minorHAnsi"/>
          <w:lang w:val="en-US"/>
        </w:rPr>
      </w:pPr>
      <w:r w:rsidRPr="007A67A3">
        <w:rPr>
          <w:rStyle w:val="FootnoteReference"/>
          <w:rFonts w:asciiTheme="minorHAnsi" w:hAnsiTheme="minorHAnsi" w:cstheme="minorHAnsi"/>
        </w:rPr>
        <w:footnoteRef/>
      </w:r>
      <w:r w:rsidRPr="007A67A3">
        <w:rPr>
          <w:rFonts w:asciiTheme="minorHAnsi" w:hAnsiTheme="minorHAnsi" w:cstheme="minorHAnsi"/>
        </w:rPr>
        <w:t xml:space="preserve"> </w:t>
      </w:r>
      <w:r w:rsidRPr="007A67A3">
        <w:rPr>
          <w:rFonts w:asciiTheme="minorHAnsi" w:hAnsiTheme="minorHAnsi" w:cstheme="minorHAnsi"/>
          <w:szCs w:val="24"/>
        </w:rPr>
        <w:t xml:space="preserve">Such as eligibility, case-management, and finance systems </w:t>
      </w:r>
    </w:p>
  </w:footnote>
  <w:footnote w:id="17">
    <w:p w:rsidR="00DF7BAA" w:rsidRPr="009453E0" w:rsidRDefault="00DF7BAA">
      <w:pPr>
        <w:pStyle w:val="FootnoteText"/>
        <w:rPr>
          <w:rFonts w:asciiTheme="minorHAnsi" w:hAnsiTheme="minorHAnsi"/>
          <w:lang w:val="en-US"/>
        </w:rPr>
      </w:pPr>
      <w:r w:rsidRPr="009453E0">
        <w:rPr>
          <w:rStyle w:val="FootnoteReference"/>
          <w:rFonts w:asciiTheme="minorHAnsi" w:hAnsiTheme="minorHAnsi"/>
        </w:rPr>
        <w:footnoteRef/>
      </w:r>
      <w:r w:rsidRPr="009453E0">
        <w:rPr>
          <w:rFonts w:asciiTheme="minorHAnsi" w:hAnsiTheme="minorHAnsi"/>
        </w:rPr>
        <w:t xml:space="preserve"> </w:t>
      </w:r>
      <w:r w:rsidRPr="009453E0">
        <w:rPr>
          <w:rFonts w:asciiTheme="minorHAnsi" w:hAnsiTheme="minorHAnsi"/>
          <w:lang w:val="en-US"/>
        </w:rPr>
        <w:t>Th</w:t>
      </w:r>
      <w:r>
        <w:rPr>
          <w:rFonts w:asciiTheme="minorHAnsi" w:hAnsiTheme="minorHAnsi"/>
          <w:lang w:val="en-US"/>
        </w:rPr>
        <w:t xml:space="preserve">e National Legal Assistance Data Collection Working Group preferred the data item “legal assistance” and various proposed discrete task services to “case” as a data item, given the confusion contributed to by the word “case”.  This example assumes a settled definition of “legal representation” and </w:t>
      </w:r>
      <w:r w:rsidRPr="009453E0">
        <w:rPr>
          <w:rFonts w:asciiTheme="minorHAnsi" w:hAnsiTheme="minorHAnsi"/>
          <w:lang w:val="en-US"/>
        </w:rPr>
        <w:t>does not address the data which might reasonably be expected to be collected to some extent in relation to client demographics, service location, law type, matter type/s and the outcome in relation to the potentially numerous matter</w:t>
      </w:r>
      <w:r>
        <w:rPr>
          <w:rFonts w:asciiTheme="minorHAnsi" w:hAnsiTheme="minorHAnsi"/>
          <w:lang w:val="en-US"/>
        </w:rPr>
        <w:t xml:space="preserve"> type</w:t>
      </w:r>
      <w:r w:rsidRPr="009453E0">
        <w:rPr>
          <w:rFonts w:asciiTheme="minorHAnsi" w:hAnsiTheme="minorHAnsi"/>
          <w:lang w:val="en-US"/>
        </w:rPr>
        <w:t>s.</w:t>
      </w:r>
    </w:p>
  </w:footnote>
  <w:footnote w:id="18">
    <w:p w:rsidR="00DF7BAA" w:rsidRPr="00AC2B2E" w:rsidRDefault="00DF7BAA" w:rsidP="0026019D">
      <w:pPr>
        <w:pStyle w:val="FootnoteText"/>
        <w:rPr>
          <w:rFonts w:asciiTheme="minorHAnsi" w:hAnsiTheme="minorHAnsi" w:cstheme="minorHAnsi"/>
        </w:rPr>
      </w:pPr>
      <w:r w:rsidRPr="00AC2B2E">
        <w:rPr>
          <w:rStyle w:val="FootnoteReference"/>
          <w:rFonts w:asciiTheme="minorHAnsi" w:hAnsiTheme="minorHAnsi" w:cstheme="minorHAnsi"/>
        </w:rPr>
        <w:footnoteRef/>
      </w:r>
      <w:r w:rsidRPr="00AC2B2E">
        <w:rPr>
          <w:rFonts w:asciiTheme="minorHAnsi" w:hAnsiTheme="minorHAnsi" w:cstheme="minorHAnsi"/>
        </w:rPr>
        <w:t xml:space="preserve"> </w:t>
      </w:r>
      <w:r>
        <w:rPr>
          <w:rFonts w:asciiTheme="minorHAnsi" w:hAnsiTheme="minorHAnsi" w:cstheme="minorHAnsi"/>
        </w:rPr>
        <w:t xml:space="preserve">E.g. </w:t>
      </w:r>
      <w:r w:rsidRPr="00AC2B2E">
        <w:rPr>
          <w:rFonts w:asciiTheme="minorHAnsi" w:hAnsiTheme="minorHAnsi" w:cstheme="minorHAnsi"/>
        </w:rPr>
        <w:t>P.749</w:t>
      </w:r>
    </w:p>
  </w:footnote>
  <w:footnote w:id="19">
    <w:p w:rsidR="00DF7BAA" w:rsidRPr="00E807EB" w:rsidRDefault="00DF7BAA">
      <w:pPr>
        <w:pStyle w:val="FootnoteText"/>
        <w:rPr>
          <w:rFonts w:asciiTheme="minorHAnsi" w:hAnsiTheme="minorHAnsi" w:cstheme="minorHAnsi"/>
        </w:rPr>
      </w:pPr>
      <w:r w:rsidRPr="00E807EB">
        <w:rPr>
          <w:rStyle w:val="FootnoteReference"/>
          <w:rFonts w:asciiTheme="minorHAnsi" w:hAnsiTheme="minorHAnsi" w:cstheme="minorHAnsi"/>
        </w:rPr>
        <w:footnoteRef/>
      </w:r>
      <w:r w:rsidRPr="00E807EB">
        <w:rPr>
          <w:rFonts w:asciiTheme="minorHAnsi" w:hAnsiTheme="minorHAnsi" w:cstheme="minorHAnsi"/>
        </w:rPr>
        <w:t xml:space="preserve"> P.270 – All LACs use practices such as those </w:t>
      </w:r>
      <w:r>
        <w:rPr>
          <w:rFonts w:asciiTheme="minorHAnsi" w:hAnsiTheme="minorHAnsi" w:cstheme="minorHAnsi"/>
        </w:rPr>
        <w:t xml:space="preserve">LANSW practices described in the draft report. </w:t>
      </w:r>
    </w:p>
  </w:footnote>
  <w:footnote w:id="20">
    <w:p w:rsidR="00DF7BAA" w:rsidRPr="00E807EB" w:rsidRDefault="00DF7BAA" w:rsidP="00EE10FF">
      <w:pPr>
        <w:pStyle w:val="FootnoteText"/>
        <w:rPr>
          <w:rFonts w:asciiTheme="minorHAnsi" w:hAnsiTheme="minorHAnsi" w:cstheme="minorHAnsi"/>
          <w:lang w:val="en-US"/>
        </w:rPr>
      </w:pPr>
      <w:r w:rsidRPr="00E807EB">
        <w:rPr>
          <w:rStyle w:val="FootnoteReference"/>
          <w:rFonts w:asciiTheme="minorHAnsi" w:hAnsiTheme="minorHAnsi" w:cstheme="minorHAnsi"/>
        </w:rPr>
        <w:footnoteRef/>
      </w:r>
      <w:r w:rsidRPr="00E807EB">
        <w:rPr>
          <w:rFonts w:asciiTheme="minorHAnsi" w:hAnsiTheme="minorHAnsi" w:cstheme="minorHAnsi"/>
        </w:rPr>
        <w:t xml:space="preserve"> </w:t>
      </w:r>
      <w:r w:rsidRPr="00E807EB">
        <w:rPr>
          <w:rFonts w:asciiTheme="minorHAnsi" w:hAnsiTheme="minorHAnsi" w:cstheme="minorHAnsi"/>
          <w:lang w:val="en-US"/>
        </w:rPr>
        <w:t>P.255</w:t>
      </w:r>
    </w:p>
  </w:footnote>
  <w:footnote w:id="21">
    <w:p w:rsidR="00DF7BAA" w:rsidRPr="00672D35" w:rsidRDefault="00DF7BAA" w:rsidP="00845083">
      <w:pPr>
        <w:pStyle w:val="FootnoteText"/>
        <w:rPr>
          <w:rFonts w:asciiTheme="minorHAnsi" w:hAnsiTheme="minorHAnsi" w:cstheme="minorHAnsi"/>
          <w:sz w:val="22"/>
          <w:szCs w:val="22"/>
        </w:rPr>
      </w:pPr>
      <w:r w:rsidRPr="00672D35">
        <w:rPr>
          <w:rStyle w:val="FootnoteReference"/>
          <w:rFonts w:asciiTheme="minorHAnsi" w:hAnsiTheme="minorHAnsi" w:cstheme="minorHAnsi"/>
          <w:sz w:val="22"/>
          <w:szCs w:val="22"/>
        </w:rPr>
        <w:footnoteRef/>
      </w:r>
      <w:r w:rsidRPr="00672D35">
        <w:rPr>
          <w:rFonts w:asciiTheme="minorHAnsi" w:hAnsiTheme="minorHAnsi" w:cstheme="minorHAnsi"/>
          <w:sz w:val="22"/>
          <w:szCs w:val="22"/>
        </w:rPr>
        <w:t xml:space="preserve"> P.ix Economic value of legal aid, Analysis in relation to Commonwealth funded matters with a focus on family law, National Legal Aid, 2009</w:t>
      </w:r>
    </w:p>
  </w:footnote>
  <w:footnote w:id="22">
    <w:p w:rsidR="00DF7BAA" w:rsidRPr="0046460D" w:rsidRDefault="00DF7BAA">
      <w:pPr>
        <w:pStyle w:val="FootnoteText"/>
        <w:rPr>
          <w:lang w:val="en-US"/>
        </w:rPr>
      </w:pPr>
      <w:r w:rsidRPr="00672D35">
        <w:rPr>
          <w:rStyle w:val="FootnoteReference"/>
          <w:rFonts w:asciiTheme="minorHAnsi" w:hAnsiTheme="minorHAnsi" w:cstheme="minorHAnsi"/>
          <w:sz w:val="22"/>
          <w:szCs w:val="22"/>
        </w:rPr>
        <w:footnoteRef/>
      </w:r>
      <w:r w:rsidRPr="00672D35">
        <w:rPr>
          <w:rFonts w:asciiTheme="minorHAnsi" w:hAnsiTheme="minorHAnsi" w:cstheme="minorHAnsi"/>
          <w:sz w:val="22"/>
          <w:szCs w:val="22"/>
        </w:rPr>
        <w:t xml:space="preserve"> p. 273</w:t>
      </w:r>
      <w:r>
        <w:rPr>
          <w:rFonts w:ascii="Calibri" w:hAnsi="Calibri" w:cs="Calibri"/>
          <w:i/>
          <w:sz w:val="22"/>
          <w:szCs w:val="22"/>
        </w:rPr>
        <w:t xml:space="preserve"> </w:t>
      </w:r>
    </w:p>
  </w:footnote>
  <w:footnote w:id="23">
    <w:p w:rsidR="00DF7BAA" w:rsidRPr="00163328" w:rsidRDefault="00DF7BAA">
      <w:pPr>
        <w:pStyle w:val="FootnoteText"/>
        <w:rPr>
          <w:rFonts w:asciiTheme="minorHAnsi" w:hAnsiTheme="minorHAnsi"/>
          <w:lang w:val="en-US"/>
        </w:rPr>
      </w:pPr>
      <w:r w:rsidRPr="00163328">
        <w:rPr>
          <w:rStyle w:val="FootnoteReference"/>
          <w:rFonts w:asciiTheme="minorHAnsi" w:hAnsiTheme="minorHAnsi"/>
        </w:rPr>
        <w:footnoteRef/>
      </w:r>
      <w:r w:rsidRPr="00163328">
        <w:rPr>
          <w:rFonts w:asciiTheme="minorHAnsi" w:hAnsiTheme="minorHAnsi"/>
        </w:rPr>
        <w:t xml:space="preserve"> </w:t>
      </w:r>
      <w:r w:rsidRPr="00163328">
        <w:rPr>
          <w:rFonts w:asciiTheme="minorHAnsi" w:hAnsiTheme="minorHAnsi"/>
          <w:lang w:val="en-US"/>
        </w:rPr>
        <w:t>NLA proposal to AGD 31 Aug 2012</w:t>
      </w:r>
    </w:p>
  </w:footnote>
  <w:footnote w:id="24">
    <w:p w:rsidR="00DF7BAA" w:rsidRDefault="00DF7BAA">
      <w:pPr>
        <w:pStyle w:val="FootnoteText"/>
      </w:pPr>
      <w:r>
        <w:rPr>
          <w:rStyle w:val="FootnoteReference"/>
        </w:rPr>
        <w:footnoteRef/>
      </w:r>
      <w:r>
        <w:t xml:space="preserve"> </w:t>
      </w:r>
      <w:r w:rsidRPr="0070760B">
        <w:t>bot</w:t>
      </w:r>
      <w:r>
        <w:t>h lawyers and social scientists</w:t>
      </w:r>
    </w:p>
  </w:footnote>
  <w:footnote w:id="25">
    <w:p w:rsidR="00DF7BAA" w:rsidRDefault="00DF7BAA">
      <w:pPr>
        <w:pStyle w:val="FootnoteText"/>
      </w:pPr>
      <w:r>
        <w:rPr>
          <w:rStyle w:val="FootnoteReference"/>
        </w:rPr>
        <w:footnoteRef/>
      </w:r>
      <w:r>
        <w:t xml:space="preserve"> Requirements have changed over time</w:t>
      </w:r>
    </w:p>
  </w:footnote>
  <w:footnote w:id="26">
    <w:p w:rsidR="00DF7BAA" w:rsidRPr="003222A5" w:rsidRDefault="00DF7BAA">
      <w:pPr>
        <w:pStyle w:val="FootnoteText"/>
        <w:rPr>
          <w:rFonts w:asciiTheme="minorHAnsi" w:hAnsiTheme="minorHAnsi" w:cstheme="minorHAnsi"/>
          <w:lang w:val="en-US"/>
        </w:rPr>
      </w:pPr>
      <w:r w:rsidRPr="003222A5">
        <w:rPr>
          <w:rStyle w:val="FootnoteReference"/>
          <w:rFonts w:asciiTheme="minorHAnsi" w:hAnsiTheme="minorHAnsi" w:cstheme="minorHAnsi"/>
        </w:rPr>
        <w:footnoteRef/>
      </w:r>
      <w:r w:rsidRPr="003222A5">
        <w:rPr>
          <w:rFonts w:asciiTheme="minorHAnsi" w:hAnsiTheme="minorHAnsi" w:cstheme="minorHAnsi"/>
        </w:rPr>
        <w:t xml:space="preserve"> </w:t>
      </w:r>
      <w:r>
        <w:rPr>
          <w:rFonts w:asciiTheme="minorHAnsi" w:hAnsiTheme="minorHAnsi" w:cstheme="minorHAnsi"/>
          <w:lang w:val="en-US"/>
        </w:rPr>
        <w:t>P.445</w:t>
      </w:r>
    </w:p>
  </w:footnote>
  <w:footnote w:id="27">
    <w:p w:rsidR="00DF7BAA" w:rsidRPr="00487D28" w:rsidRDefault="00DF7BAA">
      <w:pPr>
        <w:pStyle w:val="FootnoteText"/>
        <w:rPr>
          <w:lang w:val="en-US"/>
        </w:rPr>
      </w:pPr>
      <w:r w:rsidRPr="003222A5">
        <w:rPr>
          <w:rStyle w:val="FootnoteReference"/>
          <w:rFonts w:asciiTheme="minorHAnsi" w:hAnsiTheme="minorHAnsi" w:cstheme="minorHAnsi"/>
        </w:rPr>
        <w:footnoteRef/>
      </w:r>
      <w:r w:rsidRPr="003222A5">
        <w:rPr>
          <w:rFonts w:asciiTheme="minorHAnsi" w:hAnsiTheme="minorHAnsi" w:cstheme="minorHAnsi"/>
        </w:rPr>
        <w:t xml:space="preserve"> </w:t>
      </w:r>
      <w:r w:rsidRPr="003222A5">
        <w:rPr>
          <w:rFonts w:asciiTheme="minorHAnsi" w:hAnsiTheme="minorHAnsi" w:cstheme="minorHAnsi"/>
          <w:lang w:val="en-US"/>
        </w:rPr>
        <w:t>P. iv</w:t>
      </w:r>
      <w:r>
        <w:rPr>
          <w:lang w:val="en-US"/>
        </w:rPr>
        <w:t xml:space="preserve"> </w:t>
      </w:r>
    </w:p>
  </w:footnote>
  <w:footnote w:id="28">
    <w:p w:rsidR="00DF7BAA" w:rsidRPr="006E3AFB" w:rsidRDefault="00DF7BAA">
      <w:pPr>
        <w:pStyle w:val="FootnoteText"/>
        <w:rPr>
          <w:lang w:val="en-US"/>
        </w:rPr>
      </w:pPr>
      <w:r w:rsidRPr="00163328">
        <w:rPr>
          <w:rStyle w:val="FootnoteReference"/>
          <w:rFonts w:asciiTheme="minorHAnsi" w:hAnsiTheme="minorHAnsi"/>
        </w:rPr>
        <w:footnoteRef/>
      </w:r>
      <w:r w:rsidRPr="00163328">
        <w:rPr>
          <w:rFonts w:asciiTheme="minorHAnsi" w:hAnsiTheme="minorHAnsi"/>
        </w:rPr>
        <w:t xml:space="preserve"> </w:t>
      </w:r>
      <w:r w:rsidRPr="00163328">
        <w:rPr>
          <w:rFonts w:asciiTheme="minorHAnsi" w:hAnsiTheme="minorHAnsi"/>
          <w:lang w:val="en-US"/>
        </w:rPr>
        <w:t>P.450</w:t>
      </w:r>
    </w:p>
  </w:footnote>
  <w:footnote w:id="29">
    <w:p w:rsidR="00DF7BAA" w:rsidRPr="0070760B" w:rsidRDefault="00DF7BAA">
      <w:pPr>
        <w:pStyle w:val="FootnoteText"/>
        <w:rPr>
          <w:rFonts w:ascii="Calibri" w:hAnsi="Calibri" w:cs="Calibri"/>
          <w:lang w:val="en-US"/>
        </w:rPr>
      </w:pPr>
      <w:r w:rsidRPr="0070760B">
        <w:rPr>
          <w:rStyle w:val="FootnoteReference"/>
          <w:rFonts w:ascii="Calibri" w:hAnsi="Calibri" w:cs="Calibri"/>
        </w:rPr>
        <w:footnoteRef/>
      </w:r>
      <w:r w:rsidRPr="0070760B">
        <w:rPr>
          <w:rFonts w:ascii="Calibri" w:hAnsi="Calibri" w:cs="Calibri"/>
        </w:rPr>
        <w:t xml:space="preserve"> </w:t>
      </w:r>
      <w:r w:rsidRPr="0070760B">
        <w:rPr>
          <w:rFonts w:ascii="Calibri" w:hAnsi="Calibri" w:cs="Calibri"/>
          <w:lang w:val="en-US"/>
        </w:rPr>
        <w:t>P.568</w:t>
      </w:r>
    </w:p>
  </w:footnote>
  <w:footnote w:id="30">
    <w:p w:rsidR="00DF7BAA" w:rsidRPr="0070760B" w:rsidRDefault="00DF7BAA">
      <w:pPr>
        <w:pStyle w:val="FootnoteText"/>
        <w:rPr>
          <w:rFonts w:ascii="Calibri" w:hAnsi="Calibri" w:cs="Calibri"/>
          <w:lang w:val="en-US"/>
        </w:rPr>
      </w:pPr>
      <w:r w:rsidRPr="0070760B">
        <w:rPr>
          <w:rStyle w:val="FootnoteReference"/>
          <w:rFonts w:ascii="Calibri" w:hAnsi="Calibri" w:cs="Calibri"/>
        </w:rPr>
        <w:footnoteRef/>
      </w:r>
      <w:r w:rsidRPr="0070760B">
        <w:rPr>
          <w:rFonts w:ascii="Calibri" w:hAnsi="Calibri" w:cs="Calibri"/>
        </w:rPr>
        <w:t xml:space="preserve"> </w:t>
      </w:r>
      <w:r w:rsidRPr="0070760B">
        <w:rPr>
          <w:rFonts w:ascii="Calibri" w:hAnsi="Calibri" w:cs="Calibri"/>
          <w:lang w:val="en-US"/>
        </w:rPr>
        <w:t>P.569</w:t>
      </w:r>
    </w:p>
  </w:footnote>
  <w:footnote w:id="31">
    <w:p w:rsidR="00DF7BAA" w:rsidRPr="0070760B" w:rsidRDefault="00DF7BAA">
      <w:pPr>
        <w:pStyle w:val="FootnoteText"/>
        <w:rPr>
          <w:rFonts w:ascii="Calibri" w:hAnsi="Calibri" w:cs="Calibri"/>
          <w:lang w:val="en-US"/>
        </w:rPr>
      </w:pPr>
      <w:r w:rsidRPr="0070760B">
        <w:rPr>
          <w:rStyle w:val="FootnoteReference"/>
          <w:rFonts w:ascii="Calibri" w:hAnsi="Calibri" w:cs="Calibri"/>
        </w:rPr>
        <w:footnoteRef/>
      </w:r>
      <w:r w:rsidRPr="0070760B">
        <w:rPr>
          <w:rFonts w:ascii="Calibri" w:hAnsi="Calibri" w:cs="Calibri"/>
        </w:rPr>
        <w:t xml:space="preserve"> </w:t>
      </w:r>
      <w:r w:rsidRPr="0070760B">
        <w:rPr>
          <w:rFonts w:ascii="Calibri" w:hAnsi="Calibri" w:cs="Calibri"/>
          <w:lang w:val="en-US"/>
        </w:rPr>
        <w:t>P.568</w:t>
      </w:r>
    </w:p>
  </w:footnote>
  <w:footnote w:id="32">
    <w:p w:rsidR="00DF7BAA" w:rsidRPr="0070760B" w:rsidRDefault="00DF7BAA">
      <w:pPr>
        <w:pStyle w:val="FootnoteText"/>
        <w:rPr>
          <w:rFonts w:ascii="Calibri" w:hAnsi="Calibri" w:cs="Calibri"/>
        </w:rPr>
      </w:pPr>
      <w:r w:rsidRPr="0070760B">
        <w:rPr>
          <w:rStyle w:val="FootnoteReference"/>
          <w:rFonts w:ascii="Calibri" w:hAnsi="Calibri" w:cs="Calibri"/>
        </w:rPr>
        <w:footnoteRef/>
      </w:r>
      <w:r>
        <w:rPr>
          <w:rFonts w:ascii="Calibri" w:hAnsi="Calibri" w:cs="Calibri"/>
        </w:rPr>
        <w:t xml:space="preserve"> A</w:t>
      </w:r>
      <w:r w:rsidRPr="0070760B">
        <w:rPr>
          <w:rFonts w:ascii="Calibri" w:hAnsi="Calibri" w:cs="Calibri"/>
        </w:rPr>
        <w:t>s provided for by the National Partnership Agreement on Legal Assistance Services, Schedule B “PRINCIPLES FOR ASSESSING ELIGIBILITY FOR A GRANT OF LEGAL AID”, sets out the basis for assessing financial eligibility for a grant of legal aid by legal aid commissions.</w:t>
      </w:r>
    </w:p>
  </w:footnote>
  <w:footnote w:id="33">
    <w:p w:rsidR="00DF7BAA" w:rsidRPr="0070760B" w:rsidRDefault="00DF7BAA">
      <w:pPr>
        <w:pStyle w:val="FootnoteText"/>
        <w:rPr>
          <w:rFonts w:ascii="Calibri" w:hAnsi="Calibri" w:cs="Calibri"/>
          <w:lang w:val="en-US"/>
        </w:rPr>
      </w:pPr>
      <w:r w:rsidRPr="0070760B">
        <w:rPr>
          <w:rStyle w:val="FootnoteReference"/>
          <w:rFonts w:ascii="Calibri" w:hAnsi="Calibri" w:cs="Calibri"/>
        </w:rPr>
        <w:footnoteRef/>
      </w:r>
      <w:r w:rsidRPr="0070760B">
        <w:rPr>
          <w:rFonts w:ascii="Calibri" w:hAnsi="Calibri" w:cs="Calibri"/>
        </w:rPr>
        <w:t xml:space="preserve"> </w:t>
      </w:r>
      <w:r w:rsidRPr="0070760B">
        <w:rPr>
          <w:rFonts w:ascii="Calibri" w:hAnsi="Calibri" w:cs="Calibri"/>
          <w:lang w:val="en-US"/>
        </w:rPr>
        <w:t>P.555</w:t>
      </w:r>
    </w:p>
  </w:footnote>
  <w:footnote w:id="34">
    <w:p w:rsidR="00DF7BAA" w:rsidRPr="0070760B" w:rsidRDefault="00DF7BAA">
      <w:pPr>
        <w:pStyle w:val="FootnoteText"/>
        <w:rPr>
          <w:rFonts w:ascii="Calibri" w:hAnsi="Calibri" w:cs="Calibri"/>
          <w:lang w:val="en-US"/>
        </w:rPr>
      </w:pPr>
      <w:r w:rsidRPr="0070760B">
        <w:rPr>
          <w:rStyle w:val="FootnoteReference"/>
          <w:rFonts w:ascii="Calibri" w:hAnsi="Calibri" w:cs="Calibri"/>
        </w:rPr>
        <w:footnoteRef/>
      </w:r>
      <w:r w:rsidRPr="0070760B">
        <w:rPr>
          <w:rFonts w:ascii="Calibri" w:hAnsi="Calibri" w:cs="Calibri"/>
        </w:rPr>
        <w:t xml:space="preserve"> </w:t>
      </w:r>
      <w:r w:rsidRPr="0070760B">
        <w:rPr>
          <w:rFonts w:ascii="Calibri" w:hAnsi="Calibri" w:cs="Calibri"/>
          <w:lang w:val="en-US"/>
        </w:rPr>
        <w:t>P.177</w:t>
      </w:r>
    </w:p>
  </w:footnote>
  <w:footnote w:id="35">
    <w:p w:rsidR="00DF7BAA" w:rsidRPr="00163328" w:rsidRDefault="00DF7BAA" w:rsidP="00163328">
      <w:pPr>
        <w:rPr>
          <w:rFonts w:ascii="Calibri" w:hAnsi="Calibri" w:cs="Calibri"/>
          <w:sz w:val="20"/>
        </w:rPr>
      </w:pPr>
      <w:r w:rsidRPr="0070760B">
        <w:rPr>
          <w:rStyle w:val="FootnoteReference"/>
          <w:rFonts w:ascii="Calibri" w:hAnsi="Calibri" w:cs="Calibri"/>
          <w:sz w:val="20"/>
        </w:rPr>
        <w:footnoteRef/>
      </w:r>
      <w:r>
        <w:rPr>
          <w:rFonts w:ascii="Calibri" w:hAnsi="Calibri" w:cs="Calibri"/>
          <w:sz w:val="20"/>
        </w:rPr>
        <w:t xml:space="preserve"> E.gs. </w:t>
      </w:r>
      <w:r w:rsidRPr="00163328">
        <w:rPr>
          <w:rFonts w:ascii="Calibri" w:hAnsi="Calibri" w:cs="Calibri"/>
          <w:sz w:val="20"/>
        </w:rPr>
        <w:t xml:space="preserve">Chapter 19 </w:t>
      </w:r>
      <w:r>
        <w:rPr>
          <w:rFonts w:ascii="Calibri" w:hAnsi="Calibri" w:cs="Calibri"/>
          <w:sz w:val="20"/>
        </w:rPr>
        <w:t xml:space="preserve">suggests </w:t>
      </w:r>
      <w:r w:rsidRPr="00163328">
        <w:rPr>
          <w:rFonts w:ascii="Calibri" w:hAnsi="Calibri" w:cs="Calibri"/>
          <w:sz w:val="20"/>
        </w:rPr>
        <w:t>that general counselling is a form of unbundled legal assistance.</w:t>
      </w:r>
      <w:r>
        <w:rPr>
          <w:rFonts w:ascii="Calibri" w:hAnsi="Calibri" w:cs="Calibri"/>
          <w:sz w:val="20"/>
        </w:rPr>
        <w:t xml:space="preserve"> </w:t>
      </w:r>
      <w:r w:rsidRPr="00163328">
        <w:rPr>
          <w:rFonts w:ascii="Calibri" w:hAnsi="Calibri" w:cs="Calibri"/>
          <w:sz w:val="20"/>
        </w:rPr>
        <w:t xml:space="preserve"> Whilst some legal assistance service providers might offer general counselling, it is suggested that it would be helpful to describe this counselling in a way that did not suggest it was a form of legal assistance, or if it is</w:t>
      </w:r>
      <w:r w:rsidRPr="00E90FE9">
        <w:rPr>
          <w:rFonts w:asciiTheme="minorHAnsi" w:hAnsiTheme="minorHAnsi"/>
          <w:sz w:val="22"/>
          <w:szCs w:val="22"/>
        </w:rPr>
        <w:t xml:space="preserve"> being suggested that it is</w:t>
      </w:r>
      <w:r>
        <w:rPr>
          <w:rFonts w:asciiTheme="minorHAnsi" w:hAnsiTheme="minorHAnsi"/>
          <w:sz w:val="22"/>
          <w:szCs w:val="22"/>
        </w:rPr>
        <w:t xml:space="preserve"> in fact </w:t>
      </w:r>
      <w:r w:rsidRPr="00E90FE9">
        <w:rPr>
          <w:rFonts w:asciiTheme="minorHAnsi" w:hAnsiTheme="minorHAnsi"/>
          <w:sz w:val="22"/>
          <w:szCs w:val="22"/>
        </w:rPr>
        <w:t xml:space="preserve">a form </w:t>
      </w:r>
      <w:r w:rsidRPr="00163328">
        <w:rPr>
          <w:rFonts w:ascii="Calibri" w:hAnsi="Calibri" w:cs="Calibri"/>
          <w:sz w:val="20"/>
        </w:rPr>
        <w:t xml:space="preserve">of legal assistance, then for the service to be defined so that there is a common understanding of what it entails. </w:t>
      </w:r>
      <w:r>
        <w:rPr>
          <w:rFonts w:ascii="Calibri" w:hAnsi="Calibri" w:cs="Calibri"/>
          <w:sz w:val="20"/>
        </w:rPr>
        <w:t xml:space="preserve"> At P.163, the current wording of the first paragraph might be understood to be suggesting that clerical staff of LANSW are responsible for providing legal advice which is not the case.</w:t>
      </w:r>
    </w:p>
    <w:p w:rsidR="00DF7BAA" w:rsidRPr="0070760B" w:rsidRDefault="00DF7BAA">
      <w:pPr>
        <w:pStyle w:val="FootnoteText"/>
        <w:rPr>
          <w:rFonts w:ascii="Calibri" w:hAnsi="Calibri" w:cs="Calibri"/>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BAA" w:rsidRDefault="00DF7B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F7BAA" w:rsidRDefault="00DF7B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BAA" w:rsidRDefault="00DF7B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E66E4">
      <w:rPr>
        <w:rStyle w:val="PageNumber"/>
        <w:noProof/>
      </w:rPr>
      <w:t>25</w:t>
    </w:r>
    <w:r>
      <w:rPr>
        <w:rStyle w:val="PageNumber"/>
      </w:rPr>
      <w:fldChar w:fldCharType="end"/>
    </w:r>
  </w:p>
  <w:p w:rsidR="00DF7BAA" w:rsidRDefault="00DF7B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E68781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6442F9"/>
    <w:multiLevelType w:val="hybridMultilevel"/>
    <w:tmpl w:val="1C8A3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B8B76D5"/>
    <w:multiLevelType w:val="hybridMultilevel"/>
    <w:tmpl w:val="42C851BA"/>
    <w:lvl w:ilvl="0" w:tplc="E0F81DC8">
      <w:start w:val="1"/>
      <w:numFmt w:val="bullet"/>
      <w:lvlText w:val=""/>
      <w:lvlJc w:val="left"/>
      <w:pPr>
        <w:tabs>
          <w:tab w:val="num" w:pos="567"/>
        </w:tabs>
        <w:ind w:left="567" w:hanging="207"/>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D342BAC"/>
    <w:multiLevelType w:val="hybridMultilevel"/>
    <w:tmpl w:val="1E60A9E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nsid w:val="11BC0CA5"/>
    <w:multiLevelType w:val="hybridMultilevel"/>
    <w:tmpl w:val="A252C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74A21EA"/>
    <w:multiLevelType w:val="hybridMultilevel"/>
    <w:tmpl w:val="9E86E1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8C32320"/>
    <w:multiLevelType w:val="hybridMultilevel"/>
    <w:tmpl w:val="7A1CE8C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nsid w:val="195040A2"/>
    <w:multiLevelType w:val="hybridMultilevel"/>
    <w:tmpl w:val="7868BAA2"/>
    <w:lvl w:ilvl="0" w:tplc="0C090001">
      <w:start w:val="1"/>
      <w:numFmt w:val="bullet"/>
      <w:lvlText w:val=""/>
      <w:lvlJc w:val="left"/>
      <w:pPr>
        <w:tabs>
          <w:tab w:val="num" w:pos="927"/>
        </w:tabs>
        <w:ind w:left="927"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196E4357"/>
    <w:multiLevelType w:val="hybridMultilevel"/>
    <w:tmpl w:val="3EEEA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DF4DCE"/>
    <w:multiLevelType w:val="hybridMultilevel"/>
    <w:tmpl w:val="40D80A22"/>
    <w:lvl w:ilvl="0" w:tplc="385EDEE0">
      <w:start w:val="1"/>
      <w:numFmt w:val="bullet"/>
      <w:lvlText w:val=""/>
      <w:lvlJc w:val="left"/>
      <w:pPr>
        <w:tabs>
          <w:tab w:val="num" w:pos="357"/>
        </w:tabs>
        <w:ind w:left="567" w:hanging="207"/>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28167CE3"/>
    <w:multiLevelType w:val="hybridMultilevel"/>
    <w:tmpl w:val="BF4A1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B5936FA"/>
    <w:multiLevelType w:val="hybridMultilevel"/>
    <w:tmpl w:val="AA46CA1A"/>
    <w:lvl w:ilvl="0" w:tplc="88304196">
      <w:start w:val="1"/>
      <w:numFmt w:val="bullet"/>
      <w:lvlText w:val=""/>
      <w:lvlJc w:val="left"/>
      <w:pPr>
        <w:tabs>
          <w:tab w:val="num" w:pos="-284"/>
        </w:tabs>
        <w:ind w:left="284" w:hanging="284"/>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2D751668"/>
    <w:multiLevelType w:val="hybridMultilevel"/>
    <w:tmpl w:val="904A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E0175E"/>
    <w:multiLevelType w:val="hybridMultilevel"/>
    <w:tmpl w:val="5F665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73456A9"/>
    <w:multiLevelType w:val="hybridMultilevel"/>
    <w:tmpl w:val="CD8AB5AE"/>
    <w:lvl w:ilvl="0" w:tplc="88304196">
      <w:start w:val="1"/>
      <w:numFmt w:val="bullet"/>
      <w:lvlText w:val=""/>
      <w:lvlJc w:val="left"/>
      <w:pPr>
        <w:tabs>
          <w:tab w:val="num" w:pos="283"/>
        </w:tabs>
        <w:ind w:left="851" w:hanging="284"/>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477B766E"/>
    <w:multiLevelType w:val="multilevel"/>
    <w:tmpl w:val="CD8AB5AE"/>
    <w:lvl w:ilvl="0">
      <w:start w:val="1"/>
      <w:numFmt w:val="bullet"/>
      <w:lvlText w:val=""/>
      <w:lvlJc w:val="left"/>
      <w:pPr>
        <w:tabs>
          <w:tab w:val="num" w:pos="283"/>
        </w:tabs>
        <w:ind w:left="851" w:hanging="284"/>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35A5F6A"/>
    <w:multiLevelType w:val="hybridMultilevel"/>
    <w:tmpl w:val="507AA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382D6E"/>
    <w:multiLevelType w:val="singleLevel"/>
    <w:tmpl w:val="315ABD1E"/>
    <w:lvl w:ilvl="0">
      <w:numFmt w:val="bullet"/>
      <w:lvlText w:val=""/>
      <w:lvlJc w:val="left"/>
      <w:pPr>
        <w:tabs>
          <w:tab w:val="num" w:pos="340"/>
        </w:tabs>
        <w:ind w:left="340" w:hanging="340"/>
      </w:pPr>
      <w:rPr>
        <w:rFonts w:ascii="Symbol" w:hAnsi="Symbol" w:hint="default"/>
        <w:sz w:val="18"/>
      </w:rPr>
    </w:lvl>
  </w:abstractNum>
  <w:abstractNum w:abstractNumId="19">
    <w:nsid w:val="5D15378F"/>
    <w:multiLevelType w:val="hybridMultilevel"/>
    <w:tmpl w:val="532C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1A3FEE"/>
    <w:multiLevelType w:val="multilevel"/>
    <w:tmpl w:val="AA46CA1A"/>
    <w:lvl w:ilvl="0">
      <w:start w:val="1"/>
      <w:numFmt w:val="bullet"/>
      <w:lvlText w:val=""/>
      <w:lvlJc w:val="left"/>
      <w:pPr>
        <w:tabs>
          <w:tab w:val="num" w:pos="-284"/>
        </w:tabs>
        <w:ind w:left="284" w:hanging="284"/>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6B5C7237"/>
    <w:multiLevelType w:val="multilevel"/>
    <w:tmpl w:val="40D80A22"/>
    <w:lvl w:ilvl="0">
      <w:start w:val="1"/>
      <w:numFmt w:val="bullet"/>
      <w:lvlText w:val=""/>
      <w:lvlJc w:val="left"/>
      <w:pPr>
        <w:tabs>
          <w:tab w:val="num" w:pos="357"/>
        </w:tabs>
        <w:ind w:left="567" w:hanging="207"/>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6E9E0125"/>
    <w:multiLevelType w:val="hybridMultilevel"/>
    <w:tmpl w:val="3B00BC08"/>
    <w:lvl w:ilvl="0" w:tplc="EF900CC6">
      <w:start w:val="1"/>
      <w:numFmt w:val="bullet"/>
      <w:lvlText w:val=""/>
      <w:lvlJc w:val="left"/>
      <w:pPr>
        <w:tabs>
          <w:tab w:val="num" w:pos="357"/>
        </w:tabs>
        <w:ind w:left="0" w:firstLine="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6F847307"/>
    <w:multiLevelType w:val="multilevel"/>
    <w:tmpl w:val="3B00BC08"/>
    <w:lvl w:ilvl="0">
      <w:start w:val="1"/>
      <w:numFmt w:val="bullet"/>
      <w:lvlText w:val=""/>
      <w:lvlJc w:val="left"/>
      <w:pPr>
        <w:tabs>
          <w:tab w:val="num" w:pos="357"/>
        </w:tabs>
        <w:ind w:left="0" w:firstLine="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0"/>
  </w:num>
  <w:num w:numId="2">
    <w:abstractNumId w:val="9"/>
  </w:num>
  <w:num w:numId="3">
    <w:abstractNumId w:val="21"/>
  </w:num>
  <w:num w:numId="4">
    <w:abstractNumId w:val="2"/>
  </w:num>
  <w:num w:numId="5">
    <w:abstractNumId w:val="22"/>
  </w:num>
  <w:num w:numId="6">
    <w:abstractNumId w:val="23"/>
  </w:num>
  <w:num w:numId="7">
    <w:abstractNumId w:val="11"/>
  </w:num>
  <w:num w:numId="8">
    <w:abstractNumId w:val="20"/>
  </w:num>
  <w:num w:numId="9">
    <w:abstractNumId w:val="14"/>
  </w:num>
  <w:num w:numId="10">
    <w:abstractNumId w:val="15"/>
  </w:num>
  <w:num w:numId="11">
    <w:abstractNumId w:val="7"/>
  </w:num>
  <w:num w:numId="12">
    <w:abstractNumId w:val="18"/>
  </w:num>
  <w:num w:numId="13">
    <w:abstractNumId w:val="24"/>
  </w:num>
  <w:num w:numId="14">
    <w:abstractNumId w:val="16"/>
  </w:num>
  <w:num w:numId="15">
    <w:abstractNumId w:val="24"/>
  </w:num>
  <w:num w:numId="16">
    <w:abstractNumId w:val="24"/>
  </w:num>
  <w:num w:numId="17">
    <w:abstractNumId w:val="24"/>
  </w:num>
  <w:num w:numId="18">
    <w:abstractNumId w:val="24"/>
  </w:num>
  <w:num w:numId="19">
    <w:abstractNumId w:val="24"/>
  </w:num>
  <w:num w:numId="20">
    <w:abstractNumId w:val="24"/>
  </w:num>
  <w:num w:numId="21">
    <w:abstractNumId w:val="24"/>
  </w:num>
  <w:num w:numId="22">
    <w:abstractNumId w:val="24"/>
  </w:num>
  <w:num w:numId="23">
    <w:abstractNumId w:val="24"/>
  </w:num>
  <w:num w:numId="24">
    <w:abstractNumId w:val="24"/>
  </w:num>
  <w:num w:numId="25">
    <w:abstractNumId w:val="24"/>
  </w:num>
  <w:num w:numId="26">
    <w:abstractNumId w:val="24"/>
  </w:num>
  <w:num w:numId="27">
    <w:abstractNumId w:val="24"/>
  </w:num>
  <w:num w:numId="28">
    <w:abstractNumId w:val="24"/>
  </w:num>
  <w:num w:numId="29">
    <w:abstractNumId w:val="16"/>
  </w:num>
  <w:num w:numId="30">
    <w:abstractNumId w:val="24"/>
  </w:num>
  <w:num w:numId="31">
    <w:abstractNumId w:val="24"/>
  </w:num>
  <w:num w:numId="32">
    <w:abstractNumId w:val="24"/>
  </w:num>
  <w:num w:numId="33">
    <w:abstractNumId w:val="24"/>
  </w:num>
  <w:num w:numId="34">
    <w:abstractNumId w:val="16"/>
  </w:num>
  <w:num w:numId="35">
    <w:abstractNumId w:val="16"/>
  </w:num>
  <w:num w:numId="36">
    <w:abstractNumId w:val="24"/>
  </w:num>
  <w:num w:numId="37">
    <w:abstractNumId w:val="24"/>
  </w:num>
  <w:num w:numId="38">
    <w:abstractNumId w:val="24"/>
  </w:num>
  <w:num w:numId="39">
    <w:abstractNumId w:val="24"/>
  </w:num>
  <w:num w:numId="40">
    <w:abstractNumId w:val="24"/>
  </w:num>
  <w:num w:numId="41">
    <w:abstractNumId w:val="5"/>
  </w:num>
  <w:num w:numId="42">
    <w:abstractNumId w:val="10"/>
  </w:num>
  <w:num w:numId="43">
    <w:abstractNumId w:val="4"/>
  </w:num>
  <w:num w:numId="44">
    <w:abstractNumId w:val="1"/>
  </w:num>
  <w:num w:numId="45">
    <w:abstractNumId w:val="13"/>
  </w:num>
  <w:num w:numId="46">
    <w:abstractNumId w:val="19"/>
  </w:num>
  <w:num w:numId="47">
    <w:abstractNumId w:val="12"/>
  </w:num>
  <w:num w:numId="48">
    <w:abstractNumId w:val="8"/>
  </w:num>
  <w:num w:numId="49">
    <w:abstractNumId w:val="17"/>
  </w:num>
  <w:num w:numId="50">
    <w:abstractNumId w:val="6"/>
  </w:num>
  <w:num w:numId="51">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E21"/>
    <w:rsid w:val="0000099F"/>
    <w:rsid w:val="000023AA"/>
    <w:rsid w:val="00004567"/>
    <w:rsid w:val="00005BB4"/>
    <w:rsid w:val="0000627C"/>
    <w:rsid w:val="00006793"/>
    <w:rsid w:val="00006FF8"/>
    <w:rsid w:val="0000760C"/>
    <w:rsid w:val="0001071F"/>
    <w:rsid w:val="00011399"/>
    <w:rsid w:val="0001145D"/>
    <w:rsid w:val="00013CF0"/>
    <w:rsid w:val="00015F54"/>
    <w:rsid w:val="00016DC4"/>
    <w:rsid w:val="00017C26"/>
    <w:rsid w:val="00020114"/>
    <w:rsid w:val="0002077F"/>
    <w:rsid w:val="0002170D"/>
    <w:rsid w:val="00022B20"/>
    <w:rsid w:val="00022DAA"/>
    <w:rsid w:val="00023A7A"/>
    <w:rsid w:val="00024C8A"/>
    <w:rsid w:val="00024F4B"/>
    <w:rsid w:val="00025900"/>
    <w:rsid w:val="00027F8E"/>
    <w:rsid w:val="000307DC"/>
    <w:rsid w:val="00030E06"/>
    <w:rsid w:val="00032A21"/>
    <w:rsid w:val="000332E5"/>
    <w:rsid w:val="000336AC"/>
    <w:rsid w:val="00034D29"/>
    <w:rsid w:val="00034F56"/>
    <w:rsid w:val="00035568"/>
    <w:rsid w:val="00035DBC"/>
    <w:rsid w:val="000378BB"/>
    <w:rsid w:val="00040A3F"/>
    <w:rsid w:val="00041505"/>
    <w:rsid w:val="00041C68"/>
    <w:rsid w:val="00042596"/>
    <w:rsid w:val="0004297D"/>
    <w:rsid w:val="00043378"/>
    <w:rsid w:val="000438F5"/>
    <w:rsid w:val="000445B2"/>
    <w:rsid w:val="00044F3E"/>
    <w:rsid w:val="00044F66"/>
    <w:rsid w:val="00045197"/>
    <w:rsid w:val="00045258"/>
    <w:rsid w:val="00046E66"/>
    <w:rsid w:val="000537F9"/>
    <w:rsid w:val="00054144"/>
    <w:rsid w:val="00054554"/>
    <w:rsid w:val="00056BC6"/>
    <w:rsid w:val="00057265"/>
    <w:rsid w:val="00057713"/>
    <w:rsid w:val="000601AC"/>
    <w:rsid w:val="00061381"/>
    <w:rsid w:val="00062443"/>
    <w:rsid w:val="0006249E"/>
    <w:rsid w:val="00062F3C"/>
    <w:rsid w:val="0006305A"/>
    <w:rsid w:val="00063A50"/>
    <w:rsid w:val="0006552F"/>
    <w:rsid w:val="000665F3"/>
    <w:rsid w:val="00070680"/>
    <w:rsid w:val="00071442"/>
    <w:rsid w:val="000751E3"/>
    <w:rsid w:val="0007612E"/>
    <w:rsid w:val="000776A0"/>
    <w:rsid w:val="00081F02"/>
    <w:rsid w:val="00082902"/>
    <w:rsid w:val="00082B10"/>
    <w:rsid w:val="00082B70"/>
    <w:rsid w:val="0008360D"/>
    <w:rsid w:val="00083783"/>
    <w:rsid w:val="00084F25"/>
    <w:rsid w:val="00084F5D"/>
    <w:rsid w:val="00085322"/>
    <w:rsid w:val="00086E2B"/>
    <w:rsid w:val="00087736"/>
    <w:rsid w:val="00093492"/>
    <w:rsid w:val="00093C21"/>
    <w:rsid w:val="00094AD3"/>
    <w:rsid w:val="00096014"/>
    <w:rsid w:val="00096A23"/>
    <w:rsid w:val="00096CB1"/>
    <w:rsid w:val="000A1C63"/>
    <w:rsid w:val="000A26F0"/>
    <w:rsid w:val="000A2FF2"/>
    <w:rsid w:val="000A3DE7"/>
    <w:rsid w:val="000A54E1"/>
    <w:rsid w:val="000A5890"/>
    <w:rsid w:val="000A6A7A"/>
    <w:rsid w:val="000B05D1"/>
    <w:rsid w:val="000B1825"/>
    <w:rsid w:val="000B24F2"/>
    <w:rsid w:val="000B3DCC"/>
    <w:rsid w:val="000B4BCF"/>
    <w:rsid w:val="000B4EF0"/>
    <w:rsid w:val="000B5C41"/>
    <w:rsid w:val="000B71CA"/>
    <w:rsid w:val="000B727F"/>
    <w:rsid w:val="000B7CDD"/>
    <w:rsid w:val="000C0AC6"/>
    <w:rsid w:val="000C113C"/>
    <w:rsid w:val="000C1CF4"/>
    <w:rsid w:val="000C3DD7"/>
    <w:rsid w:val="000C42AE"/>
    <w:rsid w:val="000C6658"/>
    <w:rsid w:val="000C67B0"/>
    <w:rsid w:val="000C69A8"/>
    <w:rsid w:val="000C7497"/>
    <w:rsid w:val="000C7EDC"/>
    <w:rsid w:val="000D042D"/>
    <w:rsid w:val="000D326F"/>
    <w:rsid w:val="000D42BE"/>
    <w:rsid w:val="000D7032"/>
    <w:rsid w:val="000E37D8"/>
    <w:rsid w:val="000E4298"/>
    <w:rsid w:val="000E4A71"/>
    <w:rsid w:val="000E4B92"/>
    <w:rsid w:val="000E4BA1"/>
    <w:rsid w:val="000E51F3"/>
    <w:rsid w:val="000E6E55"/>
    <w:rsid w:val="000F22C9"/>
    <w:rsid w:val="000F2ADF"/>
    <w:rsid w:val="000F3073"/>
    <w:rsid w:val="000F4035"/>
    <w:rsid w:val="000F594D"/>
    <w:rsid w:val="000F5A5B"/>
    <w:rsid w:val="000F60EB"/>
    <w:rsid w:val="000F63C2"/>
    <w:rsid w:val="000F763B"/>
    <w:rsid w:val="000F7C81"/>
    <w:rsid w:val="000F7D78"/>
    <w:rsid w:val="00100A5A"/>
    <w:rsid w:val="001022D6"/>
    <w:rsid w:val="0010272F"/>
    <w:rsid w:val="00103A37"/>
    <w:rsid w:val="00103A6F"/>
    <w:rsid w:val="00104203"/>
    <w:rsid w:val="001047FB"/>
    <w:rsid w:val="001055FD"/>
    <w:rsid w:val="00111A66"/>
    <w:rsid w:val="00111C29"/>
    <w:rsid w:val="00112E35"/>
    <w:rsid w:val="00114550"/>
    <w:rsid w:val="00114580"/>
    <w:rsid w:val="001164C9"/>
    <w:rsid w:val="001204C6"/>
    <w:rsid w:val="00120B9F"/>
    <w:rsid w:val="00120C15"/>
    <w:rsid w:val="00120DCD"/>
    <w:rsid w:val="00123CDC"/>
    <w:rsid w:val="0012467D"/>
    <w:rsid w:val="00127FEC"/>
    <w:rsid w:val="001321E1"/>
    <w:rsid w:val="001338EE"/>
    <w:rsid w:val="0013414E"/>
    <w:rsid w:val="00135AAA"/>
    <w:rsid w:val="00135E7C"/>
    <w:rsid w:val="001361E1"/>
    <w:rsid w:val="00136832"/>
    <w:rsid w:val="00137292"/>
    <w:rsid w:val="0013736E"/>
    <w:rsid w:val="0014214A"/>
    <w:rsid w:val="001427A3"/>
    <w:rsid w:val="00142AC5"/>
    <w:rsid w:val="00144825"/>
    <w:rsid w:val="00144CBD"/>
    <w:rsid w:val="00145106"/>
    <w:rsid w:val="00145428"/>
    <w:rsid w:val="00145554"/>
    <w:rsid w:val="00146333"/>
    <w:rsid w:val="001477A2"/>
    <w:rsid w:val="0015602F"/>
    <w:rsid w:val="001562B1"/>
    <w:rsid w:val="001564F8"/>
    <w:rsid w:val="00160BCE"/>
    <w:rsid w:val="0016149F"/>
    <w:rsid w:val="00163328"/>
    <w:rsid w:val="001637D0"/>
    <w:rsid w:val="00163C16"/>
    <w:rsid w:val="00164497"/>
    <w:rsid w:val="001652A2"/>
    <w:rsid w:val="00165673"/>
    <w:rsid w:val="001660E1"/>
    <w:rsid w:val="001663AA"/>
    <w:rsid w:val="00171520"/>
    <w:rsid w:val="00173AAD"/>
    <w:rsid w:val="001744F0"/>
    <w:rsid w:val="00175696"/>
    <w:rsid w:val="00175F02"/>
    <w:rsid w:val="00177FB2"/>
    <w:rsid w:val="00181395"/>
    <w:rsid w:val="001828FE"/>
    <w:rsid w:val="00186A56"/>
    <w:rsid w:val="00186CFA"/>
    <w:rsid w:val="00187589"/>
    <w:rsid w:val="00187BA7"/>
    <w:rsid w:val="00187E89"/>
    <w:rsid w:val="001915A3"/>
    <w:rsid w:val="00192CA8"/>
    <w:rsid w:val="00193076"/>
    <w:rsid w:val="00194BDC"/>
    <w:rsid w:val="001A0145"/>
    <w:rsid w:val="001A0410"/>
    <w:rsid w:val="001A0AE0"/>
    <w:rsid w:val="001A29F1"/>
    <w:rsid w:val="001A2BB7"/>
    <w:rsid w:val="001A5D6D"/>
    <w:rsid w:val="001A5D81"/>
    <w:rsid w:val="001A63F7"/>
    <w:rsid w:val="001A66CA"/>
    <w:rsid w:val="001A7178"/>
    <w:rsid w:val="001A7EAB"/>
    <w:rsid w:val="001B1991"/>
    <w:rsid w:val="001B3FA5"/>
    <w:rsid w:val="001B4420"/>
    <w:rsid w:val="001B444C"/>
    <w:rsid w:val="001B6A65"/>
    <w:rsid w:val="001B6E6D"/>
    <w:rsid w:val="001B749C"/>
    <w:rsid w:val="001B77E2"/>
    <w:rsid w:val="001C0774"/>
    <w:rsid w:val="001C0C08"/>
    <w:rsid w:val="001C5026"/>
    <w:rsid w:val="001C5566"/>
    <w:rsid w:val="001C7C5A"/>
    <w:rsid w:val="001D0368"/>
    <w:rsid w:val="001D09E7"/>
    <w:rsid w:val="001D10EB"/>
    <w:rsid w:val="001D3351"/>
    <w:rsid w:val="001D38CB"/>
    <w:rsid w:val="001D47B0"/>
    <w:rsid w:val="001D48D6"/>
    <w:rsid w:val="001E09B9"/>
    <w:rsid w:val="001E0B21"/>
    <w:rsid w:val="001E1214"/>
    <w:rsid w:val="001E1504"/>
    <w:rsid w:val="001E2580"/>
    <w:rsid w:val="001E2B40"/>
    <w:rsid w:val="001E2C63"/>
    <w:rsid w:val="001E3CA7"/>
    <w:rsid w:val="001E4729"/>
    <w:rsid w:val="001E4FDC"/>
    <w:rsid w:val="001E5D7B"/>
    <w:rsid w:val="001F09EC"/>
    <w:rsid w:val="001F0E76"/>
    <w:rsid w:val="001F1AFC"/>
    <w:rsid w:val="001F229F"/>
    <w:rsid w:val="001F22CA"/>
    <w:rsid w:val="001F29EA"/>
    <w:rsid w:val="001F2E1E"/>
    <w:rsid w:val="001F47F4"/>
    <w:rsid w:val="001F6562"/>
    <w:rsid w:val="001F730D"/>
    <w:rsid w:val="001F7697"/>
    <w:rsid w:val="001F7A20"/>
    <w:rsid w:val="00201222"/>
    <w:rsid w:val="00202AE4"/>
    <w:rsid w:val="00203694"/>
    <w:rsid w:val="002043A9"/>
    <w:rsid w:val="0020440D"/>
    <w:rsid w:val="00204E56"/>
    <w:rsid w:val="002062DE"/>
    <w:rsid w:val="00206AC0"/>
    <w:rsid w:val="00206D50"/>
    <w:rsid w:val="0021148E"/>
    <w:rsid w:val="00211F85"/>
    <w:rsid w:val="00211FD5"/>
    <w:rsid w:val="00213041"/>
    <w:rsid w:val="002142FD"/>
    <w:rsid w:val="00214E0E"/>
    <w:rsid w:val="00220252"/>
    <w:rsid w:val="002206C2"/>
    <w:rsid w:val="002234F2"/>
    <w:rsid w:val="00223D23"/>
    <w:rsid w:val="00225120"/>
    <w:rsid w:val="00226476"/>
    <w:rsid w:val="00227FBD"/>
    <w:rsid w:val="00230B98"/>
    <w:rsid w:val="0023318F"/>
    <w:rsid w:val="00234925"/>
    <w:rsid w:val="0023590A"/>
    <w:rsid w:val="0023774D"/>
    <w:rsid w:val="00237E35"/>
    <w:rsid w:val="00240991"/>
    <w:rsid w:val="0024114E"/>
    <w:rsid w:val="00241CD4"/>
    <w:rsid w:val="00243872"/>
    <w:rsid w:val="00244A90"/>
    <w:rsid w:val="00247548"/>
    <w:rsid w:val="002476AC"/>
    <w:rsid w:val="002478EB"/>
    <w:rsid w:val="00250D3D"/>
    <w:rsid w:val="00251E34"/>
    <w:rsid w:val="002523A0"/>
    <w:rsid w:val="002540EB"/>
    <w:rsid w:val="002547E6"/>
    <w:rsid w:val="00254DC8"/>
    <w:rsid w:val="002558EB"/>
    <w:rsid w:val="00256B61"/>
    <w:rsid w:val="0026019D"/>
    <w:rsid w:val="00260709"/>
    <w:rsid w:val="002608F9"/>
    <w:rsid w:val="00262ECF"/>
    <w:rsid w:val="00265632"/>
    <w:rsid w:val="00265DD5"/>
    <w:rsid w:val="00267A01"/>
    <w:rsid w:val="00267D11"/>
    <w:rsid w:val="00270F23"/>
    <w:rsid w:val="00271A80"/>
    <w:rsid w:val="00274145"/>
    <w:rsid w:val="002743BB"/>
    <w:rsid w:val="00274D37"/>
    <w:rsid w:val="002751A1"/>
    <w:rsid w:val="0027549C"/>
    <w:rsid w:val="0027636D"/>
    <w:rsid w:val="0027651B"/>
    <w:rsid w:val="002766DE"/>
    <w:rsid w:val="00276DEC"/>
    <w:rsid w:val="002770AC"/>
    <w:rsid w:val="002776CE"/>
    <w:rsid w:val="00277A1D"/>
    <w:rsid w:val="00281909"/>
    <w:rsid w:val="00284AD1"/>
    <w:rsid w:val="00285E06"/>
    <w:rsid w:val="00286865"/>
    <w:rsid w:val="002879C0"/>
    <w:rsid w:val="00287BFC"/>
    <w:rsid w:val="00290B22"/>
    <w:rsid w:val="0029178B"/>
    <w:rsid w:val="002922D1"/>
    <w:rsid w:val="002929A9"/>
    <w:rsid w:val="0029304B"/>
    <w:rsid w:val="00294414"/>
    <w:rsid w:val="00295CE4"/>
    <w:rsid w:val="00295CED"/>
    <w:rsid w:val="00296BD6"/>
    <w:rsid w:val="002A0960"/>
    <w:rsid w:val="002A2458"/>
    <w:rsid w:val="002A3700"/>
    <w:rsid w:val="002A4138"/>
    <w:rsid w:val="002A6828"/>
    <w:rsid w:val="002B1AE8"/>
    <w:rsid w:val="002B1E3F"/>
    <w:rsid w:val="002B455C"/>
    <w:rsid w:val="002B4887"/>
    <w:rsid w:val="002B6823"/>
    <w:rsid w:val="002B6975"/>
    <w:rsid w:val="002B6F52"/>
    <w:rsid w:val="002B6F8D"/>
    <w:rsid w:val="002B716C"/>
    <w:rsid w:val="002B72FF"/>
    <w:rsid w:val="002C09F2"/>
    <w:rsid w:val="002C2231"/>
    <w:rsid w:val="002C2BF8"/>
    <w:rsid w:val="002C34B3"/>
    <w:rsid w:val="002C3A7C"/>
    <w:rsid w:val="002C41BA"/>
    <w:rsid w:val="002C5068"/>
    <w:rsid w:val="002C64DC"/>
    <w:rsid w:val="002C66A1"/>
    <w:rsid w:val="002C6DA3"/>
    <w:rsid w:val="002D10BD"/>
    <w:rsid w:val="002D1258"/>
    <w:rsid w:val="002D1662"/>
    <w:rsid w:val="002D23B0"/>
    <w:rsid w:val="002D376F"/>
    <w:rsid w:val="002D4E9F"/>
    <w:rsid w:val="002D5B9C"/>
    <w:rsid w:val="002D785B"/>
    <w:rsid w:val="002E042E"/>
    <w:rsid w:val="002E09E9"/>
    <w:rsid w:val="002E4C32"/>
    <w:rsid w:val="002E5658"/>
    <w:rsid w:val="002E5921"/>
    <w:rsid w:val="002E6847"/>
    <w:rsid w:val="002F08BE"/>
    <w:rsid w:val="002F374B"/>
    <w:rsid w:val="002F3BEE"/>
    <w:rsid w:val="002F45F6"/>
    <w:rsid w:val="002F4A1A"/>
    <w:rsid w:val="002F62F5"/>
    <w:rsid w:val="002F65C5"/>
    <w:rsid w:val="002F74F7"/>
    <w:rsid w:val="00302463"/>
    <w:rsid w:val="00302EC2"/>
    <w:rsid w:val="00303058"/>
    <w:rsid w:val="00304C5B"/>
    <w:rsid w:val="00304EEF"/>
    <w:rsid w:val="003050B9"/>
    <w:rsid w:val="00307339"/>
    <w:rsid w:val="00312EFD"/>
    <w:rsid w:val="00315AD4"/>
    <w:rsid w:val="0031601C"/>
    <w:rsid w:val="00317A9E"/>
    <w:rsid w:val="00317B93"/>
    <w:rsid w:val="00320F1F"/>
    <w:rsid w:val="00322209"/>
    <w:rsid w:val="003222A5"/>
    <w:rsid w:val="00322D57"/>
    <w:rsid w:val="0032358A"/>
    <w:rsid w:val="00324519"/>
    <w:rsid w:val="003257FC"/>
    <w:rsid w:val="00327077"/>
    <w:rsid w:val="00327834"/>
    <w:rsid w:val="0033054B"/>
    <w:rsid w:val="0033121D"/>
    <w:rsid w:val="003312A1"/>
    <w:rsid w:val="00333239"/>
    <w:rsid w:val="00335206"/>
    <w:rsid w:val="0034151F"/>
    <w:rsid w:val="003416D8"/>
    <w:rsid w:val="0035007B"/>
    <w:rsid w:val="00350FB0"/>
    <w:rsid w:val="0035223A"/>
    <w:rsid w:val="003527D8"/>
    <w:rsid w:val="00353048"/>
    <w:rsid w:val="00353F63"/>
    <w:rsid w:val="003543A3"/>
    <w:rsid w:val="00354ABE"/>
    <w:rsid w:val="00361287"/>
    <w:rsid w:val="00361E00"/>
    <w:rsid w:val="00361EA2"/>
    <w:rsid w:val="00362694"/>
    <w:rsid w:val="00363DB3"/>
    <w:rsid w:val="003643EC"/>
    <w:rsid w:val="00364DAE"/>
    <w:rsid w:val="00366215"/>
    <w:rsid w:val="00366312"/>
    <w:rsid w:val="00370D4B"/>
    <w:rsid w:val="0037426A"/>
    <w:rsid w:val="003743DB"/>
    <w:rsid w:val="00383239"/>
    <w:rsid w:val="003850BC"/>
    <w:rsid w:val="00385D79"/>
    <w:rsid w:val="00387915"/>
    <w:rsid w:val="00387F3A"/>
    <w:rsid w:val="003905E9"/>
    <w:rsid w:val="0039165B"/>
    <w:rsid w:val="00392E6C"/>
    <w:rsid w:val="003937B9"/>
    <w:rsid w:val="003942BF"/>
    <w:rsid w:val="00394416"/>
    <w:rsid w:val="00394888"/>
    <w:rsid w:val="0039527F"/>
    <w:rsid w:val="0039701B"/>
    <w:rsid w:val="00397206"/>
    <w:rsid w:val="003A0CA3"/>
    <w:rsid w:val="003A12EC"/>
    <w:rsid w:val="003A2BF9"/>
    <w:rsid w:val="003A2F9A"/>
    <w:rsid w:val="003A3D99"/>
    <w:rsid w:val="003A4DFF"/>
    <w:rsid w:val="003A535C"/>
    <w:rsid w:val="003B3DBD"/>
    <w:rsid w:val="003B7F5D"/>
    <w:rsid w:val="003C226F"/>
    <w:rsid w:val="003C2AA1"/>
    <w:rsid w:val="003C3294"/>
    <w:rsid w:val="003C44A9"/>
    <w:rsid w:val="003C589C"/>
    <w:rsid w:val="003C7116"/>
    <w:rsid w:val="003D011B"/>
    <w:rsid w:val="003D2E25"/>
    <w:rsid w:val="003D3A9C"/>
    <w:rsid w:val="003D4E8B"/>
    <w:rsid w:val="003D5ED8"/>
    <w:rsid w:val="003D6D62"/>
    <w:rsid w:val="003E1054"/>
    <w:rsid w:val="003E112E"/>
    <w:rsid w:val="003E3145"/>
    <w:rsid w:val="003F49EB"/>
    <w:rsid w:val="003F6C7B"/>
    <w:rsid w:val="003F7AC6"/>
    <w:rsid w:val="004010BE"/>
    <w:rsid w:val="004011E1"/>
    <w:rsid w:val="00401203"/>
    <w:rsid w:val="00402CA7"/>
    <w:rsid w:val="004031B7"/>
    <w:rsid w:val="00404F4B"/>
    <w:rsid w:val="004054D6"/>
    <w:rsid w:val="00410481"/>
    <w:rsid w:val="00410783"/>
    <w:rsid w:val="00411E53"/>
    <w:rsid w:val="00412769"/>
    <w:rsid w:val="00413A3D"/>
    <w:rsid w:val="00414040"/>
    <w:rsid w:val="0042147C"/>
    <w:rsid w:val="004214D6"/>
    <w:rsid w:val="00422053"/>
    <w:rsid w:val="00422087"/>
    <w:rsid w:val="004222E8"/>
    <w:rsid w:val="004229D1"/>
    <w:rsid w:val="0042625E"/>
    <w:rsid w:val="00426EAC"/>
    <w:rsid w:val="004273CD"/>
    <w:rsid w:val="004304DC"/>
    <w:rsid w:val="00431FEA"/>
    <w:rsid w:val="00432D11"/>
    <w:rsid w:val="00434A93"/>
    <w:rsid w:val="004353DE"/>
    <w:rsid w:val="00435FBC"/>
    <w:rsid w:val="004369D8"/>
    <w:rsid w:val="00437D67"/>
    <w:rsid w:val="00440900"/>
    <w:rsid w:val="004427CA"/>
    <w:rsid w:val="00443A86"/>
    <w:rsid w:val="00444400"/>
    <w:rsid w:val="00447A4E"/>
    <w:rsid w:val="00450422"/>
    <w:rsid w:val="00451C6F"/>
    <w:rsid w:val="00453483"/>
    <w:rsid w:val="00454357"/>
    <w:rsid w:val="00455531"/>
    <w:rsid w:val="004556D8"/>
    <w:rsid w:val="004557B7"/>
    <w:rsid w:val="00457D7F"/>
    <w:rsid w:val="004605DE"/>
    <w:rsid w:val="00461B67"/>
    <w:rsid w:val="00462806"/>
    <w:rsid w:val="004631D8"/>
    <w:rsid w:val="00463D1F"/>
    <w:rsid w:val="0046460D"/>
    <w:rsid w:val="004657DA"/>
    <w:rsid w:val="00467088"/>
    <w:rsid w:val="00470354"/>
    <w:rsid w:val="0047098F"/>
    <w:rsid w:val="004709F4"/>
    <w:rsid w:val="00471DDC"/>
    <w:rsid w:val="00472ED9"/>
    <w:rsid w:val="00473319"/>
    <w:rsid w:val="00473DD8"/>
    <w:rsid w:val="00476E15"/>
    <w:rsid w:val="00477893"/>
    <w:rsid w:val="004802F0"/>
    <w:rsid w:val="00481FFB"/>
    <w:rsid w:val="004834EE"/>
    <w:rsid w:val="00483818"/>
    <w:rsid w:val="004847DB"/>
    <w:rsid w:val="00487D28"/>
    <w:rsid w:val="00487E5C"/>
    <w:rsid w:val="004902B2"/>
    <w:rsid w:val="004907E0"/>
    <w:rsid w:val="0049159E"/>
    <w:rsid w:val="00491E85"/>
    <w:rsid w:val="00494066"/>
    <w:rsid w:val="004A0BD0"/>
    <w:rsid w:val="004A171C"/>
    <w:rsid w:val="004A1744"/>
    <w:rsid w:val="004A56C6"/>
    <w:rsid w:val="004A5CDA"/>
    <w:rsid w:val="004A6073"/>
    <w:rsid w:val="004A6D5B"/>
    <w:rsid w:val="004B08E0"/>
    <w:rsid w:val="004B30CB"/>
    <w:rsid w:val="004B36CB"/>
    <w:rsid w:val="004B4660"/>
    <w:rsid w:val="004B51EC"/>
    <w:rsid w:val="004B56C4"/>
    <w:rsid w:val="004B59F5"/>
    <w:rsid w:val="004C091C"/>
    <w:rsid w:val="004C0BBA"/>
    <w:rsid w:val="004C0C96"/>
    <w:rsid w:val="004C0DCB"/>
    <w:rsid w:val="004C21DE"/>
    <w:rsid w:val="004C6077"/>
    <w:rsid w:val="004D08CA"/>
    <w:rsid w:val="004D25BE"/>
    <w:rsid w:val="004D2758"/>
    <w:rsid w:val="004D27D9"/>
    <w:rsid w:val="004D7518"/>
    <w:rsid w:val="004E0334"/>
    <w:rsid w:val="004E11A7"/>
    <w:rsid w:val="004E1775"/>
    <w:rsid w:val="004E203E"/>
    <w:rsid w:val="004E66E4"/>
    <w:rsid w:val="004E6B33"/>
    <w:rsid w:val="004E6D31"/>
    <w:rsid w:val="004F02B7"/>
    <w:rsid w:val="004F565D"/>
    <w:rsid w:val="004F5FB0"/>
    <w:rsid w:val="0050062C"/>
    <w:rsid w:val="00500CAA"/>
    <w:rsid w:val="00503412"/>
    <w:rsid w:val="00504000"/>
    <w:rsid w:val="00504C84"/>
    <w:rsid w:val="00505EE4"/>
    <w:rsid w:val="00506104"/>
    <w:rsid w:val="005068D6"/>
    <w:rsid w:val="005100E9"/>
    <w:rsid w:val="00510FFB"/>
    <w:rsid w:val="005122A7"/>
    <w:rsid w:val="005132BA"/>
    <w:rsid w:val="0051477D"/>
    <w:rsid w:val="00515254"/>
    <w:rsid w:val="005168BB"/>
    <w:rsid w:val="00516916"/>
    <w:rsid w:val="00516AD5"/>
    <w:rsid w:val="0052107F"/>
    <w:rsid w:val="0052192C"/>
    <w:rsid w:val="00522C7F"/>
    <w:rsid w:val="00523457"/>
    <w:rsid w:val="00524563"/>
    <w:rsid w:val="005248CC"/>
    <w:rsid w:val="00524CD5"/>
    <w:rsid w:val="00525DD9"/>
    <w:rsid w:val="00525F5E"/>
    <w:rsid w:val="005274B7"/>
    <w:rsid w:val="0052786A"/>
    <w:rsid w:val="00531A39"/>
    <w:rsid w:val="00532E4B"/>
    <w:rsid w:val="00533DDD"/>
    <w:rsid w:val="00535CF3"/>
    <w:rsid w:val="0055336D"/>
    <w:rsid w:val="005541B7"/>
    <w:rsid w:val="00554BC4"/>
    <w:rsid w:val="00555BE0"/>
    <w:rsid w:val="0055642C"/>
    <w:rsid w:val="005577B4"/>
    <w:rsid w:val="00557E74"/>
    <w:rsid w:val="00562104"/>
    <w:rsid w:val="00563658"/>
    <w:rsid w:val="00564B8A"/>
    <w:rsid w:val="0057130E"/>
    <w:rsid w:val="00571A5E"/>
    <w:rsid w:val="00572108"/>
    <w:rsid w:val="0057224A"/>
    <w:rsid w:val="00572267"/>
    <w:rsid w:val="00572E77"/>
    <w:rsid w:val="00573D7D"/>
    <w:rsid w:val="0057550A"/>
    <w:rsid w:val="0057587D"/>
    <w:rsid w:val="005777D2"/>
    <w:rsid w:val="00577A67"/>
    <w:rsid w:val="00577BEE"/>
    <w:rsid w:val="005821BB"/>
    <w:rsid w:val="005829E0"/>
    <w:rsid w:val="0058311F"/>
    <w:rsid w:val="00583261"/>
    <w:rsid w:val="00584C57"/>
    <w:rsid w:val="00584EE3"/>
    <w:rsid w:val="00585931"/>
    <w:rsid w:val="00590054"/>
    <w:rsid w:val="00592B65"/>
    <w:rsid w:val="00593E62"/>
    <w:rsid w:val="0059485D"/>
    <w:rsid w:val="0059694A"/>
    <w:rsid w:val="00597B82"/>
    <w:rsid w:val="005A25B1"/>
    <w:rsid w:val="005A2AF0"/>
    <w:rsid w:val="005A65F1"/>
    <w:rsid w:val="005B02FD"/>
    <w:rsid w:val="005B137E"/>
    <w:rsid w:val="005B1C65"/>
    <w:rsid w:val="005B5A9A"/>
    <w:rsid w:val="005B5EA5"/>
    <w:rsid w:val="005B6E8B"/>
    <w:rsid w:val="005C2122"/>
    <w:rsid w:val="005C3805"/>
    <w:rsid w:val="005C418F"/>
    <w:rsid w:val="005C65C8"/>
    <w:rsid w:val="005C66C7"/>
    <w:rsid w:val="005C70CA"/>
    <w:rsid w:val="005C71C7"/>
    <w:rsid w:val="005D034A"/>
    <w:rsid w:val="005D0398"/>
    <w:rsid w:val="005D041E"/>
    <w:rsid w:val="005D0B4A"/>
    <w:rsid w:val="005D0C73"/>
    <w:rsid w:val="005D0D1C"/>
    <w:rsid w:val="005D275B"/>
    <w:rsid w:val="005D5121"/>
    <w:rsid w:val="005D587D"/>
    <w:rsid w:val="005D6136"/>
    <w:rsid w:val="005D753F"/>
    <w:rsid w:val="005E09DA"/>
    <w:rsid w:val="005E0ED8"/>
    <w:rsid w:val="005E15D5"/>
    <w:rsid w:val="005E2DBF"/>
    <w:rsid w:val="005E3107"/>
    <w:rsid w:val="005E3649"/>
    <w:rsid w:val="005E5090"/>
    <w:rsid w:val="005E5F81"/>
    <w:rsid w:val="005E6479"/>
    <w:rsid w:val="005F09EC"/>
    <w:rsid w:val="005F1D44"/>
    <w:rsid w:val="005F5FBD"/>
    <w:rsid w:val="00600B7A"/>
    <w:rsid w:val="006021F2"/>
    <w:rsid w:val="00602CD6"/>
    <w:rsid w:val="0060378B"/>
    <w:rsid w:val="0060401D"/>
    <w:rsid w:val="006049CC"/>
    <w:rsid w:val="00607411"/>
    <w:rsid w:val="00611B4F"/>
    <w:rsid w:val="006133FC"/>
    <w:rsid w:val="00614C42"/>
    <w:rsid w:val="0061618E"/>
    <w:rsid w:val="00616760"/>
    <w:rsid w:val="00616D07"/>
    <w:rsid w:val="00617976"/>
    <w:rsid w:val="00621E56"/>
    <w:rsid w:val="006241E8"/>
    <w:rsid w:val="0062476D"/>
    <w:rsid w:val="006264EF"/>
    <w:rsid w:val="006271B4"/>
    <w:rsid w:val="006302CF"/>
    <w:rsid w:val="006303F0"/>
    <w:rsid w:val="0063084E"/>
    <w:rsid w:val="00630C4D"/>
    <w:rsid w:val="00631992"/>
    <w:rsid w:val="0063200A"/>
    <w:rsid w:val="00632D20"/>
    <w:rsid w:val="0063304A"/>
    <w:rsid w:val="00633A69"/>
    <w:rsid w:val="00634AE3"/>
    <w:rsid w:val="00636199"/>
    <w:rsid w:val="00637387"/>
    <w:rsid w:val="00640889"/>
    <w:rsid w:val="00640B73"/>
    <w:rsid w:val="006410FC"/>
    <w:rsid w:val="00642996"/>
    <w:rsid w:val="006433A9"/>
    <w:rsid w:val="00644083"/>
    <w:rsid w:val="0064428B"/>
    <w:rsid w:val="00645A22"/>
    <w:rsid w:val="00645BBF"/>
    <w:rsid w:val="00645D6B"/>
    <w:rsid w:val="0064705D"/>
    <w:rsid w:val="00647A7A"/>
    <w:rsid w:val="00650F59"/>
    <w:rsid w:val="00651707"/>
    <w:rsid w:val="00651F93"/>
    <w:rsid w:val="00652581"/>
    <w:rsid w:val="00652D81"/>
    <w:rsid w:val="00652E19"/>
    <w:rsid w:val="00653BEA"/>
    <w:rsid w:val="00653E0C"/>
    <w:rsid w:val="00654BA7"/>
    <w:rsid w:val="00655A62"/>
    <w:rsid w:val="00657CBF"/>
    <w:rsid w:val="00660DA8"/>
    <w:rsid w:val="0066186A"/>
    <w:rsid w:val="00664D60"/>
    <w:rsid w:val="006674AF"/>
    <w:rsid w:val="006723DB"/>
    <w:rsid w:val="00672D35"/>
    <w:rsid w:val="00673584"/>
    <w:rsid w:val="00673C73"/>
    <w:rsid w:val="0067494E"/>
    <w:rsid w:val="006749B9"/>
    <w:rsid w:val="00675427"/>
    <w:rsid w:val="00676D03"/>
    <w:rsid w:val="006770FD"/>
    <w:rsid w:val="006808C8"/>
    <w:rsid w:val="00680D8C"/>
    <w:rsid w:val="0068138D"/>
    <w:rsid w:val="006821F2"/>
    <w:rsid w:val="006822FF"/>
    <w:rsid w:val="006837AB"/>
    <w:rsid w:val="00683C11"/>
    <w:rsid w:val="006868D9"/>
    <w:rsid w:val="00692EEC"/>
    <w:rsid w:val="00693522"/>
    <w:rsid w:val="0069556A"/>
    <w:rsid w:val="00697152"/>
    <w:rsid w:val="006978B8"/>
    <w:rsid w:val="006A0705"/>
    <w:rsid w:val="006A0B00"/>
    <w:rsid w:val="006A1570"/>
    <w:rsid w:val="006A36E2"/>
    <w:rsid w:val="006A3957"/>
    <w:rsid w:val="006A4FCF"/>
    <w:rsid w:val="006A5329"/>
    <w:rsid w:val="006A56E5"/>
    <w:rsid w:val="006A5CDE"/>
    <w:rsid w:val="006A61FF"/>
    <w:rsid w:val="006A662C"/>
    <w:rsid w:val="006A6B7D"/>
    <w:rsid w:val="006A77F0"/>
    <w:rsid w:val="006B04B9"/>
    <w:rsid w:val="006B07EE"/>
    <w:rsid w:val="006B196A"/>
    <w:rsid w:val="006B47C3"/>
    <w:rsid w:val="006B4F4A"/>
    <w:rsid w:val="006B64F7"/>
    <w:rsid w:val="006B7596"/>
    <w:rsid w:val="006C178E"/>
    <w:rsid w:val="006C2454"/>
    <w:rsid w:val="006C24B4"/>
    <w:rsid w:val="006C3C22"/>
    <w:rsid w:val="006C4611"/>
    <w:rsid w:val="006C62C7"/>
    <w:rsid w:val="006C666E"/>
    <w:rsid w:val="006C7833"/>
    <w:rsid w:val="006D094D"/>
    <w:rsid w:val="006D1761"/>
    <w:rsid w:val="006D2460"/>
    <w:rsid w:val="006D2644"/>
    <w:rsid w:val="006D3D76"/>
    <w:rsid w:val="006D4D7F"/>
    <w:rsid w:val="006D5790"/>
    <w:rsid w:val="006D6721"/>
    <w:rsid w:val="006E064B"/>
    <w:rsid w:val="006E0CF5"/>
    <w:rsid w:val="006E3AFB"/>
    <w:rsid w:val="006E572E"/>
    <w:rsid w:val="006E6A5E"/>
    <w:rsid w:val="006E7E39"/>
    <w:rsid w:val="006E7E41"/>
    <w:rsid w:val="006F02A2"/>
    <w:rsid w:val="006F2E0A"/>
    <w:rsid w:val="006F37B8"/>
    <w:rsid w:val="006F3FF9"/>
    <w:rsid w:val="006F5A5D"/>
    <w:rsid w:val="006F6DB3"/>
    <w:rsid w:val="00702461"/>
    <w:rsid w:val="00702FC4"/>
    <w:rsid w:val="0070388F"/>
    <w:rsid w:val="00703CD3"/>
    <w:rsid w:val="0070470F"/>
    <w:rsid w:val="007053F1"/>
    <w:rsid w:val="00705D2E"/>
    <w:rsid w:val="0070760B"/>
    <w:rsid w:val="00710D70"/>
    <w:rsid w:val="00710F73"/>
    <w:rsid w:val="00712846"/>
    <w:rsid w:val="0071296E"/>
    <w:rsid w:val="007145EF"/>
    <w:rsid w:val="00714A27"/>
    <w:rsid w:val="00714CB4"/>
    <w:rsid w:val="0071690D"/>
    <w:rsid w:val="00716CCB"/>
    <w:rsid w:val="00720597"/>
    <w:rsid w:val="00720E60"/>
    <w:rsid w:val="00721BB9"/>
    <w:rsid w:val="007242E3"/>
    <w:rsid w:val="007245A4"/>
    <w:rsid w:val="00725F06"/>
    <w:rsid w:val="0072792C"/>
    <w:rsid w:val="007301A8"/>
    <w:rsid w:val="00730E00"/>
    <w:rsid w:val="00731FCB"/>
    <w:rsid w:val="00732438"/>
    <w:rsid w:val="00732752"/>
    <w:rsid w:val="00736A3F"/>
    <w:rsid w:val="00736C50"/>
    <w:rsid w:val="00737061"/>
    <w:rsid w:val="0073736A"/>
    <w:rsid w:val="007405D9"/>
    <w:rsid w:val="00743003"/>
    <w:rsid w:val="007433D7"/>
    <w:rsid w:val="00743B37"/>
    <w:rsid w:val="007445E3"/>
    <w:rsid w:val="00745E43"/>
    <w:rsid w:val="00746145"/>
    <w:rsid w:val="007503F2"/>
    <w:rsid w:val="00750A55"/>
    <w:rsid w:val="00750E1D"/>
    <w:rsid w:val="007511E4"/>
    <w:rsid w:val="00752468"/>
    <w:rsid w:val="00753B64"/>
    <w:rsid w:val="00754566"/>
    <w:rsid w:val="00754919"/>
    <w:rsid w:val="00754DCC"/>
    <w:rsid w:val="00756548"/>
    <w:rsid w:val="00756705"/>
    <w:rsid w:val="00756A0C"/>
    <w:rsid w:val="00762C4E"/>
    <w:rsid w:val="00764305"/>
    <w:rsid w:val="00766CA4"/>
    <w:rsid w:val="00767D2A"/>
    <w:rsid w:val="0077021B"/>
    <w:rsid w:val="007705B6"/>
    <w:rsid w:val="0077168E"/>
    <w:rsid w:val="007719AE"/>
    <w:rsid w:val="00772065"/>
    <w:rsid w:val="007723D0"/>
    <w:rsid w:val="0077265D"/>
    <w:rsid w:val="00774570"/>
    <w:rsid w:val="00775DD5"/>
    <w:rsid w:val="00777460"/>
    <w:rsid w:val="00777687"/>
    <w:rsid w:val="00777875"/>
    <w:rsid w:val="00777BFB"/>
    <w:rsid w:val="00777D6A"/>
    <w:rsid w:val="007806BE"/>
    <w:rsid w:val="00780FE6"/>
    <w:rsid w:val="007828B8"/>
    <w:rsid w:val="007833CE"/>
    <w:rsid w:val="007905A1"/>
    <w:rsid w:val="0079068D"/>
    <w:rsid w:val="00791117"/>
    <w:rsid w:val="007951F4"/>
    <w:rsid w:val="0079622E"/>
    <w:rsid w:val="0079753F"/>
    <w:rsid w:val="00797C95"/>
    <w:rsid w:val="007A1B18"/>
    <w:rsid w:val="007A1C3B"/>
    <w:rsid w:val="007A2B98"/>
    <w:rsid w:val="007A2C8C"/>
    <w:rsid w:val="007A3EDD"/>
    <w:rsid w:val="007A40F2"/>
    <w:rsid w:val="007A4612"/>
    <w:rsid w:val="007A47D1"/>
    <w:rsid w:val="007A590D"/>
    <w:rsid w:val="007A67A3"/>
    <w:rsid w:val="007A67DE"/>
    <w:rsid w:val="007A73E5"/>
    <w:rsid w:val="007B00A5"/>
    <w:rsid w:val="007B0A75"/>
    <w:rsid w:val="007B0F8E"/>
    <w:rsid w:val="007B1D98"/>
    <w:rsid w:val="007B1DB6"/>
    <w:rsid w:val="007B54FC"/>
    <w:rsid w:val="007B5570"/>
    <w:rsid w:val="007B5D1E"/>
    <w:rsid w:val="007C0F1A"/>
    <w:rsid w:val="007C360C"/>
    <w:rsid w:val="007C3B74"/>
    <w:rsid w:val="007C589B"/>
    <w:rsid w:val="007C78D7"/>
    <w:rsid w:val="007D0993"/>
    <w:rsid w:val="007D3A15"/>
    <w:rsid w:val="007D3BA4"/>
    <w:rsid w:val="007D57AF"/>
    <w:rsid w:val="007D5DE4"/>
    <w:rsid w:val="007D6A0C"/>
    <w:rsid w:val="007E06CC"/>
    <w:rsid w:val="007E227C"/>
    <w:rsid w:val="007E2C9B"/>
    <w:rsid w:val="007E3998"/>
    <w:rsid w:val="007E436D"/>
    <w:rsid w:val="007E44A3"/>
    <w:rsid w:val="007E4C27"/>
    <w:rsid w:val="007E5682"/>
    <w:rsid w:val="007E5A52"/>
    <w:rsid w:val="007E60D9"/>
    <w:rsid w:val="007F05AE"/>
    <w:rsid w:val="007F1505"/>
    <w:rsid w:val="007F2646"/>
    <w:rsid w:val="007F3E3C"/>
    <w:rsid w:val="007F44C8"/>
    <w:rsid w:val="007F711B"/>
    <w:rsid w:val="0080261C"/>
    <w:rsid w:val="00802A3F"/>
    <w:rsid w:val="00804619"/>
    <w:rsid w:val="00804FB8"/>
    <w:rsid w:val="00805E3D"/>
    <w:rsid w:val="0080684D"/>
    <w:rsid w:val="00806A77"/>
    <w:rsid w:val="00807809"/>
    <w:rsid w:val="0081137F"/>
    <w:rsid w:val="00811801"/>
    <w:rsid w:val="008139D1"/>
    <w:rsid w:val="00813FA0"/>
    <w:rsid w:val="0081436D"/>
    <w:rsid w:val="008143FC"/>
    <w:rsid w:val="008166BF"/>
    <w:rsid w:val="008201B7"/>
    <w:rsid w:val="00820479"/>
    <w:rsid w:val="0082083A"/>
    <w:rsid w:val="0082337D"/>
    <w:rsid w:val="008247D3"/>
    <w:rsid w:val="00825B33"/>
    <w:rsid w:val="008300D8"/>
    <w:rsid w:val="00831808"/>
    <w:rsid w:val="00831EDB"/>
    <w:rsid w:val="008321B9"/>
    <w:rsid w:val="00834791"/>
    <w:rsid w:val="00834A0A"/>
    <w:rsid w:val="00835054"/>
    <w:rsid w:val="008400FD"/>
    <w:rsid w:val="00840DF9"/>
    <w:rsid w:val="0084323F"/>
    <w:rsid w:val="00843658"/>
    <w:rsid w:val="00844F3A"/>
    <w:rsid w:val="00845083"/>
    <w:rsid w:val="00845AE7"/>
    <w:rsid w:val="00846A42"/>
    <w:rsid w:val="008504B6"/>
    <w:rsid w:val="0085166C"/>
    <w:rsid w:val="0085327E"/>
    <w:rsid w:val="0085540B"/>
    <w:rsid w:val="00855A0E"/>
    <w:rsid w:val="00855A4B"/>
    <w:rsid w:val="00860391"/>
    <w:rsid w:val="00860FEA"/>
    <w:rsid w:val="008610F9"/>
    <w:rsid w:val="00861361"/>
    <w:rsid w:val="00862685"/>
    <w:rsid w:val="0086295D"/>
    <w:rsid w:val="00862D78"/>
    <w:rsid w:val="008656F9"/>
    <w:rsid w:val="008659BB"/>
    <w:rsid w:val="00867A61"/>
    <w:rsid w:val="00870634"/>
    <w:rsid w:val="00872260"/>
    <w:rsid w:val="00872286"/>
    <w:rsid w:val="0087328A"/>
    <w:rsid w:val="008758E9"/>
    <w:rsid w:val="008763B6"/>
    <w:rsid w:val="00876598"/>
    <w:rsid w:val="00877E05"/>
    <w:rsid w:val="00880268"/>
    <w:rsid w:val="00882599"/>
    <w:rsid w:val="008828BA"/>
    <w:rsid w:val="00884053"/>
    <w:rsid w:val="0088420F"/>
    <w:rsid w:val="00887748"/>
    <w:rsid w:val="00887852"/>
    <w:rsid w:val="0089030F"/>
    <w:rsid w:val="00890B94"/>
    <w:rsid w:val="00890D6C"/>
    <w:rsid w:val="00892D5F"/>
    <w:rsid w:val="00893FC3"/>
    <w:rsid w:val="00895FCD"/>
    <w:rsid w:val="00896866"/>
    <w:rsid w:val="008A1E1A"/>
    <w:rsid w:val="008A2A18"/>
    <w:rsid w:val="008A3D2E"/>
    <w:rsid w:val="008A4117"/>
    <w:rsid w:val="008A5321"/>
    <w:rsid w:val="008A7AFA"/>
    <w:rsid w:val="008B0ED9"/>
    <w:rsid w:val="008B185B"/>
    <w:rsid w:val="008B305D"/>
    <w:rsid w:val="008B51AD"/>
    <w:rsid w:val="008B6329"/>
    <w:rsid w:val="008B6CE2"/>
    <w:rsid w:val="008B6D6B"/>
    <w:rsid w:val="008B76A1"/>
    <w:rsid w:val="008C178A"/>
    <w:rsid w:val="008C2312"/>
    <w:rsid w:val="008C2AD4"/>
    <w:rsid w:val="008C2F78"/>
    <w:rsid w:val="008C319F"/>
    <w:rsid w:val="008C4952"/>
    <w:rsid w:val="008C4A40"/>
    <w:rsid w:val="008C5A76"/>
    <w:rsid w:val="008C5A80"/>
    <w:rsid w:val="008C5E69"/>
    <w:rsid w:val="008C655E"/>
    <w:rsid w:val="008C6DC4"/>
    <w:rsid w:val="008C6E2F"/>
    <w:rsid w:val="008D0FA8"/>
    <w:rsid w:val="008D1C5F"/>
    <w:rsid w:val="008D3F77"/>
    <w:rsid w:val="008D61B0"/>
    <w:rsid w:val="008D6CE6"/>
    <w:rsid w:val="008D76D8"/>
    <w:rsid w:val="008E082F"/>
    <w:rsid w:val="008E148B"/>
    <w:rsid w:val="008E38C8"/>
    <w:rsid w:val="008E3C19"/>
    <w:rsid w:val="008E46CB"/>
    <w:rsid w:val="008E50E5"/>
    <w:rsid w:val="008F09E2"/>
    <w:rsid w:val="008F0A45"/>
    <w:rsid w:val="008F0A94"/>
    <w:rsid w:val="008F0C4D"/>
    <w:rsid w:val="008F23D2"/>
    <w:rsid w:val="008F2BA6"/>
    <w:rsid w:val="008F2C87"/>
    <w:rsid w:val="008F3DE7"/>
    <w:rsid w:val="008F682A"/>
    <w:rsid w:val="008F6ACC"/>
    <w:rsid w:val="008F7C33"/>
    <w:rsid w:val="00900A88"/>
    <w:rsid w:val="00901543"/>
    <w:rsid w:val="009020E0"/>
    <w:rsid w:val="00903F82"/>
    <w:rsid w:val="009050EC"/>
    <w:rsid w:val="009068A3"/>
    <w:rsid w:val="009069F6"/>
    <w:rsid w:val="009107C0"/>
    <w:rsid w:val="009111D4"/>
    <w:rsid w:val="00911DA0"/>
    <w:rsid w:val="0091267C"/>
    <w:rsid w:val="009147B8"/>
    <w:rsid w:val="00914D7D"/>
    <w:rsid w:val="00915514"/>
    <w:rsid w:val="00917694"/>
    <w:rsid w:val="00917BA7"/>
    <w:rsid w:val="009226AB"/>
    <w:rsid w:val="009260E8"/>
    <w:rsid w:val="00926799"/>
    <w:rsid w:val="00926CA8"/>
    <w:rsid w:val="00927379"/>
    <w:rsid w:val="00927D81"/>
    <w:rsid w:val="009304BA"/>
    <w:rsid w:val="00932A37"/>
    <w:rsid w:val="00933C7E"/>
    <w:rsid w:val="0093563B"/>
    <w:rsid w:val="009364F6"/>
    <w:rsid w:val="009377D9"/>
    <w:rsid w:val="00937885"/>
    <w:rsid w:val="00942156"/>
    <w:rsid w:val="00942724"/>
    <w:rsid w:val="00943315"/>
    <w:rsid w:val="00943B4C"/>
    <w:rsid w:val="00944B7C"/>
    <w:rsid w:val="009453E0"/>
    <w:rsid w:val="00945CF2"/>
    <w:rsid w:val="00946E37"/>
    <w:rsid w:val="00950068"/>
    <w:rsid w:val="00950641"/>
    <w:rsid w:val="00950D64"/>
    <w:rsid w:val="009522CA"/>
    <w:rsid w:val="009541A0"/>
    <w:rsid w:val="009542B4"/>
    <w:rsid w:val="00955385"/>
    <w:rsid w:val="00955CE0"/>
    <w:rsid w:val="00957A40"/>
    <w:rsid w:val="00957BF2"/>
    <w:rsid w:val="009629D2"/>
    <w:rsid w:val="00962E44"/>
    <w:rsid w:val="00963546"/>
    <w:rsid w:val="0096404E"/>
    <w:rsid w:val="00965475"/>
    <w:rsid w:val="00965479"/>
    <w:rsid w:val="009655C2"/>
    <w:rsid w:val="00965C32"/>
    <w:rsid w:val="009706E0"/>
    <w:rsid w:val="00970FD1"/>
    <w:rsid w:val="009766DB"/>
    <w:rsid w:val="00980B44"/>
    <w:rsid w:val="00981A3C"/>
    <w:rsid w:val="00981E19"/>
    <w:rsid w:val="009820A3"/>
    <w:rsid w:val="0098511C"/>
    <w:rsid w:val="009853A4"/>
    <w:rsid w:val="0099124F"/>
    <w:rsid w:val="00991C6B"/>
    <w:rsid w:val="009924DD"/>
    <w:rsid w:val="009933F3"/>
    <w:rsid w:val="0099355A"/>
    <w:rsid w:val="00994079"/>
    <w:rsid w:val="00994AF3"/>
    <w:rsid w:val="009A1C42"/>
    <w:rsid w:val="009A2976"/>
    <w:rsid w:val="009A380C"/>
    <w:rsid w:val="009A4DE3"/>
    <w:rsid w:val="009A7DB7"/>
    <w:rsid w:val="009B04F3"/>
    <w:rsid w:val="009B0B34"/>
    <w:rsid w:val="009B2610"/>
    <w:rsid w:val="009B454F"/>
    <w:rsid w:val="009B4E39"/>
    <w:rsid w:val="009B626C"/>
    <w:rsid w:val="009B7002"/>
    <w:rsid w:val="009B771A"/>
    <w:rsid w:val="009B7881"/>
    <w:rsid w:val="009C0C0D"/>
    <w:rsid w:val="009C0CAC"/>
    <w:rsid w:val="009C3ECD"/>
    <w:rsid w:val="009C408A"/>
    <w:rsid w:val="009D0493"/>
    <w:rsid w:val="009D1CAB"/>
    <w:rsid w:val="009D5546"/>
    <w:rsid w:val="009E00AE"/>
    <w:rsid w:val="009E064A"/>
    <w:rsid w:val="009E0AD5"/>
    <w:rsid w:val="009E0E51"/>
    <w:rsid w:val="009E1CB8"/>
    <w:rsid w:val="009E334A"/>
    <w:rsid w:val="009E441B"/>
    <w:rsid w:val="009E44DB"/>
    <w:rsid w:val="009E538D"/>
    <w:rsid w:val="009E553A"/>
    <w:rsid w:val="009F0FC7"/>
    <w:rsid w:val="009F1838"/>
    <w:rsid w:val="009F33C5"/>
    <w:rsid w:val="009F4853"/>
    <w:rsid w:val="009F5522"/>
    <w:rsid w:val="009F5A19"/>
    <w:rsid w:val="009F65E8"/>
    <w:rsid w:val="00A00F4A"/>
    <w:rsid w:val="00A01073"/>
    <w:rsid w:val="00A035E1"/>
    <w:rsid w:val="00A042A2"/>
    <w:rsid w:val="00A045DA"/>
    <w:rsid w:val="00A05BB3"/>
    <w:rsid w:val="00A072B7"/>
    <w:rsid w:val="00A13015"/>
    <w:rsid w:val="00A132FF"/>
    <w:rsid w:val="00A14215"/>
    <w:rsid w:val="00A14286"/>
    <w:rsid w:val="00A14444"/>
    <w:rsid w:val="00A148DC"/>
    <w:rsid w:val="00A154FD"/>
    <w:rsid w:val="00A16F63"/>
    <w:rsid w:val="00A20A9A"/>
    <w:rsid w:val="00A2214D"/>
    <w:rsid w:val="00A24BC2"/>
    <w:rsid w:val="00A260CC"/>
    <w:rsid w:val="00A26338"/>
    <w:rsid w:val="00A277D0"/>
    <w:rsid w:val="00A3102E"/>
    <w:rsid w:val="00A341EE"/>
    <w:rsid w:val="00A36AE7"/>
    <w:rsid w:val="00A36B41"/>
    <w:rsid w:val="00A375D6"/>
    <w:rsid w:val="00A42280"/>
    <w:rsid w:val="00A42B8A"/>
    <w:rsid w:val="00A431CE"/>
    <w:rsid w:val="00A43CDA"/>
    <w:rsid w:val="00A44027"/>
    <w:rsid w:val="00A4559F"/>
    <w:rsid w:val="00A457A7"/>
    <w:rsid w:val="00A45911"/>
    <w:rsid w:val="00A46AE5"/>
    <w:rsid w:val="00A51217"/>
    <w:rsid w:val="00A522E6"/>
    <w:rsid w:val="00A528C8"/>
    <w:rsid w:val="00A53684"/>
    <w:rsid w:val="00A536D8"/>
    <w:rsid w:val="00A53F0E"/>
    <w:rsid w:val="00A5456C"/>
    <w:rsid w:val="00A55754"/>
    <w:rsid w:val="00A563C7"/>
    <w:rsid w:val="00A57271"/>
    <w:rsid w:val="00A573E5"/>
    <w:rsid w:val="00A57735"/>
    <w:rsid w:val="00A60C17"/>
    <w:rsid w:val="00A61D44"/>
    <w:rsid w:val="00A61DD2"/>
    <w:rsid w:val="00A629C7"/>
    <w:rsid w:val="00A62F2A"/>
    <w:rsid w:val="00A64CB0"/>
    <w:rsid w:val="00A661E6"/>
    <w:rsid w:val="00A66573"/>
    <w:rsid w:val="00A67853"/>
    <w:rsid w:val="00A702C7"/>
    <w:rsid w:val="00A716A8"/>
    <w:rsid w:val="00A72C31"/>
    <w:rsid w:val="00A73011"/>
    <w:rsid w:val="00A73293"/>
    <w:rsid w:val="00A7506F"/>
    <w:rsid w:val="00A75F2B"/>
    <w:rsid w:val="00A7618E"/>
    <w:rsid w:val="00A76FEC"/>
    <w:rsid w:val="00A77B8E"/>
    <w:rsid w:val="00A801E9"/>
    <w:rsid w:val="00A80848"/>
    <w:rsid w:val="00A82BAB"/>
    <w:rsid w:val="00A84203"/>
    <w:rsid w:val="00A84393"/>
    <w:rsid w:val="00A85776"/>
    <w:rsid w:val="00A863BB"/>
    <w:rsid w:val="00A8748D"/>
    <w:rsid w:val="00A90046"/>
    <w:rsid w:val="00A91B0F"/>
    <w:rsid w:val="00A921E6"/>
    <w:rsid w:val="00A92F99"/>
    <w:rsid w:val="00A93ABF"/>
    <w:rsid w:val="00A94044"/>
    <w:rsid w:val="00A949BC"/>
    <w:rsid w:val="00A952E4"/>
    <w:rsid w:val="00A955DF"/>
    <w:rsid w:val="00A96821"/>
    <w:rsid w:val="00A97E9D"/>
    <w:rsid w:val="00AA0726"/>
    <w:rsid w:val="00AA72F7"/>
    <w:rsid w:val="00AA758C"/>
    <w:rsid w:val="00AB1AFF"/>
    <w:rsid w:val="00AB1D52"/>
    <w:rsid w:val="00AB4A97"/>
    <w:rsid w:val="00AC07CB"/>
    <w:rsid w:val="00AC1162"/>
    <w:rsid w:val="00AC2B2E"/>
    <w:rsid w:val="00AD2D68"/>
    <w:rsid w:val="00AD7489"/>
    <w:rsid w:val="00AE0712"/>
    <w:rsid w:val="00AE2AEF"/>
    <w:rsid w:val="00AE4A4D"/>
    <w:rsid w:val="00AE4D83"/>
    <w:rsid w:val="00AE58C1"/>
    <w:rsid w:val="00AE684E"/>
    <w:rsid w:val="00AE69B8"/>
    <w:rsid w:val="00AE73DD"/>
    <w:rsid w:val="00AF0C30"/>
    <w:rsid w:val="00AF1C4C"/>
    <w:rsid w:val="00AF1D7A"/>
    <w:rsid w:val="00AF216C"/>
    <w:rsid w:val="00AF4315"/>
    <w:rsid w:val="00AF46F0"/>
    <w:rsid w:val="00AF543F"/>
    <w:rsid w:val="00AF5BB7"/>
    <w:rsid w:val="00AF68F9"/>
    <w:rsid w:val="00AF72F5"/>
    <w:rsid w:val="00B01817"/>
    <w:rsid w:val="00B045FF"/>
    <w:rsid w:val="00B04A31"/>
    <w:rsid w:val="00B05D4A"/>
    <w:rsid w:val="00B073CC"/>
    <w:rsid w:val="00B075A8"/>
    <w:rsid w:val="00B10FD1"/>
    <w:rsid w:val="00B133E0"/>
    <w:rsid w:val="00B14878"/>
    <w:rsid w:val="00B14944"/>
    <w:rsid w:val="00B14952"/>
    <w:rsid w:val="00B15131"/>
    <w:rsid w:val="00B15333"/>
    <w:rsid w:val="00B15483"/>
    <w:rsid w:val="00B16F35"/>
    <w:rsid w:val="00B2529B"/>
    <w:rsid w:val="00B25A24"/>
    <w:rsid w:val="00B27423"/>
    <w:rsid w:val="00B27547"/>
    <w:rsid w:val="00B30D19"/>
    <w:rsid w:val="00B31FC0"/>
    <w:rsid w:val="00B321AC"/>
    <w:rsid w:val="00B3555C"/>
    <w:rsid w:val="00B36D9A"/>
    <w:rsid w:val="00B372D9"/>
    <w:rsid w:val="00B40869"/>
    <w:rsid w:val="00B426C4"/>
    <w:rsid w:val="00B43742"/>
    <w:rsid w:val="00B43CBC"/>
    <w:rsid w:val="00B45838"/>
    <w:rsid w:val="00B5077F"/>
    <w:rsid w:val="00B53571"/>
    <w:rsid w:val="00B53D7D"/>
    <w:rsid w:val="00B53FE2"/>
    <w:rsid w:val="00B55FA2"/>
    <w:rsid w:val="00B56732"/>
    <w:rsid w:val="00B60FA3"/>
    <w:rsid w:val="00B62364"/>
    <w:rsid w:val="00B64A45"/>
    <w:rsid w:val="00B64BA9"/>
    <w:rsid w:val="00B65D66"/>
    <w:rsid w:val="00B675AB"/>
    <w:rsid w:val="00B676E9"/>
    <w:rsid w:val="00B70F12"/>
    <w:rsid w:val="00B72B4A"/>
    <w:rsid w:val="00B76F10"/>
    <w:rsid w:val="00B7713F"/>
    <w:rsid w:val="00B80B94"/>
    <w:rsid w:val="00B81137"/>
    <w:rsid w:val="00B82CBD"/>
    <w:rsid w:val="00B8343F"/>
    <w:rsid w:val="00B8472A"/>
    <w:rsid w:val="00B84EEA"/>
    <w:rsid w:val="00B862E3"/>
    <w:rsid w:val="00B86633"/>
    <w:rsid w:val="00B901A5"/>
    <w:rsid w:val="00B901AF"/>
    <w:rsid w:val="00B90440"/>
    <w:rsid w:val="00B90F93"/>
    <w:rsid w:val="00B9400A"/>
    <w:rsid w:val="00B94DF9"/>
    <w:rsid w:val="00B96331"/>
    <w:rsid w:val="00B9738B"/>
    <w:rsid w:val="00BA01D1"/>
    <w:rsid w:val="00BA1080"/>
    <w:rsid w:val="00BA2756"/>
    <w:rsid w:val="00BA3F9D"/>
    <w:rsid w:val="00BA40F2"/>
    <w:rsid w:val="00BA47E6"/>
    <w:rsid w:val="00BA69E8"/>
    <w:rsid w:val="00BA71E9"/>
    <w:rsid w:val="00BA788B"/>
    <w:rsid w:val="00BA7D62"/>
    <w:rsid w:val="00BB1B39"/>
    <w:rsid w:val="00BB4BB7"/>
    <w:rsid w:val="00BB4C01"/>
    <w:rsid w:val="00BB5691"/>
    <w:rsid w:val="00BB5F64"/>
    <w:rsid w:val="00BC2ED6"/>
    <w:rsid w:val="00BC461B"/>
    <w:rsid w:val="00BC5447"/>
    <w:rsid w:val="00BC57C0"/>
    <w:rsid w:val="00BC62E3"/>
    <w:rsid w:val="00BC6E94"/>
    <w:rsid w:val="00BD15E7"/>
    <w:rsid w:val="00BD1C2D"/>
    <w:rsid w:val="00BD215D"/>
    <w:rsid w:val="00BD4B36"/>
    <w:rsid w:val="00BD7B6C"/>
    <w:rsid w:val="00BD7C02"/>
    <w:rsid w:val="00BE1475"/>
    <w:rsid w:val="00BE180C"/>
    <w:rsid w:val="00BE1E61"/>
    <w:rsid w:val="00BE3440"/>
    <w:rsid w:val="00BE391E"/>
    <w:rsid w:val="00BE6276"/>
    <w:rsid w:val="00BE68B4"/>
    <w:rsid w:val="00BF0EA1"/>
    <w:rsid w:val="00BF1A11"/>
    <w:rsid w:val="00BF2BF1"/>
    <w:rsid w:val="00C003B1"/>
    <w:rsid w:val="00C02C67"/>
    <w:rsid w:val="00C03B01"/>
    <w:rsid w:val="00C04F36"/>
    <w:rsid w:val="00C06619"/>
    <w:rsid w:val="00C0724E"/>
    <w:rsid w:val="00C07B30"/>
    <w:rsid w:val="00C107F5"/>
    <w:rsid w:val="00C10E6C"/>
    <w:rsid w:val="00C1365F"/>
    <w:rsid w:val="00C14A39"/>
    <w:rsid w:val="00C15E28"/>
    <w:rsid w:val="00C170D9"/>
    <w:rsid w:val="00C2202A"/>
    <w:rsid w:val="00C25A82"/>
    <w:rsid w:val="00C264C5"/>
    <w:rsid w:val="00C315A5"/>
    <w:rsid w:val="00C327FF"/>
    <w:rsid w:val="00C32C1A"/>
    <w:rsid w:val="00C338FF"/>
    <w:rsid w:val="00C33A2C"/>
    <w:rsid w:val="00C34245"/>
    <w:rsid w:val="00C35079"/>
    <w:rsid w:val="00C35113"/>
    <w:rsid w:val="00C3606F"/>
    <w:rsid w:val="00C365FC"/>
    <w:rsid w:val="00C37A24"/>
    <w:rsid w:val="00C37D26"/>
    <w:rsid w:val="00C407F4"/>
    <w:rsid w:val="00C41BD9"/>
    <w:rsid w:val="00C41F2C"/>
    <w:rsid w:val="00C461F7"/>
    <w:rsid w:val="00C4686D"/>
    <w:rsid w:val="00C47AD4"/>
    <w:rsid w:val="00C507BC"/>
    <w:rsid w:val="00C508F5"/>
    <w:rsid w:val="00C52B57"/>
    <w:rsid w:val="00C5327E"/>
    <w:rsid w:val="00C542EF"/>
    <w:rsid w:val="00C55B5C"/>
    <w:rsid w:val="00C56BC7"/>
    <w:rsid w:val="00C5734F"/>
    <w:rsid w:val="00C578A5"/>
    <w:rsid w:val="00C57B38"/>
    <w:rsid w:val="00C609ED"/>
    <w:rsid w:val="00C619A5"/>
    <w:rsid w:val="00C61BC6"/>
    <w:rsid w:val="00C62AC7"/>
    <w:rsid w:val="00C639E5"/>
    <w:rsid w:val="00C64467"/>
    <w:rsid w:val="00C6548E"/>
    <w:rsid w:val="00C6561A"/>
    <w:rsid w:val="00C65650"/>
    <w:rsid w:val="00C7018F"/>
    <w:rsid w:val="00C716DE"/>
    <w:rsid w:val="00C7232E"/>
    <w:rsid w:val="00C72879"/>
    <w:rsid w:val="00C729FC"/>
    <w:rsid w:val="00C73A81"/>
    <w:rsid w:val="00C761DB"/>
    <w:rsid w:val="00C76389"/>
    <w:rsid w:val="00C779F2"/>
    <w:rsid w:val="00C80AEA"/>
    <w:rsid w:val="00C80E40"/>
    <w:rsid w:val="00C80F58"/>
    <w:rsid w:val="00C81C76"/>
    <w:rsid w:val="00C81C94"/>
    <w:rsid w:val="00C823F7"/>
    <w:rsid w:val="00C82455"/>
    <w:rsid w:val="00C82709"/>
    <w:rsid w:val="00C828FD"/>
    <w:rsid w:val="00C83EEB"/>
    <w:rsid w:val="00C844CF"/>
    <w:rsid w:val="00C863C2"/>
    <w:rsid w:val="00C87C5F"/>
    <w:rsid w:val="00C92870"/>
    <w:rsid w:val="00C931FD"/>
    <w:rsid w:val="00C93F80"/>
    <w:rsid w:val="00C94119"/>
    <w:rsid w:val="00C97109"/>
    <w:rsid w:val="00C97747"/>
    <w:rsid w:val="00CA0359"/>
    <w:rsid w:val="00CA2DD3"/>
    <w:rsid w:val="00CA577A"/>
    <w:rsid w:val="00CA5CD1"/>
    <w:rsid w:val="00CA79D7"/>
    <w:rsid w:val="00CB2B2A"/>
    <w:rsid w:val="00CB335F"/>
    <w:rsid w:val="00CB372C"/>
    <w:rsid w:val="00CB3A59"/>
    <w:rsid w:val="00CB41BC"/>
    <w:rsid w:val="00CB492B"/>
    <w:rsid w:val="00CC1EC8"/>
    <w:rsid w:val="00CC4179"/>
    <w:rsid w:val="00CC4E24"/>
    <w:rsid w:val="00CC7052"/>
    <w:rsid w:val="00CD12EB"/>
    <w:rsid w:val="00CD1E1E"/>
    <w:rsid w:val="00CE0DE0"/>
    <w:rsid w:val="00CE0F02"/>
    <w:rsid w:val="00CE1A5B"/>
    <w:rsid w:val="00CE2F4E"/>
    <w:rsid w:val="00CE3105"/>
    <w:rsid w:val="00CE4FC1"/>
    <w:rsid w:val="00CE7500"/>
    <w:rsid w:val="00CF2C01"/>
    <w:rsid w:val="00CF2C11"/>
    <w:rsid w:val="00CF42A3"/>
    <w:rsid w:val="00CF576F"/>
    <w:rsid w:val="00CF5787"/>
    <w:rsid w:val="00CF6A02"/>
    <w:rsid w:val="00CF6CDD"/>
    <w:rsid w:val="00CF7D17"/>
    <w:rsid w:val="00CF7F4A"/>
    <w:rsid w:val="00D0122E"/>
    <w:rsid w:val="00D018EF"/>
    <w:rsid w:val="00D01961"/>
    <w:rsid w:val="00D05B14"/>
    <w:rsid w:val="00D05CFA"/>
    <w:rsid w:val="00D07114"/>
    <w:rsid w:val="00D10051"/>
    <w:rsid w:val="00D113B0"/>
    <w:rsid w:val="00D1144C"/>
    <w:rsid w:val="00D1347E"/>
    <w:rsid w:val="00D13E64"/>
    <w:rsid w:val="00D156FA"/>
    <w:rsid w:val="00D16593"/>
    <w:rsid w:val="00D16E21"/>
    <w:rsid w:val="00D17ECC"/>
    <w:rsid w:val="00D20DEB"/>
    <w:rsid w:val="00D2192A"/>
    <w:rsid w:val="00D21C35"/>
    <w:rsid w:val="00D225DF"/>
    <w:rsid w:val="00D22999"/>
    <w:rsid w:val="00D305A7"/>
    <w:rsid w:val="00D346A1"/>
    <w:rsid w:val="00D34727"/>
    <w:rsid w:val="00D3491C"/>
    <w:rsid w:val="00D34D40"/>
    <w:rsid w:val="00D359EA"/>
    <w:rsid w:val="00D360E2"/>
    <w:rsid w:val="00D361BD"/>
    <w:rsid w:val="00D36704"/>
    <w:rsid w:val="00D37C04"/>
    <w:rsid w:val="00D37C17"/>
    <w:rsid w:val="00D40728"/>
    <w:rsid w:val="00D40974"/>
    <w:rsid w:val="00D41601"/>
    <w:rsid w:val="00D416C2"/>
    <w:rsid w:val="00D45A43"/>
    <w:rsid w:val="00D461B2"/>
    <w:rsid w:val="00D50E52"/>
    <w:rsid w:val="00D51F8E"/>
    <w:rsid w:val="00D52CF4"/>
    <w:rsid w:val="00D53E95"/>
    <w:rsid w:val="00D5567D"/>
    <w:rsid w:val="00D5584A"/>
    <w:rsid w:val="00D56BFE"/>
    <w:rsid w:val="00D577A0"/>
    <w:rsid w:val="00D60CEF"/>
    <w:rsid w:val="00D66C8D"/>
    <w:rsid w:val="00D67F91"/>
    <w:rsid w:val="00D705AE"/>
    <w:rsid w:val="00D707F3"/>
    <w:rsid w:val="00D70D92"/>
    <w:rsid w:val="00D726F3"/>
    <w:rsid w:val="00D732D0"/>
    <w:rsid w:val="00D7368C"/>
    <w:rsid w:val="00D736D7"/>
    <w:rsid w:val="00D73BFC"/>
    <w:rsid w:val="00D761C3"/>
    <w:rsid w:val="00D80427"/>
    <w:rsid w:val="00D80CCF"/>
    <w:rsid w:val="00D823EF"/>
    <w:rsid w:val="00D82BB6"/>
    <w:rsid w:val="00D831AF"/>
    <w:rsid w:val="00D8329A"/>
    <w:rsid w:val="00D833C0"/>
    <w:rsid w:val="00D84635"/>
    <w:rsid w:val="00D84B99"/>
    <w:rsid w:val="00D84FF8"/>
    <w:rsid w:val="00D86DB0"/>
    <w:rsid w:val="00D91025"/>
    <w:rsid w:val="00D934EF"/>
    <w:rsid w:val="00D93BB3"/>
    <w:rsid w:val="00D958E2"/>
    <w:rsid w:val="00D96820"/>
    <w:rsid w:val="00D969B7"/>
    <w:rsid w:val="00D9776A"/>
    <w:rsid w:val="00D97AE5"/>
    <w:rsid w:val="00DA0C06"/>
    <w:rsid w:val="00DA1C00"/>
    <w:rsid w:val="00DA1DC1"/>
    <w:rsid w:val="00DA22B8"/>
    <w:rsid w:val="00DA22F0"/>
    <w:rsid w:val="00DA2DF6"/>
    <w:rsid w:val="00DA3DAD"/>
    <w:rsid w:val="00DA4165"/>
    <w:rsid w:val="00DA4592"/>
    <w:rsid w:val="00DA5283"/>
    <w:rsid w:val="00DA5C75"/>
    <w:rsid w:val="00DA6FAF"/>
    <w:rsid w:val="00DA7D21"/>
    <w:rsid w:val="00DB0ACB"/>
    <w:rsid w:val="00DB0FD4"/>
    <w:rsid w:val="00DB2768"/>
    <w:rsid w:val="00DB29D4"/>
    <w:rsid w:val="00DB2EBB"/>
    <w:rsid w:val="00DB3ADF"/>
    <w:rsid w:val="00DB5263"/>
    <w:rsid w:val="00DB60D4"/>
    <w:rsid w:val="00DB65A0"/>
    <w:rsid w:val="00DB6784"/>
    <w:rsid w:val="00DB6E70"/>
    <w:rsid w:val="00DB7242"/>
    <w:rsid w:val="00DC034A"/>
    <w:rsid w:val="00DC2586"/>
    <w:rsid w:val="00DC5546"/>
    <w:rsid w:val="00DC5C7F"/>
    <w:rsid w:val="00DC6A9A"/>
    <w:rsid w:val="00DC72DE"/>
    <w:rsid w:val="00DC7851"/>
    <w:rsid w:val="00DD030A"/>
    <w:rsid w:val="00DD089C"/>
    <w:rsid w:val="00DD1036"/>
    <w:rsid w:val="00DD1A7E"/>
    <w:rsid w:val="00DD5385"/>
    <w:rsid w:val="00DE0D91"/>
    <w:rsid w:val="00DE4E25"/>
    <w:rsid w:val="00DE55A2"/>
    <w:rsid w:val="00DE5D1F"/>
    <w:rsid w:val="00DE7537"/>
    <w:rsid w:val="00DE7D13"/>
    <w:rsid w:val="00DE7EEB"/>
    <w:rsid w:val="00DF1486"/>
    <w:rsid w:val="00DF2086"/>
    <w:rsid w:val="00DF2F29"/>
    <w:rsid w:val="00DF3C69"/>
    <w:rsid w:val="00DF4E0B"/>
    <w:rsid w:val="00DF533F"/>
    <w:rsid w:val="00DF644A"/>
    <w:rsid w:val="00DF7019"/>
    <w:rsid w:val="00DF7BAA"/>
    <w:rsid w:val="00E00BC1"/>
    <w:rsid w:val="00E00DEC"/>
    <w:rsid w:val="00E02758"/>
    <w:rsid w:val="00E036B2"/>
    <w:rsid w:val="00E04331"/>
    <w:rsid w:val="00E04A8D"/>
    <w:rsid w:val="00E04C81"/>
    <w:rsid w:val="00E059F5"/>
    <w:rsid w:val="00E0684E"/>
    <w:rsid w:val="00E069AA"/>
    <w:rsid w:val="00E1031C"/>
    <w:rsid w:val="00E11C1E"/>
    <w:rsid w:val="00E12E03"/>
    <w:rsid w:val="00E12E15"/>
    <w:rsid w:val="00E142A8"/>
    <w:rsid w:val="00E14625"/>
    <w:rsid w:val="00E1498A"/>
    <w:rsid w:val="00E156AB"/>
    <w:rsid w:val="00E15BE9"/>
    <w:rsid w:val="00E20C04"/>
    <w:rsid w:val="00E20F27"/>
    <w:rsid w:val="00E22330"/>
    <w:rsid w:val="00E2289D"/>
    <w:rsid w:val="00E238F0"/>
    <w:rsid w:val="00E243C5"/>
    <w:rsid w:val="00E255EE"/>
    <w:rsid w:val="00E256E9"/>
    <w:rsid w:val="00E25E91"/>
    <w:rsid w:val="00E26F4C"/>
    <w:rsid w:val="00E270BD"/>
    <w:rsid w:val="00E270F2"/>
    <w:rsid w:val="00E31B6E"/>
    <w:rsid w:val="00E31C1C"/>
    <w:rsid w:val="00E3320F"/>
    <w:rsid w:val="00E33A38"/>
    <w:rsid w:val="00E350AC"/>
    <w:rsid w:val="00E35FCE"/>
    <w:rsid w:val="00E363E5"/>
    <w:rsid w:val="00E36917"/>
    <w:rsid w:val="00E378AF"/>
    <w:rsid w:val="00E40693"/>
    <w:rsid w:val="00E44257"/>
    <w:rsid w:val="00E44441"/>
    <w:rsid w:val="00E44D27"/>
    <w:rsid w:val="00E458D7"/>
    <w:rsid w:val="00E45F81"/>
    <w:rsid w:val="00E50A7B"/>
    <w:rsid w:val="00E513A8"/>
    <w:rsid w:val="00E54805"/>
    <w:rsid w:val="00E550B2"/>
    <w:rsid w:val="00E56881"/>
    <w:rsid w:val="00E572CB"/>
    <w:rsid w:val="00E576E8"/>
    <w:rsid w:val="00E57A12"/>
    <w:rsid w:val="00E603F9"/>
    <w:rsid w:val="00E6306C"/>
    <w:rsid w:val="00E641E5"/>
    <w:rsid w:val="00E64DF8"/>
    <w:rsid w:val="00E66234"/>
    <w:rsid w:val="00E666A4"/>
    <w:rsid w:val="00E66CE0"/>
    <w:rsid w:val="00E70B65"/>
    <w:rsid w:val="00E7134D"/>
    <w:rsid w:val="00E73624"/>
    <w:rsid w:val="00E770FE"/>
    <w:rsid w:val="00E7717D"/>
    <w:rsid w:val="00E807EB"/>
    <w:rsid w:val="00E821D6"/>
    <w:rsid w:val="00E85638"/>
    <w:rsid w:val="00E865C1"/>
    <w:rsid w:val="00E866CA"/>
    <w:rsid w:val="00E86B20"/>
    <w:rsid w:val="00E90490"/>
    <w:rsid w:val="00E90FE9"/>
    <w:rsid w:val="00E9109A"/>
    <w:rsid w:val="00E920DB"/>
    <w:rsid w:val="00E93246"/>
    <w:rsid w:val="00E93D25"/>
    <w:rsid w:val="00E94411"/>
    <w:rsid w:val="00E9496B"/>
    <w:rsid w:val="00E94D15"/>
    <w:rsid w:val="00E953EE"/>
    <w:rsid w:val="00E9588A"/>
    <w:rsid w:val="00E9747C"/>
    <w:rsid w:val="00E97C6D"/>
    <w:rsid w:val="00EA0F9C"/>
    <w:rsid w:val="00EA0FE0"/>
    <w:rsid w:val="00EA3494"/>
    <w:rsid w:val="00EA3A28"/>
    <w:rsid w:val="00EA69E5"/>
    <w:rsid w:val="00EA7D9C"/>
    <w:rsid w:val="00EB163A"/>
    <w:rsid w:val="00EB1A40"/>
    <w:rsid w:val="00EB2B4B"/>
    <w:rsid w:val="00EB3E33"/>
    <w:rsid w:val="00EB46E8"/>
    <w:rsid w:val="00EB5932"/>
    <w:rsid w:val="00EB6691"/>
    <w:rsid w:val="00EC0390"/>
    <w:rsid w:val="00EC0F91"/>
    <w:rsid w:val="00EC37FC"/>
    <w:rsid w:val="00EC3FDA"/>
    <w:rsid w:val="00EC5177"/>
    <w:rsid w:val="00ED0EAD"/>
    <w:rsid w:val="00ED31F8"/>
    <w:rsid w:val="00ED4BE6"/>
    <w:rsid w:val="00ED7967"/>
    <w:rsid w:val="00ED7C50"/>
    <w:rsid w:val="00EE0D1F"/>
    <w:rsid w:val="00EE10FF"/>
    <w:rsid w:val="00EE1B55"/>
    <w:rsid w:val="00EE4181"/>
    <w:rsid w:val="00EE5F03"/>
    <w:rsid w:val="00EF11B0"/>
    <w:rsid w:val="00EF286D"/>
    <w:rsid w:val="00EF2B48"/>
    <w:rsid w:val="00EF5A36"/>
    <w:rsid w:val="00EF7F7F"/>
    <w:rsid w:val="00F01EF3"/>
    <w:rsid w:val="00F028F9"/>
    <w:rsid w:val="00F02FCF"/>
    <w:rsid w:val="00F055CA"/>
    <w:rsid w:val="00F05BCC"/>
    <w:rsid w:val="00F06A93"/>
    <w:rsid w:val="00F0713A"/>
    <w:rsid w:val="00F072CB"/>
    <w:rsid w:val="00F10594"/>
    <w:rsid w:val="00F10863"/>
    <w:rsid w:val="00F13CFF"/>
    <w:rsid w:val="00F158F8"/>
    <w:rsid w:val="00F1666B"/>
    <w:rsid w:val="00F16A33"/>
    <w:rsid w:val="00F17921"/>
    <w:rsid w:val="00F217C3"/>
    <w:rsid w:val="00F221A3"/>
    <w:rsid w:val="00F24B4D"/>
    <w:rsid w:val="00F26778"/>
    <w:rsid w:val="00F27A31"/>
    <w:rsid w:val="00F30629"/>
    <w:rsid w:val="00F319C6"/>
    <w:rsid w:val="00F33C7E"/>
    <w:rsid w:val="00F33CD0"/>
    <w:rsid w:val="00F34F1C"/>
    <w:rsid w:val="00F37B7D"/>
    <w:rsid w:val="00F40FDF"/>
    <w:rsid w:val="00F41488"/>
    <w:rsid w:val="00F4229B"/>
    <w:rsid w:val="00F430F1"/>
    <w:rsid w:val="00F4402D"/>
    <w:rsid w:val="00F460A2"/>
    <w:rsid w:val="00F4640B"/>
    <w:rsid w:val="00F46CEA"/>
    <w:rsid w:val="00F47361"/>
    <w:rsid w:val="00F474C2"/>
    <w:rsid w:val="00F50EC3"/>
    <w:rsid w:val="00F5221C"/>
    <w:rsid w:val="00F52F5D"/>
    <w:rsid w:val="00F536B1"/>
    <w:rsid w:val="00F536ED"/>
    <w:rsid w:val="00F5623A"/>
    <w:rsid w:val="00F574A4"/>
    <w:rsid w:val="00F57A5D"/>
    <w:rsid w:val="00F61C3F"/>
    <w:rsid w:val="00F62726"/>
    <w:rsid w:val="00F62AF7"/>
    <w:rsid w:val="00F64A88"/>
    <w:rsid w:val="00F67B36"/>
    <w:rsid w:val="00F70A53"/>
    <w:rsid w:val="00F72B91"/>
    <w:rsid w:val="00F72F8B"/>
    <w:rsid w:val="00F758F1"/>
    <w:rsid w:val="00F76856"/>
    <w:rsid w:val="00F76C57"/>
    <w:rsid w:val="00F776AC"/>
    <w:rsid w:val="00F811F5"/>
    <w:rsid w:val="00F8269F"/>
    <w:rsid w:val="00F8341F"/>
    <w:rsid w:val="00F8608A"/>
    <w:rsid w:val="00F909A2"/>
    <w:rsid w:val="00F90D32"/>
    <w:rsid w:val="00F925E5"/>
    <w:rsid w:val="00F92FD3"/>
    <w:rsid w:val="00F94C0C"/>
    <w:rsid w:val="00FA0F9B"/>
    <w:rsid w:val="00FA2C77"/>
    <w:rsid w:val="00FA2C9D"/>
    <w:rsid w:val="00FA31F9"/>
    <w:rsid w:val="00FA4F92"/>
    <w:rsid w:val="00FA5087"/>
    <w:rsid w:val="00FA5110"/>
    <w:rsid w:val="00FA65DE"/>
    <w:rsid w:val="00FB16B0"/>
    <w:rsid w:val="00FB17A9"/>
    <w:rsid w:val="00FB4A1F"/>
    <w:rsid w:val="00FB4AA7"/>
    <w:rsid w:val="00FB5C91"/>
    <w:rsid w:val="00FB72E9"/>
    <w:rsid w:val="00FB7709"/>
    <w:rsid w:val="00FB7E82"/>
    <w:rsid w:val="00FC14F5"/>
    <w:rsid w:val="00FC37CC"/>
    <w:rsid w:val="00FC4CDC"/>
    <w:rsid w:val="00FC65B0"/>
    <w:rsid w:val="00FC680B"/>
    <w:rsid w:val="00FC6E02"/>
    <w:rsid w:val="00FC6F1C"/>
    <w:rsid w:val="00FD0882"/>
    <w:rsid w:val="00FD0F1C"/>
    <w:rsid w:val="00FD3803"/>
    <w:rsid w:val="00FD38E5"/>
    <w:rsid w:val="00FD46B6"/>
    <w:rsid w:val="00FD5FF2"/>
    <w:rsid w:val="00FD6D7C"/>
    <w:rsid w:val="00FD73A9"/>
    <w:rsid w:val="00FE37CD"/>
    <w:rsid w:val="00FE4615"/>
    <w:rsid w:val="00FE58A6"/>
    <w:rsid w:val="00FE6428"/>
    <w:rsid w:val="00FE6F60"/>
    <w:rsid w:val="00FE75E8"/>
    <w:rsid w:val="00FF24CF"/>
    <w:rsid w:val="00FF48A7"/>
    <w:rsid w:val="00FF634F"/>
    <w:rsid w:val="00FF6449"/>
    <w:rsid w:val="00FF6A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Heading1">
    <w:name w:val="heading 1"/>
    <w:basedOn w:val="Normal"/>
    <w:next w:val="Normal"/>
    <w:link w:val="Heading1Char"/>
    <w:qFormat/>
    <w:rsid w:val="00C779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pPr>
      <w:keepNext/>
      <w:jc w:val="center"/>
      <w:outlineLvl w:val="2"/>
    </w:pPr>
    <w:rPr>
      <w:b/>
      <w:sz w:val="20"/>
      <w:u w:val="single"/>
    </w:rPr>
  </w:style>
  <w:style w:type="paragraph" w:styleId="Heading5">
    <w:name w:val="heading 5"/>
    <w:basedOn w:val="Normal"/>
    <w:next w:val="Normal"/>
    <w:qFormat/>
    <w:pPr>
      <w:keepNext/>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customStyle="1" w:styleId="ConfEmphasise">
    <w:name w:val="ConfEmphasise"/>
    <w:basedOn w:val="Normal"/>
    <w:rPr>
      <w:b/>
    </w:rPr>
  </w:style>
  <w:style w:type="paragraph" w:styleId="BodyText">
    <w:name w:val="Body Text"/>
    <w:basedOn w:val="Normal"/>
    <w:link w:val="BodyTextChar"/>
    <w:qFormat/>
    <w:rsid w:val="00EC37FC"/>
    <w:pPr>
      <w:spacing w:line="320" w:lineRule="atLeast"/>
      <w:jc w:val="both"/>
    </w:pPr>
    <w:rPr>
      <w:rFonts w:ascii="Calibri" w:hAnsi="Calibri"/>
    </w:rPr>
  </w:style>
  <w:style w:type="character" w:styleId="Hyperlink">
    <w:name w:val="Hyperlink"/>
    <w:rPr>
      <w:color w:val="0000FF"/>
      <w:u w:val="single"/>
    </w:rPr>
  </w:style>
  <w:style w:type="paragraph" w:styleId="ListBullet">
    <w:name w:val="List Bullet"/>
    <w:basedOn w:val="Normal"/>
    <w:autoRedefine/>
    <w:qFormat/>
    <w:pPr>
      <w:numPr>
        <w:numId w:val="1"/>
      </w:numPr>
    </w:pPr>
  </w:style>
  <w:style w:type="paragraph" w:customStyle="1" w:styleId="Finding">
    <w:name w:val="Finding"/>
    <w:basedOn w:val="BodyText"/>
    <w:rsid w:val="00F01EF3"/>
    <w:pPr>
      <w:keepLines/>
      <w:spacing w:before="180"/>
    </w:pPr>
    <w:rPr>
      <w:rFonts w:ascii="Times New Roman" w:hAnsi="Times New Roman"/>
      <w:i/>
      <w:sz w:val="26"/>
    </w:rPr>
  </w:style>
  <w:style w:type="paragraph" w:customStyle="1" w:styleId="RecTitle">
    <w:name w:val="Rec Title"/>
    <w:basedOn w:val="BodyText"/>
    <w:next w:val="Normal"/>
    <w:rsid w:val="00F01EF3"/>
    <w:pPr>
      <w:keepNext/>
      <w:keepLines/>
      <w:spacing w:before="240"/>
    </w:pPr>
    <w:rPr>
      <w:rFonts w:ascii="Times New Roman" w:hAnsi="Times New Roman"/>
      <w:caps/>
    </w:rPr>
  </w:style>
  <w:style w:type="paragraph" w:customStyle="1" w:styleId="FindingTitle">
    <w:name w:val="Finding Title"/>
    <w:basedOn w:val="RecTitle"/>
    <w:next w:val="Finding"/>
    <w:rsid w:val="00F01EF3"/>
    <w:pPr>
      <w:framePr w:wrap="notBeside" w:hAnchor="text"/>
    </w:pPr>
  </w:style>
  <w:style w:type="paragraph" w:customStyle="1" w:styleId="InformationRequest">
    <w:name w:val="Information Request"/>
    <w:basedOn w:val="Finding"/>
    <w:next w:val="BodyText"/>
    <w:rsid w:val="00F01EF3"/>
    <w:pPr>
      <w:spacing w:before="360" w:after="120"/>
    </w:pPr>
    <w:rPr>
      <w:rFonts w:ascii="Arial" w:hAnsi="Arial"/>
      <w:sz w:val="24"/>
    </w:rPr>
  </w:style>
  <w:style w:type="paragraph" w:customStyle="1" w:styleId="Rec">
    <w:name w:val="Rec"/>
    <w:basedOn w:val="BodyText"/>
    <w:link w:val="RecChar"/>
    <w:rsid w:val="00F01EF3"/>
    <w:pPr>
      <w:keepLines/>
      <w:spacing w:before="180"/>
    </w:pPr>
    <w:rPr>
      <w:rFonts w:ascii="Times New Roman" w:hAnsi="Times New Roman"/>
      <w:b/>
      <w:i/>
      <w:sz w:val="26"/>
    </w:rPr>
  </w:style>
  <w:style w:type="paragraph" w:customStyle="1" w:styleId="RecBullet">
    <w:name w:val="Rec Bullet"/>
    <w:basedOn w:val="Rec"/>
    <w:rsid w:val="00F01EF3"/>
    <w:pPr>
      <w:numPr>
        <w:numId w:val="13"/>
      </w:numPr>
      <w:spacing w:before="80"/>
    </w:pPr>
  </w:style>
  <w:style w:type="paragraph" w:customStyle="1" w:styleId="InformationRequestBullet">
    <w:name w:val="Information Request Bullet"/>
    <w:basedOn w:val="ListBullet"/>
    <w:next w:val="BodyText"/>
    <w:rsid w:val="00F01EF3"/>
    <w:pPr>
      <w:numPr>
        <w:numId w:val="14"/>
      </w:numPr>
      <w:spacing w:before="120" w:line="320" w:lineRule="atLeast"/>
      <w:jc w:val="both"/>
    </w:pPr>
    <w:rPr>
      <w:i/>
    </w:rPr>
  </w:style>
  <w:style w:type="character" w:customStyle="1" w:styleId="BodyTextChar">
    <w:name w:val="Body Text Char"/>
    <w:link w:val="BodyText"/>
    <w:rsid w:val="00EC37FC"/>
    <w:rPr>
      <w:rFonts w:ascii="Calibri" w:hAnsi="Calibri"/>
      <w:sz w:val="24"/>
    </w:rPr>
  </w:style>
  <w:style w:type="character" w:customStyle="1" w:styleId="Heading3Char">
    <w:name w:val="Heading 3 Char"/>
    <w:link w:val="Heading3"/>
    <w:rsid w:val="00F01EF3"/>
    <w:rPr>
      <w:rFonts w:ascii="Arial" w:hAnsi="Arial"/>
      <w:b/>
      <w:u w:val="single"/>
    </w:rPr>
  </w:style>
  <w:style w:type="character" w:customStyle="1" w:styleId="RecChar">
    <w:name w:val="Rec Char"/>
    <w:link w:val="Rec"/>
    <w:rsid w:val="00F01EF3"/>
    <w:rPr>
      <w:b/>
      <w:i/>
      <w:sz w:val="26"/>
    </w:rPr>
  </w:style>
  <w:style w:type="paragraph" w:styleId="BalloonText">
    <w:name w:val="Balloon Text"/>
    <w:basedOn w:val="Normal"/>
    <w:link w:val="BalloonTextChar"/>
    <w:rsid w:val="00EC37FC"/>
    <w:rPr>
      <w:rFonts w:ascii="Tahoma" w:hAnsi="Tahoma" w:cs="Tahoma"/>
      <w:sz w:val="16"/>
      <w:szCs w:val="16"/>
    </w:rPr>
  </w:style>
  <w:style w:type="character" w:customStyle="1" w:styleId="BalloonTextChar">
    <w:name w:val="Balloon Text Char"/>
    <w:basedOn w:val="DefaultParagraphFont"/>
    <w:link w:val="BalloonText"/>
    <w:rsid w:val="00EC37FC"/>
    <w:rPr>
      <w:rFonts w:ascii="Tahoma" w:hAnsi="Tahoma" w:cs="Tahoma"/>
      <w:sz w:val="16"/>
      <w:szCs w:val="16"/>
    </w:rPr>
  </w:style>
  <w:style w:type="paragraph" w:styleId="FootnoteText">
    <w:name w:val="footnote text"/>
    <w:basedOn w:val="Normal"/>
    <w:link w:val="FootnoteTextChar"/>
    <w:rsid w:val="00C97109"/>
    <w:rPr>
      <w:sz w:val="20"/>
    </w:rPr>
  </w:style>
  <w:style w:type="character" w:customStyle="1" w:styleId="FootnoteTextChar">
    <w:name w:val="Footnote Text Char"/>
    <w:basedOn w:val="DefaultParagraphFont"/>
    <w:link w:val="FootnoteText"/>
    <w:rsid w:val="00C97109"/>
    <w:rPr>
      <w:rFonts w:ascii="Arial" w:hAnsi="Arial"/>
    </w:rPr>
  </w:style>
  <w:style w:type="character" w:styleId="FootnoteReference">
    <w:name w:val="footnote reference"/>
    <w:basedOn w:val="DefaultParagraphFont"/>
    <w:rsid w:val="00C97109"/>
    <w:rPr>
      <w:vertAlign w:val="superscript"/>
    </w:rPr>
  </w:style>
  <w:style w:type="paragraph" w:styleId="ListParagraph">
    <w:name w:val="List Paragraph"/>
    <w:basedOn w:val="Normal"/>
    <w:uiPriority w:val="34"/>
    <w:qFormat/>
    <w:rsid w:val="003937B9"/>
    <w:pPr>
      <w:ind w:left="720"/>
      <w:contextualSpacing/>
    </w:pPr>
  </w:style>
  <w:style w:type="paragraph" w:styleId="EndnoteText">
    <w:name w:val="endnote text"/>
    <w:basedOn w:val="Normal"/>
    <w:link w:val="EndnoteTextChar"/>
    <w:rsid w:val="006A6B7D"/>
    <w:rPr>
      <w:sz w:val="20"/>
    </w:rPr>
  </w:style>
  <w:style w:type="character" w:customStyle="1" w:styleId="EndnoteTextChar">
    <w:name w:val="Endnote Text Char"/>
    <w:basedOn w:val="DefaultParagraphFont"/>
    <w:link w:val="EndnoteText"/>
    <w:rsid w:val="006A6B7D"/>
    <w:rPr>
      <w:rFonts w:ascii="Arial" w:hAnsi="Arial"/>
    </w:rPr>
  </w:style>
  <w:style w:type="character" w:styleId="EndnoteReference">
    <w:name w:val="endnote reference"/>
    <w:basedOn w:val="DefaultParagraphFont"/>
    <w:rsid w:val="006A6B7D"/>
    <w:rPr>
      <w:vertAlign w:val="superscript"/>
    </w:rPr>
  </w:style>
  <w:style w:type="character" w:customStyle="1" w:styleId="Heading1Char">
    <w:name w:val="Heading 1 Char"/>
    <w:basedOn w:val="DefaultParagraphFont"/>
    <w:link w:val="Heading1"/>
    <w:rsid w:val="00C779F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Heading1">
    <w:name w:val="heading 1"/>
    <w:basedOn w:val="Normal"/>
    <w:next w:val="Normal"/>
    <w:link w:val="Heading1Char"/>
    <w:qFormat/>
    <w:rsid w:val="00C779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pPr>
      <w:keepNext/>
      <w:jc w:val="center"/>
      <w:outlineLvl w:val="2"/>
    </w:pPr>
    <w:rPr>
      <w:b/>
      <w:sz w:val="20"/>
      <w:u w:val="single"/>
    </w:rPr>
  </w:style>
  <w:style w:type="paragraph" w:styleId="Heading5">
    <w:name w:val="heading 5"/>
    <w:basedOn w:val="Normal"/>
    <w:next w:val="Normal"/>
    <w:qFormat/>
    <w:pPr>
      <w:keepNext/>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customStyle="1" w:styleId="ConfEmphasise">
    <w:name w:val="ConfEmphasise"/>
    <w:basedOn w:val="Normal"/>
    <w:rPr>
      <w:b/>
    </w:rPr>
  </w:style>
  <w:style w:type="paragraph" w:styleId="BodyText">
    <w:name w:val="Body Text"/>
    <w:basedOn w:val="Normal"/>
    <w:link w:val="BodyTextChar"/>
    <w:qFormat/>
    <w:rsid w:val="00EC37FC"/>
    <w:pPr>
      <w:spacing w:line="320" w:lineRule="atLeast"/>
      <w:jc w:val="both"/>
    </w:pPr>
    <w:rPr>
      <w:rFonts w:ascii="Calibri" w:hAnsi="Calibri"/>
    </w:rPr>
  </w:style>
  <w:style w:type="character" w:styleId="Hyperlink">
    <w:name w:val="Hyperlink"/>
    <w:rPr>
      <w:color w:val="0000FF"/>
      <w:u w:val="single"/>
    </w:rPr>
  </w:style>
  <w:style w:type="paragraph" w:styleId="ListBullet">
    <w:name w:val="List Bullet"/>
    <w:basedOn w:val="Normal"/>
    <w:autoRedefine/>
    <w:qFormat/>
    <w:pPr>
      <w:numPr>
        <w:numId w:val="1"/>
      </w:numPr>
    </w:pPr>
  </w:style>
  <w:style w:type="paragraph" w:customStyle="1" w:styleId="Finding">
    <w:name w:val="Finding"/>
    <w:basedOn w:val="BodyText"/>
    <w:rsid w:val="00F01EF3"/>
    <w:pPr>
      <w:keepLines/>
      <w:spacing w:before="180"/>
    </w:pPr>
    <w:rPr>
      <w:rFonts w:ascii="Times New Roman" w:hAnsi="Times New Roman"/>
      <w:i/>
      <w:sz w:val="26"/>
    </w:rPr>
  </w:style>
  <w:style w:type="paragraph" w:customStyle="1" w:styleId="RecTitle">
    <w:name w:val="Rec Title"/>
    <w:basedOn w:val="BodyText"/>
    <w:next w:val="Normal"/>
    <w:rsid w:val="00F01EF3"/>
    <w:pPr>
      <w:keepNext/>
      <w:keepLines/>
      <w:spacing w:before="240"/>
    </w:pPr>
    <w:rPr>
      <w:rFonts w:ascii="Times New Roman" w:hAnsi="Times New Roman"/>
      <w:caps/>
    </w:rPr>
  </w:style>
  <w:style w:type="paragraph" w:customStyle="1" w:styleId="FindingTitle">
    <w:name w:val="Finding Title"/>
    <w:basedOn w:val="RecTitle"/>
    <w:next w:val="Finding"/>
    <w:rsid w:val="00F01EF3"/>
    <w:pPr>
      <w:framePr w:wrap="notBeside" w:hAnchor="text"/>
    </w:pPr>
  </w:style>
  <w:style w:type="paragraph" w:customStyle="1" w:styleId="InformationRequest">
    <w:name w:val="Information Request"/>
    <w:basedOn w:val="Finding"/>
    <w:next w:val="BodyText"/>
    <w:rsid w:val="00F01EF3"/>
    <w:pPr>
      <w:spacing w:before="360" w:after="120"/>
    </w:pPr>
    <w:rPr>
      <w:rFonts w:ascii="Arial" w:hAnsi="Arial"/>
      <w:sz w:val="24"/>
    </w:rPr>
  </w:style>
  <w:style w:type="paragraph" w:customStyle="1" w:styleId="Rec">
    <w:name w:val="Rec"/>
    <w:basedOn w:val="BodyText"/>
    <w:link w:val="RecChar"/>
    <w:rsid w:val="00F01EF3"/>
    <w:pPr>
      <w:keepLines/>
      <w:spacing w:before="180"/>
    </w:pPr>
    <w:rPr>
      <w:rFonts w:ascii="Times New Roman" w:hAnsi="Times New Roman"/>
      <w:b/>
      <w:i/>
      <w:sz w:val="26"/>
    </w:rPr>
  </w:style>
  <w:style w:type="paragraph" w:customStyle="1" w:styleId="RecBullet">
    <w:name w:val="Rec Bullet"/>
    <w:basedOn w:val="Rec"/>
    <w:rsid w:val="00F01EF3"/>
    <w:pPr>
      <w:numPr>
        <w:numId w:val="13"/>
      </w:numPr>
      <w:spacing w:before="80"/>
    </w:pPr>
  </w:style>
  <w:style w:type="paragraph" w:customStyle="1" w:styleId="InformationRequestBullet">
    <w:name w:val="Information Request Bullet"/>
    <w:basedOn w:val="ListBullet"/>
    <w:next w:val="BodyText"/>
    <w:rsid w:val="00F01EF3"/>
    <w:pPr>
      <w:numPr>
        <w:numId w:val="14"/>
      </w:numPr>
      <w:spacing w:before="120" w:line="320" w:lineRule="atLeast"/>
      <w:jc w:val="both"/>
    </w:pPr>
    <w:rPr>
      <w:i/>
    </w:rPr>
  </w:style>
  <w:style w:type="character" w:customStyle="1" w:styleId="BodyTextChar">
    <w:name w:val="Body Text Char"/>
    <w:link w:val="BodyText"/>
    <w:rsid w:val="00EC37FC"/>
    <w:rPr>
      <w:rFonts w:ascii="Calibri" w:hAnsi="Calibri"/>
      <w:sz w:val="24"/>
    </w:rPr>
  </w:style>
  <w:style w:type="character" w:customStyle="1" w:styleId="Heading3Char">
    <w:name w:val="Heading 3 Char"/>
    <w:link w:val="Heading3"/>
    <w:rsid w:val="00F01EF3"/>
    <w:rPr>
      <w:rFonts w:ascii="Arial" w:hAnsi="Arial"/>
      <w:b/>
      <w:u w:val="single"/>
    </w:rPr>
  </w:style>
  <w:style w:type="character" w:customStyle="1" w:styleId="RecChar">
    <w:name w:val="Rec Char"/>
    <w:link w:val="Rec"/>
    <w:rsid w:val="00F01EF3"/>
    <w:rPr>
      <w:b/>
      <w:i/>
      <w:sz w:val="26"/>
    </w:rPr>
  </w:style>
  <w:style w:type="paragraph" w:styleId="BalloonText">
    <w:name w:val="Balloon Text"/>
    <w:basedOn w:val="Normal"/>
    <w:link w:val="BalloonTextChar"/>
    <w:rsid w:val="00EC37FC"/>
    <w:rPr>
      <w:rFonts w:ascii="Tahoma" w:hAnsi="Tahoma" w:cs="Tahoma"/>
      <w:sz w:val="16"/>
      <w:szCs w:val="16"/>
    </w:rPr>
  </w:style>
  <w:style w:type="character" w:customStyle="1" w:styleId="BalloonTextChar">
    <w:name w:val="Balloon Text Char"/>
    <w:basedOn w:val="DefaultParagraphFont"/>
    <w:link w:val="BalloonText"/>
    <w:rsid w:val="00EC37FC"/>
    <w:rPr>
      <w:rFonts w:ascii="Tahoma" w:hAnsi="Tahoma" w:cs="Tahoma"/>
      <w:sz w:val="16"/>
      <w:szCs w:val="16"/>
    </w:rPr>
  </w:style>
  <w:style w:type="paragraph" w:styleId="FootnoteText">
    <w:name w:val="footnote text"/>
    <w:basedOn w:val="Normal"/>
    <w:link w:val="FootnoteTextChar"/>
    <w:rsid w:val="00C97109"/>
    <w:rPr>
      <w:sz w:val="20"/>
    </w:rPr>
  </w:style>
  <w:style w:type="character" w:customStyle="1" w:styleId="FootnoteTextChar">
    <w:name w:val="Footnote Text Char"/>
    <w:basedOn w:val="DefaultParagraphFont"/>
    <w:link w:val="FootnoteText"/>
    <w:rsid w:val="00C97109"/>
    <w:rPr>
      <w:rFonts w:ascii="Arial" w:hAnsi="Arial"/>
    </w:rPr>
  </w:style>
  <w:style w:type="character" w:styleId="FootnoteReference">
    <w:name w:val="footnote reference"/>
    <w:basedOn w:val="DefaultParagraphFont"/>
    <w:rsid w:val="00C97109"/>
    <w:rPr>
      <w:vertAlign w:val="superscript"/>
    </w:rPr>
  </w:style>
  <w:style w:type="paragraph" w:styleId="ListParagraph">
    <w:name w:val="List Paragraph"/>
    <w:basedOn w:val="Normal"/>
    <w:uiPriority w:val="34"/>
    <w:qFormat/>
    <w:rsid w:val="003937B9"/>
    <w:pPr>
      <w:ind w:left="720"/>
      <w:contextualSpacing/>
    </w:pPr>
  </w:style>
  <w:style w:type="paragraph" w:styleId="EndnoteText">
    <w:name w:val="endnote text"/>
    <w:basedOn w:val="Normal"/>
    <w:link w:val="EndnoteTextChar"/>
    <w:rsid w:val="006A6B7D"/>
    <w:rPr>
      <w:sz w:val="20"/>
    </w:rPr>
  </w:style>
  <w:style w:type="character" w:customStyle="1" w:styleId="EndnoteTextChar">
    <w:name w:val="Endnote Text Char"/>
    <w:basedOn w:val="DefaultParagraphFont"/>
    <w:link w:val="EndnoteText"/>
    <w:rsid w:val="006A6B7D"/>
    <w:rPr>
      <w:rFonts w:ascii="Arial" w:hAnsi="Arial"/>
    </w:rPr>
  </w:style>
  <w:style w:type="character" w:styleId="EndnoteReference">
    <w:name w:val="endnote reference"/>
    <w:basedOn w:val="DefaultParagraphFont"/>
    <w:rsid w:val="006A6B7D"/>
    <w:rPr>
      <w:vertAlign w:val="superscript"/>
    </w:rPr>
  </w:style>
  <w:style w:type="character" w:customStyle="1" w:styleId="Heading1Char">
    <w:name w:val="Heading 1 Char"/>
    <w:basedOn w:val="DefaultParagraphFont"/>
    <w:link w:val="Heading1"/>
    <w:rsid w:val="00C779F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545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ink/ink1.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ccess.justice@pc.gov.a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yperlink" Target="http://www.nationallegalaid.org/home/finance/" TargetMode="External"/><Relationship Id="rId10" Type="http://schemas.openxmlformats.org/officeDocument/2006/relationships/hyperlink" Target="mailto:"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 TargetMode="External"/><Relationship Id="rId14" Type="http://schemas.openxmlformats.org/officeDocument/2006/relationships/image" Target="media/image2.emf"/></Relationships>
</file>

<file path=word/ink/ink1.xml><?xml version="1.0" encoding="utf-8"?>
<inkml:ink xmlns:inkml="http://www.w3.org/2003/InkML">
  <inkml:definitions>
    <inkml:context xml:id="ctx0">
      <inkml:inkSource xml:id="inkSrc0">
        <inkml:traceFormat>
          <inkml:channel name="X" type="integer" max="4095" units="cm"/>
          <inkml:channel name="Y" type="integer" max="4095" units="cm"/>
        </inkml:traceFormat>
        <inkml:channelProperties>
          <inkml:channelProperty channel="X" name="resolution" value="139.14374" units="1/cm"/>
          <inkml:channelProperty channel="Y" name="resolution" value="247.43202" units="1/cm"/>
        </inkml:channelProperties>
      </inkml:inkSource>
      <inkml:timestamp xml:id="ts0" timeString="2014-05-25T02:59:22.802"/>
    </inkml:context>
    <inkml:brush xml:id="br0">
      <inkml:brushProperty name="width" value="0.1" units="cm"/>
      <inkml:brushProperty name="height" value="0.1" units="cm"/>
      <inkml:brushProperty name="fitToCurve" value="1"/>
    </inkml:brush>
  </inkml:definitions>
  <inkml:trace contextRef="#ctx0" brushRef="#br0">0 0,'0'0,"0"0,0 0,0 0,0 0,0 0,0 0,0 0,0 0,0 0,0 0,0 0,0 0,0 0,0 0,0 0,0 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21000-3D51-4C6E-B28A-FF20752D5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8248</Words>
  <Characters>45196</Characters>
  <Application>Microsoft Office Word</Application>
  <DocSecurity>0</DocSecurity>
  <Lines>962</Lines>
  <Paragraphs>244</Paragraphs>
  <ScaleCrop>false</ScaleCrop>
  <HeadingPairs>
    <vt:vector size="2" baseType="variant">
      <vt:variant>
        <vt:lpstr>Title</vt:lpstr>
      </vt:variant>
      <vt:variant>
        <vt:i4>1</vt:i4>
      </vt:variant>
    </vt:vector>
  </HeadingPairs>
  <TitlesOfParts>
    <vt:vector size="1" baseType="lpstr">
      <vt:lpstr>Submission DR228 - National Legal Aid - Access to Justice Arrangements - Public inquiry</vt:lpstr>
    </vt:vector>
  </TitlesOfParts>
  <Company>National Legal Aid</Company>
  <LinksUpToDate>false</LinksUpToDate>
  <CharactersWithSpaces>53550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DR228 - National Legal Aid - Access to Justice Arrangements - Public inquiry</dc:title>
  <dc:creator>National Legal Aid</dc:creator>
  <cp:lastModifiedBy>Productivity Commission</cp:lastModifiedBy>
  <cp:revision>2</cp:revision>
  <cp:lastPrinted>2014-05-30T06:37:00Z</cp:lastPrinted>
  <dcterms:created xsi:type="dcterms:W3CDTF">2014-06-05T03:11:00Z</dcterms:created>
  <dcterms:modified xsi:type="dcterms:W3CDTF">2014-06-05T03:11:00Z</dcterms:modified>
</cp:coreProperties>
</file>