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A49" w:rsidRPr="00DA491C" w:rsidRDefault="00510A49" w:rsidP="00DA491C">
      <w:pPr>
        <w:autoSpaceDE w:val="0"/>
        <w:autoSpaceDN w:val="0"/>
        <w:adjustRightInd w:val="0"/>
        <w:spacing w:before="240" w:after="0" w:line="240" w:lineRule="auto"/>
        <w:jc w:val="both"/>
        <w:rPr>
          <w:rStyle w:val="Emphasis"/>
          <w:rFonts w:ascii="Goudy Old Style" w:hAnsi="Goudy Old Style" w:cs="Goudy Old Style"/>
          <w:i w:val="0"/>
          <w:iCs w:val="0"/>
          <w:color w:val="000000"/>
          <w:sz w:val="28"/>
          <w:szCs w:val="28"/>
        </w:rPr>
      </w:pPr>
      <w:bookmarkStart w:id="0" w:name="_GoBack"/>
      <w:bookmarkEnd w:id="0"/>
    </w:p>
    <w:p w:rsidR="00510A49" w:rsidRDefault="00510A49" w:rsidP="00510A49">
      <w:pPr>
        <w:pStyle w:val="Heading1"/>
        <w:pBdr>
          <w:top w:val="single" w:sz="4" w:space="2" w:color="auto"/>
          <w:left w:val="single" w:sz="4" w:space="31" w:color="auto"/>
          <w:bottom w:val="single" w:sz="4" w:space="31" w:color="auto"/>
          <w:right w:val="single" w:sz="4" w:space="31" w:color="auto"/>
        </w:pBdr>
        <w:shd w:val="clear" w:color="auto" w:fill="E0E0E0"/>
        <w:spacing w:before="180" w:after="500"/>
        <w:jc w:val="center"/>
        <w:rPr>
          <w:rFonts w:ascii="Arial" w:hAnsi="Arial" w:cs="Arial"/>
          <w:color w:val="auto"/>
        </w:rPr>
      </w:pPr>
      <w:r>
        <w:rPr>
          <w:rFonts w:ascii="Arial" w:hAnsi="Arial" w:cs="Arial"/>
          <w:color w:val="auto"/>
        </w:rPr>
        <w:t>Access to Justice Arrangements (Draft Report</w:t>
      </w:r>
      <w:r w:rsidR="00DF4059">
        <w:rPr>
          <w:rFonts w:ascii="Arial" w:hAnsi="Arial" w:cs="Arial"/>
          <w:color w:val="auto"/>
        </w:rPr>
        <w:t>)</w:t>
      </w:r>
    </w:p>
    <w:p w:rsidR="00510A49" w:rsidRDefault="00DF4059" w:rsidP="00510A49">
      <w:pPr>
        <w:pStyle w:val="Heading1"/>
        <w:pBdr>
          <w:top w:val="single" w:sz="4" w:space="2" w:color="auto"/>
          <w:left w:val="single" w:sz="4" w:space="31" w:color="auto"/>
          <w:bottom w:val="single" w:sz="4" w:space="31" w:color="auto"/>
          <w:right w:val="single" w:sz="4" w:space="31" w:color="auto"/>
        </w:pBdr>
        <w:shd w:val="clear" w:color="auto" w:fill="E0E0E0"/>
        <w:spacing w:before="180" w:after="500"/>
        <w:jc w:val="center"/>
        <w:rPr>
          <w:rFonts w:ascii="Arial" w:hAnsi="Arial" w:cs="Arial"/>
          <w:color w:val="auto"/>
        </w:rPr>
      </w:pPr>
      <w:r>
        <w:rPr>
          <w:rFonts w:ascii="Arial" w:hAnsi="Arial" w:cs="Arial"/>
          <w:color w:val="auto"/>
        </w:rPr>
        <w:t>Productivity Commission</w:t>
      </w:r>
    </w:p>
    <w:p w:rsidR="00510A49" w:rsidRDefault="00DF4059" w:rsidP="00510A49">
      <w:pPr>
        <w:pStyle w:val="Heading1"/>
        <w:pBdr>
          <w:top w:val="single" w:sz="4" w:space="2" w:color="auto"/>
          <w:left w:val="single" w:sz="4" w:space="31" w:color="auto"/>
          <w:bottom w:val="single" w:sz="4" w:space="31" w:color="auto"/>
          <w:right w:val="single" w:sz="4" w:space="31" w:color="auto"/>
        </w:pBdr>
        <w:shd w:val="clear" w:color="auto" w:fill="E0E0E0"/>
        <w:spacing w:before="180" w:after="500"/>
        <w:jc w:val="center"/>
        <w:rPr>
          <w:rFonts w:ascii="Arial" w:hAnsi="Arial" w:cs="Arial"/>
          <w:color w:val="auto"/>
        </w:rPr>
      </w:pPr>
      <w:r>
        <w:rPr>
          <w:rFonts w:ascii="Arial" w:hAnsi="Arial" w:cs="Arial"/>
          <w:color w:val="auto"/>
        </w:rPr>
        <w:t>May 2014</w:t>
      </w:r>
    </w:p>
    <w:p w:rsidR="00510A49" w:rsidRDefault="00510A49" w:rsidP="00510A49">
      <w:pPr>
        <w:pStyle w:val="Heading1"/>
        <w:pBdr>
          <w:top w:val="single" w:sz="4" w:space="2" w:color="auto"/>
          <w:left w:val="single" w:sz="4" w:space="31" w:color="auto"/>
          <w:bottom w:val="single" w:sz="4" w:space="31" w:color="auto"/>
          <w:right w:val="single" w:sz="4" w:space="31" w:color="auto"/>
        </w:pBdr>
        <w:shd w:val="clear" w:color="auto" w:fill="E0E0E0"/>
        <w:spacing w:before="180" w:after="500"/>
        <w:jc w:val="center"/>
        <w:rPr>
          <w:rFonts w:ascii="Arial" w:hAnsi="Arial" w:cs="Arial"/>
          <w:color w:val="auto"/>
        </w:rPr>
      </w:pPr>
      <w:r>
        <w:rPr>
          <w:rFonts w:ascii="Arial" w:hAnsi="Arial" w:cs="Arial"/>
          <w:color w:val="auto"/>
        </w:rPr>
        <w:t>Prepared by the Physical Disability Council of NSW</w:t>
      </w:r>
    </w:p>
    <w:p w:rsidR="00510A49" w:rsidRPr="00BD68E4" w:rsidRDefault="00510A49" w:rsidP="00510A49">
      <w:pPr>
        <w:spacing w:after="40"/>
        <w:jc w:val="both"/>
        <w:rPr>
          <w:rFonts w:ascii="Arial" w:hAnsi="Arial" w:cs="Arial"/>
        </w:rPr>
      </w:pPr>
      <w:r w:rsidRPr="00BD68E4">
        <w:rPr>
          <w:rFonts w:ascii="Arial" w:hAnsi="Arial" w:cs="Arial"/>
        </w:rPr>
        <w:t>Jordana Goodman</w:t>
      </w:r>
    </w:p>
    <w:p w:rsidR="00510A49" w:rsidRPr="00BD68E4" w:rsidRDefault="00510A49" w:rsidP="00510A49">
      <w:pPr>
        <w:spacing w:after="40"/>
        <w:jc w:val="both"/>
        <w:rPr>
          <w:rFonts w:ascii="Arial" w:hAnsi="Arial" w:cs="Arial"/>
        </w:rPr>
      </w:pPr>
      <w:r w:rsidRPr="00BD68E4">
        <w:rPr>
          <w:rFonts w:ascii="Arial" w:hAnsi="Arial" w:cs="Arial"/>
        </w:rPr>
        <w:t>Policy Officer</w:t>
      </w:r>
    </w:p>
    <w:p w:rsidR="00510A49" w:rsidRPr="00BD68E4" w:rsidRDefault="00510A49" w:rsidP="00510A49">
      <w:pPr>
        <w:spacing w:after="40"/>
        <w:jc w:val="both"/>
        <w:rPr>
          <w:rFonts w:ascii="Arial" w:hAnsi="Arial" w:cs="Arial"/>
        </w:rPr>
      </w:pPr>
      <w:r w:rsidRPr="00BD68E4">
        <w:rPr>
          <w:rFonts w:ascii="Arial" w:hAnsi="Arial" w:cs="Arial"/>
        </w:rPr>
        <w:t xml:space="preserve">Physical Disability Council of NSW </w:t>
      </w:r>
    </w:p>
    <w:p w:rsidR="00510A49" w:rsidRPr="00BD68E4" w:rsidRDefault="00510A49" w:rsidP="00510A49">
      <w:pPr>
        <w:spacing w:after="40"/>
        <w:jc w:val="both"/>
        <w:rPr>
          <w:rFonts w:ascii="Arial" w:hAnsi="Arial" w:cs="Arial"/>
        </w:rPr>
      </w:pPr>
      <w:r w:rsidRPr="00BD68E4">
        <w:rPr>
          <w:rFonts w:ascii="Arial" w:hAnsi="Arial" w:cs="Arial"/>
          <w:bCs/>
        </w:rPr>
        <w:t>St Helens Community Centre</w:t>
      </w:r>
    </w:p>
    <w:p w:rsidR="00510A49" w:rsidRPr="00BD68E4" w:rsidRDefault="00510A49" w:rsidP="00510A49">
      <w:pPr>
        <w:pStyle w:val="Footer"/>
        <w:tabs>
          <w:tab w:val="left" w:pos="720"/>
        </w:tabs>
        <w:spacing w:after="40" w:line="276" w:lineRule="auto"/>
        <w:jc w:val="both"/>
        <w:rPr>
          <w:rFonts w:ascii="Arial" w:hAnsi="Arial" w:cs="Arial"/>
        </w:rPr>
      </w:pPr>
      <w:r w:rsidRPr="00BD68E4">
        <w:rPr>
          <w:rFonts w:ascii="Arial" w:hAnsi="Arial" w:cs="Arial"/>
          <w:noProof/>
          <w:lang w:eastAsia="en-AU"/>
        </w:rPr>
        <mc:AlternateContent>
          <mc:Choice Requires="wps">
            <w:drawing>
              <wp:anchor distT="0" distB="0" distL="114300" distR="114300" simplePos="0" relativeHeight="251659264" behindDoc="0" locked="0" layoutInCell="1" allowOverlap="1" wp14:anchorId="1526F06C" wp14:editId="11E21988">
                <wp:simplePos x="0" y="0"/>
                <wp:positionH relativeFrom="column">
                  <wp:posOffset>2400300</wp:posOffset>
                </wp:positionH>
                <wp:positionV relativeFrom="paragraph">
                  <wp:posOffset>139700</wp:posOffset>
                </wp:positionV>
                <wp:extent cx="3284855" cy="800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A49" w:rsidRDefault="00510A49" w:rsidP="00510A49">
                            <w:pPr>
                              <w:rPr>
                                <w:sz w:val="20"/>
                              </w:rPr>
                            </w:pP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9pt;margin-top:11pt;width:258.65pt;height: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" filled="f" stroked="f">
                <v:textbox inset="7.5pt,3.75pt,7.5pt,3.75pt">
                  <w:txbxContent>
                    <w:p w:rsidR="00510A49" w:rsidRDefault="00510A49" w:rsidP="00510A49">
                      <w:pPr>
                        <w:rPr>
                          <w:sz w:val="20"/>
                        </w:rPr>
                      </w:pPr>
                    </w:p>
                  </w:txbxContent>
                </v:textbox>
              </v:shape>
            </w:pict>
          </mc:Fallback>
        </mc:AlternateContent>
      </w:r>
      <w:r w:rsidRPr="00BD68E4">
        <w:rPr>
          <w:rFonts w:ascii="Arial" w:hAnsi="Arial" w:cs="Arial"/>
        </w:rPr>
        <w:t>3/184 Glebe Point Road</w:t>
      </w:r>
    </w:p>
    <w:p w:rsidR="00510A49" w:rsidRPr="00BD68E4" w:rsidRDefault="00510A49" w:rsidP="00510A49">
      <w:pPr>
        <w:spacing w:after="40"/>
        <w:jc w:val="both"/>
        <w:rPr>
          <w:rFonts w:ascii="Arial" w:hAnsi="Arial" w:cs="Arial"/>
        </w:rPr>
      </w:pPr>
      <w:r w:rsidRPr="00BD68E4">
        <w:rPr>
          <w:rFonts w:ascii="Arial" w:hAnsi="Arial" w:cs="Arial"/>
        </w:rPr>
        <w:t>Glebe NSW 2037</w:t>
      </w:r>
    </w:p>
    <w:p w:rsidR="00510A49" w:rsidRPr="00BD68E4" w:rsidRDefault="00510A49" w:rsidP="00510A49">
      <w:pPr>
        <w:spacing w:after="40"/>
        <w:jc w:val="both"/>
        <w:rPr>
          <w:rFonts w:ascii="Arial" w:hAnsi="Arial" w:cs="Arial"/>
        </w:rPr>
      </w:pPr>
    </w:p>
    <w:p w:rsidR="00510A49" w:rsidRPr="00BD68E4" w:rsidRDefault="00510A49" w:rsidP="00510A49">
      <w:pPr>
        <w:spacing w:after="40"/>
        <w:jc w:val="both"/>
        <w:rPr>
          <w:rFonts w:ascii="Arial" w:hAnsi="Arial" w:cs="Arial"/>
        </w:rPr>
      </w:pPr>
      <w:proofErr w:type="spellStart"/>
      <w:r w:rsidRPr="00BD68E4">
        <w:rPr>
          <w:rFonts w:ascii="Arial" w:hAnsi="Arial" w:cs="Arial"/>
        </w:rPr>
        <w:t>Freecall</w:t>
      </w:r>
      <w:proofErr w:type="spellEnd"/>
      <w:r w:rsidRPr="00BD68E4">
        <w:rPr>
          <w:rFonts w:ascii="Arial" w:hAnsi="Arial" w:cs="Arial"/>
        </w:rPr>
        <w:t>: 1800 688 831</w:t>
      </w:r>
    </w:p>
    <w:p w:rsidR="00510A49" w:rsidRPr="00BD68E4" w:rsidRDefault="00510A49" w:rsidP="00510A49">
      <w:pPr>
        <w:spacing w:after="40"/>
        <w:jc w:val="both"/>
        <w:rPr>
          <w:rFonts w:ascii="Arial" w:hAnsi="Arial" w:cs="Arial"/>
          <w:b/>
        </w:rPr>
      </w:pPr>
      <w:r w:rsidRPr="00BD68E4">
        <w:rPr>
          <w:rFonts w:ascii="Arial" w:hAnsi="Arial" w:cs="Arial"/>
        </w:rPr>
        <w:t xml:space="preserve">Web: </w:t>
      </w:r>
      <w:hyperlink r:id="rId9" w:history="1">
        <w:r w:rsidRPr="00BD68E4">
          <w:rPr>
            <w:rStyle w:val="Hyperlink"/>
            <w:rFonts w:ascii="Arial" w:hAnsi="Arial" w:cs="Arial"/>
          </w:rPr>
          <w:t>http://</w:t>
        </w:r>
        <w:proofErr w:type="spellStart"/>
        <w:r w:rsidRPr="00BD68E4">
          <w:rPr>
            <w:rStyle w:val="Hyperlink"/>
            <w:rFonts w:ascii="Arial" w:hAnsi="Arial" w:cs="Arial"/>
          </w:rPr>
          <w:t>www.pdcn.nsw.org.au</w:t>
        </w:r>
        <w:proofErr w:type="spellEnd"/>
        <w:r w:rsidRPr="00BD68E4">
          <w:rPr>
            <w:rStyle w:val="Hyperlink"/>
            <w:rFonts w:ascii="Arial" w:hAnsi="Arial" w:cs="Arial"/>
          </w:rPr>
          <w:t>/</w:t>
        </w:r>
      </w:hyperlink>
      <w:r w:rsidRPr="00BD68E4">
        <w:rPr>
          <w:rFonts w:ascii="Arial" w:hAnsi="Arial" w:cs="Arial"/>
        </w:rPr>
        <w:t xml:space="preserve">     </w:t>
      </w:r>
    </w:p>
    <w:p w:rsidR="00510A49" w:rsidRPr="008A69A7" w:rsidRDefault="00510A49" w:rsidP="00DF4059">
      <w:pPr>
        <w:pageBreakBefore/>
        <w:autoSpaceDE w:val="0"/>
        <w:autoSpaceDN w:val="0"/>
        <w:adjustRightInd w:val="0"/>
        <w:jc w:val="both"/>
        <w:rPr>
          <w:rFonts w:ascii="Arial" w:hAnsi="Arial" w:cs="Arial"/>
          <w:color w:val="000000"/>
        </w:rPr>
      </w:pPr>
      <w:r w:rsidRPr="008A69A7">
        <w:rPr>
          <w:rFonts w:ascii="Arial" w:hAnsi="Arial" w:cs="Arial"/>
          <w:b/>
          <w:bCs/>
          <w:color w:val="000000"/>
        </w:rPr>
        <w:lastRenderedPageBreak/>
        <w:t xml:space="preserve">Who is the Physical Disability Council of NSW? </w:t>
      </w:r>
    </w:p>
    <w:p w:rsidR="00510A49" w:rsidRPr="00DF4059" w:rsidRDefault="00510A49" w:rsidP="00DF4059">
      <w:pPr>
        <w:autoSpaceDE w:val="0"/>
        <w:autoSpaceDN w:val="0"/>
        <w:adjustRightInd w:val="0"/>
        <w:jc w:val="both"/>
        <w:rPr>
          <w:rFonts w:ascii="Arial" w:hAnsi="Arial" w:cs="Arial"/>
        </w:rPr>
      </w:pPr>
      <w:r w:rsidRPr="00DF4059">
        <w:rPr>
          <w:rFonts w:ascii="Arial" w:hAnsi="Arial" w:cs="Arial"/>
        </w:rPr>
        <w:t xml:space="preserve">The Physical Disability Council of NSW (PDCN) is the peak body representing people with physical disabilities across New South Wales. This includes people with a range of physical disability issues, from young children and their representatives to aged people, who are from a wide range of socio-economic circumstances and live in metropolitan, rural and regional areas of NSW </w:t>
      </w:r>
    </w:p>
    <w:p w:rsidR="00510A49" w:rsidRPr="00DF4059" w:rsidRDefault="00510A49" w:rsidP="00DF4059">
      <w:pPr>
        <w:autoSpaceDE w:val="0"/>
        <w:autoSpaceDN w:val="0"/>
        <w:adjustRightInd w:val="0"/>
        <w:jc w:val="both"/>
        <w:rPr>
          <w:rFonts w:ascii="Arial" w:hAnsi="Arial" w:cs="Arial"/>
        </w:rPr>
      </w:pPr>
      <w:r w:rsidRPr="00DF4059">
        <w:rPr>
          <w:rFonts w:ascii="Arial" w:hAnsi="Arial" w:cs="Arial"/>
        </w:rPr>
        <w:t xml:space="preserve">The objectives of PDCN are: </w:t>
      </w:r>
    </w:p>
    <w:p w:rsidR="00510A49" w:rsidRPr="00DF4059" w:rsidRDefault="00510A49" w:rsidP="00DF4059">
      <w:pPr>
        <w:autoSpaceDE w:val="0"/>
        <w:autoSpaceDN w:val="0"/>
        <w:adjustRightInd w:val="0"/>
        <w:ind w:left="425" w:hanging="425"/>
        <w:jc w:val="both"/>
        <w:rPr>
          <w:rFonts w:ascii="Arial" w:hAnsi="Arial" w:cs="Arial"/>
        </w:rPr>
      </w:pPr>
      <w:r w:rsidRPr="00DF4059">
        <w:rPr>
          <w:rFonts w:ascii="Arial" w:hAnsi="Arial" w:cs="Arial"/>
        </w:rPr>
        <w:t xml:space="preserve">• To educate, inform and assist people with physical disabilities in NSW about the range of services, structure and programs available that enable their full participation, equality of opportunity and equality of citizenship </w:t>
      </w:r>
    </w:p>
    <w:p w:rsidR="00510A49" w:rsidRPr="00DF4059" w:rsidRDefault="00510A49" w:rsidP="00DF4059">
      <w:pPr>
        <w:autoSpaceDE w:val="0"/>
        <w:autoSpaceDN w:val="0"/>
        <w:adjustRightInd w:val="0"/>
        <w:ind w:left="425" w:hanging="425"/>
        <w:jc w:val="both"/>
        <w:rPr>
          <w:rFonts w:ascii="Arial" w:hAnsi="Arial" w:cs="Arial"/>
        </w:rPr>
      </w:pPr>
      <w:r w:rsidRPr="00DF4059">
        <w:rPr>
          <w:rFonts w:ascii="Arial" w:hAnsi="Arial" w:cs="Arial"/>
        </w:rPr>
        <w:t>• To develop the capacity of people with physical disability in NSW to identify their own goals, and the confidence to develop a pathway to achieving their goals (</w:t>
      </w:r>
      <w:proofErr w:type="spellStart"/>
      <w:r w:rsidRPr="00DF4059">
        <w:rPr>
          <w:rFonts w:ascii="Arial" w:hAnsi="Arial" w:cs="Arial"/>
        </w:rPr>
        <w:t>ie</w:t>
      </w:r>
      <w:proofErr w:type="spellEnd"/>
      <w:r w:rsidRPr="00DF4059">
        <w:rPr>
          <w:rFonts w:ascii="Arial" w:hAnsi="Arial" w:cs="Arial"/>
        </w:rPr>
        <w:t xml:space="preserve"> </w:t>
      </w:r>
      <w:proofErr w:type="spellStart"/>
      <w:r w:rsidRPr="00DF4059">
        <w:rPr>
          <w:rFonts w:ascii="Arial" w:hAnsi="Arial" w:cs="Arial"/>
        </w:rPr>
        <w:t>self advocate</w:t>
      </w:r>
      <w:proofErr w:type="spellEnd"/>
      <w:r w:rsidRPr="00DF4059">
        <w:rPr>
          <w:rFonts w:ascii="Arial" w:hAnsi="Arial" w:cs="Arial"/>
        </w:rPr>
        <w:t xml:space="preserve">). </w:t>
      </w:r>
    </w:p>
    <w:p w:rsidR="00510A49" w:rsidRPr="00DF4059" w:rsidRDefault="00510A49" w:rsidP="00DF4059">
      <w:pPr>
        <w:autoSpaceDE w:val="0"/>
        <w:autoSpaceDN w:val="0"/>
        <w:adjustRightInd w:val="0"/>
        <w:ind w:left="425" w:hanging="425"/>
        <w:jc w:val="both"/>
        <w:rPr>
          <w:rFonts w:ascii="Arial" w:hAnsi="Arial" w:cs="Arial"/>
        </w:rPr>
      </w:pPr>
      <w:r w:rsidRPr="00DF4059">
        <w:rPr>
          <w:rFonts w:ascii="Arial" w:hAnsi="Arial" w:cs="Arial"/>
        </w:rPr>
        <w:t>• To educate and inform stakeholders (</w:t>
      </w:r>
      <w:proofErr w:type="spellStart"/>
      <w:r w:rsidRPr="00DF4059">
        <w:rPr>
          <w:rFonts w:ascii="Arial" w:hAnsi="Arial" w:cs="Arial"/>
        </w:rPr>
        <w:t>ie</w:t>
      </w:r>
      <w:proofErr w:type="spellEnd"/>
      <w:r w:rsidRPr="00DF4059">
        <w:rPr>
          <w:rFonts w:ascii="Arial" w:hAnsi="Arial" w:cs="Arial"/>
        </w:rPr>
        <w:t xml:space="preserve"> about the needs of people with a physical disability) so they are able to achieve and maintain full participation, equality of opportunity and equality of citizenship.</w:t>
      </w:r>
    </w:p>
    <w:p w:rsidR="00DF4059" w:rsidRPr="00DF4059" w:rsidRDefault="00510A49" w:rsidP="00DF4059">
      <w:pPr>
        <w:autoSpaceDE w:val="0"/>
        <w:autoSpaceDN w:val="0"/>
        <w:adjustRightInd w:val="0"/>
        <w:jc w:val="both"/>
        <w:rPr>
          <w:rFonts w:ascii="Arial" w:hAnsi="Arial" w:cs="Arial"/>
        </w:rPr>
      </w:pPr>
      <w:r w:rsidRPr="00DF4059">
        <w:rPr>
          <w:rFonts w:ascii="Arial" w:hAnsi="Arial" w:cs="Arial"/>
        </w:rPr>
        <w:t xml:space="preserve"> PDCN would like to thank the </w:t>
      </w:r>
      <w:r w:rsidR="00DF4059" w:rsidRPr="00DF4059">
        <w:rPr>
          <w:rFonts w:ascii="Arial" w:hAnsi="Arial" w:cs="Arial"/>
        </w:rPr>
        <w:t>Productivity Commission</w:t>
      </w:r>
      <w:r w:rsidRPr="00DF4059">
        <w:rPr>
          <w:rFonts w:ascii="Arial" w:hAnsi="Arial" w:cs="Arial"/>
        </w:rPr>
        <w:t xml:space="preserve"> for the opportunity to make comment on the </w:t>
      </w:r>
      <w:r w:rsidR="00DF4059" w:rsidRPr="00DF4059">
        <w:rPr>
          <w:rFonts w:ascii="Arial" w:hAnsi="Arial" w:cs="Arial"/>
        </w:rPr>
        <w:t xml:space="preserve">Access to Justice </w:t>
      </w:r>
      <w:r w:rsidRPr="00DF4059">
        <w:rPr>
          <w:rFonts w:ascii="Arial" w:hAnsi="Arial" w:cs="Arial"/>
        </w:rPr>
        <w:t>Draft</w:t>
      </w:r>
      <w:r w:rsidR="00DF4059" w:rsidRPr="00DF4059">
        <w:rPr>
          <w:rFonts w:ascii="Arial" w:hAnsi="Arial" w:cs="Arial"/>
        </w:rPr>
        <w:t xml:space="preserve"> Report 2</w:t>
      </w:r>
      <w:r w:rsidRPr="00DF4059">
        <w:rPr>
          <w:rFonts w:ascii="Arial" w:hAnsi="Arial" w:cs="Arial"/>
        </w:rPr>
        <w:t>01</w:t>
      </w:r>
      <w:r w:rsidR="00DF4059" w:rsidRPr="00DF4059">
        <w:rPr>
          <w:rFonts w:ascii="Arial" w:hAnsi="Arial" w:cs="Arial"/>
        </w:rPr>
        <w:t>4</w:t>
      </w:r>
      <w:r w:rsidRPr="00DF4059">
        <w:rPr>
          <w:rFonts w:ascii="Arial" w:hAnsi="Arial" w:cs="Arial"/>
        </w:rPr>
        <w:t xml:space="preserve">, and would like to support </w:t>
      </w:r>
      <w:r w:rsidR="00DF4059" w:rsidRPr="00DF4059">
        <w:rPr>
          <w:rFonts w:ascii="Arial" w:hAnsi="Arial" w:cs="Arial"/>
        </w:rPr>
        <w:t>implementing strategies that facilitate greater access for people with disability to the legal justice system.</w:t>
      </w:r>
    </w:p>
    <w:p w:rsidR="001002B7" w:rsidRPr="00DF4059" w:rsidRDefault="00BC1BF2" w:rsidP="00DF4059">
      <w:pPr>
        <w:jc w:val="both"/>
        <w:rPr>
          <w:rFonts w:ascii="Arial" w:hAnsi="Arial" w:cs="Arial"/>
        </w:rPr>
      </w:pPr>
      <w:r w:rsidRPr="00DF4059">
        <w:rPr>
          <w:rFonts w:ascii="Arial" w:hAnsi="Arial" w:cs="Arial"/>
        </w:rPr>
        <w:t>In 2011 the Australian government adopted the National Disability Strategy</w:t>
      </w:r>
      <w:r w:rsidR="00C73C63" w:rsidRPr="00DF4059">
        <w:rPr>
          <w:rFonts w:ascii="Arial" w:hAnsi="Arial" w:cs="Arial"/>
        </w:rPr>
        <w:t xml:space="preserve"> (NDS)</w:t>
      </w:r>
      <w:r w:rsidRPr="00DF4059">
        <w:rPr>
          <w:rFonts w:ascii="Arial" w:hAnsi="Arial" w:cs="Arial"/>
        </w:rPr>
        <w:t xml:space="preserve"> </w:t>
      </w:r>
      <w:r w:rsidR="00C73C63" w:rsidRPr="00DF4059">
        <w:rPr>
          <w:rFonts w:ascii="Arial" w:hAnsi="Arial" w:cs="Arial"/>
        </w:rPr>
        <w:t xml:space="preserve">2010- 2020 </w:t>
      </w:r>
      <w:r w:rsidRPr="00DF4059">
        <w:rPr>
          <w:rFonts w:ascii="Arial" w:hAnsi="Arial" w:cs="Arial"/>
        </w:rPr>
        <w:t xml:space="preserve">as part of </w:t>
      </w:r>
      <w:r w:rsidR="00C73C63" w:rsidRPr="00DF4059">
        <w:rPr>
          <w:rFonts w:ascii="Arial" w:hAnsi="Arial" w:cs="Arial"/>
        </w:rPr>
        <w:t>endorsing the</w:t>
      </w:r>
      <w:r w:rsidRPr="00DF4059">
        <w:rPr>
          <w:rFonts w:ascii="Arial" w:hAnsi="Arial" w:cs="Arial"/>
        </w:rPr>
        <w:t xml:space="preserve"> Convention on the Rights of Pe</w:t>
      </w:r>
      <w:r w:rsidR="00904DA5" w:rsidRPr="00DF4059">
        <w:rPr>
          <w:rFonts w:ascii="Arial" w:hAnsi="Arial" w:cs="Arial"/>
        </w:rPr>
        <w:t>rsons</w:t>
      </w:r>
      <w:r w:rsidRPr="00DF4059">
        <w:rPr>
          <w:rFonts w:ascii="Arial" w:hAnsi="Arial" w:cs="Arial"/>
        </w:rPr>
        <w:t xml:space="preserve"> with Disabilities (CRPD)</w:t>
      </w:r>
      <w:r w:rsidR="00C73C63" w:rsidRPr="00DF4059">
        <w:rPr>
          <w:rFonts w:ascii="Arial" w:hAnsi="Arial" w:cs="Arial"/>
        </w:rPr>
        <w:t xml:space="preserve">. </w:t>
      </w:r>
      <w:r w:rsidR="00463DD5" w:rsidRPr="00DF4059">
        <w:rPr>
          <w:rFonts w:ascii="Arial" w:hAnsi="Arial" w:cs="Arial"/>
        </w:rPr>
        <w:t>As part of being a signatory to the CRPD the Australian government is committed to the implementation of</w:t>
      </w:r>
      <w:r w:rsidR="00974B3D" w:rsidRPr="00DF4059">
        <w:rPr>
          <w:rFonts w:ascii="Arial" w:hAnsi="Arial" w:cs="Arial"/>
        </w:rPr>
        <w:t xml:space="preserve"> Article 13 – Access to Justice </w:t>
      </w:r>
      <w:r w:rsidR="00974B3D" w:rsidRPr="00DF4059">
        <w:rPr>
          <w:rStyle w:val="FootnoteReference"/>
          <w:rFonts w:ascii="Arial" w:hAnsi="Arial" w:cs="Arial"/>
        </w:rPr>
        <w:footnoteReference w:id="1"/>
      </w:r>
      <w:r w:rsidR="00904DA5" w:rsidRPr="00DF4059">
        <w:rPr>
          <w:rFonts w:ascii="Arial" w:hAnsi="Arial" w:cs="Arial"/>
        </w:rPr>
        <w:t xml:space="preserve"> and the further implementation of</w:t>
      </w:r>
      <w:r w:rsidR="00C73C63" w:rsidRPr="00DF4059">
        <w:rPr>
          <w:rFonts w:ascii="Arial" w:hAnsi="Arial" w:cs="Arial"/>
        </w:rPr>
        <w:t xml:space="preserve"> six significant </w:t>
      </w:r>
      <w:r w:rsidR="00940086" w:rsidRPr="00DF4059">
        <w:rPr>
          <w:rFonts w:ascii="Arial" w:hAnsi="Arial" w:cs="Arial"/>
        </w:rPr>
        <w:t xml:space="preserve">areas </w:t>
      </w:r>
      <w:r w:rsidR="00463DD5" w:rsidRPr="00DF4059">
        <w:rPr>
          <w:rFonts w:ascii="Arial" w:hAnsi="Arial" w:cs="Arial"/>
        </w:rPr>
        <w:t>of</w:t>
      </w:r>
      <w:r w:rsidR="00940086" w:rsidRPr="00DF4059">
        <w:rPr>
          <w:rFonts w:ascii="Arial" w:hAnsi="Arial" w:cs="Arial"/>
        </w:rPr>
        <w:t xml:space="preserve"> reform</w:t>
      </w:r>
      <w:r w:rsidR="00463DD5" w:rsidRPr="00DF4059">
        <w:rPr>
          <w:rFonts w:ascii="Arial" w:hAnsi="Arial" w:cs="Arial"/>
        </w:rPr>
        <w:t xml:space="preserve"> outlined in the NDS. The review of access to justice arrangements is an essential component of the s</w:t>
      </w:r>
      <w:r w:rsidR="000F6632" w:rsidRPr="00DF4059">
        <w:rPr>
          <w:rFonts w:ascii="Arial" w:hAnsi="Arial" w:cs="Arial"/>
        </w:rPr>
        <w:t>econd major area needing reform</w:t>
      </w:r>
      <w:r w:rsidR="00940086" w:rsidRPr="00DF4059">
        <w:rPr>
          <w:rFonts w:ascii="Arial" w:hAnsi="Arial" w:cs="Arial"/>
        </w:rPr>
        <w:t>, and</w:t>
      </w:r>
      <w:r w:rsidR="000F6632" w:rsidRPr="00DF4059">
        <w:rPr>
          <w:rFonts w:ascii="Arial" w:hAnsi="Arial" w:cs="Arial"/>
        </w:rPr>
        <w:t xml:space="preserve"> this area of </w:t>
      </w:r>
      <w:r w:rsidR="00940086" w:rsidRPr="00DF4059">
        <w:rPr>
          <w:rFonts w:ascii="Arial" w:hAnsi="Arial" w:cs="Arial"/>
        </w:rPr>
        <w:t>reform</w:t>
      </w:r>
      <w:r w:rsidR="000F6632" w:rsidRPr="00DF4059">
        <w:rPr>
          <w:rFonts w:ascii="Arial" w:hAnsi="Arial" w:cs="Arial"/>
        </w:rPr>
        <w:t xml:space="preserve"> identifies the need to investigate, review and reform access to</w:t>
      </w:r>
      <w:r w:rsidR="00940086" w:rsidRPr="00DF4059">
        <w:rPr>
          <w:rFonts w:ascii="Arial" w:hAnsi="Arial" w:cs="Arial"/>
        </w:rPr>
        <w:t xml:space="preserve"> </w:t>
      </w:r>
      <w:r w:rsidR="000F6632" w:rsidRPr="00DF4059">
        <w:rPr>
          <w:rFonts w:ascii="Arial" w:hAnsi="Arial" w:cs="Arial"/>
        </w:rPr>
        <w:t>r</w:t>
      </w:r>
      <w:r w:rsidR="00940086" w:rsidRPr="00DF4059">
        <w:rPr>
          <w:rFonts w:ascii="Arial" w:hAnsi="Arial" w:cs="Arial"/>
        </w:rPr>
        <w:t xml:space="preserve">ights, </w:t>
      </w:r>
      <w:r w:rsidR="000F6632" w:rsidRPr="00DF4059">
        <w:rPr>
          <w:rFonts w:ascii="Arial" w:hAnsi="Arial" w:cs="Arial"/>
        </w:rPr>
        <w:t>j</w:t>
      </w:r>
      <w:r w:rsidR="00940086" w:rsidRPr="00DF4059">
        <w:rPr>
          <w:rFonts w:ascii="Arial" w:hAnsi="Arial" w:cs="Arial"/>
        </w:rPr>
        <w:t>ustice</w:t>
      </w:r>
      <w:r w:rsidR="000F6632" w:rsidRPr="00DF4059">
        <w:rPr>
          <w:rFonts w:ascii="Arial" w:hAnsi="Arial" w:cs="Arial"/>
        </w:rPr>
        <w:t xml:space="preserve"> and l</w:t>
      </w:r>
      <w:r w:rsidR="00940086" w:rsidRPr="00DF4059">
        <w:rPr>
          <w:rFonts w:ascii="Arial" w:hAnsi="Arial" w:cs="Arial"/>
        </w:rPr>
        <w:t>egislation</w:t>
      </w:r>
      <w:r w:rsidR="000F6632" w:rsidRPr="00DF4059">
        <w:rPr>
          <w:rFonts w:ascii="Arial" w:hAnsi="Arial" w:cs="Arial"/>
        </w:rPr>
        <w:t xml:space="preserve">. Policy Direction – People with disability have access to justice </w:t>
      </w:r>
      <w:r w:rsidR="001002B7" w:rsidRPr="00DF4059">
        <w:rPr>
          <w:rFonts w:ascii="Arial" w:hAnsi="Arial" w:cs="Arial"/>
        </w:rPr>
        <w:t xml:space="preserve">of the NDS </w:t>
      </w:r>
      <w:r w:rsidR="000F6632" w:rsidRPr="00DF4059">
        <w:rPr>
          <w:rFonts w:ascii="Arial" w:hAnsi="Arial" w:cs="Arial"/>
        </w:rPr>
        <w:t xml:space="preserve">outlines the following </w:t>
      </w:r>
      <w:r w:rsidR="001002B7" w:rsidRPr="00DF4059">
        <w:rPr>
          <w:rFonts w:ascii="Arial" w:hAnsi="Arial" w:cs="Arial"/>
        </w:rPr>
        <w:t>commitment:</w:t>
      </w:r>
    </w:p>
    <w:p w:rsidR="00C73C63" w:rsidRPr="00DF4059" w:rsidRDefault="001002B7" w:rsidP="00DF4059">
      <w:pPr>
        <w:autoSpaceDE w:val="0"/>
        <w:autoSpaceDN w:val="0"/>
        <w:adjustRightInd w:val="0"/>
        <w:spacing w:after="0"/>
        <w:jc w:val="both"/>
        <w:rPr>
          <w:rFonts w:ascii="Arial" w:hAnsi="Arial" w:cs="Arial"/>
        </w:rPr>
      </w:pPr>
      <w:r w:rsidRPr="00DF4059">
        <w:rPr>
          <w:rFonts w:ascii="Arial" w:hAnsi="Arial" w:cs="Arial"/>
        </w:rPr>
        <w:t>‘Effective access to justice for people with disability on an equal basis with others requires appropriate strategies, including aids and equipment, to facilitate their effective participation in all legal proceedings. Greater awareness is needed by the judiciary, legal professionals and court staff of disability issues’.</w:t>
      </w:r>
      <w:r w:rsidR="000F6632" w:rsidRPr="00DF4059">
        <w:rPr>
          <w:rFonts w:ascii="Arial" w:hAnsi="Arial" w:cs="Arial"/>
        </w:rPr>
        <w:t xml:space="preserve"> </w:t>
      </w:r>
      <w:r w:rsidRPr="00DF4059">
        <w:rPr>
          <w:rStyle w:val="FootnoteReference"/>
          <w:rFonts w:ascii="Arial" w:hAnsi="Arial" w:cs="Arial"/>
        </w:rPr>
        <w:footnoteReference w:id="2"/>
      </w:r>
    </w:p>
    <w:p w:rsidR="00DE2B25" w:rsidRPr="00DF4059" w:rsidRDefault="00DE2B25" w:rsidP="00DF4059">
      <w:pPr>
        <w:autoSpaceDE w:val="0"/>
        <w:autoSpaceDN w:val="0"/>
        <w:adjustRightInd w:val="0"/>
        <w:spacing w:after="0"/>
        <w:jc w:val="both"/>
        <w:rPr>
          <w:rFonts w:ascii="Arial" w:hAnsi="Arial" w:cs="Arial"/>
        </w:rPr>
      </w:pPr>
    </w:p>
    <w:p w:rsidR="00DE2B25" w:rsidRPr="00DF4059" w:rsidRDefault="00934AE5" w:rsidP="00DF4059">
      <w:pPr>
        <w:autoSpaceDE w:val="0"/>
        <w:autoSpaceDN w:val="0"/>
        <w:adjustRightInd w:val="0"/>
        <w:spacing w:after="0"/>
        <w:jc w:val="both"/>
        <w:rPr>
          <w:rFonts w:ascii="Arial" w:hAnsi="Arial" w:cs="Arial"/>
        </w:rPr>
      </w:pPr>
      <w:r w:rsidRPr="00DF4059">
        <w:rPr>
          <w:rFonts w:ascii="Arial" w:hAnsi="Arial" w:cs="Arial"/>
        </w:rPr>
        <w:t>As p</w:t>
      </w:r>
      <w:r w:rsidR="00A02693" w:rsidRPr="00DF4059">
        <w:rPr>
          <w:rFonts w:ascii="Arial" w:hAnsi="Arial" w:cs="Arial"/>
        </w:rPr>
        <w:t>art of implementing</w:t>
      </w:r>
      <w:r w:rsidRPr="00DF4059">
        <w:rPr>
          <w:rFonts w:ascii="Arial" w:hAnsi="Arial" w:cs="Arial"/>
        </w:rPr>
        <w:t xml:space="preserve"> t</w:t>
      </w:r>
      <w:r w:rsidR="00DE2B25" w:rsidRPr="00DF4059">
        <w:rPr>
          <w:rFonts w:ascii="Arial" w:hAnsi="Arial" w:cs="Arial"/>
        </w:rPr>
        <w:t>he NDS</w:t>
      </w:r>
      <w:r w:rsidR="00A02693" w:rsidRPr="00DF4059">
        <w:rPr>
          <w:rFonts w:ascii="Arial" w:hAnsi="Arial" w:cs="Arial"/>
        </w:rPr>
        <w:t xml:space="preserve"> the strategy</w:t>
      </w:r>
      <w:r w:rsidR="00DE2B25" w:rsidRPr="00DF4059">
        <w:rPr>
          <w:rFonts w:ascii="Arial" w:hAnsi="Arial" w:cs="Arial"/>
        </w:rPr>
        <w:t xml:space="preserve"> identifies the following</w:t>
      </w:r>
      <w:r w:rsidRPr="00DF4059">
        <w:rPr>
          <w:rFonts w:ascii="Arial" w:hAnsi="Arial" w:cs="Arial"/>
        </w:rPr>
        <w:t xml:space="preserve"> actions to be completed:</w:t>
      </w:r>
    </w:p>
    <w:p w:rsidR="00934AE5" w:rsidRPr="00DF4059" w:rsidRDefault="00934AE5" w:rsidP="00DF4059">
      <w:pPr>
        <w:autoSpaceDE w:val="0"/>
        <w:autoSpaceDN w:val="0"/>
        <w:adjustRightInd w:val="0"/>
        <w:spacing w:after="0"/>
        <w:jc w:val="both"/>
        <w:rPr>
          <w:rFonts w:ascii="Arial" w:hAnsi="Arial" w:cs="Arial"/>
        </w:rPr>
      </w:pPr>
    </w:p>
    <w:p w:rsidR="00934AE5" w:rsidRPr="00DF4059" w:rsidRDefault="00934AE5" w:rsidP="00DF4059">
      <w:pPr>
        <w:autoSpaceDE w:val="0"/>
        <w:autoSpaceDN w:val="0"/>
        <w:adjustRightInd w:val="0"/>
        <w:spacing w:after="0"/>
        <w:jc w:val="both"/>
        <w:rPr>
          <w:rFonts w:ascii="Arial" w:hAnsi="Arial" w:cs="Arial"/>
        </w:rPr>
      </w:pPr>
      <w:r w:rsidRPr="00DF4059">
        <w:rPr>
          <w:rFonts w:ascii="Arial" w:hAnsi="Arial" w:cs="Arial"/>
        </w:rPr>
        <w:t>The Commonwealth, States and Territories have as</w:t>
      </w:r>
      <w:r w:rsidR="00A02693" w:rsidRPr="00DF4059">
        <w:rPr>
          <w:rFonts w:ascii="Arial" w:hAnsi="Arial" w:cs="Arial"/>
        </w:rPr>
        <w:t>sessed the extent to which the</w:t>
      </w:r>
      <w:r w:rsidRPr="00DF4059">
        <w:rPr>
          <w:rFonts w:ascii="Arial" w:hAnsi="Arial" w:cs="Arial"/>
        </w:rPr>
        <w:t xml:space="preserve"> legislation, policies and programs comply with the obligations in the </w:t>
      </w:r>
      <w:r w:rsidR="00A02693" w:rsidRPr="00DF4059">
        <w:rPr>
          <w:rFonts w:ascii="Arial" w:hAnsi="Arial" w:cs="Arial"/>
        </w:rPr>
        <w:t>Convention. At a national level implementation of the NDS i</w:t>
      </w:r>
      <w:r w:rsidRPr="00DF4059">
        <w:rPr>
          <w:rFonts w:ascii="Arial" w:hAnsi="Arial" w:cs="Arial"/>
        </w:rPr>
        <w:t xml:space="preserve">dentified </w:t>
      </w:r>
      <w:r w:rsidR="00A02693" w:rsidRPr="00DF4059">
        <w:rPr>
          <w:rFonts w:ascii="Arial" w:hAnsi="Arial" w:cs="Arial"/>
        </w:rPr>
        <w:t>the following pol</w:t>
      </w:r>
      <w:r w:rsidRPr="00DF4059">
        <w:rPr>
          <w:rFonts w:ascii="Arial" w:hAnsi="Arial" w:cs="Arial"/>
        </w:rPr>
        <w:t>icies and programs</w:t>
      </w:r>
      <w:r w:rsidR="00A02693" w:rsidRPr="00DF4059">
        <w:rPr>
          <w:rFonts w:ascii="Arial" w:hAnsi="Arial" w:cs="Arial"/>
        </w:rPr>
        <w:t xml:space="preserve"> </w:t>
      </w:r>
      <w:r w:rsidR="00A02693" w:rsidRPr="00DF4059">
        <w:rPr>
          <w:rFonts w:ascii="Arial" w:hAnsi="Arial" w:cs="Arial"/>
        </w:rPr>
        <w:lastRenderedPageBreak/>
        <w:t>needing to be reviewed</w:t>
      </w:r>
      <w:r w:rsidRPr="00DF4059">
        <w:rPr>
          <w:rFonts w:ascii="Arial" w:hAnsi="Arial" w:cs="Arial"/>
        </w:rPr>
        <w:t>: government disability action plans, disability advisory councils, public advocates, disability services standards, community or disability legal centres, funding of disability organisations and compliance with website accessibility guidelines</w:t>
      </w:r>
      <w:r w:rsidR="00A6212C" w:rsidRPr="00DF4059">
        <w:rPr>
          <w:rFonts w:ascii="Arial" w:hAnsi="Arial" w:cs="Arial"/>
        </w:rPr>
        <w:t>.</w:t>
      </w:r>
      <w:r w:rsidR="00A6212C" w:rsidRPr="00DF4059">
        <w:rPr>
          <w:rStyle w:val="FootnoteReference"/>
          <w:rFonts w:ascii="Arial" w:hAnsi="Arial" w:cs="Arial"/>
        </w:rPr>
        <w:footnoteReference w:id="3"/>
      </w:r>
    </w:p>
    <w:p w:rsidR="00984D22" w:rsidRPr="00DF4059" w:rsidRDefault="00984D22" w:rsidP="00DF4059">
      <w:pPr>
        <w:autoSpaceDE w:val="0"/>
        <w:autoSpaceDN w:val="0"/>
        <w:adjustRightInd w:val="0"/>
        <w:spacing w:after="0"/>
        <w:jc w:val="both"/>
        <w:rPr>
          <w:rFonts w:ascii="Arial" w:hAnsi="Arial" w:cs="Arial"/>
        </w:rPr>
      </w:pPr>
    </w:p>
    <w:p w:rsidR="00984D22" w:rsidRPr="00DF4059" w:rsidRDefault="00984D22" w:rsidP="00DF4059">
      <w:pPr>
        <w:autoSpaceDE w:val="0"/>
        <w:autoSpaceDN w:val="0"/>
        <w:adjustRightInd w:val="0"/>
        <w:spacing w:after="0"/>
        <w:jc w:val="both"/>
        <w:rPr>
          <w:rFonts w:ascii="Arial" w:hAnsi="Arial" w:cs="Arial"/>
        </w:rPr>
      </w:pPr>
      <w:r w:rsidRPr="00DF4059">
        <w:rPr>
          <w:rFonts w:ascii="Arial" w:hAnsi="Arial" w:cs="Arial"/>
        </w:rPr>
        <w:t>The Physical Disability Council of NSW (PDCN)</w:t>
      </w:r>
      <w:r w:rsidR="00090594" w:rsidRPr="00DF4059">
        <w:rPr>
          <w:rFonts w:ascii="Arial" w:hAnsi="Arial" w:cs="Arial"/>
        </w:rPr>
        <w:t xml:space="preserve"> </w:t>
      </w:r>
      <w:r w:rsidR="00A67514" w:rsidRPr="00DF4059">
        <w:rPr>
          <w:rFonts w:ascii="Arial" w:hAnsi="Arial" w:cs="Arial"/>
        </w:rPr>
        <w:t>understands that the</w:t>
      </w:r>
      <w:r w:rsidR="00E12127" w:rsidRPr="00DF4059">
        <w:rPr>
          <w:rFonts w:ascii="Arial" w:hAnsi="Arial" w:cs="Arial"/>
        </w:rPr>
        <w:t xml:space="preserve"> diff</w:t>
      </w:r>
      <w:r w:rsidR="007B7A11" w:rsidRPr="00DF4059">
        <w:rPr>
          <w:rFonts w:ascii="Arial" w:hAnsi="Arial" w:cs="Arial"/>
        </w:rPr>
        <w:t>iculties faced by</w:t>
      </w:r>
      <w:r w:rsidR="00C512A5" w:rsidRPr="00DF4059">
        <w:rPr>
          <w:rFonts w:ascii="Arial" w:hAnsi="Arial" w:cs="Arial"/>
        </w:rPr>
        <w:t xml:space="preserve"> people with disabilities</w:t>
      </w:r>
      <w:r w:rsidR="007B7A11" w:rsidRPr="00DF4059">
        <w:rPr>
          <w:rFonts w:ascii="Arial" w:hAnsi="Arial" w:cs="Arial"/>
        </w:rPr>
        <w:t xml:space="preserve"> trying to access justice </w:t>
      </w:r>
      <w:r w:rsidR="00A67514" w:rsidRPr="00DF4059">
        <w:rPr>
          <w:rFonts w:ascii="Arial" w:hAnsi="Arial" w:cs="Arial"/>
        </w:rPr>
        <w:t>due to the physical and financial barriers preventing access. The draft report also identifies concerns with the im</w:t>
      </w:r>
      <w:r w:rsidR="007B7A11" w:rsidRPr="00DF4059">
        <w:rPr>
          <w:rFonts w:ascii="Arial" w:hAnsi="Arial" w:cs="Arial"/>
        </w:rPr>
        <w:t xml:space="preserve">plementation of the National Disability Insurance Scheme (NDIS) and the National Injury Insurance Scheme (NIIS) </w:t>
      </w:r>
      <w:r w:rsidR="00A6212C" w:rsidRPr="00DF4059">
        <w:rPr>
          <w:rFonts w:ascii="Arial" w:hAnsi="Arial" w:cs="Arial"/>
        </w:rPr>
        <w:t>a</w:t>
      </w:r>
      <w:r w:rsidR="00A67514" w:rsidRPr="00DF4059">
        <w:rPr>
          <w:rFonts w:ascii="Arial" w:hAnsi="Arial" w:cs="Arial"/>
        </w:rPr>
        <w:t>nd this i</w:t>
      </w:r>
      <w:r w:rsidR="00A6212C" w:rsidRPr="00DF4059">
        <w:rPr>
          <w:rFonts w:ascii="Arial" w:hAnsi="Arial" w:cs="Arial"/>
        </w:rPr>
        <w:t>s</w:t>
      </w:r>
      <w:r w:rsidR="00A67514" w:rsidRPr="00DF4059">
        <w:rPr>
          <w:rFonts w:ascii="Arial" w:hAnsi="Arial" w:cs="Arial"/>
        </w:rPr>
        <w:t xml:space="preserve"> reflected</w:t>
      </w:r>
      <w:r w:rsidR="00A6212C" w:rsidRPr="00DF4059">
        <w:rPr>
          <w:rFonts w:ascii="Arial" w:hAnsi="Arial" w:cs="Arial"/>
        </w:rPr>
        <w:t xml:space="preserve"> </w:t>
      </w:r>
      <w:r w:rsidR="007B7A11" w:rsidRPr="00DF4059">
        <w:rPr>
          <w:rFonts w:ascii="Arial" w:hAnsi="Arial" w:cs="Arial"/>
        </w:rPr>
        <w:t>in the following statement:</w:t>
      </w:r>
    </w:p>
    <w:p w:rsidR="00E12127" w:rsidRPr="00DF4059" w:rsidRDefault="00E12127" w:rsidP="00DF4059">
      <w:pPr>
        <w:autoSpaceDE w:val="0"/>
        <w:autoSpaceDN w:val="0"/>
        <w:adjustRightInd w:val="0"/>
        <w:spacing w:after="0"/>
        <w:jc w:val="both"/>
        <w:rPr>
          <w:rFonts w:ascii="Arial" w:hAnsi="Arial" w:cs="Arial"/>
        </w:rPr>
      </w:pPr>
    </w:p>
    <w:p w:rsidR="00224FC0" w:rsidRPr="00DF4059" w:rsidRDefault="00E12127" w:rsidP="00DF4059">
      <w:pPr>
        <w:jc w:val="both"/>
        <w:rPr>
          <w:rFonts w:ascii="Arial" w:hAnsi="Arial" w:cs="Arial"/>
        </w:rPr>
      </w:pPr>
      <w:r w:rsidRPr="00DF4059">
        <w:rPr>
          <w:rFonts w:ascii="Arial" w:hAnsi="Arial" w:cs="Arial"/>
        </w:rPr>
        <w:t xml:space="preserve">For some problems, however, the Commission was unable to identify an informal avenue to seek a resolution. These disputes included: </w:t>
      </w:r>
    </w:p>
    <w:p w:rsidR="00224FC0" w:rsidRPr="00DF4059" w:rsidRDefault="00A6212C" w:rsidP="00DF4059">
      <w:pPr>
        <w:pStyle w:val="ListParagraph"/>
        <w:numPr>
          <w:ilvl w:val="0"/>
          <w:numId w:val="2"/>
        </w:numPr>
        <w:ind w:left="567" w:hanging="567"/>
        <w:jc w:val="both"/>
        <w:rPr>
          <w:rFonts w:ascii="Arial" w:hAnsi="Arial" w:cs="Arial"/>
        </w:rPr>
      </w:pPr>
      <w:r w:rsidRPr="00DF4059">
        <w:rPr>
          <w:rFonts w:ascii="Arial" w:hAnsi="Arial" w:cs="Arial"/>
        </w:rPr>
        <w:t>T</w:t>
      </w:r>
      <w:r w:rsidR="00E12127" w:rsidRPr="00DF4059">
        <w:rPr>
          <w:rFonts w:ascii="Arial" w:hAnsi="Arial" w:cs="Arial"/>
        </w:rPr>
        <w:t>hose involving disability care, aid and equipment (although there may be some recourse through the disabilities commissioner, or the A</w:t>
      </w:r>
      <w:r w:rsidR="00D66294" w:rsidRPr="00DF4059">
        <w:rPr>
          <w:rFonts w:ascii="Arial" w:hAnsi="Arial" w:cs="Arial"/>
        </w:rPr>
        <w:t xml:space="preserve">dministrative </w:t>
      </w:r>
      <w:r w:rsidR="00E12127" w:rsidRPr="00DF4059">
        <w:rPr>
          <w:rFonts w:ascii="Arial" w:hAnsi="Arial" w:cs="Arial"/>
        </w:rPr>
        <w:t>A</w:t>
      </w:r>
      <w:r w:rsidR="00D66294" w:rsidRPr="00DF4059">
        <w:rPr>
          <w:rFonts w:ascii="Arial" w:hAnsi="Arial" w:cs="Arial"/>
        </w:rPr>
        <w:t xml:space="preserve">ppeals </w:t>
      </w:r>
      <w:r w:rsidR="00E12127" w:rsidRPr="00DF4059">
        <w:rPr>
          <w:rFonts w:ascii="Arial" w:hAnsi="Arial" w:cs="Arial"/>
        </w:rPr>
        <w:t>T</w:t>
      </w:r>
      <w:r w:rsidR="00D66294" w:rsidRPr="00DF4059">
        <w:rPr>
          <w:rFonts w:ascii="Arial" w:hAnsi="Arial" w:cs="Arial"/>
        </w:rPr>
        <w:t>ribunal</w:t>
      </w:r>
      <w:r w:rsidR="004924EB" w:rsidRPr="00DF4059">
        <w:rPr>
          <w:rFonts w:ascii="Arial" w:hAnsi="Arial" w:cs="Arial"/>
        </w:rPr>
        <w:t xml:space="preserve"> (AAT)</w:t>
      </w:r>
      <w:r w:rsidR="00E12127" w:rsidRPr="00DF4059">
        <w:rPr>
          <w:rFonts w:ascii="Arial" w:hAnsi="Arial" w:cs="Arial"/>
        </w:rPr>
        <w:t xml:space="preserve">, in the case of </w:t>
      </w:r>
      <w:r w:rsidR="004924EB" w:rsidRPr="00DF4059">
        <w:rPr>
          <w:rFonts w:ascii="Arial" w:hAnsi="Arial" w:cs="Arial"/>
        </w:rPr>
        <w:t xml:space="preserve">NDIS </w:t>
      </w:r>
      <w:r w:rsidR="00E12127" w:rsidRPr="00DF4059">
        <w:rPr>
          <w:rFonts w:ascii="Arial" w:hAnsi="Arial" w:cs="Arial"/>
        </w:rPr>
        <w:t>decisions)</w:t>
      </w:r>
    </w:p>
    <w:p w:rsidR="00224FC0" w:rsidRPr="00DF4059" w:rsidRDefault="00E12127" w:rsidP="00DF4059">
      <w:pPr>
        <w:pStyle w:val="ListParagraph"/>
        <w:numPr>
          <w:ilvl w:val="0"/>
          <w:numId w:val="2"/>
        </w:numPr>
        <w:ind w:left="567" w:hanging="567"/>
        <w:jc w:val="both"/>
        <w:rPr>
          <w:rFonts w:ascii="Arial" w:hAnsi="Arial" w:cs="Arial"/>
        </w:rPr>
      </w:pPr>
      <w:r w:rsidRPr="00DF4059">
        <w:rPr>
          <w:rFonts w:ascii="Arial" w:hAnsi="Arial" w:cs="Arial"/>
        </w:rPr>
        <w:t>Access to health services and disputes around hea</w:t>
      </w:r>
      <w:r w:rsidR="00224FC0" w:rsidRPr="00DF4059">
        <w:rPr>
          <w:rFonts w:ascii="Arial" w:hAnsi="Arial" w:cs="Arial"/>
        </w:rPr>
        <w:t>lth care costs and entitlements</w:t>
      </w:r>
    </w:p>
    <w:p w:rsidR="00224FC0" w:rsidRPr="00DF4059" w:rsidRDefault="00E12127" w:rsidP="00DF4059">
      <w:pPr>
        <w:pStyle w:val="ListParagraph"/>
        <w:numPr>
          <w:ilvl w:val="0"/>
          <w:numId w:val="2"/>
        </w:numPr>
        <w:ind w:left="567" w:hanging="567"/>
        <w:jc w:val="both"/>
        <w:rPr>
          <w:rFonts w:ascii="Arial" w:hAnsi="Arial" w:cs="Arial"/>
        </w:rPr>
      </w:pPr>
      <w:r w:rsidRPr="00DF4059">
        <w:rPr>
          <w:rFonts w:ascii="Arial" w:hAnsi="Arial" w:cs="Arial"/>
        </w:rPr>
        <w:t>There are few avenues, besides courts, through which to dispute matters around wills and powers of attorney</w:t>
      </w:r>
    </w:p>
    <w:p w:rsidR="0073718D" w:rsidRPr="00DF4059" w:rsidRDefault="00E12127" w:rsidP="00DF4059">
      <w:pPr>
        <w:pStyle w:val="ListParagraph"/>
        <w:numPr>
          <w:ilvl w:val="0"/>
          <w:numId w:val="2"/>
        </w:numPr>
        <w:ind w:left="567" w:hanging="567"/>
        <w:jc w:val="both"/>
        <w:rPr>
          <w:rFonts w:ascii="Arial" w:hAnsi="Arial" w:cs="Arial"/>
        </w:rPr>
      </w:pPr>
      <w:r w:rsidRPr="00DF4059">
        <w:rPr>
          <w:rFonts w:ascii="Arial" w:hAnsi="Arial" w:cs="Arial"/>
        </w:rPr>
        <w:t>There is no informal avenue to pursue matters around accidents — which mainly comprise motor vehicle accidents without injuries — especially in cases where the other party is unknown. Nor are there formal avenues to pursue matters relating to personal injury outside the courts’.</w:t>
      </w:r>
      <w:r w:rsidR="00090594" w:rsidRPr="00DF4059">
        <w:rPr>
          <w:rStyle w:val="FootnoteReference"/>
          <w:rFonts w:ascii="Arial" w:hAnsi="Arial" w:cs="Arial"/>
        </w:rPr>
        <w:footnoteReference w:id="4"/>
      </w:r>
    </w:p>
    <w:p w:rsidR="00D66294" w:rsidRPr="00DF4059" w:rsidRDefault="00030972" w:rsidP="00DF4059">
      <w:pPr>
        <w:autoSpaceDE w:val="0"/>
        <w:autoSpaceDN w:val="0"/>
        <w:adjustRightInd w:val="0"/>
        <w:spacing w:after="0"/>
        <w:jc w:val="both"/>
        <w:rPr>
          <w:rFonts w:ascii="Arial" w:hAnsi="Arial" w:cs="Arial"/>
        </w:rPr>
      </w:pPr>
      <w:r w:rsidRPr="00DF4059">
        <w:rPr>
          <w:rFonts w:ascii="Arial" w:hAnsi="Arial" w:cs="Arial"/>
        </w:rPr>
        <w:t>It is understoo</w:t>
      </w:r>
      <w:r w:rsidR="00D66294" w:rsidRPr="00DF4059">
        <w:rPr>
          <w:rFonts w:ascii="Arial" w:hAnsi="Arial" w:cs="Arial"/>
        </w:rPr>
        <w:t xml:space="preserve">d that </w:t>
      </w:r>
      <w:r w:rsidR="00500F07" w:rsidRPr="00DF4059">
        <w:rPr>
          <w:rFonts w:ascii="Arial" w:hAnsi="Arial" w:cs="Arial"/>
        </w:rPr>
        <w:t>the AAT</w:t>
      </w:r>
      <w:r w:rsidR="00D66294" w:rsidRPr="00DF4059">
        <w:rPr>
          <w:rFonts w:ascii="Arial" w:hAnsi="Arial" w:cs="Arial"/>
        </w:rPr>
        <w:t xml:space="preserve"> will review </w:t>
      </w:r>
      <w:r w:rsidR="00500F07" w:rsidRPr="00DF4059">
        <w:rPr>
          <w:rFonts w:ascii="Arial" w:hAnsi="Arial" w:cs="Arial"/>
        </w:rPr>
        <w:t xml:space="preserve">decisions made under </w:t>
      </w:r>
      <w:r w:rsidR="004924EB" w:rsidRPr="00DF4059">
        <w:rPr>
          <w:rFonts w:ascii="Arial" w:hAnsi="Arial" w:cs="Arial"/>
        </w:rPr>
        <w:t>section 99 NDIS decisions between the applicant and the N</w:t>
      </w:r>
      <w:r w:rsidR="0014230F" w:rsidRPr="00DF4059">
        <w:rPr>
          <w:rFonts w:ascii="Arial" w:hAnsi="Arial" w:cs="Arial"/>
        </w:rPr>
        <w:t xml:space="preserve">ational </w:t>
      </w:r>
      <w:r w:rsidR="004924EB" w:rsidRPr="00DF4059">
        <w:rPr>
          <w:rFonts w:ascii="Arial" w:hAnsi="Arial" w:cs="Arial"/>
        </w:rPr>
        <w:t>D</w:t>
      </w:r>
      <w:r w:rsidR="0014230F" w:rsidRPr="00DF4059">
        <w:rPr>
          <w:rFonts w:ascii="Arial" w:hAnsi="Arial" w:cs="Arial"/>
        </w:rPr>
        <w:t xml:space="preserve">isability </w:t>
      </w:r>
      <w:r w:rsidR="004924EB" w:rsidRPr="00DF4059">
        <w:rPr>
          <w:rFonts w:ascii="Arial" w:hAnsi="Arial" w:cs="Arial"/>
        </w:rPr>
        <w:t>I</w:t>
      </w:r>
      <w:r w:rsidR="0014230F" w:rsidRPr="00DF4059">
        <w:rPr>
          <w:rFonts w:ascii="Arial" w:hAnsi="Arial" w:cs="Arial"/>
        </w:rPr>
        <w:t>nsurance Agency</w:t>
      </w:r>
      <w:r w:rsidR="00500F07" w:rsidRPr="00DF4059">
        <w:rPr>
          <w:rFonts w:ascii="Arial" w:hAnsi="Arial" w:cs="Arial"/>
        </w:rPr>
        <w:t xml:space="preserve"> (NDIA) if an internal review has already taken place but a</w:t>
      </w:r>
      <w:r w:rsidR="004924EB" w:rsidRPr="00DF4059">
        <w:rPr>
          <w:rFonts w:ascii="Arial" w:hAnsi="Arial" w:cs="Arial"/>
        </w:rPr>
        <w:t xml:space="preserve"> resolution</w:t>
      </w:r>
      <w:r w:rsidR="00500F07" w:rsidRPr="00DF4059">
        <w:rPr>
          <w:rFonts w:ascii="Arial" w:hAnsi="Arial" w:cs="Arial"/>
        </w:rPr>
        <w:t xml:space="preserve"> has not been met</w:t>
      </w:r>
      <w:r w:rsidR="0014230F" w:rsidRPr="00DF4059">
        <w:rPr>
          <w:rFonts w:ascii="Arial" w:hAnsi="Arial" w:cs="Arial"/>
        </w:rPr>
        <w:t xml:space="preserve">. The following matters can be investigated </w:t>
      </w:r>
      <w:r w:rsidR="00500F07" w:rsidRPr="00DF4059">
        <w:rPr>
          <w:rFonts w:ascii="Arial" w:hAnsi="Arial" w:cs="Arial"/>
        </w:rPr>
        <w:t>by the AAT: el</w:t>
      </w:r>
      <w:r w:rsidR="0014230F" w:rsidRPr="00DF4059">
        <w:rPr>
          <w:rFonts w:ascii="Arial" w:hAnsi="Arial" w:cs="Arial"/>
        </w:rPr>
        <w:t xml:space="preserve">igibility to the scheme, supports provided under the scheme and the registration of providers of supports. </w:t>
      </w:r>
      <w:r w:rsidRPr="00DF4059">
        <w:rPr>
          <w:rFonts w:ascii="Arial" w:hAnsi="Arial" w:cs="Arial"/>
        </w:rPr>
        <w:t xml:space="preserve">The AAT uses a variety of Alternative Dispute Resolution </w:t>
      </w:r>
      <w:r w:rsidR="00500F07" w:rsidRPr="00DF4059">
        <w:rPr>
          <w:rFonts w:ascii="Arial" w:hAnsi="Arial" w:cs="Arial"/>
        </w:rPr>
        <w:t xml:space="preserve">(ADR) </w:t>
      </w:r>
      <w:r w:rsidRPr="00DF4059">
        <w:rPr>
          <w:rFonts w:ascii="Arial" w:hAnsi="Arial" w:cs="Arial"/>
        </w:rPr>
        <w:t>proce</w:t>
      </w:r>
      <w:r w:rsidR="00500F07" w:rsidRPr="00DF4059">
        <w:rPr>
          <w:rFonts w:ascii="Arial" w:hAnsi="Arial" w:cs="Arial"/>
        </w:rPr>
        <w:t>sses</w:t>
      </w:r>
      <w:r w:rsidRPr="00DF4059">
        <w:rPr>
          <w:rFonts w:ascii="Arial" w:hAnsi="Arial" w:cs="Arial"/>
        </w:rPr>
        <w:t xml:space="preserve"> including Case Conference, Conciliation, and more formal Hearings.</w:t>
      </w:r>
    </w:p>
    <w:p w:rsidR="00030972" w:rsidRPr="00DF4059" w:rsidRDefault="00030972" w:rsidP="00DF4059">
      <w:pPr>
        <w:autoSpaceDE w:val="0"/>
        <w:autoSpaceDN w:val="0"/>
        <w:adjustRightInd w:val="0"/>
        <w:spacing w:after="0"/>
        <w:jc w:val="both"/>
        <w:rPr>
          <w:rFonts w:ascii="Arial" w:hAnsi="Arial" w:cs="Arial"/>
        </w:rPr>
      </w:pPr>
    </w:p>
    <w:p w:rsidR="00030972" w:rsidRPr="00DF4059" w:rsidRDefault="00301935" w:rsidP="00DF4059">
      <w:pPr>
        <w:autoSpaceDE w:val="0"/>
        <w:autoSpaceDN w:val="0"/>
        <w:adjustRightInd w:val="0"/>
        <w:spacing w:after="0"/>
        <w:jc w:val="both"/>
        <w:rPr>
          <w:rFonts w:ascii="Arial" w:hAnsi="Arial" w:cs="Arial"/>
        </w:rPr>
      </w:pPr>
      <w:r w:rsidRPr="00DF4059">
        <w:rPr>
          <w:rFonts w:ascii="Arial" w:hAnsi="Arial" w:cs="Arial"/>
        </w:rPr>
        <w:t xml:space="preserve">PDCN understands that </w:t>
      </w:r>
      <w:r w:rsidR="00E35136" w:rsidRPr="00DF4059">
        <w:rPr>
          <w:rFonts w:ascii="Arial" w:hAnsi="Arial" w:cs="Arial"/>
        </w:rPr>
        <w:t xml:space="preserve">when </w:t>
      </w:r>
      <w:r w:rsidR="00500F07" w:rsidRPr="00DF4059">
        <w:rPr>
          <w:rFonts w:ascii="Arial" w:hAnsi="Arial" w:cs="Arial"/>
        </w:rPr>
        <w:t>utilising</w:t>
      </w:r>
      <w:r w:rsidR="00E35136" w:rsidRPr="00DF4059">
        <w:rPr>
          <w:rFonts w:ascii="Arial" w:hAnsi="Arial" w:cs="Arial"/>
        </w:rPr>
        <w:t xml:space="preserve"> ADR proce</w:t>
      </w:r>
      <w:r w:rsidR="00500F07" w:rsidRPr="00DF4059">
        <w:rPr>
          <w:rFonts w:ascii="Arial" w:hAnsi="Arial" w:cs="Arial"/>
        </w:rPr>
        <w:t>sses</w:t>
      </w:r>
      <w:r w:rsidR="00E35136" w:rsidRPr="00DF4059">
        <w:rPr>
          <w:rFonts w:ascii="Arial" w:hAnsi="Arial" w:cs="Arial"/>
        </w:rPr>
        <w:t xml:space="preserve"> </w:t>
      </w:r>
      <w:r w:rsidRPr="00DF4059">
        <w:rPr>
          <w:rFonts w:ascii="Arial" w:hAnsi="Arial" w:cs="Arial"/>
        </w:rPr>
        <w:t>legal</w:t>
      </w:r>
      <w:r w:rsidR="00030972" w:rsidRPr="00DF4059">
        <w:rPr>
          <w:rFonts w:ascii="Arial" w:hAnsi="Arial" w:cs="Arial"/>
        </w:rPr>
        <w:t xml:space="preserve"> precedents are not established</w:t>
      </w:r>
      <w:r w:rsidRPr="00DF4059">
        <w:rPr>
          <w:rFonts w:ascii="Arial" w:hAnsi="Arial" w:cs="Arial"/>
        </w:rPr>
        <w:t xml:space="preserve"> </w:t>
      </w:r>
      <w:r w:rsidR="00E35136" w:rsidRPr="00DF4059">
        <w:rPr>
          <w:rFonts w:ascii="Arial" w:hAnsi="Arial" w:cs="Arial"/>
        </w:rPr>
        <w:t xml:space="preserve">in a similar manner to </w:t>
      </w:r>
      <w:r w:rsidR="00500F07" w:rsidRPr="00DF4059">
        <w:rPr>
          <w:rFonts w:ascii="Arial" w:hAnsi="Arial" w:cs="Arial"/>
        </w:rPr>
        <w:t xml:space="preserve">that in </w:t>
      </w:r>
      <w:r w:rsidR="00E35136" w:rsidRPr="00DF4059">
        <w:rPr>
          <w:rFonts w:ascii="Arial" w:hAnsi="Arial" w:cs="Arial"/>
        </w:rPr>
        <w:t>case- law,</w:t>
      </w:r>
      <w:r w:rsidRPr="00DF4059">
        <w:rPr>
          <w:rFonts w:ascii="Arial" w:hAnsi="Arial" w:cs="Arial"/>
        </w:rPr>
        <w:t xml:space="preserve"> but</w:t>
      </w:r>
      <w:r w:rsidR="00E35136" w:rsidRPr="00DF4059">
        <w:rPr>
          <w:rFonts w:ascii="Arial" w:hAnsi="Arial" w:cs="Arial"/>
        </w:rPr>
        <w:t xml:space="preserve"> </w:t>
      </w:r>
      <w:r w:rsidR="00A914AA" w:rsidRPr="00DF4059">
        <w:rPr>
          <w:rFonts w:ascii="Arial" w:hAnsi="Arial" w:cs="Arial"/>
        </w:rPr>
        <w:t>is</w:t>
      </w:r>
      <w:r w:rsidR="00E35136" w:rsidRPr="00DF4059">
        <w:rPr>
          <w:rFonts w:ascii="Arial" w:hAnsi="Arial" w:cs="Arial"/>
        </w:rPr>
        <w:t xml:space="preserve"> guided by what </w:t>
      </w:r>
      <w:r w:rsidR="00A914AA" w:rsidRPr="00DF4059">
        <w:rPr>
          <w:rFonts w:ascii="Arial" w:hAnsi="Arial" w:cs="Arial"/>
        </w:rPr>
        <w:t>decisions have been made as part of court hearings</w:t>
      </w:r>
      <w:r w:rsidR="00E35136" w:rsidRPr="00DF4059">
        <w:rPr>
          <w:rFonts w:ascii="Arial" w:hAnsi="Arial" w:cs="Arial"/>
        </w:rPr>
        <w:t xml:space="preserve">. PDCN believes that </w:t>
      </w:r>
      <w:r w:rsidR="00A914AA" w:rsidRPr="00DF4059">
        <w:rPr>
          <w:rFonts w:ascii="Arial" w:hAnsi="Arial" w:cs="Arial"/>
        </w:rPr>
        <w:t xml:space="preserve">with the NDIS launch sites </w:t>
      </w:r>
      <w:r w:rsidR="00E35136" w:rsidRPr="00DF4059">
        <w:rPr>
          <w:rFonts w:ascii="Arial" w:hAnsi="Arial" w:cs="Arial"/>
        </w:rPr>
        <w:t>issues such as eligibility</w:t>
      </w:r>
      <w:r w:rsidR="000D1F26" w:rsidRPr="00DF4059">
        <w:rPr>
          <w:rFonts w:ascii="Arial" w:hAnsi="Arial" w:cs="Arial"/>
        </w:rPr>
        <w:t>, the inclusion of what services and the level of service provision meets the ‘</w:t>
      </w:r>
      <w:r w:rsidR="00622295" w:rsidRPr="00DF4059">
        <w:rPr>
          <w:rFonts w:ascii="Arial" w:hAnsi="Arial" w:cs="Arial"/>
        </w:rPr>
        <w:t xml:space="preserve">necessary and </w:t>
      </w:r>
      <w:r w:rsidR="000D1F26" w:rsidRPr="00DF4059">
        <w:rPr>
          <w:rFonts w:ascii="Arial" w:hAnsi="Arial" w:cs="Arial"/>
        </w:rPr>
        <w:t>reasonable</w:t>
      </w:r>
      <w:r w:rsidR="00622295" w:rsidRPr="00DF4059">
        <w:rPr>
          <w:rFonts w:ascii="Arial" w:hAnsi="Arial" w:cs="Arial"/>
        </w:rPr>
        <w:t>’ criteria, what accommodation supports and models, will become cl</w:t>
      </w:r>
      <w:r w:rsidR="00A914AA" w:rsidRPr="00DF4059">
        <w:rPr>
          <w:rFonts w:ascii="Arial" w:hAnsi="Arial" w:cs="Arial"/>
        </w:rPr>
        <w:t>earer</w:t>
      </w:r>
      <w:r w:rsidR="00622295" w:rsidRPr="00DF4059">
        <w:rPr>
          <w:rFonts w:ascii="Arial" w:hAnsi="Arial" w:cs="Arial"/>
        </w:rPr>
        <w:t xml:space="preserve"> and these will provide guidance to the AAT.</w:t>
      </w:r>
    </w:p>
    <w:p w:rsidR="00D66294" w:rsidRPr="00DF4059" w:rsidRDefault="00D66294" w:rsidP="00DF4059">
      <w:pPr>
        <w:autoSpaceDE w:val="0"/>
        <w:autoSpaceDN w:val="0"/>
        <w:adjustRightInd w:val="0"/>
        <w:spacing w:after="0"/>
        <w:jc w:val="both"/>
        <w:rPr>
          <w:rFonts w:ascii="Arial" w:hAnsi="Arial" w:cs="Arial"/>
        </w:rPr>
      </w:pPr>
    </w:p>
    <w:p w:rsidR="00363774" w:rsidRPr="00DF4059" w:rsidRDefault="00A90179" w:rsidP="00DF4059">
      <w:pPr>
        <w:autoSpaceDE w:val="0"/>
        <w:autoSpaceDN w:val="0"/>
        <w:adjustRightInd w:val="0"/>
        <w:spacing w:after="0"/>
        <w:jc w:val="both"/>
        <w:rPr>
          <w:rFonts w:ascii="Arial" w:hAnsi="Arial" w:cs="Arial"/>
        </w:rPr>
      </w:pPr>
      <w:r w:rsidRPr="00DF4059">
        <w:rPr>
          <w:rFonts w:ascii="Arial" w:hAnsi="Arial" w:cs="Arial"/>
        </w:rPr>
        <w:t>The draft report focuses entirely on financial access and fails to consider accessibility to the premise providing the legal service. Without physical accessibility people with physical disability are unable to initially seek advice from the solicitor, followed by further advice from the barrister. A continuous accessible path of travel needs to be provided at all community- based facilities providing legal assistance. ADR processes and court hearings need to be provided in accessible premises so that</w:t>
      </w:r>
      <w:r w:rsidR="001C570E" w:rsidRPr="00DF4059">
        <w:rPr>
          <w:rFonts w:ascii="Arial" w:hAnsi="Arial" w:cs="Arial"/>
        </w:rPr>
        <w:t xml:space="preserve"> all paths of</w:t>
      </w:r>
      <w:r w:rsidR="00460F0D" w:rsidRPr="00DF4059">
        <w:rPr>
          <w:rFonts w:ascii="Arial" w:hAnsi="Arial" w:cs="Arial"/>
        </w:rPr>
        <w:t xml:space="preserve"> travel </w:t>
      </w:r>
      <w:r w:rsidR="001C570E" w:rsidRPr="00DF4059">
        <w:rPr>
          <w:rFonts w:ascii="Arial" w:hAnsi="Arial" w:cs="Arial"/>
        </w:rPr>
        <w:t>comply</w:t>
      </w:r>
      <w:r w:rsidR="00460F0D" w:rsidRPr="00DF4059">
        <w:rPr>
          <w:rFonts w:ascii="Arial" w:hAnsi="Arial" w:cs="Arial"/>
        </w:rPr>
        <w:t xml:space="preserve"> with </w:t>
      </w:r>
      <w:r w:rsidR="001C570E" w:rsidRPr="00DF4059">
        <w:rPr>
          <w:rFonts w:ascii="Arial" w:hAnsi="Arial" w:cs="Arial"/>
          <w:color w:val="111111"/>
        </w:rPr>
        <w:t xml:space="preserve">Disability (Access to </w:t>
      </w:r>
      <w:r w:rsidR="001C570E" w:rsidRPr="00DF4059">
        <w:rPr>
          <w:rFonts w:ascii="Arial" w:hAnsi="Arial" w:cs="Arial"/>
          <w:color w:val="111111"/>
        </w:rPr>
        <w:lastRenderedPageBreak/>
        <w:t xml:space="preserve">Premises-Buildings) Standards 2010. This will enable a </w:t>
      </w:r>
      <w:r w:rsidR="00363774" w:rsidRPr="00DF4059">
        <w:rPr>
          <w:rFonts w:ascii="Arial" w:hAnsi="Arial" w:cs="Arial"/>
        </w:rPr>
        <w:t xml:space="preserve">juror, </w:t>
      </w:r>
      <w:r w:rsidR="001C570E" w:rsidRPr="00DF4059">
        <w:rPr>
          <w:rFonts w:ascii="Arial" w:hAnsi="Arial" w:cs="Arial"/>
        </w:rPr>
        <w:t>witness</w:t>
      </w:r>
      <w:r w:rsidR="00363774" w:rsidRPr="00DF4059">
        <w:rPr>
          <w:rFonts w:ascii="Arial" w:hAnsi="Arial" w:cs="Arial"/>
        </w:rPr>
        <w:t>es</w:t>
      </w:r>
      <w:r w:rsidR="001C570E" w:rsidRPr="00DF4059">
        <w:rPr>
          <w:rFonts w:ascii="Arial" w:hAnsi="Arial" w:cs="Arial"/>
        </w:rPr>
        <w:t xml:space="preserve">, </w:t>
      </w:r>
      <w:r w:rsidR="00363774" w:rsidRPr="00DF4059">
        <w:rPr>
          <w:rFonts w:ascii="Arial" w:hAnsi="Arial" w:cs="Arial"/>
        </w:rPr>
        <w:t xml:space="preserve">the </w:t>
      </w:r>
      <w:r w:rsidR="001C570E" w:rsidRPr="00DF4059">
        <w:rPr>
          <w:rFonts w:ascii="Arial" w:hAnsi="Arial" w:cs="Arial"/>
        </w:rPr>
        <w:t>defendant, members of a jury and staff members</w:t>
      </w:r>
      <w:r w:rsidR="00363774" w:rsidRPr="00DF4059">
        <w:rPr>
          <w:rFonts w:ascii="Arial" w:hAnsi="Arial" w:cs="Arial"/>
        </w:rPr>
        <w:t xml:space="preserve"> to participate in court hearings.</w:t>
      </w:r>
    </w:p>
    <w:p w:rsidR="00363774" w:rsidRPr="00DF4059" w:rsidRDefault="00363774" w:rsidP="00DF4059">
      <w:pPr>
        <w:autoSpaceDE w:val="0"/>
        <w:autoSpaceDN w:val="0"/>
        <w:adjustRightInd w:val="0"/>
        <w:spacing w:after="0"/>
        <w:jc w:val="both"/>
        <w:rPr>
          <w:rFonts w:ascii="Arial" w:hAnsi="Arial" w:cs="Arial"/>
        </w:rPr>
      </w:pPr>
    </w:p>
    <w:p w:rsidR="00096EB4" w:rsidRPr="00DF4059" w:rsidRDefault="00363774" w:rsidP="00DF4059">
      <w:pPr>
        <w:autoSpaceDE w:val="0"/>
        <w:autoSpaceDN w:val="0"/>
        <w:adjustRightInd w:val="0"/>
        <w:spacing w:after="0"/>
        <w:jc w:val="both"/>
        <w:rPr>
          <w:rFonts w:ascii="Arial" w:hAnsi="Arial" w:cs="Arial"/>
        </w:rPr>
      </w:pPr>
      <w:r w:rsidRPr="00DF4059">
        <w:rPr>
          <w:rFonts w:ascii="Arial" w:hAnsi="Arial" w:cs="Arial"/>
        </w:rPr>
        <w:t>Fu</w:t>
      </w:r>
      <w:r w:rsidR="00A914AA" w:rsidRPr="00DF4059">
        <w:rPr>
          <w:rFonts w:ascii="Arial" w:hAnsi="Arial" w:cs="Arial"/>
        </w:rPr>
        <w:t>rther di</w:t>
      </w:r>
      <w:r w:rsidR="00B06DD3" w:rsidRPr="00DF4059">
        <w:rPr>
          <w:rFonts w:ascii="Arial" w:hAnsi="Arial" w:cs="Arial"/>
        </w:rPr>
        <w:t>scussion</w:t>
      </w:r>
      <w:r w:rsidR="0073718D" w:rsidRPr="00DF4059">
        <w:rPr>
          <w:rFonts w:ascii="Arial" w:hAnsi="Arial" w:cs="Arial"/>
        </w:rPr>
        <w:t xml:space="preserve"> addresses the relationship between unmet legal need identified by the Law and Justice Foundation of NSW</w:t>
      </w:r>
      <w:r w:rsidR="00B06DD3" w:rsidRPr="00DF4059">
        <w:rPr>
          <w:rFonts w:ascii="Arial" w:hAnsi="Arial" w:cs="Arial"/>
        </w:rPr>
        <w:t xml:space="preserve"> survey: </w:t>
      </w:r>
      <w:r w:rsidR="0073718D" w:rsidRPr="00DF4059">
        <w:rPr>
          <w:rFonts w:ascii="Arial" w:hAnsi="Arial" w:cs="Arial"/>
        </w:rPr>
        <w:t xml:space="preserve"> </w:t>
      </w:r>
      <w:r w:rsidR="00B06DD3" w:rsidRPr="00DF4059">
        <w:rPr>
          <w:rFonts w:ascii="Arial" w:hAnsi="Arial" w:cs="Arial"/>
          <w:iCs/>
        </w:rPr>
        <w:t>Legal needs of people with a disability in Australia (2012) and feedback from the Access to Justice Arrangements D</w:t>
      </w:r>
      <w:r w:rsidR="00622295" w:rsidRPr="00DF4059">
        <w:rPr>
          <w:rFonts w:ascii="Arial" w:hAnsi="Arial" w:cs="Arial"/>
          <w:iCs/>
        </w:rPr>
        <w:t>raft Report</w:t>
      </w:r>
      <w:r w:rsidR="00A914AA" w:rsidRPr="00DF4059">
        <w:rPr>
          <w:rFonts w:ascii="Arial" w:hAnsi="Arial" w:cs="Arial"/>
          <w:iCs/>
        </w:rPr>
        <w:t>.</w:t>
      </w:r>
      <w:r w:rsidR="00A914AA" w:rsidRPr="00DF4059">
        <w:rPr>
          <w:rFonts w:ascii="Arial" w:hAnsi="Arial" w:cs="Arial"/>
        </w:rPr>
        <w:t xml:space="preserve"> </w:t>
      </w:r>
      <w:r w:rsidR="00ED1D94" w:rsidRPr="00DF4059">
        <w:rPr>
          <w:rFonts w:ascii="Arial" w:hAnsi="Arial" w:cs="Arial"/>
        </w:rPr>
        <w:t>The</w:t>
      </w:r>
      <w:r w:rsidR="009665D4" w:rsidRPr="00DF4059">
        <w:rPr>
          <w:rFonts w:ascii="Arial" w:hAnsi="Arial" w:cs="Arial"/>
        </w:rPr>
        <w:t xml:space="preserve"> most recent</w:t>
      </w:r>
      <w:r w:rsidR="00ED1D94" w:rsidRPr="00DF4059">
        <w:rPr>
          <w:rFonts w:ascii="Arial" w:hAnsi="Arial" w:cs="Arial"/>
        </w:rPr>
        <w:t xml:space="preserve"> </w:t>
      </w:r>
      <w:r w:rsidR="009665D4" w:rsidRPr="00DF4059">
        <w:rPr>
          <w:rFonts w:ascii="Arial" w:hAnsi="Arial" w:cs="Arial"/>
        </w:rPr>
        <w:t xml:space="preserve">LAW </w:t>
      </w:r>
      <w:r w:rsidR="00A914AA" w:rsidRPr="00DF4059">
        <w:rPr>
          <w:rFonts w:ascii="Arial" w:hAnsi="Arial" w:cs="Arial"/>
        </w:rPr>
        <w:t>S</w:t>
      </w:r>
      <w:r w:rsidR="00ED1D94" w:rsidRPr="00DF4059">
        <w:rPr>
          <w:rFonts w:ascii="Arial" w:hAnsi="Arial" w:cs="Arial"/>
        </w:rPr>
        <w:t xml:space="preserve">urvey </w:t>
      </w:r>
      <w:r w:rsidR="009665D4" w:rsidRPr="00DF4059">
        <w:rPr>
          <w:rFonts w:ascii="Arial" w:hAnsi="Arial" w:cs="Arial"/>
        </w:rPr>
        <w:t>comple</w:t>
      </w:r>
      <w:r w:rsidR="00A914AA" w:rsidRPr="00DF4059">
        <w:rPr>
          <w:rFonts w:ascii="Arial" w:hAnsi="Arial" w:cs="Arial"/>
        </w:rPr>
        <w:t>ted in 2012 i</w:t>
      </w:r>
      <w:r w:rsidR="009665D4" w:rsidRPr="00DF4059">
        <w:rPr>
          <w:rFonts w:ascii="Arial" w:hAnsi="Arial" w:cs="Arial"/>
        </w:rPr>
        <w:t>ncluded 2</w:t>
      </w:r>
      <w:r w:rsidR="007D23A5" w:rsidRPr="00DF4059">
        <w:rPr>
          <w:rFonts w:ascii="Arial" w:hAnsi="Arial" w:cs="Arial"/>
        </w:rPr>
        <w:t xml:space="preserve">0, 716 surveys across Australia. </w:t>
      </w:r>
      <w:r w:rsidR="00096EB4" w:rsidRPr="00DF4059">
        <w:rPr>
          <w:rFonts w:ascii="Arial" w:hAnsi="Arial" w:cs="Arial"/>
        </w:rPr>
        <w:t>Th</w:t>
      </w:r>
      <w:r w:rsidR="007D23A5" w:rsidRPr="00DF4059">
        <w:rPr>
          <w:rFonts w:ascii="Arial" w:hAnsi="Arial" w:cs="Arial"/>
        </w:rPr>
        <w:t>is</w:t>
      </w:r>
      <w:r w:rsidR="00096EB4" w:rsidRPr="00DF4059">
        <w:rPr>
          <w:rFonts w:ascii="Arial" w:hAnsi="Arial" w:cs="Arial"/>
        </w:rPr>
        <w:t xml:space="preserve"> survey </w:t>
      </w:r>
      <w:r w:rsidR="007D23A5" w:rsidRPr="00DF4059">
        <w:rPr>
          <w:rFonts w:ascii="Arial" w:hAnsi="Arial" w:cs="Arial"/>
        </w:rPr>
        <w:t>has been used to</w:t>
      </w:r>
      <w:r w:rsidR="00096EB4" w:rsidRPr="00DF4059">
        <w:rPr>
          <w:rFonts w:ascii="Arial" w:hAnsi="Arial" w:cs="Arial"/>
        </w:rPr>
        <w:t xml:space="preserve"> </w:t>
      </w:r>
      <w:r w:rsidR="004570E0" w:rsidRPr="00DF4059">
        <w:rPr>
          <w:rFonts w:ascii="Arial" w:hAnsi="Arial" w:cs="Arial"/>
        </w:rPr>
        <w:t xml:space="preserve">examine </w:t>
      </w:r>
      <w:r w:rsidR="00096EB4" w:rsidRPr="00DF4059">
        <w:rPr>
          <w:rFonts w:ascii="Arial" w:hAnsi="Arial" w:cs="Arial"/>
        </w:rPr>
        <w:t>the ability of disadvantaged people to:</w:t>
      </w:r>
    </w:p>
    <w:p w:rsidR="004570E0" w:rsidRPr="00DF4059" w:rsidRDefault="004570E0" w:rsidP="00DF4059">
      <w:pPr>
        <w:autoSpaceDE w:val="0"/>
        <w:autoSpaceDN w:val="0"/>
        <w:adjustRightInd w:val="0"/>
        <w:spacing w:after="0"/>
        <w:jc w:val="both"/>
        <w:rPr>
          <w:rFonts w:ascii="Arial" w:hAnsi="Arial" w:cs="Arial"/>
        </w:rPr>
      </w:pPr>
    </w:p>
    <w:p w:rsidR="004570E0" w:rsidRPr="00DF4059" w:rsidRDefault="004570E0" w:rsidP="00DF4059">
      <w:pPr>
        <w:pStyle w:val="ListParagraph"/>
        <w:numPr>
          <w:ilvl w:val="0"/>
          <w:numId w:val="3"/>
        </w:numPr>
        <w:autoSpaceDE w:val="0"/>
        <w:autoSpaceDN w:val="0"/>
        <w:adjustRightInd w:val="0"/>
        <w:spacing w:after="0"/>
        <w:ind w:left="567" w:hanging="567"/>
        <w:jc w:val="both"/>
        <w:rPr>
          <w:rFonts w:ascii="Arial" w:hAnsi="Arial" w:cs="Arial"/>
        </w:rPr>
      </w:pPr>
      <w:r w:rsidRPr="00DF4059">
        <w:rPr>
          <w:rFonts w:ascii="Arial" w:hAnsi="Arial" w:cs="Arial"/>
        </w:rPr>
        <w:t>O</w:t>
      </w:r>
      <w:r w:rsidR="00096EB4" w:rsidRPr="00DF4059">
        <w:rPr>
          <w:rFonts w:ascii="Arial" w:hAnsi="Arial" w:cs="Arial"/>
        </w:rPr>
        <w:t>btain legal assistance</w:t>
      </w:r>
    </w:p>
    <w:p w:rsidR="004570E0" w:rsidRPr="00DF4059" w:rsidRDefault="004570E0" w:rsidP="00DF4059">
      <w:pPr>
        <w:pStyle w:val="ListParagraph"/>
        <w:numPr>
          <w:ilvl w:val="0"/>
          <w:numId w:val="3"/>
        </w:numPr>
        <w:autoSpaceDE w:val="0"/>
        <w:autoSpaceDN w:val="0"/>
        <w:adjustRightInd w:val="0"/>
        <w:spacing w:after="0"/>
        <w:ind w:left="567" w:hanging="567"/>
        <w:jc w:val="both"/>
        <w:rPr>
          <w:rFonts w:ascii="Arial" w:hAnsi="Arial" w:cs="Arial"/>
        </w:rPr>
      </w:pPr>
      <w:r w:rsidRPr="00DF4059">
        <w:rPr>
          <w:rFonts w:ascii="Arial" w:hAnsi="Arial" w:cs="Arial"/>
        </w:rPr>
        <w:t>P</w:t>
      </w:r>
      <w:r w:rsidR="00096EB4" w:rsidRPr="00DF4059">
        <w:rPr>
          <w:rFonts w:ascii="Arial" w:hAnsi="Arial" w:cs="Arial"/>
        </w:rPr>
        <w:t>articipate effectively in the legal system</w:t>
      </w:r>
    </w:p>
    <w:p w:rsidR="004570E0" w:rsidRPr="00DF4059" w:rsidRDefault="004570E0" w:rsidP="00DF4059">
      <w:pPr>
        <w:pStyle w:val="ListParagraph"/>
        <w:numPr>
          <w:ilvl w:val="0"/>
          <w:numId w:val="3"/>
        </w:numPr>
        <w:autoSpaceDE w:val="0"/>
        <w:autoSpaceDN w:val="0"/>
        <w:adjustRightInd w:val="0"/>
        <w:spacing w:after="0"/>
        <w:ind w:left="567" w:hanging="567"/>
        <w:jc w:val="both"/>
        <w:rPr>
          <w:rFonts w:ascii="Arial" w:hAnsi="Arial" w:cs="Arial"/>
        </w:rPr>
      </w:pPr>
      <w:r w:rsidRPr="00DF4059">
        <w:rPr>
          <w:rFonts w:ascii="Arial" w:hAnsi="Arial" w:cs="Arial"/>
        </w:rPr>
        <w:t>O</w:t>
      </w:r>
      <w:r w:rsidR="00096EB4" w:rsidRPr="00DF4059">
        <w:rPr>
          <w:rFonts w:ascii="Arial" w:hAnsi="Arial" w:cs="Arial"/>
        </w:rPr>
        <w:t>btain assistance from non-legal advocacy and support</w:t>
      </w:r>
    </w:p>
    <w:p w:rsidR="00096EB4" w:rsidRPr="00DF4059" w:rsidRDefault="004570E0" w:rsidP="00DF4059">
      <w:pPr>
        <w:pStyle w:val="ListParagraph"/>
        <w:numPr>
          <w:ilvl w:val="0"/>
          <w:numId w:val="3"/>
        </w:numPr>
        <w:autoSpaceDE w:val="0"/>
        <w:autoSpaceDN w:val="0"/>
        <w:adjustRightInd w:val="0"/>
        <w:spacing w:after="0"/>
        <w:ind w:left="567" w:hanging="567"/>
        <w:jc w:val="both"/>
        <w:rPr>
          <w:rFonts w:ascii="Arial" w:hAnsi="Arial" w:cs="Arial"/>
        </w:rPr>
      </w:pPr>
      <w:r w:rsidRPr="00DF4059">
        <w:rPr>
          <w:rFonts w:ascii="Arial" w:hAnsi="Arial" w:cs="Arial"/>
        </w:rPr>
        <w:t>P</w:t>
      </w:r>
      <w:r w:rsidR="00096EB4" w:rsidRPr="00DF4059">
        <w:rPr>
          <w:rFonts w:ascii="Arial" w:hAnsi="Arial" w:cs="Arial"/>
        </w:rPr>
        <w:t>articipate effectively in law reform processes.</w:t>
      </w:r>
    </w:p>
    <w:p w:rsidR="00096EB4" w:rsidRPr="00DF4059" w:rsidRDefault="00096EB4" w:rsidP="00DF4059">
      <w:pPr>
        <w:autoSpaceDE w:val="0"/>
        <w:autoSpaceDN w:val="0"/>
        <w:adjustRightInd w:val="0"/>
        <w:spacing w:after="0"/>
        <w:jc w:val="both"/>
        <w:rPr>
          <w:rFonts w:ascii="Arial" w:hAnsi="Arial" w:cs="Arial"/>
        </w:rPr>
      </w:pPr>
    </w:p>
    <w:p w:rsidR="00F81CF1" w:rsidRPr="00DF4059" w:rsidRDefault="007D23A5" w:rsidP="00DF4059">
      <w:pPr>
        <w:autoSpaceDE w:val="0"/>
        <w:autoSpaceDN w:val="0"/>
        <w:adjustRightInd w:val="0"/>
        <w:spacing w:after="0"/>
        <w:jc w:val="both"/>
        <w:rPr>
          <w:rFonts w:ascii="Arial" w:hAnsi="Arial" w:cs="Arial"/>
        </w:rPr>
      </w:pPr>
      <w:r w:rsidRPr="00DF4059">
        <w:rPr>
          <w:rFonts w:ascii="Arial" w:hAnsi="Arial" w:cs="Arial"/>
        </w:rPr>
        <w:t xml:space="preserve">Additional </w:t>
      </w:r>
      <w:r w:rsidR="00471CFA" w:rsidRPr="00DF4059">
        <w:rPr>
          <w:rFonts w:ascii="Arial" w:hAnsi="Arial" w:cs="Arial"/>
        </w:rPr>
        <w:t>to the</w:t>
      </w:r>
      <w:r w:rsidR="00885A16" w:rsidRPr="00DF4059">
        <w:rPr>
          <w:rFonts w:ascii="Arial" w:hAnsi="Arial" w:cs="Arial"/>
        </w:rPr>
        <w:t xml:space="preserve"> national </w:t>
      </w:r>
      <w:r w:rsidRPr="00DF4059">
        <w:rPr>
          <w:rFonts w:ascii="Arial" w:hAnsi="Arial" w:cs="Arial"/>
        </w:rPr>
        <w:t>LAW S</w:t>
      </w:r>
      <w:r w:rsidR="00471CFA" w:rsidRPr="00DF4059">
        <w:rPr>
          <w:rFonts w:ascii="Arial" w:hAnsi="Arial" w:cs="Arial"/>
        </w:rPr>
        <w:t>urvey</w:t>
      </w:r>
      <w:r w:rsidRPr="00DF4059">
        <w:rPr>
          <w:rFonts w:ascii="Arial" w:hAnsi="Arial" w:cs="Arial"/>
        </w:rPr>
        <w:t xml:space="preserve"> a thorough </w:t>
      </w:r>
      <w:r w:rsidR="00471CFA" w:rsidRPr="00DF4059">
        <w:rPr>
          <w:rFonts w:ascii="Arial" w:hAnsi="Arial" w:cs="Arial"/>
        </w:rPr>
        <w:t xml:space="preserve">survey </w:t>
      </w:r>
      <w:r w:rsidRPr="00DF4059">
        <w:rPr>
          <w:rFonts w:ascii="Arial" w:hAnsi="Arial" w:cs="Arial"/>
        </w:rPr>
        <w:t xml:space="preserve">was conducted nationally </w:t>
      </w:r>
      <w:r w:rsidR="00471CFA" w:rsidRPr="00DF4059">
        <w:rPr>
          <w:rFonts w:ascii="Arial" w:hAnsi="Arial" w:cs="Arial"/>
        </w:rPr>
        <w:t xml:space="preserve">with </w:t>
      </w:r>
      <w:r w:rsidRPr="00DF4059">
        <w:rPr>
          <w:rFonts w:ascii="Arial" w:hAnsi="Arial" w:cs="Arial"/>
        </w:rPr>
        <w:t xml:space="preserve">10,289 participants </w:t>
      </w:r>
      <w:r w:rsidR="00471CFA" w:rsidRPr="00DF4059">
        <w:rPr>
          <w:rFonts w:ascii="Arial" w:hAnsi="Arial" w:cs="Arial"/>
        </w:rPr>
        <w:t>with a disability.</w:t>
      </w:r>
      <w:r w:rsidR="00471CFA" w:rsidRPr="00DF4059">
        <w:rPr>
          <w:rFonts w:ascii="Arial" w:hAnsi="Arial" w:cs="Arial"/>
          <w:iCs/>
          <w:color w:val="000000"/>
        </w:rPr>
        <w:t xml:space="preserve"> </w:t>
      </w:r>
      <w:r w:rsidRPr="00DF4059">
        <w:rPr>
          <w:rFonts w:ascii="Arial" w:hAnsi="Arial" w:cs="Arial"/>
          <w:iCs/>
          <w:color w:val="000000"/>
        </w:rPr>
        <w:t xml:space="preserve">Both </w:t>
      </w:r>
      <w:r w:rsidR="00885A16" w:rsidRPr="00DF4059">
        <w:rPr>
          <w:rFonts w:ascii="Arial" w:hAnsi="Arial" w:cs="Arial"/>
          <w:iCs/>
          <w:color w:val="000000"/>
        </w:rPr>
        <w:t>survey</w:t>
      </w:r>
      <w:r w:rsidR="00423D9C" w:rsidRPr="00DF4059">
        <w:rPr>
          <w:rFonts w:ascii="Arial" w:hAnsi="Arial" w:cs="Arial"/>
          <w:iCs/>
          <w:color w:val="000000"/>
        </w:rPr>
        <w:t>s conducted by the Law and Justice Foundation of NSW</w:t>
      </w:r>
      <w:r w:rsidR="00885A16" w:rsidRPr="00DF4059">
        <w:rPr>
          <w:rFonts w:ascii="Arial" w:hAnsi="Arial" w:cs="Arial"/>
          <w:iCs/>
          <w:color w:val="000000"/>
        </w:rPr>
        <w:t xml:space="preserve"> include</w:t>
      </w:r>
      <w:r w:rsidR="00423D9C" w:rsidRPr="00DF4059">
        <w:rPr>
          <w:rFonts w:ascii="Arial" w:hAnsi="Arial" w:cs="Arial"/>
          <w:iCs/>
          <w:color w:val="000000"/>
        </w:rPr>
        <w:t>d</w:t>
      </w:r>
      <w:r w:rsidR="00F81CF1" w:rsidRPr="00DF4059">
        <w:rPr>
          <w:rFonts w:ascii="Arial" w:hAnsi="Arial" w:cs="Arial"/>
          <w:iCs/>
          <w:color w:val="000000"/>
        </w:rPr>
        <w:t xml:space="preserve"> a broad set of</w:t>
      </w:r>
      <w:r w:rsidR="00885A16" w:rsidRPr="00DF4059">
        <w:rPr>
          <w:rFonts w:ascii="Arial" w:hAnsi="Arial" w:cs="Arial"/>
          <w:iCs/>
          <w:color w:val="000000"/>
        </w:rPr>
        <w:t xml:space="preserve"> questions</w:t>
      </w:r>
      <w:r w:rsidR="00F81CF1" w:rsidRPr="00DF4059">
        <w:rPr>
          <w:rFonts w:ascii="Arial" w:hAnsi="Arial" w:cs="Arial"/>
          <w:iCs/>
          <w:color w:val="000000"/>
        </w:rPr>
        <w:t xml:space="preserve"> about the following </w:t>
      </w:r>
      <w:r w:rsidR="00423D9C" w:rsidRPr="00DF4059">
        <w:rPr>
          <w:rFonts w:ascii="Arial" w:hAnsi="Arial" w:cs="Arial"/>
          <w:iCs/>
          <w:color w:val="000000"/>
        </w:rPr>
        <w:t>issues;</w:t>
      </w:r>
    </w:p>
    <w:p w:rsidR="00F81CF1" w:rsidRPr="00DF4059" w:rsidRDefault="00F81CF1" w:rsidP="00DF4059">
      <w:pPr>
        <w:autoSpaceDE w:val="0"/>
        <w:autoSpaceDN w:val="0"/>
        <w:adjustRightInd w:val="0"/>
        <w:spacing w:after="0"/>
        <w:jc w:val="both"/>
        <w:rPr>
          <w:rFonts w:ascii="Arial" w:hAnsi="Arial" w:cs="Arial"/>
          <w:iCs/>
          <w:color w:val="000000"/>
        </w:rPr>
      </w:pP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Accidents</w:t>
      </w: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Consumer</w:t>
      </w: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Credit/ debt</w:t>
      </w: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 xml:space="preserve">Crime </w:t>
      </w: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Employment</w:t>
      </w: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 xml:space="preserve">Family </w:t>
      </w: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 xml:space="preserve">Government </w:t>
      </w: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 xml:space="preserve">Health </w:t>
      </w: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 xml:space="preserve">Housing </w:t>
      </w: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 xml:space="preserve">Money </w:t>
      </w:r>
    </w:p>
    <w:p w:rsidR="00F81CF1"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Personal Injury</w:t>
      </w:r>
    </w:p>
    <w:p w:rsidR="00CB2835" w:rsidRPr="00DF4059" w:rsidRDefault="00F81CF1" w:rsidP="00DF4059">
      <w:pPr>
        <w:pStyle w:val="ListParagraph"/>
        <w:numPr>
          <w:ilvl w:val="0"/>
          <w:numId w:val="4"/>
        </w:numPr>
        <w:tabs>
          <w:tab w:val="left" w:pos="-142"/>
        </w:tabs>
        <w:autoSpaceDE w:val="0"/>
        <w:autoSpaceDN w:val="0"/>
        <w:adjustRightInd w:val="0"/>
        <w:spacing w:after="0"/>
        <w:ind w:left="567" w:hanging="567"/>
        <w:jc w:val="both"/>
        <w:rPr>
          <w:rFonts w:ascii="Arial" w:hAnsi="Arial" w:cs="Arial"/>
          <w:iCs/>
          <w:color w:val="000000"/>
        </w:rPr>
      </w:pPr>
      <w:r w:rsidRPr="00DF4059">
        <w:rPr>
          <w:rFonts w:ascii="Arial" w:hAnsi="Arial" w:cs="Arial"/>
          <w:iCs/>
          <w:color w:val="000000"/>
        </w:rPr>
        <w:t xml:space="preserve">Rights </w:t>
      </w:r>
    </w:p>
    <w:p w:rsidR="00CB2835" w:rsidRPr="00DF4059" w:rsidRDefault="00CB2835" w:rsidP="00DF4059">
      <w:pPr>
        <w:tabs>
          <w:tab w:val="left" w:pos="-142"/>
        </w:tabs>
        <w:autoSpaceDE w:val="0"/>
        <w:autoSpaceDN w:val="0"/>
        <w:adjustRightInd w:val="0"/>
        <w:spacing w:after="0"/>
        <w:jc w:val="both"/>
        <w:rPr>
          <w:rFonts w:ascii="Arial" w:hAnsi="Arial" w:cs="Arial"/>
          <w:iCs/>
          <w:color w:val="000000"/>
        </w:rPr>
      </w:pPr>
    </w:p>
    <w:p w:rsidR="00471CFA" w:rsidRPr="00DF4059" w:rsidRDefault="00BF5D62" w:rsidP="00DF4059">
      <w:pPr>
        <w:autoSpaceDE w:val="0"/>
        <w:autoSpaceDN w:val="0"/>
        <w:adjustRightInd w:val="0"/>
        <w:spacing w:after="0"/>
        <w:jc w:val="both"/>
        <w:rPr>
          <w:rFonts w:ascii="Arial" w:hAnsi="Arial" w:cs="Arial"/>
          <w:iCs/>
          <w:color w:val="000000"/>
        </w:rPr>
      </w:pPr>
      <w:r w:rsidRPr="00DF4059">
        <w:rPr>
          <w:rFonts w:ascii="Arial" w:hAnsi="Arial" w:cs="Arial"/>
          <w:color w:val="000000"/>
        </w:rPr>
        <w:t>The findings firmly verify the substantial connections between a variety of illnesses/disabilities and a broad range of everyday legal and social problems reflecting socioeconomic disadvantage.</w:t>
      </w:r>
      <w:r w:rsidR="00423D9C" w:rsidRPr="00DF4059">
        <w:rPr>
          <w:rFonts w:ascii="Arial" w:hAnsi="Arial" w:cs="Arial"/>
        </w:rPr>
        <w:t xml:space="preserve"> F</w:t>
      </w:r>
      <w:r w:rsidRPr="00DF4059">
        <w:rPr>
          <w:rFonts w:ascii="Arial" w:hAnsi="Arial" w:cs="Arial"/>
        </w:rPr>
        <w:t>indings</w:t>
      </w:r>
      <w:r w:rsidRPr="00DF4059">
        <w:rPr>
          <w:rFonts w:ascii="Arial" w:hAnsi="Arial" w:cs="Arial"/>
          <w:iCs/>
          <w:color w:val="000000"/>
        </w:rPr>
        <w:t xml:space="preserve"> </w:t>
      </w:r>
      <w:r w:rsidR="00423D9C" w:rsidRPr="00DF4059">
        <w:rPr>
          <w:rFonts w:ascii="Arial" w:hAnsi="Arial" w:cs="Arial"/>
          <w:iCs/>
          <w:color w:val="000000"/>
        </w:rPr>
        <w:t xml:space="preserve">from these surveys also </w:t>
      </w:r>
      <w:r w:rsidRPr="00DF4059">
        <w:rPr>
          <w:rFonts w:ascii="Arial" w:hAnsi="Arial" w:cs="Arial"/>
          <w:iCs/>
          <w:color w:val="000000"/>
        </w:rPr>
        <w:t>show</w:t>
      </w:r>
      <w:r w:rsidR="00423D9C" w:rsidRPr="00DF4059">
        <w:rPr>
          <w:rFonts w:ascii="Arial" w:hAnsi="Arial" w:cs="Arial"/>
          <w:iCs/>
          <w:color w:val="000000"/>
        </w:rPr>
        <w:t xml:space="preserve"> that ma</w:t>
      </w:r>
      <w:r w:rsidR="008D3625" w:rsidRPr="00DF4059">
        <w:rPr>
          <w:rFonts w:ascii="Arial" w:hAnsi="Arial" w:cs="Arial"/>
          <w:iCs/>
          <w:color w:val="000000"/>
        </w:rPr>
        <w:t xml:space="preserve">ny social problems increase in magnitude </w:t>
      </w:r>
      <w:r w:rsidR="00423D9C" w:rsidRPr="00DF4059">
        <w:rPr>
          <w:rFonts w:ascii="Arial" w:hAnsi="Arial" w:cs="Arial"/>
          <w:iCs/>
          <w:color w:val="000000"/>
        </w:rPr>
        <w:t>with</w:t>
      </w:r>
      <w:r w:rsidRPr="00DF4059">
        <w:rPr>
          <w:rFonts w:ascii="Arial" w:hAnsi="Arial" w:cs="Arial"/>
          <w:iCs/>
          <w:color w:val="000000"/>
        </w:rPr>
        <w:t xml:space="preserve"> severity of illness/disability.</w:t>
      </w:r>
    </w:p>
    <w:p w:rsidR="00ED1D94" w:rsidRPr="00DF4059" w:rsidRDefault="00471CFA" w:rsidP="00DF4059">
      <w:pPr>
        <w:autoSpaceDE w:val="0"/>
        <w:autoSpaceDN w:val="0"/>
        <w:adjustRightInd w:val="0"/>
        <w:spacing w:after="0"/>
        <w:jc w:val="both"/>
        <w:rPr>
          <w:rFonts w:ascii="Arial" w:hAnsi="Arial" w:cs="Arial"/>
        </w:rPr>
      </w:pPr>
      <w:r w:rsidRPr="00DF4059">
        <w:rPr>
          <w:rFonts w:ascii="Arial" w:hAnsi="Arial" w:cs="Arial"/>
          <w:iCs/>
          <w:color w:val="000000"/>
        </w:rPr>
        <w:t>.</w:t>
      </w:r>
      <w:r w:rsidR="00096EB4" w:rsidRPr="00DF4059">
        <w:rPr>
          <w:rFonts w:ascii="Arial" w:hAnsi="Arial" w:cs="Arial"/>
        </w:rPr>
        <w:t xml:space="preserve"> </w:t>
      </w:r>
    </w:p>
    <w:p w:rsidR="008D3625" w:rsidRPr="00DF4059" w:rsidRDefault="00423D9C" w:rsidP="00DF4059">
      <w:pPr>
        <w:autoSpaceDE w:val="0"/>
        <w:autoSpaceDN w:val="0"/>
        <w:adjustRightInd w:val="0"/>
        <w:spacing w:after="0"/>
        <w:jc w:val="both"/>
        <w:rPr>
          <w:rFonts w:ascii="Arial" w:hAnsi="Arial" w:cs="Arial"/>
        </w:rPr>
      </w:pPr>
      <w:r w:rsidRPr="00DF4059">
        <w:rPr>
          <w:rFonts w:ascii="Arial" w:hAnsi="Arial" w:cs="Arial"/>
        </w:rPr>
        <w:t xml:space="preserve">Findings </w:t>
      </w:r>
      <w:r w:rsidR="00F54CAD" w:rsidRPr="00DF4059">
        <w:rPr>
          <w:rFonts w:ascii="Arial" w:hAnsi="Arial" w:cs="Arial"/>
        </w:rPr>
        <w:t xml:space="preserve">from the LAW Survey </w:t>
      </w:r>
      <w:r w:rsidR="008D3625" w:rsidRPr="00DF4059">
        <w:rPr>
          <w:rFonts w:ascii="Arial" w:hAnsi="Arial" w:cs="Arial"/>
        </w:rPr>
        <w:t>identify</w:t>
      </w:r>
      <w:r w:rsidR="00F54CAD" w:rsidRPr="00DF4059">
        <w:rPr>
          <w:rFonts w:ascii="Arial" w:hAnsi="Arial" w:cs="Arial"/>
        </w:rPr>
        <w:t xml:space="preserve"> differences between </w:t>
      </w:r>
      <w:r w:rsidR="008D3625" w:rsidRPr="00DF4059">
        <w:rPr>
          <w:rFonts w:ascii="Arial" w:hAnsi="Arial" w:cs="Arial"/>
        </w:rPr>
        <w:t>the following population groups;</w:t>
      </w:r>
    </w:p>
    <w:p w:rsidR="008D3625" w:rsidRPr="00DF4059" w:rsidRDefault="008D3625" w:rsidP="00DF4059">
      <w:pPr>
        <w:autoSpaceDE w:val="0"/>
        <w:autoSpaceDN w:val="0"/>
        <w:adjustRightInd w:val="0"/>
        <w:spacing w:after="0"/>
        <w:jc w:val="both"/>
        <w:rPr>
          <w:rFonts w:ascii="Arial" w:hAnsi="Arial" w:cs="Arial"/>
        </w:rPr>
      </w:pPr>
    </w:p>
    <w:p w:rsidR="008D3625" w:rsidRPr="00DF4059" w:rsidRDefault="008D3625" w:rsidP="00DF4059">
      <w:pPr>
        <w:pStyle w:val="ListParagraph"/>
        <w:numPr>
          <w:ilvl w:val="0"/>
          <w:numId w:val="12"/>
        </w:numPr>
        <w:autoSpaceDE w:val="0"/>
        <w:autoSpaceDN w:val="0"/>
        <w:adjustRightInd w:val="0"/>
        <w:spacing w:after="0"/>
        <w:ind w:left="567" w:hanging="567"/>
        <w:jc w:val="both"/>
        <w:rPr>
          <w:rFonts w:ascii="Arial" w:hAnsi="Arial" w:cs="Arial"/>
        </w:rPr>
      </w:pPr>
      <w:r w:rsidRPr="00DF4059">
        <w:rPr>
          <w:rFonts w:ascii="Arial" w:hAnsi="Arial" w:cs="Arial"/>
        </w:rPr>
        <w:t xml:space="preserve">People with physical disability </w:t>
      </w:r>
    </w:p>
    <w:p w:rsidR="008D3625" w:rsidRPr="00DF4059" w:rsidRDefault="008D3625" w:rsidP="00DF4059">
      <w:pPr>
        <w:pStyle w:val="ListParagraph"/>
        <w:numPr>
          <w:ilvl w:val="0"/>
          <w:numId w:val="12"/>
        </w:numPr>
        <w:autoSpaceDE w:val="0"/>
        <w:autoSpaceDN w:val="0"/>
        <w:adjustRightInd w:val="0"/>
        <w:spacing w:after="0"/>
        <w:ind w:left="567" w:hanging="567"/>
        <w:jc w:val="both"/>
        <w:rPr>
          <w:rFonts w:ascii="Arial" w:hAnsi="Arial" w:cs="Arial"/>
        </w:rPr>
      </w:pPr>
      <w:r w:rsidRPr="00DF4059">
        <w:rPr>
          <w:rFonts w:ascii="Arial" w:hAnsi="Arial" w:cs="Arial"/>
        </w:rPr>
        <w:t>People with disability and the</w:t>
      </w:r>
    </w:p>
    <w:p w:rsidR="00ED1D94" w:rsidRPr="00DF4059" w:rsidRDefault="008D3625" w:rsidP="00DF4059">
      <w:pPr>
        <w:pStyle w:val="ListParagraph"/>
        <w:numPr>
          <w:ilvl w:val="0"/>
          <w:numId w:val="12"/>
        </w:numPr>
        <w:autoSpaceDE w:val="0"/>
        <w:autoSpaceDN w:val="0"/>
        <w:adjustRightInd w:val="0"/>
        <w:spacing w:after="0"/>
        <w:ind w:left="567" w:hanging="567"/>
        <w:jc w:val="both"/>
        <w:rPr>
          <w:rFonts w:ascii="Arial" w:hAnsi="Arial" w:cs="Arial"/>
        </w:rPr>
      </w:pPr>
      <w:r w:rsidRPr="00DF4059">
        <w:rPr>
          <w:rFonts w:ascii="Arial" w:hAnsi="Arial" w:cs="Arial"/>
        </w:rPr>
        <w:t xml:space="preserve">General public </w:t>
      </w:r>
    </w:p>
    <w:p w:rsidR="008D3625" w:rsidRPr="00DF4059" w:rsidRDefault="008D3625" w:rsidP="00DF4059">
      <w:pPr>
        <w:pStyle w:val="ListParagraph"/>
        <w:autoSpaceDE w:val="0"/>
        <w:autoSpaceDN w:val="0"/>
        <w:adjustRightInd w:val="0"/>
        <w:spacing w:after="0"/>
        <w:ind w:left="567"/>
        <w:jc w:val="both"/>
        <w:rPr>
          <w:rFonts w:ascii="Arial" w:hAnsi="Arial" w:cs="Arial"/>
        </w:rPr>
      </w:pPr>
    </w:p>
    <w:p w:rsidR="007D10F7" w:rsidRPr="00DF4059" w:rsidRDefault="008D3625" w:rsidP="00DF4059">
      <w:pPr>
        <w:autoSpaceDE w:val="0"/>
        <w:autoSpaceDN w:val="0"/>
        <w:adjustRightInd w:val="0"/>
        <w:spacing w:after="0"/>
        <w:jc w:val="both"/>
        <w:rPr>
          <w:rFonts w:ascii="Arial" w:hAnsi="Arial" w:cs="Arial"/>
        </w:rPr>
      </w:pPr>
      <w:r w:rsidRPr="00DF4059">
        <w:rPr>
          <w:rFonts w:ascii="Arial" w:hAnsi="Arial" w:cs="Arial"/>
        </w:rPr>
        <w:t>Table 1: Number of survey r</w:t>
      </w:r>
      <w:r w:rsidR="007D10F7" w:rsidRPr="00DF4059">
        <w:rPr>
          <w:rFonts w:ascii="Arial" w:hAnsi="Arial" w:cs="Arial"/>
        </w:rPr>
        <w:t>espondents</w:t>
      </w:r>
      <w:r w:rsidRPr="00DF4059">
        <w:rPr>
          <w:rFonts w:ascii="Arial" w:hAnsi="Arial" w:cs="Arial"/>
        </w:rPr>
        <w:t xml:space="preserve"> b</w:t>
      </w:r>
      <w:r w:rsidR="007D10F7" w:rsidRPr="00DF4059">
        <w:rPr>
          <w:rFonts w:ascii="Arial" w:hAnsi="Arial" w:cs="Arial"/>
        </w:rPr>
        <w:t>y type of legal problem</w:t>
      </w:r>
      <w:r w:rsidR="00363774" w:rsidRPr="00DF4059">
        <w:rPr>
          <w:rFonts w:ascii="Arial" w:hAnsi="Arial" w:cs="Arial"/>
        </w:rPr>
        <w:t xml:space="preserve"> </w:t>
      </w:r>
      <w:r w:rsidR="00363774" w:rsidRPr="00DF4059">
        <w:rPr>
          <w:rStyle w:val="FootnoteReference"/>
          <w:rFonts w:ascii="Arial" w:hAnsi="Arial" w:cs="Arial"/>
        </w:rPr>
        <w:footnoteReference w:id="5"/>
      </w:r>
      <w:r w:rsidR="00493C77" w:rsidRPr="00DF4059">
        <w:rPr>
          <w:rFonts w:ascii="Arial" w:hAnsi="Arial" w:cs="Arial"/>
        </w:rPr>
        <w:t xml:space="preserve">, </w:t>
      </w:r>
      <w:r w:rsidR="00493C77" w:rsidRPr="00DF4059">
        <w:rPr>
          <w:rStyle w:val="FootnoteReference"/>
          <w:rFonts w:ascii="Arial" w:hAnsi="Arial" w:cs="Arial"/>
        </w:rPr>
        <w:footnoteReference w:id="6"/>
      </w:r>
    </w:p>
    <w:p w:rsidR="007D10F7" w:rsidRPr="00DF4059" w:rsidRDefault="007D10F7" w:rsidP="00DF4059">
      <w:pPr>
        <w:autoSpaceDE w:val="0"/>
        <w:autoSpaceDN w:val="0"/>
        <w:adjustRightInd w:val="0"/>
        <w:spacing w:after="0"/>
        <w:jc w:val="both"/>
        <w:rPr>
          <w:rFonts w:ascii="Arial" w:hAnsi="Arial" w:cs="Arial"/>
        </w:rPr>
      </w:pPr>
    </w:p>
    <w:tbl>
      <w:tblPr>
        <w:tblStyle w:val="TableGrid"/>
        <w:tblW w:w="0" w:type="auto"/>
        <w:tblLook w:val="04A0" w:firstRow="1" w:lastRow="0" w:firstColumn="1" w:lastColumn="0" w:noHBand="0" w:noVBand="1"/>
      </w:tblPr>
      <w:tblGrid>
        <w:gridCol w:w="2310"/>
        <w:gridCol w:w="2310"/>
        <w:gridCol w:w="2311"/>
        <w:gridCol w:w="2311"/>
      </w:tblGrid>
      <w:tr w:rsidR="007D10F7" w:rsidRPr="00DF4059" w:rsidTr="007D10F7">
        <w:tc>
          <w:tcPr>
            <w:tcW w:w="2310" w:type="dxa"/>
          </w:tcPr>
          <w:p w:rsidR="007D10F7" w:rsidRPr="00DF4059" w:rsidRDefault="005B122C" w:rsidP="00DF4059">
            <w:pPr>
              <w:autoSpaceDE w:val="0"/>
              <w:autoSpaceDN w:val="0"/>
              <w:adjustRightInd w:val="0"/>
              <w:spacing w:line="276" w:lineRule="auto"/>
              <w:jc w:val="both"/>
              <w:rPr>
                <w:rFonts w:ascii="Arial" w:hAnsi="Arial" w:cs="Arial"/>
                <w:b/>
              </w:rPr>
            </w:pPr>
            <w:r w:rsidRPr="00DF4059">
              <w:rPr>
                <w:rFonts w:ascii="Arial" w:hAnsi="Arial" w:cs="Arial"/>
                <w:b/>
              </w:rPr>
              <w:t>Legal problem</w:t>
            </w:r>
          </w:p>
        </w:tc>
        <w:tc>
          <w:tcPr>
            <w:tcW w:w="2310" w:type="dxa"/>
          </w:tcPr>
          <w:p w:rsidR="007D10F7" w:rsidRPr="00DF4059" w:rsidRDefault="00A04822" w:rsidP="00DF4059">
            <w:pPr>
              <w:autoSpaceDE w:val="0"/>
              <w:autoSpaceDN w:val="0"/>
              <w:adjustRightInd w:val="0"/>
              <w:spacing w:line="276" w:lineRule="auto"/>
              <w:jc w:val="both"/>
              <w:rPr>
                <w:rFonts w:ascii="Arial" w:hAnsi="Arial" w:cs="Arial"/>
                <w:b/>
              </w:rPr>
            </w:pPr>
            <w:r w:rsidRPr="00DF4059">
              <w:rPr>
                <w:rFonts w:ascii="Arial" w:hAnsi="Arial" w:cs="Arial"/>
                <w:b/>
              </w:rPr>
              <w:t>% of p</w:t>
            </w:r>
            <w:r w:rsidR="007D10F7" w:rsidRPr="00DF4059">
              <w:rPr>
                <w:rFonts w:ascii="Arial" w:hAnsi="Arial" w:cs="Arial"/>
                <w:b/>
              </w:rPr>
              <w:t>eople with disability</w:t>
            </w:r>
          </w:p>
        </w:tc>
        <w:tc>
          <w:tcPr>
            <w:tcW w:w="2311" w:type="dxa"/>
          </w:tcPr>
          <w:p w:rsidR="007D10F7" w:rsidRPr="00DF4059" w:rsidRDefault="00A04822" w:rsidP="00DF4059">
            <w:pPr>
              <w:autoSpaceDE w:val="0"/>
              <w:autoSpaceDN w:val="0"/>
              <w:adjustRightInd w:val="0"/>
              <w:spacing w:line="276" w:lineRule="auto"/>
              <w:jc w:val="both"/>
              <w:rPr>
                <w:rFonts w:ascii="Arial" w:hAnsi="Arial" w:cs="Arial"/>
                <w:b/>
              </w:rPr>
            </w:pPr>
            <w:r w:rsidRPr="00DF4059">
              <w:rPr>
                <w:rFonts w:ascii="Arial" w:hAnsi="Arial" w:cs="Arial"/>
                <w:b/>
              </w:rPr>
              <w:t>% of p</w:t>
            </w:r>
            <w:r w:rsidR="007D10F7" w:rsidRPr="00DF4059">
              <w:rPr>
                <w:rFonts w:ascii="Arial" w:hAnsi="Arial" w:cs="Arial"/>
                <w:b/>
              </w:rPr>
              <w:t>eople with physical disability</w:t>
            </w:r>
          </w:p>
        </w:tc>
        <w:tc>
          <w:tcPr>
            <w:tcW w:w="2311" w:type="dxa"/>
          </w:tcPr>
          <w:p w:rsidR="007D10F7" w:rsidRPr="00DF4059" w:rsidRDefault="00A04822" w:rsidP="00DF4059">
            <w:pPr>
              <w:autoSpaceDE w:val="0"/>
              <w:autoSpaceDN w:val="0"/>
              <w:adjustRightInd w:val="0"/>
              <w:spacing w:line="276" w:lineRule="auto"/>
              <w:jc w:val="both"/>
              <w:rPr>
                <w:rFonts w:ascii="Arial" w:hAnsi="Arial" w:cs="Arial"/>
                <w:b/>
              </w:rPr>
            </w:pPr>
            <w:r w:rsidRPr="00DF4059">
              <w:rPr>
                <w:rFonts w:ascii="Arial" w:hAnsi="Arial" w:cs="Arial"/>
                <w:b/>
              </w:rPr>
              <w:t>% of g</w:t>
            </w:r>
            <w:r w:rsidR="007D10F7" w:rsidRPr="00DF4059">
              <w:rPr>
                <w:rFonts w:ascii="Arial" w:hAnsi="Arial" w:cs="Arial"/>
                <w:b/>
              </w:rPr>
              <w:t>eneral public</w:t>
            </w:r>
          </w:p>
        </w:tc>
      </w:tr>
      <w:tr w:rsidR="007D10F7" w:rsidRPr="00DF4059" w:rsidTr="007D10F7">
        <w:tc>
          <w:tcPr>
            <w:tcW w:w="2310" w:type="dxa"/>
          </w:tcPr>
          <w:p w:rsidR="007D10F7" w:rsidRPr="00DF4059" w:rsidRDefault="00AF789E" w:rsidP="00DF4059">
            <w:pPr>
              <w:autoSpaceDE w:val="0"/>
              <w:autoSpaceDN w:val="0"/>
              <w:adjustRightInd w:val="0"/>
              <w:spacing w:line="276" w:lineRule="auto"/>
              <w:jc w:val="both"/>
              <w:rPr>
                <w:rFonts w:ascii="Arial" w:hAnsi="Arial" w:cs="Arial"/>
              </w:rPr>
            </w:pPr>
            <w:r w:rsidRPr="00DF4059">
              <w:rPr>
                <w:rFonts w:ascii="Arial" w:hAnsi="Arial" w:cs="Arial"/>
              </w:rPr>
              <w:t xml:space="preserve">Accidents </w:t>
            </w:r>
          </w:p>
        </w:tc>
        <w:tc>
          <w:tcPr>
            <w:tcW w:w="2310" w:type="dxa"/>
          </w:tcPr>
          <w:p w:rsidR="007D10F7"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3.0</w:t>
            </w:r>
          </w:p>
        </w:tc>
        <w:tc>
          <w:tcPr>
            <w:tcW w:w="2311" w:type="dxa"/>
          </w:tcPr>
          <w:p w:rsidR="007D10F7" w:rsidRPr="00DF4059" w:rsidRDefault="00074A5F" w:rsidP="00DF4059">
            <w:pPr>
              <w:autoSpaceDE w:val="0"/>
              <w:autoSpaceDN w:val="0"/>
              <w:adjustRightInd w:val="0"/>
              <w:spacing w:line="276" w:lineRule="auto"/>
              <w:jc w:val="both"/>
              <w:rPr>
                <w:rFonts w:ascii="Arial" w:hAnsi="Arial" w:cs="Arial"/>
              </w:rPr>
            </w:pPr>
            <w:r w:rsidRPr="00DF4059">
              <w:rPr>
                <w:rFonts w:ascii="Arial" w:hAnsi="Arial" w:cs="Arial"/>
              </w:rPr>
              <w:t>3.0</w:t>
            </w:r>
          </w:p>
        </w:tc>
        <w:tc>
          <w:tcPr>
            <w:tcW w:w="2311" w:type="dxa"/>
          </w:tcPr>
          <w:p w:rsidR="007D10F7"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7.7</w:t>
            </w:r>
          </w:p>
        </w:tc>
      </w:tr>
      <w:tr w:rsidR="007D10F7" w:rsidRPr="00DF4059" w:rsidTr="007D10F7">
        <w:tc>
          <w:tcPr>
            <w:tcW w:w="2310" w:type="dxa"/>
          </w:tcPr>
          <w:p w:rsidR="007D10F7" w:rsidRPr="00DF4059" w:rsidRDefault="00AF789E" w:rsidP="00DF4059">
            <w:pPr>
              <w:autoSpaceDE w:val="0"/>
              <w:autoSpaceDN w:val="0"/>
              <w:adjustRightInd w:val="0"/>
              <w:spacing w:line="276" w:lineRule="auto"/>
              <w:jc w:val="both"/>
              <w:rPr>
                <w:rFonts w:ascii="Arial" w:hAnsi="Arial" w:cs="Arial"/>
              </w:rPr>
            </w:pPr>
            <w:r w:rsidRPr="00DF4059">
              <w:rPr>
                <w:rFonts w:ascii="Arial" w:hAnsi="Arial" w:cs="Arial"/>
              </w:rPr>
              <w:t>Consumer</w:t>
            </w:r>
          </w:p>
        </w:tc>
        <w:tc>
          <w:tcPr>
            <w:tcW w:w="2310" w:type="dxa"/>
          </w:tcPr>
          <w:p w:rsidR="007D10F7"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27.8</w:t>
            </w:r>
          </w:p>
        </w:tc>
        <w:tc>
          <w:tcPr>
            <w:tcW w:w="2311" w:type="dxa"/>
          </w:tcPr>
          <w:p w:rsidR="007D10F7"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2.3</w:t>
            </w:r>
          </w:p>
        </w:tc>
        <w:tc>
          <w:tcPr>
            <w:tcW w:w="2311" w:type="dxa"/>
          </w:tcPr>
          <w:p w:rsidR="007D10F7"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20.6</w:t>
            </w:r>
          </w:p>
        </w:tc>
      </w:tr>
      <w:tr w:rsidR="007D10F7" w:rsidRPr="00DF4059" w:rsidTr="007D10F7">
        <w:tc>
          <w:tcPr>
            <w:tcW w:w="2310" w:type="dxa"/>
          </w:tcPr>
          <w:p w:rsidR="007D10F7"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Credit/ debt</w:t>
            </w:r>
          </w:p>
        </w:tc>
        <w:tc>
          <w:tcPr>
            <w:tcW w:w="2310" w:type="dxa"/>
          </w:tcPr>
          <w:p w:rsidR="007D10F7"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6.5</w:t>
            </w:r>
          </w:p>
        </w:tc>
        <w:tc>
          <w:tcPr>
            <w:tcW w:w="2311" w:type="dxa"/>
          </w:tcPr>
          <w:p w:rsidR="007D10F7"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2.0</w:t>
            </w:r>
          </w:p>
        </w:tc>
        <w:tc>
          <w:tcPr>
            <w:tcW w:w="2311" w:type="dxa"/>
          </w:tcPr>
          <w:p w:rsidR="007D10F7"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4.6</w:t>
            </w:r>
          </w:p>
        </w:tc>
      </w:tr>
      <w:tr w:rsidR="007D10F7" w:rsidRPr="00DF4059" w:rsidTr="007D10F7">
        <w:tc>
          <w:tcPr>
            <w:tcW w:w="2310" w:type="dxa"/>
          </w:tcPr>
          <w:p w:rsidR="007D10F7"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Crime</w:t>
            </w:r>
          </w:p>
        </w:tc>
        <w:tc>
          <w:tcPr>
            <w:tcW w:w="2310" w:type="dxa"/>
          </w:tcPr>
          <w:p w:rsidR="007D10F7"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9.8</w:t>
            </w:r>
          </w:p>
        </w:tc>
        <w:tc>
          <w:tcPr>
            <w:tcW w:w="2311" w:type="dxa"/>
          </w:tcPr>
          <w:p w:rsidR="007D10F7"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2.0</w:t>
            </w:r>
          </w:p>
        </w:tc>
        <w:tc>
          <w:tcPr>
            <w:tcW w:w="2311" w:type="dxa"/>
          </w:tcPr>
          <w:p w:rsidR="007D10F7"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14.3</w:t>
            </w:r>
          </w:p>
        </w:tc>
      </w:tr>
      <w:tr w:rsidR="00AD6EEB" w:rsidRPr="00DF4059" w:rsidTr="007D10F7">
        <w:tc>
          <w:tcPr>
            <w:tcW w:w="2310" w:type="dxa"/>
          </w:tcPr>
          <w:p w:rsidR="00AD6EEB"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 xml:space="preserve">Discrimination </w:t>
            </w:r>
          </w:p>
        </w:tc>
        <w:tc>
          <w:tcPr>
            <w:tcW w:w="2310" w:type="dxa"/>
          </w:tcPr>
          <w:p w:rsidR="00AD6EEB" w:rsidRPr="00DF4059" w:rsidRDefault="00AD6EEB" w:rsidP="00DF4059">
            <w:pPr>
              <w:autoSpaceDE w:val="0"/>
              <w:autoSpaceDN w:val="0"/>
              <w:adjustRightInd w:val="0"/>
              <w:spacing w:line="276" w:lineRule="auto"/>
              <w:jc w:val="both"/>
              <w:rPr>
                <w:rFonts w:ascii="Arial" w:hAnsi="Arial" w:cs="Arial"/>
              </w:rPr>
            </w:pPr>
          </w:p>
        </w:tc>
        <w:tc>
          <w:tcPr>
            <w:tcW w:w="2311" w:type="dxa"/>
          </w:tcPr>
          <w:p w:rsidR="00AD6EEB"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4.0</w:t>
            </w:r>
          </w:p>
        </w:tc>
        <w:tc>
          <w:tcPr>
            <w:tcW w:w="2311" w:type="dxa"/>
          </w:tcPr>
          <w:p w:rsidR="00AD6EEB"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2.4</w:t>
            </w:r>
          </w:p>
        </w:tc>
      </w:tr>
      <w:tr w:rsidR="007D10F7" w:rsidRPr="00DF4059" w:rsidTr="007D10F7">
        <w:tc>
          <w:tcPr>
            <w:tcW w:w="2310" w:type="dxa"/>
          </w:tcPr>
          <w:p w:rsidR="007D10F7" w:rsidRPr="00DF4059" w:rsidRDefault="00AF789E" w:rsidP="00DF4059">
            <w:pPr>
              <w:autoSpaceDE w:val="0"/>
              <w:autoSpaceDN w:val="0"/>
              <w:adjustRightInd w:val="0"/>
              <w:spacing w:line="276" w:lineRule="auto"/>
              <w:jc w:val="both"/>
              <w:rPr>
                <w:rFonts w:ascii="Arial" w:hAnsi="Arial" w:cs="Arial"/>
              </w:rPr>
            </w:pPr>
            <w:r w:rsidRPr="00DF4059">
              <w:rPr>
                <w:rFonts w:ascii="Arial" w:hAnsi="Arial" w:cs="Arial"/>
              </w:rPr>
              <w:t xml:space="preserve">Education </w:t>
            </w:r>
          </w:p>
        </w:tc>
        <w:tc>
          <w:tcPr>
            <w:tcW w:w="2310" w:type="dxa"/>
          </w:tcPr>
          <w:p w:rsidR="007D10F7" w:rsidRPr="00DF4059" w:rsidRDefault="007D10F7" w:rsidP="00DF4059">
            <w:pPr>
              <w:autoSpaceDE w:val="0"/>
              <w:autoSpaceDN w:val="0"/>
              <w:adjustRightInd w:val="0"/>
              <w:spacing w:line="276" w:lineRule="auto"/>
              <w:jc w:val="both"/>
              <w:rPr>
                <w:rFonts w:ascii="Arial" w:hAnsi="Arial" w:cs="Arial"/>
              </w:rPr>
            </w:pPr>
          </w:p>
        </w:tc>
        <w:tc>
          <w:tcPr>
            <w:tcW w:w="2311" w:type="dxa"/>
          </w:tcPr>
          <w:p w:rsidR="007D10F7"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1.9</w:t>
            </w:r>
          </w:p>
        </w:tc>
        <w:tc>
          <w:tcPr>
            <w:tcW w:w="2311" w:type="dxa"/>
          </w:tcPr>
          <w:p w:rsidR="007D10F7"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2.4</w:t>
            </w:r>
          </w:p>
        </w:tc>
      </w:tr>
      <w:tr w:rsidR="007D10F7" w:rsidRPr="00DF4059" w:rsidTr="007D10F7">
        <w:tc>
          <w:tcPr>
            <w:tcW w:w="2310" w:type="dxa"/>
          </w:tcPr>
          <w:p w:rsidR="007D10F7" w:rsidRPr="00DF4059" w:rsidRDefault="00AF789E" w:rsidP="00DF4059">
            <w:pPr>
              <w:autoSpaceDE w:val="0"/>
              <w:autoSpaceDN w:val="0"/>
              <w:adjustRightInd w:val="0"/>
              <w:spacing w:line="276" w:lineRule="auto"/>
              <w:jc w:val="both"/>
              <w:rPr>
                <w:rFonts w:ascii="Arial" w:hAnsi="Arial" w:cs="Arial"/>
              </w:rPr>
            </w:pPr>
            <w:r w:rsidRPr="00DF4059">
              <w:rPr>
                <w:rFonts w:ascii="Arial" w:hAnsi="Arial" w:cs="Arial"/>
              </w:rPr>
              <w:t xml:space="preserve">Employment </w:t>
            </w:r>
          </w:p>
        </w:tc>
        <w:tc>
          <w:tcPr>
            <w:tcW w:w="2310" w:type="dxa"/>
          </w:tcPr>
          <w:p w:rsidR="007D10F7"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8.3</w:t>
            </w:r>
          </w:p>
        </w:tc>
        <w:tc>
          <w:tcPr>
            <w:tcW w:w="2311" w:type="dxa"/>
          </w:tcPr>
          <w:p w:rsidR="007D10F7"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1.8</w:t>
            </w:r>
          </w:p>
        </w:tc>
        <w:tc>
          <w:tcPr>
            <w:tcW w:w="2311" w:type="dxa"/>
          </w:tcPr>
          <w:p w:rsidR="007D10F7"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6.2</w:t>
            </w:r>
          </w:p>
        </w:tc>
      </w:tr>
      <w:tr w:rsidR="00A04822" w:rsidRPr="00DF4059" w:rsidTr="007D10F7">
        <w:tc>
          <w:tcPr>
            <w:tcW w:w="2310" w:type="dxa"/>
          </w:tcPr>
          <w:p w:rsidR="00A04822"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 xml:space="preserve">Family </w:t>
            </w:r>
          </w:p>
        </w:tc>
        <w:tc>
          <w:tcPr>
            <w:tcW w:w="2310" w:type="dxa"/>
          </w:tcPr>
          <w:p w:rsidR="00A04822"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7.5</w:t>
            </w:r>
          </w:p>
        </w:tc>
        <w:tc>
          <w:tcPr>
            <w:tcW w:w="2311" w:type="dxa"/>
          </w:tcPr>
          <w:p w:rsidR="00A04822" w:rsidRPr="00DF4059" w:rsidRDefault="00A04822" w:rsidP="00DF4059">
            <w:pPr>
              <w:autoSpaceDE w:val="0"/>
              <w:autoSpaceDN w:val="0"/>
              <w:adjustRightInd w:val="0"/>
              <w:spacing w:line="276" w:lineRule="auto"/>
              <w:jc w:val="both"/>
              <w:rPr>
                <w:rFonts w:ascii="Arial" w:hAnsi="Arial" w:cs="Arial"/>
              </w:rPr>
            </w:pPr>
          </w:p>
        </w:tc>
        <w:tc>
          <w:tcPr>
            <w:tcW w:w="2311" w:type="dxa"/>
          </w:tcPr>
          <w:p w:rsidR="00A04822" w:rsidRPr="00DF4059" w:rsidRDefault="00A04822" w:rsidP="00DF4059">
            <w:pPr>
              <w:autoSpaceDE w:val="0"/>
              <w:autoSpaceDN w:val="0"/>
              <w:adjustRightInd w:val="0"/>
              <w:spacing w:line="276" w:lineRule="auto"/>
              <w:jc w:val="both"/>
              <w:rPr>
                <w:rFonts w:ascii="Arial" w:hAnsi="Arial" w:cs="Arial"/>
              </w:rPr>
            </w:pPr>
          </w:p>
        </w:tc>
      </w:tr>
      <w:tr w:rsidR="007D10F7" w:rsidRPr="00DF4059" w:rsidTr="007D10F7">
        <w:tc>
          <w:tcPr>
            <w:tcW w:w="2310" w:type="dxa"/>
          </w:tcPr>
          <w:p w:rsidR="007D10F7" w:rsidRPr="00DF4059" w:rsidRDefault="00A25A17" w:rsidP="00DF4059">
            <w:pPr>
              <w:autoSpaceDE w:val="0"/>
              <w:autoSpaceDN w:val="0"/>
              <w:adjustRightInd w:val="0"/>
              <w:spacing w:line="276" w:lineRule="auto"/>
              <w:jc w:val="both"/>
              <w:rPr>
                <w:rFonts w:ascii="Arial" w:hAnsi="Arial" w:cs="Arial"/>
              </w:rPr>
            </w:pPr>
            <w:r w:rsidRPr="00DF4059">
              <w:rPr>
                <w:rFonts w:ascii="Arial" w:hAnsi="Arial" w:cs="Arial"/>
              </w:rPr>
              <w:t>Government payments and</w:t>
            </w:r>
            <w:r w:rsidR="00AF789E" w:rsidRPr="00DF4059">
              <w:rPr>
                <w:rFonts w:ascii="Arial" w:hAnsi="Arial" w:cs="Arial"/>
              </w:rPr>
              <w:t xml:space="preserve"> services</w:t>
            </w:r>
          </w:p>
        </w:tc>
        <w:tc>
          <w:tcPr>
            <w:tcW w:w="2310" w:type="dxa"/>
          </w:tcPr>
          <w:p w:rsidR="007D10F7"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12.8</w:t>
            </w:r>
          </w:p>
        </w:tc>
        <w:tc>
          <w:tcPr>
            <w:tcW w:w="2311" w:type="dxa"/>
          </w:tcPr>
          <w:p w:rsidR="007D10F7"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3.7</w:t>
            </w:r>
          </w:p>
        </w:tc>
        <w:tc>
          <w:tcPr>
            <w:tcW w:w="2311" w:type="dxa"/>
          </w:tcPr>
          <w:p w:rsidR="007D10F7"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11.4</w:t>
            </w:r>
          </w:p>
        </w:tc>
      </w:tr>
      <w:tr w:rsidR="007D10F7" w:rsidRPr="00DF4059" w:rsidTr="007D10F7">
        <w:tc>
          <w:tcPr>
            <w:tcW w:w="2310" w:type="dxa"/>
          </w:tcPr>
          <w:p w:rsidR="007D10F7" w:rsidRPr="00DF4059" w:rsidRDefault="00AF789E" w:rsidP="00DF4059">
            <w:pPr>
              <w:autoSpaceDE w:val="0"/>
              <w:autoSpaceDN w:val="0"/>
              <w:adjustRightInd w:val="0"/>
              <w:spacing w:line="276" w:lineRule="auto"/>
              <w:jc w:val="both"/>
              <w:rPr>
                <w:rFonts w:ascii="Arial" w:hAnsi="Arial" w:cs="Arial"/>
              </w:rPr>
            </w:pPr>
            <w:r w:rsidRPr="00DF4059">
              <w:rPr>
                <w:rFonts w:ascii="Arial" w:hAnsi="Arial" w:cs="Arial"/>
              </w:rPr>
              <w:t xml:space="preserve">Health </w:t>
            </w:r>
          </w:p>
        </w:tc>
        <w:tc>
          <w:tcPr>
            <w:tcW w:w="2310" w:type="dxa"/>
          </w:tcPr>
          <w:p w:rsidR="007D10F7"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2.5</w:t>
            </w:r>
          </w:p>
        </w:tc>
        <w:tc>
          <w:tcPr>
            <w:tcW w:w="2311" w:type="dxa"/>
          </w:tcPr>
          <w:p w:rsidR="007D10F7"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39.6</w:t>
            </w:r>
          </w:p>
        </w:tc>
        <w:tc>
          <w:tcPr>
            <w:tcW w:w="2311" w:type="dxa"/>
          </w:tcPr>
          <w:p w:rsidR="007D10F7" w:rsidRPr="00DF4059" w:rsidRDefault="009E14E7" w:rsidP="00DF4059">
            <w:pPr>
              <w:autoSpaceDE w:val="0"/>
              <w:autoSpaceDN w:val="0"/>
              <w:adjustRightInd w:val="0"/>
              <w:spacing w:line="276" w:lineRule="auto"/>
              <w:jc w:val="both"/>
              <w:rPr>
                <w:rFonts w:ascii="Arial" w:hAnsi="Arial" w:cs="Arial"/>
              </w:rPr>
            </w:pPr>
            <w:r w:rsidRPr="00DF4059">
              <w:rPr>
                <w:rFonts w:ascii="Arial" w:hAnsi="Arial" w:cs="Arial"/>
              </w:rPr>
              <w:t>3.7</w:t>
            </w:r>
          </w:p>
        </w:tc>
      </w:tr>
      <w:tr w:rsidR="007D10F7" w:rsidRPr="00DF4059" w:rsidTr="007D10F7">
        <w:tc>
          <w:tcPr>
            <w:tcW w:w="2310" w:type="dxa"/>
          </w:tcPr>
          <w:p w:rsidR="007D10F7" w:rsidRPr="00DF4059" w:rsidRDefault="00AF789E" w:rsidP="00DF4059">
            <w:pPr>
              <w:autoSpaceDE w:val="0"/>
              <w:autoSpaceDN w:val="0"/>
              <w:adjustRightInd w:val="0"/>
              <w:spacing w:line="276" w:lineRule="auto"/>
              <w:jc w:val="both"/>
              <w:rPr>
                <w:rFonts w:ascii="Arial" w:hAnsi="Arial" w:cs="Arial"/>
              </w:rPr>
            </w:pPr>
            <w:r w:rsidRPr="00DF4059">
              <w:rPr>
                <w:rFonts w:ascii="Arial" w:hAnsi="Arial" w:cs="Arial"/>
              </w:rPr>
              <w:t xml:space="preserve">Housing </w:t>
            </w:r>
          </w:p>
        </w:tc>
        <w:tc>
          <w:tcPr>
            <w:tcW w:w="2310" w:type="dxa"/>
          </w:tcPr>
          <w:p w:rsidR="007D10F7"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8.4</w:t>
            </w:r>
          </w:p>
        </w:tc>
        <w:tc>
          <w:tcPr>
            <w:tcW w:w="2311" w:type="dxa"/>
          </w:tcPr>
          <w:p w:rsidR="007D10F7"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1.7</w:t>
            </w:r>
          </w:p>
        </w:tc>
        <w:tc>
          <w:tcPr>
            <w:tcW w:w="2311" w:type="dxa"/>
          </w:tcPr>
          <w:p w:rsidR="007D10F7" w:rsidRPr="00DF4059" w:rsidRDefault="009E14E7" w:rsidP="00DF4059">
            <w:pPr>
              <w:autoSpaceDE w:val="0"/>
              <w:autoSpaceDN w:val="0"/>
              <w:adjustRightInd w:val="0"/>
              <w:spacing w:line="276" w:lineRule="auto"/>
              <w:jc w:val="both"/>
              <w:rPr>
                <w:rFonts w:ascii="Arial" w:hAnsi="Arial" w:cs="Arial"/>
              </w:rPr>
            </w:pPr>
            <w:r w:rsidRPr="00DF4059">
              <w:rPr>
                <w:rFonts w:ascii="Arial" w:hAnsi="Arial" w:cs="Arial"/>
              </w:rPr>
              <w:t>12.8</w:t>
            </w:r>
          </w:p>
        </w:tc>
      </w:tr>
      <w:tr w:rsidR="00AD6EEB" w:rsidRPr="00DF4059" w:rsidTr="007D10F7">
        <w:tc>
          <w:tcPr>
            <w:tcW w:w="2310" w:type="dxa"/>
          </w:tcPr>
          <w:p w:rsidR="00AD6EEB"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 xml:space="preserve">Money </w:t>
            </w:r>
          </w:p>
        </w:tc>
        <w:tc>
          <w:tcPr>
            <w:tcW w:w="2310" w:type="dxa"/>
          </w:tcPr>
          <w:p w:rsidR="00AD6EEB"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4.0</w:t>
            </w:r>
          </w:p>
        </w:tc>
        <w:tc>
          <w:tcPr>
            <w:tcW w:w="2311" w:type="dxa"/>
          </w:tcPr>
          <w:p w:rsidR="00AD6EEB" w:rsidRPr="00DF4059" w:rsidRDefault="00AD6EEB" w:rsidP="00DF4059">
            <w:pPr>
              <w:autoSpaceDE w:val="0"/>
              <w:autoSpaceDN w:val="0"/>
              <w:adjustRightInd w:val="0"/>
              <w:spacing w:line="276" w:lineRule="auto"/>
              <w:jc w:val="both"/>
              <w:rPr>
                <w:rFonts w:ascii="Arial" w:hAnsi="Arial" w:cs="Arial"/>
              </w:rPr>
            </w:pPr>
          </w:p>
        </w:tc>
        <w:tc>
          <w:tcPr>
            <w:tcW w:w="2311" w:type="dxa"/>
          </w:tcPr>
          <w:p w:rsidR="00AD6EEB" w:rsidRPr="00DF4059" w:rsidRDefault="00AD6EEB" w:rsidP="00DF4059">
            <w:pPr>
              <w:autoSpaceDE w:val="0"/>
              <w:autoSpaceDN w:val="0"/>
              <w:adjustRightInd w:val="0"/>
              <w:spacing w:line="276" w:lineRule="auto"/>
              <w:jc w:val="both"/>
              <w:rPr>
                <w:rFonts w:ascii="Arial" w:hAnsi="Arial" w:cs="Arial"/>
              </w:rPr>
            </w:pPr>
          </w:p>
        </w:tc>
      </w:tr>
      <w:tr w:rsidR="00AF789E" w:rsidRPr="00DF4059" w:rsidTr="007D10F7">
        <w:tc>
          <w:tcPr>
            <w:tcW w:w="2310" w:type="dxa"/>
          </w:tcPr>
          <w:p w:rsidR="00AF789E" w:rsidRPr="00DF4059" w:rsidRDefault="00AF789E" w:rsidP="00DF4059">
            <w:pPr>
              <w:autoSpaceDE w:val="0"/>
              <w:autoSpaceDN w:val="0"/>
              <w:adjustRightInd w:val="0"/>
              <w:spacing w:line="276" w:lineRule="auto"/>
              <w:jc w:val="both"/>
              <w:rPr>
                <w:rFonts w:ascii="Arial" w:hAnsi="Arial" w:cs="Arial"/>
              </w:rPr>
            </w:pPr>
            <w:r w:rsidRPr="00DF4059">
              <w:rPr>
                <w:rFonts w:ascii="Arial" w:hAnsi="Arial" w:cs="Arial"/>
              </w:rPr>
              <w:t>Personal injury</w:t>
            </w:r>
          </w:p>
        </w:tc>
        <w:tc>
          <w:tcPr>
            <w:tcW w:w="2310" w:type="dxa"/>
          </w:tcPr>
          <w:p w:rsidR="00AF789E"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2.0</w:t>
            </w:r>
          </w:p>
        </w:tc>
        <w:tc>
          <w:tcPr>
            <w:tcW w:w="2311" w:type="dxa"/>
          </w:tcPr>
          <w:p w:rsidR="00AF789E"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7.2</w:t>
            </w:r>
          </w:p>
        </w:tc>
        <w:tc>
          <w:tcPr>
            <w:tcW w:w="2311" w:type="dxa"/>
          </w:tcPr>
          <w:p w:rsidR="00AF789E" w:rsidRPr="00DF4059" w:rsidRDefault="009E14E7" w:rsidP="00DF4059">
            <w:pPr>
              <w:autoSpaceDE w:val="0"/>
              <w:autoSpaceDN w:val="0"/>
              <w:adjustRightInd w:val="0"/>
              <w:spacing w:line="276" w:lineRule="auto"/>
              <w:jc w:val="both"/>
              <w:rPr>
                <w:rFonts w:ascii="Arial" w:hAnsi="Arial" w:cs="Arial"/>
              </w:rPr>
            </w:pPr>
            <w:r w:rsidRPr="00DF4059">
              <w:rPr>
                <w:rFonts w:ascii="Arial" w:hAnsi="Arial" w:cs="Arial"/>
              </w:rPr>
              <w:t>7.0</w:t>
            </w:r>
          </w:p>
        </w:tc>
      </w:tr>
      <w:tr w:rsidR="00AD6EEB" w:rsidRPr="00DF4059" w:rsidTr="007D10F7">
        <w:tc>
          <w:tcPr>
            <w:tcW w:w="2310" w:type="dxa"/>
          </w:tcPr>
          <w:p w:rsidR="00AD6EEB"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Relationship breakdown</w:t>
            </w:r>
          </w:p>
        </w:tc>
        <w:tc>
          <w:tcPr>
            <w:tcW w:w="2310" w:type="dxa"/>
          </w:tcPr>
          <w:p w:rsidR="00AD6EEB" w:rsidRPr="00DF4059" w:rsidRDefault="00AD6EEB" w:rsidP="00DF4059">
            <w:pPr>
              <w:autoSpaceDE w:val="0"/>
              <w:autoSpaceDN w:val="0"/>
              <w:adjustRightInd w:val="0"/>
              <w:spacing w:line="276" w:lineRule="auto"/>
              <w:jc w:val="both"/>
              <w:rPr>
                <w:rFonts w:ascii="Arial" w:hAnsi="Arial" w:cs="Arial"/>
              </w:rPr>
            </w:pPr>
          </w:p>
        </w:tc>
        <w:tc>
          <w:tcPr>
            <w:tcW w:w="2311" w:type="dxa"/>
          </w:tcPr>
          <w:p w:rsidR="00AD6EEB" w:rsidRPr="00DF4059" w:rsidRDefault="004C37B0" w:rsidP="00DF4059">
            <w:pPr>
              <w:autoSpaceDE w:val="0"/>
              <w:autoSpaceDN w:val="0"/>
              <w:adjustRightInd w:val="0"/>
              <w:spacing w:line="276" w:lineRule="auto"/>
              <w:jc w:val="both"/>
              <w:rPr>
                <w:rFonts w:ascii="Arial" w:hAnsi="Arial" w:cs="Arial"/>
              </w:rPr>
            </w:pPr>
            <w:r w:rsidRPr="00DF4059">
              <w:rPr>
                <w:rFonts w:ascii="Arial" w:hAnsi="Arial" w:cs="Arial"/>
              </w:rPr>
              <w:t>1.8</w:t>
            </w:r>
          </w:p>
        </w:tc>
        <w:tc>
          <w:tcPr>
            <w:tcW w:w="2311" w:type="dxa"/>
          </w:tcPr>
          <w:p w:rsidR="00AD6EEB" w:rsidRPr="00DF4059" w:rsidRDefault="00AD6EEB" w:rsidP="00DF4059">
            <w:pPr>
              <w:autoSpaceDE w:val="0"/>
              <w:autoSpaceDN w:val="0"/>
              <w:adjustRightInd w:val="0"/>
              <w:spacing w:line="276" w:lineRule="auto"/>
              <w:jc w:val="both"/>
              <w:rPr>
                <w:rFonts w:ascii="Arial" w:hAnsi="Arial" w:cs="Arial"/>
              </w:rPr>
            </w:pPr>
            <w:r w:rsidRPr="00DF4059">
              <w:rPr>
                <w:rFonts w:ascii="Arial" w:hAnsi="Arial" w:cs="Arial"/>
              </w:rPr>
              <w:t>4.5</w:t>
            </w:r>
          </w:p>
        </w:tc>
      </w:tr>
      <w:tr w:rsidR="00AF789E" w:rsidRPr="00DF4059" w:rsidTr="007D10F7">
        <w:tc>
          <w:tcPr>
            <w:tcW w:w="2310" w:type="dxa"/>
          </w:tcPr>
          <w:p w:rsidR="00AF789E" w:rsidRPr="00DF4059" w:rsidRDefault="00AF789E" w:rsidP="00DF4059">
            <w:pPr>
              <w:autoSpaceDE w:val="0"/>
              <w:autoSpaceDN w:val="0"/>
              <w:adjustRightInd w:val="0"/>
              <w:spacing w:line="276" w:lineRule="auto"/>
              <w:jc w:val="both"/>
              <w:rPr>
                <w:rFonts w:ascii="Arial" w:hAnsi="Arial" w:cs="Arial"/>
              </w:rPr>
            </w:pPr>
            <w:r w:rsidRPr="00DF4059">
              <w:rPr>
                <w:rFonts w:ascii="Arial" w:hAnsi="Arial" w:cs="Arial"/>
              </w:rPr>
              <w:t xml:space="preserve">Rights </w:t>
            </w:r>
          </w:p>
        </w:tc>
        <w:tc>
          <w:tcPr>
            <w:tcW w:w="2310" w:type="dxa"/>
          </w:tcPr>
          <w:p w:rsidR="00AF789E" w:rsidRPr="00DF4059" w:rsidRDefault="00A04822" w:rsidP="00DF4059">
            <w:pPr>
              <w:autoSpaceDE w:val="0"/>
              <w:autoSpaceDN w:val="0"/>
              <w:adjustRightInd w:val="0"/>
              <w:spacing w:line="276" w:lineRule="auto"/>
              <w:jc w:val="both"/>
              <w:rPr>
                <w:rFonts w:ascii="Arial" w:hAnsi="Arial" w:cs="Arial"/>
              </w:rPr>
            </w:pPr>
            <w:r w:rsidRPr="00DF4059">
              <w:rPr>
                <w:rFonts w:ascii="Arial" w:hAnsi="Arial" w:cs="Arial"/>
              </w:rPr>
              <w:t>7.3</w:t>
            </w:r>
          </w:p>
        </w:tc>
        <w:tc>
          <w:tcPr>
            <w:tcW w:w="2311" w:type="dxa"/>
          </w:tcPr>
          <w:p w:rsidR="00AF789E" w:rsidRPr="00DF4059" w:rsidRDefault="00AF789E" w:rsidP="00DF4059">
            <w:pPr>
              <w:autoSpaceDE w:val="0"/>
              <w:autoSpaceDN w:val="0"/>
              <w:adjustRightInd w:val="0"/>
              <w:spacing w:line="276" w:lineRule="auto"/>
              <w:jc w:val="both"/>
              <w:rPr>
                <w:rFonts w:ascii="Arial" w:hAnsi="Arial" w:cs="Arial"/>
              </w:rPr>
            </w:pPr>
          </w:p>
        </w:tc>
        <w:tc>
          <w:tcPr>
            <w:tcW w:w="2311" w:type="dxa"/>
          </w:tcPr>
          <w:p w:rsidR="00AF789E" w:rsidRPr="00DF4059" w:rsidRDefault="00AF789E" w:rsidP="00DF4059">
            <w:pPr>
              <w:autoSpaceDE w:val="0"/>
              <w:autoSpaceDN w:val="0"/>
              <w:adjustRightInd w:val="0"/>
              <w:spacing w:line="276" w:lineRule="auto"/>
              <w:jc w:val="both"/>
              <w:rPr>
                <w:rFonts w:ascii="Arial" w:hAnsi="Arial" w:cs="Arial"/>
              </w:rPr>
            </w:pPr>
          </w:p>
        </w:tc>
      </w:tr>
    </w:tbl>
    <w:p w:rsidR="007D10F7" w:rsidRPr="00DF4059" w:rsidRDefault="007D10F7" w:rsidP="00DF4059">
      <w:pPr>
        <w:autoSpaceDE w:val="0"/>
        <w:autoSpaceDN w:val="0"/>
        <w:adjustRightInd w:val="0"/>
        <w:spacing w:after="0"/>
        <w:jc w:val="both"/>
        <w:rPr>
          <w:rFonts w:ascii="Arial" w:hAnsi="Arial" w:cs="Arial"/>
        </w:rPr>
      </w:pPr>
    </w:p>
    <w:p w:rsidR="00074A5F" w:rsidRPr="00DF4059" w:rsidRDefault="006C7F70" w:rsidP="00DF4059">
      <w:pPr>
        <w:autoSpaceDE w:val="0"/>
        <w:autoSpaceDN w:val="0"/>
        <w:adjustRightInd w:val="0"/>
        <w:spacing w:after="0"/>
        <w:jc w:val="both"/>
        <w:rPr>
          <w:rFonts w:ascii="Arial" w:hAnsi="Arial" w:cs="Arial"/>
          <w:bCs/>
          <w:i/>
          <w:color w:val="000000"/>
        </w:rPr>
      </w:pPr>
      <w:r w:rsidRPr="00DF4059">
        <w:rPr>
          <w:rFonts w:ascii="Arial" w:hAnsi="Arial" w:cs="Arial"/>
          <w:i/>
        </w:rPr>
        <w:t>Note: Different LAW Studies</w:t>
      </w:r>
      <w:r w:rsidR="00F71DFE" w:rsidRPr="00DF4059">
        <w:rPr>
          <w:rFonts w:ascii="Arial" w:hAnsi="Arial" w:cs="Arial"/>
          <w:i/>
        </w:rPr>
        <w:t xml:space="preserve"> classify</w:t>
      </w:r>
      <w:r w:rsidRPr="00DF4059">
        <w:rPr>
          <w:rFonts w:ascii="Arial" w:hAnsi="Arial" w:cs="Arial"/>
          <w:i/>
        </w:rPr>
        <w:t xml:space="preserve"> the categories of legal problems differently, but PDCN assumes that there is a correlation for the legal problem ‘</w:t>
      </w:r>
      <w:r w:rsidR="00760E39" w:rsidRPr="00DF4059">
        <w:rPr>
          <w:rFonts w:ascii="Arial" w:hAnsi="Arial" w:cs="Arial"/>
          <w:i/>
        </w:rPr>
        <w:t xml:space="preserve">Rights’ used in the Australia wide LAW Study, and ‘Discrimination’ used in the </w:t>
      </w:r>
      <w:r w:rsidR="00151BD9" w:rsidRPr="00DF4059">
        <w:rPr>
          <w:rFonts w:ascii="Arial" w:hAnsi="Arial" w:cs="Arial"/>
          <w:i/>
        </w:rPr>
        <w:t xml:space="preserve">LAW Study- </w:t>
      </w:r>
      <w:r w:rsidR="00760E39" w:rsidRPr="00DF4059">
        <w:rPr>
          <w:rFonts w:ascii="Arial" w:hAnsi="Arial" w:cs="Arial"/>
          <w:bCs/>
          <w:i/>
          <w:color w:val="000000"/>
        </w:rPr>
        <w:t>Law and disorders: illness/disability and the experience of everyday problems involving the law.</w:t>
      </w:r>
    </w:p>
    <w:p w:rsidR="00760E39" w:rsidRPr="00DF4059" w:rsidRDefault="00760E39" w:rsidP="00DF4059">
      <w:pPr>
        <w:autoSpaceDE w:val="0"/>
        <w:autoSpaceDN w:val="0"/>
        <w:adjustRightInd w:val="0"/>
        <w:spacing w:after="0"/>
        <w:jc w:val="both"/>
        <w:rPr>
          <w:rFonts w:ascii="Arial" w:hAnsi="Arial" w:cs="Arial"/>
          <w:i/>
        </w:rPr>
      </w:pPr>
    </w:p>
    <w:p w:rsidR="002F1A98" w:rsidRPr="00DF4059" w:rsidRDefault="00CA3069" w:rsidP="00DF4059">
      <w:pPr>
        <w:autoSpaceDE w:val="0"/>
        <w:autoSpaceDN w:val="0"/>
        <w:adjustRightInd w:val="0"/>
        <w:spacing w:after="0"/>
        <w:jc w:val="both"/>
        <w:rPr>
          <w:rFonts w:ascii="Arial" w:hAnsi="Arial" w:cs="Arial"/>
        </w:rPr>
      </w:pPr>
      <w:r w:rsidRPr="00DF4059">
        <w:rPr>
          <w:rFonts w:ascii="Arial" w:hAnsi="Arial" w:cs="Arial"/>
        </w:rPr>
        <w:t xml:space="preserve">Findings reinforce </w:t>
      </w:r>
      <w:r w:rsidR="007E1274" w:rsidRPr="00DF4059">
        <w:rPr>
          <w:rFonts w:ascii="Arial" w:hAnsi="Arial" w:cs="Arial"/>
        </w:rPr>
        <w:t>a correlation between</w:t>
      </w:r>
      <w:r w:rsidRPr="00DF4059">
        <w:rPr>
          <w:rFonts w:ascii="Arial" w:hAnsi="Arial" w:cs="Arial"/>
        </w:rPr>
        <w:t xml:space="preserve"> the</w:t>
      </w:r>
      <w:r w:rsidR="002F1A98" w:rsidRPr="00DF4059">
        <w:rPr>
          <w:rFonts w:ascii="Arial" w:hAnsi="Arial" w:cs="Arial"/>
        </w:rPr>
        <w:t xml:space="preserve"> following;</w:t>
      </w:r>
    </w:p>
    <w:p w:rsidR="002F1A98" w:rsidRPr="00DF4059" w:rsidRDefault="002F1A98" w:rsidP="00DF4059">
      <w:pPr>
        <w:autoSpaceDE w:val="0"/>
        <w:autoSpaceDN w:val="0"/>
        <w:adjustRightInd w:val="0"/>
        <w:spacing w:after="0"/>
        <w:jc w:val="both"/>
        <w:rPr>
          <w:rFonts w:ascii="Arial" w:hAnsi="Arial" w:cs="Arial"/>
        </w:rPr>
      </w:pPr>
    </w:p>
    <w:p w:rsidR="009E3573" w:rsidRPr="00DF4059" w:rsidRDefault="009E3573" w:rsidP="00DF4059">
      <w:pPr>
        <w:pStyle w:val="ListParagraph"/>
        <w:numPr>
          <w:ilvl w:val="0"/>
          <w:numId w:val="6"/>
        </w:numPr>
        <w:autoSpaceDE w:val="0"/>
        <w:autoSpaceDN w:val="0"/>
        <w:adjustRightInd w:val="0"/>
        <w:spacing w:after="0"/>
        <w:jc w:val="both"/>
        <w:rPr>
          <w:rFonts w:ascii="Arial" w:hAnsi="Arial" w:cs="Arial"/>
        </w:rPr>
      </w:pPr>
      <w:r w:rsidRPr="00DF4059">
        <w:rPr>
          <w:rFonts w:ascii="Arial" w:hAnsi="Arial" w:cs="Arial"/>
        </w:rPr>
        <w:t xml:space="preserve">An increase in the severity of disability with an increase in the number </w:t>
      </w:r>
      <w:r w:rsidR="007E1274" w:rsidRPr="00DF4059">
        <w:rPr>
          <w:rFonts w:ascii="Arial" w:hAnsi="Arial" w:cs="Arial"/>
        </w:rPr>
        <w:t xml:space="preserve">and intensity </w:t>
      </w:r>
      <w:r w:rsidRPr="00DF4059">
        <w:rPr>
          <w:rFonts w:ascii="Arial" w:hAnsi="Arial" w:cs="Arial"/>
        </w:rPr>
        <w:t>of social and legal problems</w:t>
      </w:r>
    </w:p>
    <w:p w:rsidR="002F1A98" w:rsidRPr="00DF4059" w:rsidRDefault="009E3573" w:rsidP="00DF4059">
      <w:pPr>
        <w:pStyle w:val="ListParagraph"/>
        <w:numPr>
          <w:ilvl w:val="0"/>
          <w:numId w:val="6"/>
        </w:numPr>
        <w:autoSpaceDE w:val="0"/>
        <w:autoSpaceDN w:val="0"/>
        <w:adjustRightInd w:val="0"/>
        <w:spacing w:after="0"/>
        <w:jc w:val="both"/>
        <w:rPr>
          <w:rFonts w:ascii="Arial" w:hAnsi="Arial" w:cs="Arial"/>
        </w:rPr>
      </w:pPr>
      <w:r w:rsidRPr="00DF4059">
        <w:rPr>
          <w:rFonts w:ascii="Arial" w:hAnsi="Arial" w:cs="Arial"/>
        </w:rPr>
        <w:t>An increase in the severity of disability with an</w:t>
      </w:r>
      <w:r w:rsidR="00874D72" w:rsidRPr="00DF4059">
        <w:rPr>
          <w:rFonts w:ascii="Arial" w:hAnsi="Arial" w:cs="Arial"/>
        </w:rPr>
        <w:t xml:space="preserve"> increased</w:t>
      </w:r>
      <w:r w:rsidRPr="00DF4059">
        <w:rPr>
          <w:rFonts w:ascii="Arial" w:hAnsi="Arial" w:cs="Arial"/>
        </w:rPr>
        <w:t xml:space="preserve"> need for</w:t>
      </w:r>
      <w:r w:rsidR="00874D72" w:rsidRPr="00DF4059">
        <w:rPr>
          <w:rFonts w:ascii="Arial" w:hAnsi="Arial" w:cs="Arial"/>
        </w:rPr>
        <w:t xml:space="preserve"> legal access</w:t>
      </w:r>
    </w:p>
    <w:p w:rsidR="007E1274" w:rsidRPr="00DF4059" w:rsidRDefault="007E1274" w:rsidP="00DF4059">
      <w:pPr>
        <w:autoSpaceDE w:val="0"/>
        <w:autoSpaceDN w:val="0"/>
        <w:adjustRightInd w:val="0"/>
        <w:spacing w:after="0"/>
        <w:jc w:val="both"/>
        <w:rPr>
          <w:rFonts w:ascii="Arial" w:hAnsi="Arial" w:cs="Arial"/>
        </w:rPr>
      </w:pPr>
    </w:p>
    <w:p w:rsidR="00493C77" w:rsidRPr="00DF4059" w:rsidRDefault="00493C77" w:rsidP="00DF4059">
      <w:pPr>
        <w:autoSpaceDE w:val="0"/>
        <w:autoSpaceDN w:val="0"/>
        <w:adjustRightInd w:val="0"/>
        <w:spacing w:after="0"/>
        <w:jc w:val="both"/>
        <w:rPr>
          <w:rFonts w:ascii="Arial" w:hAnsi="Arial" w:cs="Arial"/>
        </w:rPr>
      </w:pPr>
      <w:r w:rsidRPr="00DF4059">
        <w:rPr>
          <w:rFonts w:ascii="Arial" w:hAnsi="Arial" w:cs="Arial"/>
        </w:rPr>
        <w:t>Additional findings include the following;</w:t>
      </w:r>
    </w:p>
    <w:p w:rsidR="00493C77" w:rsidRPr="00DF4059" w:rsidRDefault="00493C77" w:rsidP="00DF4059">
      <w:pPr>
        <w:autoSpaceDE w:val="0"/>
        <w:autoSpaceDN w:val="0"/>
        <w:adjustRightInd w:val="0"/>
        <w:spacing w:after="0"/>
        <w:jc w:val="both"/>
        <w:rPr>
          <w:rFonts w:ascii="Arial" w:hAnsi="Arial" w:cs="Arial"/>
        </w:rPr>
      </w:pPr>
    </w:p>
    <w:p w:rsidR="002F1A98" w:rsidRPr="00DF4059" w:rsidRDefault="002F1A98" w:rsidP="00DF4059">
      <w:pPr>
        <w:pStyle w:val="ListParagraph"/>
        <w:numPr>
          <w:ilvl w:val="0"/>
          <w:numId w:val="6"/>
        </w:numPr>
        <w:autoSpaceDE w:val="0"/>
        <w:autoSpaceDN w:val="0"/>
        <w:adjustRightInd w:val="0"/>
        <w:spacing w:after="0"/>
        <w:jc w:val="both"/>
        <w:rPr>
          <w:rFonts w:ascii="Arial" w:hAnsi="Arial" w:cs="Arial"/>
        </w:rPr>
      </w:pPr>
      <w:r w:rsidRPr="00DF4059">
        <w:rPr>
          <w:rFonts w:ascii="Arial" w:hAnsi="Arial" w:cs="Arial"/>
        </w:rPr>
        <w:t xml:space="preserve">That no two people with physical disability </w:t>
      </w:r>
      <w:r w:rsidR="00A4260F" w:rsidRPr="00DF4059">
        <w:rPr>
          <w:rFonts w:ascii="Arial" w:hAnsi="Arial" w:cs="Arial"/>
        </w:rPr>
        <w:t>share a commonality when considering legal problems</w:t>
      </w:r>
    </w:p>
    <w:p w:rsidR="00493C77" w:rsidRPr="00DF4059" w:rsidRDefault="007B5FC5" w:rsidP="00DF4059">
      <w:pPr>
        <w:pStyle w:val="ListParagraph"/>
        <w:numPr>
          <w:ilvl w:val="0"/>
          <w:numId w:val="6"/>
        </w:numPr>
        <w:autoSpaceDE w:val="0"/>
        <w:autoSpaceDN w:val="0"/>
        <w:adjustRightInd w:val="0"/>
        <w:spacing w:after="0"/>
        <w:jc w:val="both"/>
        <w:rPr>
          <w:rFonts w:ascii="Arial" w:hAnsi="Arial" w:cs="Arial"/>
        </w:rPr>
      </w:pPr>
      <w:r w:rsidRPr="00DF4059">
        <w:rPr>
          <w:rFonts w:ascii="Arial" w:hAnsi="Arial" w:cs="Arial"/>
        </w:rPr>
        <w:t>A common cluster of legal problems including health, personal injury and employment</w:t>
      </w:r>
    </w:p>
    <w:p w:rsidR="00A4260F" w:rsidRPr="00DF4059" w:rsidRDefault="00493C77" w:rsidP="00DF4059">
      <w:pPr>
        <w:pStyle w:val="ListParagraph"/>
        <w:numPr>
          <w:ilvl w:val="0"/>
          <w:numId w:val="6"/>
        </w:numPr>
        <w:autoSpaceDE w:val="0"/>
        <w:autoSpaceDN w:val="0"/>
        <w:adjustRightInd w:val="0"/>
        <w:spacing w:after="0"/>
        <w:jc w:val="both"/>
        <w:rPr>
          <w:rFonts w:ascii="Arial" w:hAnsi="Arial" w:cs="Arial"/>
        </w:rPr>
      </w:pPr>
      <w:r w:rsidRPr="00DF4059">
        <w:rPr>
          <w:rFonts w:ascii="Arial" w:hAnsi="Arial" w:cs="Arial"/>
        </w:rPr>
        <w:t>F</w:t>
      </w:r>
      <w:r w:rsidR="007E1274" w:rsidRPr="00DF4059">
        <w:rPr>
          <w:rFonts w:ascii="Arial" w:hAnsi="Arial" w:cs="Arial"/>
        </w:rPr>
        <w:t>indings address</w:t>
      </w:r>
      <w:r w:rsidR="00B66E44" w:rsidRPr="00DF4059">
        <w:rPr>
          <w:rFonts w:ascii="Arial" w:hAnsi="Arial" w:cs="Arial"/>
        </w:rPr>
        <w:t xml:space="preserve"> people with disability as a socioec</w:t>
      </w:r>
      <w:r w:rsidR="0002476B" w:rsidRPr="00DF4059">
        <w:rPr>
          <w:rFonts w:ascii="Arial" w:hAnsi="Arial" w:cs="Arial"/>
        </w:rPr>
        <w:t xml:space="preserve">onomically </w:t>
      </w:r>
      <w:r w:rsidR="00B66E44" w:rsidRPr="00DF4059">
        <w:rPr>
          <w:rFonts w:ascii="Arial" w:hAnsi="Arial" w:cs="Arial"/>
        </w:rPr>
        <w:t xml:space="preserve">disadvantaged </w:t>
      </w:r>
      <w:r w:rsidR="0002476B" w:rsidRPr="00DF4059">
        <w:rPr>
          <w:rFonts w:ascii="Arial" w:hAnsi="Arial" w:cs="Arial"/>
        </w:rPr>
        <w:t xml:space="preserve">group, </w:t>
      </w:r>
      <w:r w:rsidR="007E1274" w:rsidRPr="00DF4059">
        <w:rPr>
          <w:rFonts w:ascii="Arial" w:hAnsi="Arial" w:cs="Arial"/>
        </w:rPr>
        <w:t xml:space="preserve">but it needs to be stressed that </w:t>
      </w:r>
      <w:r w:rsidR="0002476B" w:rsidRPr="00DF4059">
        <w:rPr>
          <w:rFonts w:ascii="Arial" w:hAnsi="Arial" w:cs="Arial"/>
        </w:rPr>
        <w:t xml:space="preserve">people with disability often </w:t>
      </w:r>
      <w:r w:rsidR="003F6A1A" w:rsidRPr="00DF4059">
        <w:rPr>
          <w:rFonts w:ascii="Arial" w:hAnsi="Arial" w:cs="Arial"/>
        </w:rPr>
        <w:t xml:space="preserve">are included in the other socioeconomically disadvantaged groups by being </w:t>
      </w:r>
      <w:r w:rsidR="0002476B" w:rsidRPr="00DF4059">
        <w:rPr>
          <w:rFonts w:ascii="Arial" w:hAnsi="Arial" w:cs="Arial"/>
        </w:rPr>
        <w:t xml:space="preserve">unemployed, </w:t>
      </w:r>
      <w:r w:rsidR="003F6A1A" w:rsidRPr="00DF4059">
        <w:rPr>
          <w:rFonts w:ascii="Arial" w:hAnsi="Arial" w:cs="Arial"/>
        </w:rPr>
        <w:t>being on low incomes,</w:t>
      </w:r>
      <w:r w:rsidR="0002476B" w:rsidRPr="00DF4059">
        <w:rPr>
          <w:rFonts w:ascii="Arial" w:hAnsi="Arial" w:cs="Arial"/>
        </w:rPr>
        <w:t xml:space="preserve"> receiv</w:t>
      </w:r>
      <w:r w:rsidR="003F6A1A" w:rsidRPr="00DF4059">
        <w:rPr>
          <w:rFonts w:ascii="Arial" w:hAnsi="Arial" w:cs="Arial"/>
        </w:rPr>
        <w:t>ing</w:t>
      </w:r>
      <w:r w:rsidR="0002476B" w:rsidRPr="00DF4059">
        <w:rPr>
          <w:rFonts w:ascii="Arial" w:hAnsi="Arial" w:cs="Arial"/>
        </w:rPr>
        <w:t xml:space="preserve"> government benefits and live in public housing.</w:t>
      </w:r>
    </w:p>
    <w:p w:rsidR="00CA3069" w:rsidRPr="00DF4059" w:rsidRDefault="00CA3069" w:rsidP="00DF4059">
      <w:pPr>
        <w:autoSpaceDE w:val="0"/>
        <w:autoSpaceDN w:val="0"/>
        <w:adjustRightInd w:val="0"/>
        <w:spacing w:after="0"/>
        <w:jc w:val="both"/>
        <w:rPr>
          <w:rFonts w:ascii="Arial" w:hAnsi="Arial" w:cs="Arial"/>
        </w:rPr>
      </w:pPr>
    </w:p>
    <w:p w:rsidR="009A2C8B" w:rsidRPr="00DF4059" w:rsidRDefault="009A2C8B" w:rsidP="00DF4059">
      <w:pPr>
        <w:autoSpaceDE w:val="0"/>
        <w:autoSpaceDN w:val="0"/>
        <w:adjustRightInd w:val="0"/>
        <w:spacing w:after="0"/>
        <w:jc w:val="both"/>
        <w:rPr>
          <w:rFonts w:ascii="Arial" w:hAnsi="Arial" w:cs="Arial"/>
        </w:rPr>
      </w:pPr>
    </w:p>
    <w:p w:rsidR="009B5C82" w:rsidRPr="00DF4059" w:rsidRDefault="00775F71" w:rsidP="00DF4059">
      <w:pPr>
        <w:autoSpaceDE w:val="0"/>
        <w:autoSpaceDN w:val="0"/>
        <w:adjustRightInd w:val="0"/>
        <w:spacing w:after="0"/>
        <w:jc w:val="both"/>
        <w:rPr>
          <w:rFonts w:ascii="Arial" w:hAnsi="Arial" w:cs="Arial"/>
          <w:color w:val="000000"/>
        </w:rPr>
      </w:pPr>
      <w:r w:rsidRPr="00DF4059">
        <w:rPr>
          <w:rFonts w:ascii="Arial" w:hAnsi="Arial" w:cs="Arial"/>
          <w:color w:val="000000"/>
        </w:rPr>
        <w:t>In the categories consumer, education, employment and housing the relevance of unmet legal n</w:t>
      </w:r>
      <w:r w:rsidR="003F6A1A" w:rsidRPr="00DF4059">
        <w:rPr>
          <w:rFonts w:ascii="Arial" w:hAnsi="Arial" w:cs="Arial"/>
          <w:color w:val="000000"/>
        </w:rPr>
        <w:t>eed is reported as</w:t>
      </w:r>
      <w:r w:rsidRPr="00DF4059">
        <w:rPr>
          <w:rFonts w:ascii="Arial" w:hAnsi="Arial" w:cs="Arial"/>
          <w:color w:val="000000"/>
        </w:rPr>
        <w:t xml:space="preserve"> less for people with physical disability than that of the general </w:t>
      </w:r>
      <w:r w:rsidRPr="00DF4059">
        <w:rPr>
          <w:rFonts w:ascii="Arial" w:hAnsi="Arial" w:cs="Arial"/>
          <w:color w:val="000000"/>
        </w:rPr>
        <w:lastRenderedPageBreak/>
        <w:t xml:space="preserve">public. Respondents with a severe physical disability were 93 times more likely than those with no disability to report problems in the health services category. PDCN believes that </w:t>
      </w:r>
      <w:r w:rsidR="003F6A1A" w:rsidRPr="00DF4059">
        <w:rPr>
          <w:rFonts w:ascii="Arial" w:hAnsi="Arial" w:cs="Arial"/>
          <w:color w:val="000000"/>
        </w:rPr>
        <w:t>with the introduction of the National Disability Insurance Scheme and greater community participation that there wil</w:t>
      </w:r>
      <w:r w:rsidR="009B5C82" w:rsidRPr="00DF4059">
        <w:rPr>
          <w:rFonts w:ascii="Arial" w:hAnsi="Arial" w:cs="Arial"/>
          <w:color w:val="000000"/>
        </w:rPr>
        <w:t>l be</w:t>
      </w:r>
      <w:r w:rsidR="003F6A1A" w:rsidRPr="00DF4059">
        <w:rPr>
          <w:rFonts w:ascii="Arial" w:hAnsi="Arial" w:cs="Arial"/>
          <w:color w:val="000000"/>
        </w:rPr>
        <w:t xml:space="preserve"> increased </w:t>
      </w:r>
      <w:r w:rsidR="009B5C82" w:rsidRPr="00DF4059">
        <w:rPr>
          <w:rFonts w:ascii="Arial" w:hAnsi="Arial" w:cs="Arial"/>
          <w:color w:val="000000"/>
        </w:rPr>
        <w:t>likelihood</w:t>
      </w:r>
      <w:r w:rsidR="003F6A1A" w:rsidRPr="00DF4059">
        <w:rPr>
          <w:rFonts w:ascii="Arial" w:hAnsi="Arial" w:cs="Arial"/>
          <w:color w:val="000000"/>
        </w:rPr>
        <w:t xml:space="preserve"> </w:t>
      </w:r>
      <w:r w:rsidR="009B5C82" w:rsidRPr="00DF4059">
        <w:rPr>
          <w:rFonts w:ascii="Arial" w:hAnsi="Arial" w:cs="Arial"/>
          <w:color w:val="000000"/>
        </w:rPr>
        <w:t>of people with disability reporting consumer, education, employment as unmet legal need.</w:t>
      </w:r>
    </w:p>
    <w:p w:rsidR="00484EB1" w:rsidRPr="00DF4059" w:rsidRDefault="00484EB1" w:rsidP="00DF4059">
      <w:pPr>
        <w:autoSpaceDE w:val="0"/>
        <w:autoSpaceDN w:val="0"/>
        <w:adjustRightInd w:val="0"/>
        <w:spacing w:after="0"/>
        <w:jc w:val="both"/>
        <w:rPr>
          <w:rFonts w:ascii="Arial" w:hAnsi="Arial" w:cs="Arial"/>
        </w:rPr>
      </w:pPr>
    </w:p>
    <w:p w:rsidR="00484EB1" w:rsidRPr="00DF4059" w:rsidRDefault="00484EB1" w:rsidP="00DF4059">
      <w:pPr>
        <w:autoSpaceDE w:val="0"/>
        <w:autoSpaceDN w:val="0"/>
        <w:adjustRightInd w:val="0"/>
        <w:spacing w:after="0"/>
        <w:jc w:val="both"/>
        <w:rPr>
          <w:rFonts w:ascii="Arial" w:hAnsi="Arial" w:cs="Arial"/>
          <w:color w:val="000000"/>
        </w:rPr>
      </w:pPr>
      <w:r w:rsidRPr="00DF4059">
        <w:rPr>
          <w:rFonts w:ascii="Arial" w:hAnsi="Arial" w:cs="Arial"/>
        </w:rPr>
        <w:t xml:space="preserve">Whilst the incidence of crime as a legal problem is significantly less </w:t>
      </w:r>
      <w:r w:rsidR="0014086B" w:rsidRPr="00DF4059">
        <w:rPr>
          <w:rFonts w:ascii="Arial" w:hAnsi="Arial" w:cs="Arial"/>
        </w:rPr>
        <w:t>among</w:t>
      </w:r>
      <w:r w:rsidRPr="00DF4059">
        <w:rPr>
          <w:rFonts w:ascii="Arial" w:hAnsi="Arial" w:cs="Arial"/>
        </w:rPr>
        <w:t xml:space="preserve"> </w:t>
      </w:r>
      <w:r w:rsidR="0014086B" w:rsidRPr="00DF4059">
        <w:rPr>
          <w:rFonts w:ascii="Arial" w:hAnsi="Arial" w:cs="Arial"/>
        </w:rPr>
        <w:t>people with physical disability it is reported that f</w:t>
      </w:r>
      <w:r w:rsidR="007B5FC5" w:rsidRPr="00DF4059">
        <w:rPr>
          <w:rFonts w:ascii="Arial" w:hAnsi="Arial" w:cs="Arial"/>
          <w:color w:val="000000"/>
        </w:rPr>
        <w:t>amily violence</w:t>
      </w:r>
      <w:r w:rsidR="0014086B" w:rsidRPr="00DF4059">
        <w:rPr>
          <w:rFonts w:ascii="Arial" w:hAnsi="Arial" w:cs="Arial"/>
          <w:color w:val="000000"/>
        </w:rPr>
        <w:t xml:space="preserve"> tends to be more </w:t>
      </w:r>
      <w:r w:rsidR="007B5FC5" w:rsidRPr="00DF4059">
        <w:rPr>
          <w:rFonts w:ascii="Arial" w:hAnsi="Arial" w:cs="Arial"/>
          <w:color w:val="000000"/>
        </w:rPr>
        <w:t xml:space="preserve">frequent and more </w:t>
      </w:r>
      <w:r w:rsidR="0014086B" w:rsidRPr="00DF4059">
        <w:rPr>
          <w:rFonts w:ascii="Arial" w:hAnsi="Arial" w:cs="Arial"/>
          <w:color w:val="000000"/>
        </w:rPr>
        <w:t xml:space="preserve">severe where a resident has a physical disability. </w:t>
      </w:r>
      <w:r w:rsidR="0014086B" w:rsidRPr="00DF4059">
        <w:rPr>
          <w:rStyle w:val="FootnoteReference"/>
          <w:rFonts w:ascii="Arial" w:hAnsi="Arial" w:cs="Arial"/>
          <w:color w:val="000000"/>
        </w:rPr>
        <w:footnoteReference w:id="7"/>
      </w:r>
    </w:p>
    <w:p w:rsidR="0059698A" w:rsidRPr="00DF4059" w:rsidRDefault="0059698A" w:rsidP="00DF4059">
      <w:pPr>
        <w:jc w:val="both"/>
        <w:rPr>
          <w:rFonts w:ascii="Arial" w:hAnsi="Arial" w:cs="Arial"/>
        </w:rPr>
      </w:pPr>
    </w:p>
    <w:p w:rsidR="00543636" w:rsidRPr="00DF4059" w:rsidRDefault="008159A5" w:rsidP="00DF4059">
      <w:pPr>
        <w:jc w:val="both"/>
        <w:rPr>
          <w:rFonts w:ascii="Arial" w:hAnsi="Arial" w:cs="Arial"/>
          <w:color w:val="000000"/>
        </w:rPr>
      </w:pPr>
      <w:r w:rsidRPr="00DF4059">
        <w:rPr>
          <w:rFonts w:ascii="Arial" w:hAnsi="Arial" w:cs="Arial"/>
        </w:rPr>
        <w:t>PDCN understand</w:t>
      </w:r>
      <w:r w:rsidR="0059698A" w:rsidRPr="00DF4059">
        <w:rPr>
          <w:rFonts w:ascii="Arial" w:hAnsi="Arial" w:cs="Arial"/>
        </w:rPr>
        <w:t>s</w:t>
      </w:r>
      <w:r w:rsidRPr="00DF4059">
        <w:rPr>
          <w:rFonts w:ascii="Arial" w:hAnsi="Arial" w:cs="Arial"/>
        </w:rPr>
        <w:t xml:space="preserve"> that there is an increasing </w:t>
      </w:r>
      <w:r w:rsidR="0059698A" w:rsidRPr="00DF4059">
        <w:rPr>
          <w:rFonts w:ascii="Arial" w:hAnsi="Arial" w:cs="Arial"/>
        </w:rPr>
        <w:t>trend</w:t>
      </w:r>
      <w:r w:rsidRPr="00DF4059">
        <w:rPr>
          <w:rFonts w:ascii="Arial" w:hAnsi="Arial" w:cs="Arial"/>
        </w:rPr>
        <w:t xml:space="preserve"> to</w:t>
      </w:r>
      <w:r w:rsidRPr="00DF4059">
        <w:rPr>
          <w:rFonts w:ascii="Arial" w:hAnsi="Arial" w:cs="Arial"/>
          <w:color w:val="000000"/>
        </w:rPr>
        <w:t xml:space="preserve"> align, co-ordinate and integrate health and legal services </w:t>
      </w:r>
      <w:r w:rsidR="0059698A" w:rsidRPr="00DF4059">
        <w:rPr>
          <w:rFonts w:ascii="Arial" w:hAnsi="Arial" w:cs="Arial"/>
          <w:color w:val="000000"/>
        </w:rPr>
        <w:t xml:space="preserve">for people with disability </w:t>
      </w:r>
      <w:r w:rsidRPr="00DF4059">
        <w:rPr>
          <w:rFonts w:ascii="Arial" w:hAnsi="Arial" w:cs="Arial"/>
          <w:color w:val="000000"/>
        </w:rPr>
        <w:t xml:space="preserve">due to the complexity and interaction of health issues and unmet legal need. </w:t>
      </w:r>
      <w:r w:rsidR="0059698A" w:rsidRPr="00DF4059">
        <w:rPr>
          <w:rFonts w:ascii="Arial" w:hAnsi="Arial" w:cs="Arial"/>
          <w:color w:val="000000"/>
        </w:rPr>
        <w:t>PDCN believes that this c</w:t>
      </w:r>
      <w:r w:rsidR="00543636" w:rsidRPr="00DF4059">
        <w:rPr>
          <w:rFonts w:ascii="Arial" w:hAnsi="Arial" w:cs="Arial"/>
          <w:color w:val="000000"/>
        </w:rPr>
        <w:t>ould have</w:t>
      </w:r>
      <w:r w:rsidRPr="00DF4059">
        <w:rPr>
          <w:rFonts w:ascii="Arial" w:hAnsi="Arial" w:cs="Arial"/>
          <w:color w:val="000000"/>
        </w:rPr>
        <w:t xml:space="preserve"> negative impli</w:t>
      </w:r>
      <w:r w:rsidR="0059698A" w:rsidRPr="00DF4059">
        <w:rPr>
          <w:rFonts w:ascii="Arial" w:hAnsi="Arial" w:cs="Arial"/>
          <w:color w:val="000000"/>
        </w:rPr>
        <w:t xml:space="preserve">cations by increasing dependence </w:t>
      </w:r>
      <w:r w:rsidRPr="00DF4059">
        <w:rPr>
          <w:rFonts w:ascii="Arial" w:hAnsi="Arial" w:cs="Arial"/>
          <w:color w:val="000000"/>
        </w:rPr>
        <w:t xml:space="preserve">on the medico- legal disciplines, and </w:t>
      </w:r>
      <w:r w:rsidR="0059698A" w:rsidRPr="00DF4059">
        <w:rPr>
          <w:rFonts w:ascii="Arial" w:hAnsi="Arial" w:cs="Arial"/>
          <w:color w:val="000000"/>
        </w:rPr>
        <w:t>at the same time</w:t>
      </w:r>
      <w:r w:rsidR="00543636" w:rsidRPr="00DF4059">
        <w:rPr>
          <w:rFonts w:ascii="Arial" w:hAnsi="Arial" w:cs="Arial"/>
          <w:color w:val="000000"/>
        </w:rPr>
        <w:t xml:space="preserve"> </w:t>
      </w:r>
      <w:r w:rsidRPr="00DF4059">
        <w:rPr>
          <w:rFonts w:ascii="Arial" w:hAnsi="Arial" w:cs="Arial"/>
          <w:color w:val="000000"/>
        </w:rPr>
        <w:t xml:space="preserve">not </w:t>
      </w:r>
      <w:r w:rsidR="0059698A" w:rsidRPr="00DF4059">
        <w:rPr>
          <w:rFonts w:ascii="Arial" w:hAnsi="Arial" w:cs="Arial"/>
          <w:color w:val="000000"/>
        </w:rPr>
        <w:t>enhance s</w:t>
      </w:r>
      <w:r w:rsidRPr="00DF4059">
        <w:rPr>
          <w:rFonts w:ascii="Arial" w:hAnsi="Arial" w:cs="Arial"/>
          <w:color w:val="000000"/>
        </w:rPr>
        <w:t>elf- dete</w:t>
      </w:r>
      <w:r w:rsidR="00543636" w:rsidRPr="00DF4059">
        <w:rPr>
          <w:rFonts w:ascii="Arial" w:hAnsi="Arial" w:cs="Arial"/>
          <w:color w:val="000000"/>
        </w:rPr>
        <w:t>rminism.</w:t>
      </w:r>
    </w:p>
    <w:p w:rsidR="006D0A29" w:rsidRPr="00DF4059" w:rsidRDefault="006D0A29" w:rsidP="00DF4059">
      <w:pPr>
        <w:jc w:val="both"/>
        <w:rPr>
          <w:rFonts w:ascii="Arial" w:hAnsi="Arial" w:cs="Arial"/>
          <w:color w:val="000000"/>
        </w:rPr>
      </w:pPr>
      <w:r w:rsidRPr="00DF4059">
        <w:rPr>
          <w:rFonts w:ascii="Arial" w:hAnsi="Arial" w:cs="Arial"/>
          <w:color w:val="000000"/>
        </w:rPr>
        <w:t>The</w:t>
      </w:r>
      <w:r w:rsidR="007D77A2" w:rsidRPr="00DF4059">
        <w:rPr>
          <w:rFonts w:ascii="Arial" w:hAnsi="Arial" w:cs="Arial"/>
          <w:color w:val="000000"/>
        </w:rPr>
        <w:t xml:space="preserve"> following </w:t>
      </w:r>
      <w:r w:rsidRPr="00DF4059">
        <w:rPr>
          <w:rFonts w:ascii="Arial" w:hAnsi="Arial" w:cs="Arial"/>
          <w:color w:val="000000"/>
        </w:rPr>
        <w:t xml:space="preserve">not- for- profit </w:t>
      </w:r>
      <w:r w:rsidR="0059698A" w:rsidRPr="00DF4059">
        <w:rPr>
          <w:rFonts w:ascii="Arial" w:hAnsi="Arial" w:cs="Arial"/>
          <w:color w:val="000000"/>
        </w:rPr>
        <w:t xml:space="preserve">legal services </w:t>
      </w:r>
      <w:r w:rsidR="007430AD" w:rsidRPr="00DF4059">
        <w:rPr>
          <w:rFonts w:ascii="Arial" w:hAnsi="Arial" w:cs="Arial"/>
          <w:color w:val="000000"/>
        </w:rPr>
        <w:t xml:space="preserve">are available </w:t>
      </w:r>
      <w:r w:rsidRPr="00DF4059">
        <w:rPr>
          <w:rFonts w:ascii="Arial" w:hAnsi="Arial" w:cs="Arial"/>
          <w:color w:val="000000"/>
        </w:rPr>
        <w:t xml:space="preserve">to </w:t>
      </w:r>
      <w:r w:rsidR="007430AD" w:rsidRPr="00DF4059">
        <w:rPr>
          <w:rFonts w:ascii="Arial" w:hAnsi="Arial" w:cs="Arial"/>
          <w:color w:val="000000"/>
        </w:rPr>
        <w:t>NSW residents</w:t>
      </w:r>
      <w:r w:rsidRPr="00DF4059">
        <w:rPr>
          <w:rFonts w:ascii="Arial" w:hAnsi="Arial" w:cs="Arial"/>
          <w:color w:val="000000"/>
        </w:rPr>
        <w:t xml:space="preserve">, with Legal Aid NSW being used most widely: </w:t>
      </w:r>
    </w:p>
    <w:p w:rsidR="00A6085F" w:rsidRPr="00DF4059" w:rsidRDefault="00A6085F" w:rsidP="00DF4059">
      <w:pPr>
        <w:pStyle w:val="ListParagraph"/>
        <w:numPr>
          <w:ilvl w:val="0"/>
          <w:numId w:val="7"/>
        </w:numPr>
        <w:ind w:left="567" w:hanging="567"/>
        <w:jc w:val="both"/>
        <w:rPr>
          <w:rFonts w:ascii="Arial" w:hAnsi="Arial" w:cs="Arial"/>
        </w:rPr>
      </w:pPr>
      <w:r w:rsidRPr="00DF4059">
        <w:rPr>
          <w:rFonts w:ascii="Arial" w:hAnsi="Arial" w:cs="Arial"/>
        </w:rPr>
        <w:t>C</w:t>
      </w:r>
      <w:r w:rsidR="00BE4181" w:rsidRPr="00DF4059">
        <w:rPr>
          <w:rFonts w:ascii="Arial" w:hAnsi="Arial" w:cs="Arial"/>
        </w:rPr>
        <w:t>ommunity Legal C</w:t>
      </w:r>
      <w:r w:rsidR="007D77A2" w:rsidRPr="00DF4059">
        <w:rPr>
          <w:rFonts w:ascii="Arial" w:hAnsi="Arial" w:cs="Arial"/>
        </w:rPr>
        <w:t xml:space="preserve">entres, </w:t>
      </w:r>
    </w:p>
    <w:p w:rsidR="00A6085F" w:rsidRPr="00DF4059" w:rsidRDefault="00A6085F" w:rsidP="00DF4059">
      <w:pPr>
        <w:pStyle w:val="ListParagraph"/>
        <w:numPr>
          <w:ilvl w:val="0"/>
          <w:numId w:val="7"/>
        </w:numPr>
        <w:ind w:left="567" w:hanging="567"/>
        <w:jc w:val="both"/>
        <w:rPr>
          <w:rFonts w:ascii="Arial" w:hAnsi="Arial" w:cs="Arial"/>
        </w:rPr>
      </w:pPr>
      <w:r w:rsidRPr="00DF4059">
        <w:rPr>
          <w:rFonts w:ascii="Arial" w:hAnsi="Arial" w:cs="Arial"/>
        </w:rPr>
        <w:t>C</w:t>
      </w:r>
      <w:r w:rsidR="007D77A2" w:rsidRPr="00DF4059">
        <w:rPr>
          <w:rFonts w:ascii="Arial" w:hAnsi="Arial" w:cs="Arial"/>
        </w:rPr>
        <w:t xml:space="preserve">ourt services, </w:t>
      </w:r>
    </w:p>
    <w:p w:rsidR="00A6085F" w:rsidRPr="00DF4059" w:rsidRDefault="007D77A2" w:rsidP="00DF4059">
      <w:pPr>
        <w:pStyle w:val="ListParagraph"/>
        <w:numPr>
          <w:ilvl w:val="0"/>
          <w:numId w:val="7"/>
        </w:numPr>
        <w:ind w:left="567" w:hanging="567"/>
        <w:jc w:val="both"/>
        <w:rPr>
          <w:rFonts w:ascii="Arial" w:hAnsi="Arial" w:cs="Arial"/>
        </w:rPr>
      </w:pPr>
      <w:proofErr w:type="spellStart"/>
      <w:r w:rsidRPr="00DF4059">
        <w:rPr>
          <w:rFonts w:ascii="Arial" w:hAnsi="Arial" w:cs="Arial"/>
        </w:rPr>
        <w:t>LawAccess</w:t>
      </w:r>
      <w:proofErr w:type="spellEnd"/>
      <w:r w:rsidRPr="00DF4059">
        <w:rPr>
          <w:rFonts w:ascii="Arial" w:hAnsi="Arial" w:cs="Arial"/>
        </w:rPr>
        <w:t xml:space="preserve"> NSW and </w:t>
      </w:r>
    </w:p>
    <w:p w:rsidR="006D0A29" w:rsidRPr="00DF4059" w:rsidRDefault="007D77A2" w:rsidP="00DF4059">
      <w:pPr>
        <w:pStyle w:val="ListParagraph"/>
        <w:numPr>
          <w:ilvl w:val="0"/>
          <w:numId w:val="7"/>
        </w:numPr>
        <w:ind w:left="567" w:hanging="567"/>
        <w:jc w:val="both"/>
        <w:rPr>
          <w:rFonts w:ascii="Arial" w:hAnsi="Arial" w:cs="Arial"/>
        </w:rPr>
      </w:pPr>
      <w:r w:rsidRPr="00DF4059">
        <w:rPr>
          <w:rFonts w:ascii="Arial" w:hAnsi="Arial" w:cs="Arial"/>
        </w:rPr>
        <w:t>Legal Aid NSW</w:t>
      </w:r>
      <w:r w:rsidR="006D0A29" w:rsidRPr="00DF4059">
        <w:rPr>
          <w:rFonts w:ascii="Arial" w:hAnsi="Arial" w:cs="Arial"/>
        </w:rPr>
        <w:t>.</w:t>
      </w:r>
    </w:p>
    <w:p w:rsidR="007430AD" w:rsidRPr="00DF4059" w:rsidRDefault="00296195" w:rsidP="00DF4059">
      <w:pPr>
        <w:jc w:val="both"/>
        <w:rPr>
          <w:rFonts w:ascii="Arial" w:hAnsi="Arial" w:cs="Arial"/>
        </w:rPr>
      </w:pPr>
      <w:r w:rsidRPr="00DF4059">
        <w:rPr>
          <w:rFonts w:ascii="Arial" w:hAnsi="Arial" w:cs="Arial"/>
        </w:rPr>
        <w:t xml:space="preserve">The draft report on Access to Justice Arrangements provides the following information regarding the powers of the </w:t>
      </w:r>
      <w:r w:rsidR="007430AD" w:rsidRPr="00DF4059">
        <w:rPr>
          <w:rFonts w:ascii="Arial" w:hAnsi="Arial" w:cs="Arial"/>
        </w:rPr>
        <w:t xml:space="preserve">Ombudsman </w:t>
      </w:r>
      <w:r w:rsidRPr="00DF4059">
        <w:rPr>
          <w:rFonts w:ascii="Arial" w:hAnsi="Arial" w:cs="Arial"/>
        </w:rPr>
        <w:t>and Tribunals:</w:t>
      </w:r>
    </w:p>
    <w:p w:rsidR="00296195" w:rsidRPr="00DF4059" w:rsidRDefault="007430AD" w:rsidP="00DF4059">
      <w:pPr>
        <w:jc w:val="both"/>
        <w:rPr>
          <w:rFonts w:ascii="Arial" w:hAnsi="Arial" w:cs="Arial"/>
          <w:b/>
          <w:bCs/>
        </w:rPr>
      </w:pPr>
      <w:r w:rsidRPr="00DF4059">
        <w:rPr>
          <w:rFonts w:ascii="Arial" w:hAnsi="Arial" w:cs="Arial"/>
          <w:b/>
          <w:bCs/>
        </w:rPr>
        <w:t>Powers</w:t>
      </w:r>
      <w:r w:rsidR="00296195" w:rsidRPr="00DF4059">
        <w:rPr>
          <w:rFonts w:ascii="Arial" w:hAnsi="Arial" w:cs="Arial"/>
          <w:b/>
          <w:bCs/>
        </w:rPr>
        <w:t xml:space="preserve"> of the Ombudsman</w:t>
      </w:r>
      <w:r w:rsidRPr="00DF4059">
        <w:rPr>
          <w:rFonts w:ascii="Arial" w:hAnsi="Arial" w:cs="Arial"/>
          <w:b/>
          <w:bCs/>
        </w:rPr>
        <w:t xml:space="preserve"> </w:t>
      </w:r>
    </w:p>
    <w:p w:rsidR="00337665" w:rsidRPr="00DF4059" w:rsidRDefault="00296195" w:rsidP="00DF4059">
      <w:pPr>
        <w:pStyle w:val="ListParagraph"/>
        <w:numPr>
          <w:ilvl w:val="0"/>
          <w:numId w:val="9"/>
        </w:numPr>
        <w:ind w:left="567" w:hanging="567"/>
        <w:jc w:val="both"/>
        <w:rPr>
          <w:rFonts w:ascii="Arial" w:hAnsi="Arial" w:cs="Arial"/>
        </w:rPr>
      </w:pPr>
      <w:r w:rsidRPr="00DF4059">
        <w:rPr>
          <w:rFonts w:ascii="Arial" w:hAnsi="Arial" w:cs="Arial"/>
          <w:bCs/>
        </w:rPr>
        <w:t>Have the ability to inve</w:t>
      </w:r>
      <w:r w:rsidR="007430AD" w:rsidRPr="00DF4059">
        <w:rPr>
          <w:rFonts w:ascii="Arial" w:hAnsi="Arial" w:cs="Arial"/>
        </w:rPr>
        <w:t>stigate whether an organisation within jurisdiction h</w:t>
      </w:r>
      <w:r w:rsidR="00337665" w:rsidRPr="00DF4059">
        <w:rPr>
          <w:rFonts w:ascii="Arial" w:hAnsi="Arial" w:cs="Arial"/>
        </w:rPr>
        <w:t>as acted fairly and reasonably</w:t>
      </w:r>
    </w:p>
    <w:p w:rsidR="00337665" w:rsidRPr="00DF4059" w:rsidRDefault="00337665" w:rsidP="00DF4059">
      <w:pPr>
        <w:pStyle w:val="ListParagraph"/>
        <w:numPr>
          <w:ilvl w:val="0"/>
          <w:numId w:val="9"/>
        </w:numPr>
        <w:ind w:left="567" w:hanging="567"/>
        <w:jc w:val="both"/>
        <w:rPr>
          <w:rFonts w:ascii="Arial" w:hAnsi="Arial" w:cs="Arial"/>
        </w:rPr>
      </w:pPr>
      <w:r w:rsidRPr="00DF4059">
        <w:rPr>
          <w:rFonts w:ascii="Arial" w:hAnsi="Arial" w:cs="Arial"/>
        </w:rPr>
        <w:t>H</w:t>
      </w:r>
      <w:r w:rsidR="007430AD" w:rsidRPr="00DF4059">
        <w:rPr>
          <w:rFonts w:ascii="Arial" w:hAnsi="Arial" w:cs="Arial"/>
        </w:rPr>
        <w:t>ave the right to deal with systemic issues or commenc</w:t>
      </w:r>
      <w:r w:rsidRPr="00DF4059">
        <w:rPr>
          <w:rFonts w:ascii="Arial" w:hAnsi="Arial" w:cs="Arial"/>
        </w:rPr>
        <w:t>e an own motion investigation</w:t>
      </w:r>
    </w:p>
    <w:p w:rsidR="007430AD" w:rsidRPr="00DF4059" w:rsidRDefault="00337665" w:rsidP="00DF4059">
      <w:pPr>
        <w:pStyle w:val="ListParagraph"/>
        <w:numPr>
          <w:ilvl w:val="0"/>
          <w:numId w:val="9"/>
        </w:numPr>
        <w:ind w:left="567" w:hanging="567"/>
        <w:jc w:val="both"/>
        <w:rPr>
          <w:rFonts w:ascii="Arial" w:hAnsi="Arial" w:cs="Arial"/>
        </w:rPr>
      </w:pPr>
      <w:r w:rsidRPr="00DF4059">
        <w:rPr>
          <w:rFonts w:ascii="Arial" w:hAnsi="Arial" w:cs="Arial"/>
        </w:rPr>
        <w:t>H</w:t>
      </w:r>
      <w:r w:rsidR="007430AD" w:rsidRPr="00DF4059">
        <w:rPr>
          <w:rFonts w:ascii="Arial" w:hAnsi="Arial" w:cs="Arial"/>
        </w:rPr>
        <w:t xml:space="preserve">ave power to obtain information or to inspect the records of an organisation relevant to a complaint; and must have the discretion to choose the procedure for dealing with a complaint. </w:t>
      </w:r>
    </w:p>
    <w:p w:rsidR="00337665" w:rsidRPr="00DF4059" w:rsidRDefault="007430AD" w:rsidP="00DF4059">
      <w:pPr>
        <w:jc w:val="both"/>
        <w:rPr>
          <w:rFonts w:ascii="Arial" w:hAnsi="Arial" w:cs="Arial"/>
          <w:b/>
          <w:bCs/>
        </w:rPr>
      </w:pPr>
      <w:r w:rsidRPr="00DF4059">
        <w:rPr>
          <w:rFonts w:ascii="Arial" w:hAnsi="Arial" w:cs="Arial"/>
          <w:b/>
          <w:bCs/>
        </w:rPr>
        <w:t>Accessibilit</w:t>
      </w:r>
      <w:r w:rsidR="00337665" w:rsidRPr="00DF4059">
        <w:rPr>
          <w:rFonts w:ascii="Arial" w:hAnsi="Arial" w:cs="Arial"/>
          <w:b/>
          <w:bCs/>
        </w:rPr>
        <w:t>y of the Ombudsman</w:t>
      </w:r>
    </w:p>
    <w:p w:rsidR="007430AD" w:rsidRPr="00DF4059" w:rsidRDefault="00337665" w:rsidP="00DF4059">
      <w:pPr>
        <w:jc w:val="both"/>
        <w:rPr>
          <w:rFonts w:ascii="Arial" w:hAnsi="Arial" w:cs="Arial"/>
        </w:rPr>
      </w:pPr>
      <w:r w:rsidRPr="00DF4059">
        <w:rPr>
          <w:rFonts w:ascii="Arial" w:hAnsi="Arial" w:cs="Arial"/>
        </w:rPr>
        <w:t>Complaints are generally investigated in private with</w:t>
      </w:r>
      <w:r w:rsidR="007430AD" w:rsidRPr="00DF4059">
        <w:rPr>
          <w:rFonts w:ascii="Arial" w:hAnsi="Arial" w:cs="Arial"/>
        </w:rPr>
        <w:t xml:space="preserve"> no charge to a complainant for the Ombudsman’s investigation. </w:t>
      </w:r>
    </w:p>
    <w:p w:rsidR="00337665" w:rsidRPr="00DF4059" w:rsidRDefault="00337665" w:rsidP="00DF4059">
      <w:pPr>
        <w:jc w:val="both"/>
        <w:rPr>
          <w:rFonts w:ascii="Arial" w:hAnsi="Arial" w:cs="Arial"/>
          <w:b/>
        </w:rPr>
      </w:pPr>
      <w:r w:rsidRPr="00DF4059">
        <w:rPr>
          <w:rFonts w:ascii="Arial" w:hAnsi="Arial" w:cs="Arial"/>
          <w:b/>
        </w:rPr>
        <w:t>Examples of Ombudsman</w:t>
      </w:r>
      <w:r w:rsidR="000C778A" w:rsidRPr="00DF4059">
        <w:rPr>
          <w:rFonts w:ascii="Arial" w:hAnsi="Arial" w:cs="Arial"/>
          <w:b/>
        </w:rPr>
        <w:t xml:space="preserve"> and complaint</w:t>
      </w:r>
      <w:r w:rsidR="00D36CC9" w:rsidRPr="00DF4059">
        <w:rPr>
          <w:rFonts w:ascii="Arial" w:hAnsi="Arial" w:cs="Arial"/>
          <w:b/>
        </w:rPr>
        <w:t xml:space="preserve"> bodies</w:t>
      </w:r>
    </w:p>
    <w:p w:rsidR="000C778A" w:rsidRPr="00DF4059" w:rsidRDefault="000C778A" w:rsidP="00DF4059">
      <w:pPr>
        <w:pStyle w:val="ListParagraph"/>
        <w:numPr>
          <w:ilvl w:val="0"/>
          <w:numId w:val="10"/>
        </w:numPr>
        <w:ind w:left="567" w:hanging="567"/>
        <w:jc w:val="both"/>
        <w:rPr>
          <w:rFonts w:ascii="Arial" w:hAnsi="Arial" w:cs="Arial"/>
        </w:rPr>
      </w:pPr>
      <w:r w:rsidRPr="00DF4059">
        <w:rPr>
          <w:rFonts w:ascii="Arial" w:hAnsi="Arial" w:cs="Arial"/>
        </w:rPr>
        <w:t>National Fair Work Ombudsman</w:t>
      </w:r>
    </w:p>
    <w:p w:rsidR="000C778A" w:rsidRPr="00DF4059" w:rsidRDefault="000C778A" w:rsidP="00DF4059">
      <w:pPr>
        <w:pStyle w:val="ListParagraph"/>
        <w:numPr>
          <w:ilvl w:val="0"/>
          <w:numId w:val="10"/>
        </w:numPr>
        <w:ind w:left="567" w:hanging="567"/>
        <w:jc w:val="both"/>
        <w:rPr>
          <w:rFonts w:ascii="Arial" w:hAnsi="Arial" w:cs="Arial"/>
        </w:rPr>
      </w:pPr>
      <w:r w:rsidRPr="00DF4059">
        <w:rPr>
          <w:rFonts w:ascii="Arial" w:hAnsi="Arial" w:cs="Arial"/>
        </w:rPr>
        <w:t>National Law Enforcement Ombudsman</w:t>
      </w:r>
    </w:p>
    <w:p w:rsidR="000C778A" w:rsidRPr="00DF4059" w:rsidRDefault="000C778A" w:rsidP="00DF4059">
      <w:pPr>
        <w:pStyle w:val="ListParagraph"/>
        <w:numPr>
          <w:ilvl w:val="0"/>
          <w:numId w:val="10"/>
        </w:numPr>
        <w:ind w:left="567" w:hanging="567"/>
        <w:jc w:val="both"/>
        <w:rPr>
          <w:rFonts w:ascii="Arial" w:hAnsi="Arial" w:cs="Arial"/>
        </w:rPr>
      </w:pPr>
      <w:r w:rsidRPr="00DF4059">
        <w:rPr>
          <w:rFonts w:ascii="Arial" w:hAnsi="Arial" w:cs="Arial"/>
        </w:rPr>
        <w:t>NSW Health Care Complaints Commission</w:t>
      </w:r>
    </w:p>
    <w:p w:rsidR="00337665" w:rsidRPr="00DF4059" w:rsidRDefault="00D36CC9" w:rsidP="00DF4059">
      <w:pPr>
        <w:pStyle w:val="ListParagraph"/>
        <w:numPr>
          <w:ilvl w:val="0"/>
          <w:numId w:val="10"/>
        </w:numPr>
        <w:ind w:left="567" w:hanging="567"/>
        <w:jc w:val="both"/>
        <w:rPr>
          <w:rFonts w:ascii="Arial" w:hAnsi="Arial" w:cs="Arial"/>
        </w:rPr>
      </w:pPr>
      <w:r w:rsidRPr="00DF4059">
        <w:rPr>
          <w:rFonts w:ascii="Arial" w:hAnsi="Arial" w:cs="Arial"/>
        </w:rPr>
        <w:lastRenderedPageBreak/>
        <w:t xml:space="preserve">NSW </w:t>
      </w:r>
      <w:r w:rsidR="000C778A" w:rsidRPr="00DF4059">
        <w:rPr>
          <w:rFonts w:ascii="Arial" w:hAnsi="Arial" w:cs="Arial"/>
        </w:rPr>
        <w:t>Energy &amp; Water Ombudsman</w:t>
      </w:r>
    </w:p>
    <w:p w:rsidR="00547231" w:rsidRPr="00DF4059" w:rsidRDefault="00337665" w:rsidP="00DF4059">
      <w:pPr>
        <w:jc w:val="both"/>
        <w:rPr>
          <w:rFonts w:ascii="Arial" w:hAnsi="Arial" w:cs="Arial"/>
          <w:b/>
        </w:rPr>
      </w:pPr>
      <w:r w:rsidRPr="00DF4059">
        <w:rPr>
          <w:rFonts w:ascii="Arial" w:hAnsi="Arial" w:cs="Arial"/>
          <w:b/>
        </w:rPr>
        <w:t xml:space="preserve">Powers of the </w:t>
      </w:r>
      <w:r w:rsidR="00547231" w:rsidRPr="00DF4059">
        <w:rPr>
          <w:rFonts w:ascii="Arial" w:hAnsi="Arial" w:cs="Arial"/>
          <w:b/>
        </w:rPr>
        <w:t>T</w:t>
      </w:r>
      <w:r w:rsidRPr="00DF4059">
        <w:rPr>
          <w:rFonts w:ascii="Arial" w:hAnsi="Arial" w:cs="Arial"/>
          <w:b/>
        </w:rPr>
        <w:t>ribunal</w:t>
      </w:r>
      <w:r w:rsidR="00547231" w:rsidRPr="00DF4059">
        <w:rPr>
          <w:rFonts w:ascii="Arial" w:hAnsi="Arial" w:cs="Arial"/>
          <w:b/>
        </w:rPr>
        <w:t xml:space="preserve"> </w:t>
      </w:r>
    </w:p>
    <w:p w:rsidR="00D36CC9" w:rsidRPr="00DF4059" w:rsidRDefault="00547231" w:rsidP="00DF4059">
      <w:pPr>
        <w:jc w:val="both"/>
        <w:rPr>
          <w:rFonts w:ascii="Arial" w:hAnsi="Arial" w:cs="Arial"/>
        </w:rPr>
      </w:pPr>
      <w:r w:rsidRPr="00DF4059">
        <w:rPr>
          <w:rFonts w:ascii="Arial" w:hAnsi="Arial" w:cs="Arial"/>
        </w:rPr>
        <w:t xml:space="preserve">Tribunals across Australia are responsible for resolving a wide range of disputes, including administrative matters (such as veteran’s entitlements, refugee applications, and planning decisions), civil disputes (such as claims related to the supply of goods and services), and human rights cases (such as guardianship, antidiscrimination and the care of children). </w:t>
      </w:r>
    </w:p>
    <w:p w:rsidR="00D36CC9" w:rsidRPr="00DF4059" w:rsidRDefault="00D36CC9" w:rsidP="00DF4059">
      <w:pPr>
        <w:jc w:val="both"/>
        <w:rPr>
          <w:rFonts w:ascii="Arial" w:hAnsi="Arial" w:cs="Arial"/>
          <w:b/>
        </w:rPr>
      </w:pPr>
      <w:r w:rsidRPr="00DF4059">
        <w:rPr>
          <w:rFonts w:ascii="Arial" w:hAnsi="Arial" w:cs="Arial"/>
          <w:b/>
        </w:rPr>
        <w:t>Accessibility of Tribunals</w:t>
      </w:r>
    </w:p>
    <w:p w:rsidR="00547231" w:rsidRPr="00DF4059" w:rsidRDefault="00547231" w:rsidP="00DF4059">
      <w:pPr>
        <w:jc w:val="both"/>
        <w:rPr>
          <w:rFonts w:ascii="Arial" w:hAnsi="Arial" w:cs="Arial"/>
        </w:rPr>
      </w:pPr>
      <w:r w:rsidRPr="00DF4059">
        <w:rPr>
          <w:rFonts w:ascii="Arial" w:hAnsi="Arial" w:cs="Arial"/>
        </w:rPr>
        <w:t>Tribunals aim to provide informal, low cost and timely avenues for resolving disputes through: active case management; using</w:t>
      </w:r>
      <w:r w:rsidR="00D36CC9" w:rsidRPr="00DF4059">
        <w:rPr>
          <w:rFonts w:ascii="Arial" w:hAnsi="Arial" w:cs="Arial"/>
        </w:rPr>
        <w:t xml:space="preserve"> ADR; limiting legal representation</w:t>
      </w:r>
      <w:r w:rsidRPr="00DF4059">
        <w:rPr>
          <w:rFonts w:ascii="Arial" w:hAnsi="Arial" w:cs="Arial"/>
        </w:rPr>
        <w:t xml:space="preserve"> and assisting self</w:t>
      </w:r>
      <w:r w:rsidR="00D36CC9" w:rsidRPr="00DF4059">
        <w:rPr>
          <w:rFonts w:ascii="Arial" w:hAnsi="Arial" w:cs="Arial"/>
        </w:rPr>
        <w:t xml:space="preserve">- </w:t>
      </w:r>
      <w:r w:rsidRPr="00DF4059">
        <w:rPr>
          <w:rFonts w:ascii="Arial" w:hAnsi="Arial" w:cs="Arial"/>
        </w:rPr>
        <w:t xml:space="preserve">represented litigants. </w:t>
      </w:r>
    </w:p>
    <w:p w:rsidR="007430AD" w:rsidRPr="00DF4059" w:rsidRDefault="00D36CC9" w:rsidP="00DF4059">
      <w:pPr>
        <w:jc w:val="both"/>
        <w:rPr>
          <w:rFonts w:ascii="Arial" w:hAnsi="Arial" w:cs="Arial"/>
          <w:b/>
        </w:rPr>
      </w:pPr>
      <w:r w:rsidRPr="00DF4059">
        <w:rPr>
          <w:rFonts w:ascii="Arial" w:hAnsi="Arial" w:cs="Arial"/>
          <w:b/>
        </w:rPr>
        <w:t>Examples of Tribunals</w:t>
      </w:r>
    </w:p>
    <w:p w:rsidR="00B60EF2" w:rsidRPr="00DF4059" w:rsidRDefault="00D36CC9" w:rsidP="00DF4059">
      <w:pPr>
        <w:pStyle w:val="ListParagraph"/>
        <w:numPr>
          <w:ilvl w:val="0"/>
          <w:numId w:val="11"/>
        </w:numPr>
        <w:ind w:left="567" w:hanging="567"/>
        <w:jc w:val="both"/>
        <w:rPr>
          <w:rFonts w:ascii="Arial" w:hAnsi="Arial" w:cs="Arial"/>
        </w:rPr>
      </w:pPr>
      <w:r w:rsidRPr="00DF4059">
        <w:rPr>
          <w:rFonts w:ascii="Arial" w:hAnsi="Arial" w:cs="Arial"/>
        </w:rPr>
        <w:t xml:space="preserve">Social Security Appeals Tribunal </w:t>
      </w:r>
    </w:p>
    <w:p w:rsidR="00B60EF2" w:rsidRPr="00DF4059" w:rsidRDefault="00D36CC9" w:rsidP="00DF4059">
      <w:pPr>
        <w:pStyle w:val="ListParagraph"/>
        <w:numPr>
          <w:ilvl w:val="0"/>
          <w:numId w:val="11"/>
        </w:numPr>
        <w:ind w:left="567" w:hanging="567"/>
        <w:jc w:val="both"/>
        <w:rPr>
          <w:rFonts w:ascii="Arial" w:hAnsi="Arial" w:cs="Arial"/>
        </w:rPr>
      </w:pPr>
      <w:r w:rsidRPr="00DF4059">
        <w:rPr>
          <w:rFonts w:ascii="Arial" w:hAnsi="Arial" w:cs="Arial"/>
        </w:rPr>
        <w:t>C</w:t>
      </w:r>
      <w:r w:rsidR="007519C6" w:rsidRPr="00DF4059">
        <w:rPr>
          <w:rFonts w:ascii="Arial" w:hAnsi="Arial" w:cs="Arial"/>
        </w:rPr>
        <w:t>ommonwealth</w:t>
      </w:r>
      <w:r w:rsidRPr="00DF4059">
        <w:rPr>
          <w:rFonts w:ascii="Arial" w:hAnsi="Arial" w:cs="Arial"/>
        </w:rPr>
        <w:t xml:space="preserve"> Superannuation Complaints Tribunal </w:t>
      </w:r>
    </w:p>
    <w:p w:rsidR="00B60EF2" w:rsidRPr="00DF4059" w:rsidRDefault="00B60EF2" w:rsidP="00DF4059">
      <w:pPr>
        <w:pStyle w:val="ListParagraph"/>
        <w:numPr>
          <w:ilvl w:val="0"/>
          <w:numId w:val="11"/>
        </w:numPr>
        <w:ind w:left="567" w:hanging="567"/>
        <w:jc w:val="both"/>
        <w:rPr>
          <w:rFonts w:ascii="Arial" w:hAnsi="Arial" w:cs="Arial"/>
        </w:rPr>
      </w:pPr>
      <w:r w:rsidRPr="00DF4059">
        <w:rPr>
          <w:rFonts w:ascii="Arial" w:hAnsi="Arial" w:cs="Arial"/>
        </w:rPr>
        <w:t>NS</w:t>
      </w:r>
      <w:r w:rsidR="00D36CC9" w:rsidRPr="00DF4059">
        <w:rPr>
          <w:rFonts w:ascii="Arial" w:hAnsi="Arial" w:cs="Arial"/>
        </w:rPr>
        <w:t>W Consumer, Trader and Tenancy Tribunal</w:t>
      </w:r>
    </w:p>
    <w:p w:rsidR="00D36CC9" w:rsidRPr="00DF4059" w:rsidRDefault="00D36CC9" w:rsidP="00DF4059">
      <w:pPr>
        <w:pStyle w:val="ListParagraph"/>
        <w:numPr>
          <w:ilvl w:val="0"/>
          <w:numId w:val="11"/>
        </w:numPr>
        <w:ind w:left="567" w:hanging="567"/>
        <w:jc w:val="both"/>
        <w:rPr>
          <w:rFonts w:ascii="Arial" w:hAnsi="Arial" w:cs="Arial"/>
        </w:rPr>
      </w:pPr>
      <w:r w:rsidRPr="00DF4059">
        <w:rPr>
          <w:rFonts w:ascii="Arial" w:hAnsi="Arial" w:cs="Arial"/>
        </w:rPr>
        <w:t>NSW Administrative Decisions Tribunal</w:t>
      </w:r>
    </w:p>
    <w:p w:rsidR="007F3F98" w:rsidRPr="00DF4059" w:rsidRDefault="00BE4181" w:rsidP="00DF4059">
      <w:pPr>
        <w:jc w:val="both"/>
        <w:rPr>
          <w:rFonts w:ascii="Arial" w:hAnsi="Arial" w:cs="Arial"/>
        </w:rPr>
      </w:pPr>
      <w:r w:rsidRPr="00DF4059">
        <w:rPr>
          <w:rFonts w:ascii="Arial" w:hAnsi="Arial" w:cs="Arial"/>
        </w:rPr>
        <w:t>The benefits of seeking resolution of a legal problem through A</w:t>
      </w:r>
      <w:r w:rsidR="00B60EF2" w:rsidRPr="00DF4059">
        <w:rPr>
          <w:rFonts w:ascii="Arial" w:hAnsi="Arial" w:cs="Arial"/>
        </w:rPr>
        <w:t>DR</w:t>
      </w:r>
      <w:r w:rsidRPr="00DF4059">
        <w:rPr>
          <w:rFonts w:ascii="Arial" w:hAnsi="Arial" w:cs="Arial"/>
        </w:rPr>
        <w:t xml:space="preserve"> processes is that it is a</w:t>
      </w:r>
      <w:r w:rsidR="009A47DC" w:rsidRPr="00DF4059">
        <w:rPr>
          <w:rFonts w:ascii="Arial" w:hAnsi="Arial" w:cs="Arial"/>
        </w:rPr>
        <w:t xml:space="preserve"> lot less costly and resolution is a lot quicker than seeking remedies through </w:t>
      </w:r>
      <w:r w:rsidR="00664AE6" w:rsidRPr="00DF4059">
        <w:rPr>
          <w:rFonts w:ascii="Arial" w:hAnsi="Arial" w:cs="Arial"/>
        </w:rPr>
        <w:t>a more formal court process</w:t>
      </w:r>
      <w:r w:rsidR="007519C6" w:rsidRPr="00DF4059">
        <w:rPr>
          <w:rFonts w:ascii="Arial" w:hAnsi="Arial" w:cs="Arial"/>
        </w:rPr>
        <w:t>es</w:t>
      </w:r>
      <w:r w:rsidR="00664AE6" w:rsidRPr="00DF4059">
        <w:rPr>
          <w:rFonts w:ascii="Arial" w:hAnsi="Arial" w:cs="Arial"/>
        </w:rPr>
        <w:t>. Though utilising this process</w:t>
      </w:r>
      <w:r w:rsidR="009A47DC" w:rsidRPr="00DF4059">
        <w:rPr>
          <w:rFonts w:ascii="Arial" w:hAnsi="Arial" w:cs="Arial"/>
        </w:rPr>
        <w:t xml:space="preserve"> assumes that both parties are from </w:t>
      </w:r>
      <w:r w:rsidR="00664AE6" w:rsidRPr="00DF4059">
        <w:rPr>
          <w:rFonts w:ascii="Arial" w:hAnsi="Arial" w:cs="Arial"/>
        </w:rPr>
        <w:t xml:space="preserve">relatively similar financial and operational backgrounds, and are </w:t>
      </w:r>
      <w:r w:rsidR="009A47DC" w:rsidRPr="00DF4059">
        <w:rPr>
          <w:rFonts w:ascii="Arial" w:hAnsi="Arial" w:cs="Arial"/>
        </w:rPr>
        <w:t xml:space="preserve">willing to meet a compromise and common understanding. </w:t>
      </w:r>
    </w:p>
    <w:p w:rsidR="007F3F98" w:rsidRPr="00DF4059" w:rsidRDefault="007F3F98" w:rsidP="00DF4059">
      <w:pPr>
        <w:jc w:val="both"/>
        <w:rPr>
          <w:rFonts w:ascii="Arial" w:hAnsi="Arial" w:cs="Arial"/>
        </w:rPr>
      </w:pPr>
      <w:r w:rsidRPr="00DF4059">
        <w:rPr>
          <w:rFonts w:ascii="Arial" w:hAnsi="Arial" w:cs="Arial"/>
        </w:rPr>
        <w:t>T</w:t>
      </w:r>
      <w:r w:rsidR="009A47DC" w:rsidRPr="00DF4059">
        <w:rPr>
          <w:rFonts w:ascii="Arial" w:hAnsi="Arial" w:cs="Arial"/>
        </w:rPr>
        <w:t xml:space="preserve">he </w:t>
      </w:r>
      <w:r w:rsidRPr="00DF4059">
        <w:rPr>
          <w:rFonts w:ascii="Arial" w:hAnsi="Arial" w:cs="Arial"/>
        </w:rPr>
        <w:t>Productivity Commission draft report on Access to Justice Arrangements identifies the following circumstances where</w:t>
      </w:r>
      <w:r w:rsidR="00F71DFE" w:rsidRPr="00DF4059">
        <w:rPr>
          <w:rFonts w:ascii="Arial" w:hAnsi="Arial" w:cs="Arial"/>
        </w:rPr>
        <w:t xml:space="preserve"> the use of ADR may not</w:t>
      </w:r>
      <w:r w:rsidRPr="00DF4059">
        <w:rPr>
          <w:rFonts w:ascii="Arial" w:hAnsi="Arial" w:cs="Arial"/>
        </w:rPr>
        <w:t xml:space="preserve"> be considered appropriate</w:t>
      </w:r>
      <w:r w:rsidR="00F71DFE" w:rsidRPr="00DF4059">
        <w:rPr>
          <w:rFonts w:ascii="Arial" w:hAnsi="Arial" w:cs="Arial"/>
        </w:rPr>
        <w:t xml:space="preserve">: </w:t>
      </w:r>
    </w:p>
    <w:p w:rsidR="007F3F98" w:rsidRPr="00DF4059" w:rsidRDefault="007F3F98" w:rsidP="00DF4059">
      <w:pPr>
        <w:pStyle w:val="ListParagraph"/>
        <w:numPr>
          <w:ilvl w:val="0"/>
          <w:numId w:val="8"/>
        </w:numPr>
        <w:jc w:val="both"/>
        <w:rPr>
          <w:rFonts w:ascii="Arial" w:hAnsi="Arial" w:cs="Arial"/>
        </w:rPr>
      </w:pPr>
      <w:r w:rsidRPr="00DF4059">
        <w:rPr>
          <w:rFonts w:ascii="Arial" w:hAnsi="Arial" w:cs="Arial"/>
        </w:rPr>
        <w:t>Where t</w:t>
      </w:r>
      <w:r w:rsidR="00F71DFE" w:rsidRPr="00DF4059">
        <w:rPr>
          <w:rFonts w:ascii="Arial" w:hAnsi="Arial" w:cs="Arial"/>
        </w:rPr>
        <w:t xml:space="preserve">here is an imbalance of power between parties (such as between consumers and corporations) because of socioeconomic disadvantage, or a history of violence between the parties </w:t>
      </w:r>
    </w:p>
    <w:p w:rsidR="003B0EE8" w:rsidRPr="00DF4059" w:rsidRDefault="003B0EE8" w:rsidP="00DF4059">
      <w:pPr>
        <w:pStyle w:val="ListParagraph"/>
        <w:numPr>
          <w:ilvl w:val="0"/>
          <w:numId w:val="8"/>
        </w:numPr>
        <w:jc w:val="both"/>
        <w:rPr>
          <w:rFonts w:ascii="Arial" w:hAnsi="Arial" w:cs="Arial"/>
        </w:rPr>
      </w:pPr>
      <w:r w:rsidRPr="00DF4059">
        <w:rPr>
          <w:rFonts w:ascii="Arial" w:hAnsi="Arial" w:cs="Arial"/>
        </w:rPr>
        <w:t>In circumstances where</w:t>
      </w:r>
      <w:r w:rsidR="007F3F98" w:rsidRPr="00DF4059">
        <w:rPr>
          <w:rFonts w:ascii="Arial" w:hAnsi="Arial" w:cs="Arial"/>
        </w:rPr>
        <w:t xml:space="preserve"> </w:t>
      </w:r>
      <w:r w:rsidR="00F71DFE" w:rsidRPr="00DF4059">
        <w:rPr>
          <w:rFonts w:ascii="Arial" w:hAnsi="Arial" w:cs="Arial"/>
        </w:rPr>
        <w:t xml:space="preserve">there is an unwillingness of parties to engage in constructive ADR, or to acknowledge that there is a problem </w:t>
      </w:r>
    </w:p>
    <w:p w:rsidR="003B0EE8" w:rsidRPr="00DF4059" w:rsidRDefault="003B0EE8" w:rsidP="00DF4059">
      <w:pPr>
        <w:pStyle w:val="ListParagraph"/>
        <w:numPr>
          <w:ilvl w:val="0"/>
          <w:numId w:val="8"/>
        </w:numPr>
        <w:jc w:val="both"/>
        <w:rPr>
          <w:rFonts w:ascii="Arial" w:hAnsi="Arial" w:cs="Arial"/>
        </w:rPr>
      </w:pPr>
      <w:r w:rsidRPr="00DF4059">
        <w:rPr>
          <w:rFonts w:ascii="Arial" w:hAnsi="Arial" w:cs="Arial"/>
        </w:rPr>
        <w:t xml:space="preserve">Where </w:t>
      </w:r>
      <w:r w:rsidR="00F71DFE" w:rsidRPr="00DF4059">
        <w:rPr>
          <w:rFonts w:ascii="Arial" w:hAnsi="Arial" w:cs="Arial"/>
        </w:rPr>
        <w:t xml:space="preserve"> there is little or no prospect of a successful outcome, such as when claims are unreasonable and inflexible or when disputes are vexatious </w:t>
      </w:r>
    </w:p>
    <w:p w:rsidR="003B0EE8" w:rsidRPr="00DF4059" w:rsidRDefault="003B0EE8" w:rsidP="00DF4059">
      <w:pPr>
        <w:pStyle w:val="ListParagraph"/>
        <w:numPr>
          <w:ilvl w:val="0"/>
          <w:numId w:val="8"/>
        </w:numPr>
        <w:jc w:val="both"/>
        <w:rPr>
          <w:rFonts w:ascii="Arial" w:hAnsi="Arial" w:cs="Arial"/>
        </w:rPr>
      </w:pPr>
      <w:r w:rsidRPr="00DF4059">
        <w:rPr>
          <w:rFonts w:ascii="Arial" w:hAnsi="Arial" w:cs="Arial"/>
        </w:rPr>
        <w:t>In circumstances where</w:t>
      </w:r>
      <w:r w:rsidR="00F71DFE" w:rsidRPr="00DF4059">
        <w:rPr>
          <w:rFonts w:ascii="Arial" w:hAnsi="Arial" w:cs="Arial"/>
        </w:rPr>
        <w:t xml:space="preserve"> it is in the public interest to set a precedent that can guide future dispute resolution, particularly if a dispute type is common and recurring </w:t>
      </w:r>
    </w:p>
    <w:p w:rsidR="003B0EE8" w:rsidRPr="00DF4059" w:rsidRDefault="003B0EE8" w:rsidP="00DF4059">
      <w:pPr>
        <w:pStyle w:val="ListParagraph"/>
        <w:numPr>
          <w:ilvl w:val="0"/>
          <w:numId w:val="8"/>
        </w:numPr>
        <w:jc w:val="both"/>
        <w:rPr>
          <w:rFonts w:ascii="Arial" w:hAnsi="Arial" w:cs="Arial"/>
        </w:rPr>
      </w:pPr>
      <w:r w:rsidRPr="00DF4059">
        <w:rPr>
          <w:rFonts w:ascii="Arial" w:hAnsi="Arial" w:cs="Arial"/>
        </w:rPr>
        <w:t>Where</w:t>
      </w:r>
      <w:r w:rsidR="00F71DFE" w:rsidRPr="00DF4059">
        <w:rPr>
          <w:rFonts w:ascii="Arial" w:hAnsi="Arial" w:cs="Arial"/>
        </w:rPr>
        <w:t xml:space="preserve"> one party wants to send a public message to deter future action (such as </w:t>
      </w:r>
      <w:r w:rsidR="006F01A1" w:rsidRPr="00DF4059">
        <w:rPr>
          <w:rFonts w:ascii="Arial" w:hAnsi="Arial" w:cs="Arial"/>
        </w:rPr>
        <w:t>advocating for universal access to private bus operators</w:t>
      </w:r>
      <w:r w:rsidR="00F71DFE" w:rsidRPr="00DF4059">
        <w:rPr>
          <w:rFonts w:ascii="Arial" w:hAnsi="Arial" w:cs="Arial"/>
        </w:rPr>
        <w:t xml:space="preserve">) </w:t>
      </w:r>
      <w:r w:rsidRPr="00DF4059">
        <w:rPr>
          <w:rFonts w:ascii="Arial" w:hAnsi="Arial" w:cs="Arial"/>
        </w:rPr>
        <w:t>or</w:t>
      </w:r>
    </w:p>
    <w:p w:rsidR="00172A33" w:rsidRPr="00DF4059" w:rsidRDefault="003B0EE8" w:rsidP="00DF4059">
      <w:pPr>
        <w:pStyle w:val="ListParagraph"/>
        <w:numPr>
          <w:ilvl w:val="0"/>
          <w:numId w:val="8"/>
        </w:numPr>
        <w:jc w:val="both"/>
        <w:rPr>
          <w:rFonts w:ascii="Arial" w:hAnsi="Arial" w:cs="Arial"/>
          <w:b/>
        </w:rPr>
      </w:pPr>
      <w:r w:rsidRPr="00DF4059">
        <w:rPr>
          <w:rFonts w:ascii="Arial" w:hAnsi="Arial" w:cs="Arial"/>
        </w:rPr>
        <w:t>In circumstances</w:t>
      </w:r>
      <w:r w:rsidR="00F71DFE" w:rsidRPr="00DF4059">
        <w:rPr>
          <w:rFonts w:ascii="Arial" w:hAnsi="Arial" w:cs="Arial"/>
        </w:rPr>
        <w:t xml:space="preserve"> </w:t>
      </w:r>
      <w:r w:rsidRPr="00DF4059">
        <w:rPr>
          <w:rFonts w:ascii="Arial" w:hAnsi="Arial" w:cs="Arial"/>
        </w:rPr>
        <w:t xml:space="preserve">where </w:t>
      </w:r>
      <w:r w:rsidR="00F71DFE" w:rsidRPr="00DF4059">
        <w:rPr>
          <w:rFonts w:ascii="Arial" w:hAnsi="Arial" w:cs="Arial"/>
        </w:rPr>
        <w:t xml:space="preserve">time is a crucial factor and a party wants to stop a disputed action immediately. </w:t>
      </w:r>
    </w:p>
    <w:p w:rsidR="00947093" w:rsidRPr="00DF4059" w:rsidRDefault="00FA2B3D" w:rsidP="00DF4059">
      <w:pPr>
        <w:jc w:val="both"/>
        <w:rPr>
          <w:rFonts w:ascii="Arial" w:hAnsi="Arial" w:cs="Arial"/>
        </w:rPr>
      </w:pPr>
      <w:r w:rsidRPr="00DF4059">
        <w:rPr>
          <w:rFonts w:ascii="Arial" w:hAnsi="Arial" w:cs="Arial"/>
        </w:rPr>
        <w:t>Even with the advantages of accessibility to ombudsman and complaint bodies, commissions and tribunals, p</w:t>
      </w:r>
      <w:r w:rsidR="00B60EF2" w:rsidRPr="00DF4059">
        <w:rPr>
          <w:rFonts w:ascii="Arial" w:hAnsi="Arial" w:cs="Arial"/>
        </w:rPr>
        <w:t xml:space="preserve">eople with physical disability have </w:t>
      </w:r>
      <w:r w:rsidR="00947093" w:rsidRPr="00DF4059">
        <w:rPr>
          <w:rFonts w:ascii="Arial" w:hAnsi="Arial" w:cs="Arial"/>
        </w:rPr>
        <w:t xml:space="preserve">tended not to utilise </w:t>
      </w:r>
      <w:r w:rsidRPr="00DF4059">
        <w:rPr>
          <w:rFonts w:ascii="Arial" w:hAnsi="Arial" w:cs="Arial"/>
        </w:rPr>
        <w:t>these facilities due to</w:t>
      </w:r>
      <w:r w:rsidR="00947093" w:rsidRPr="00DF4059">
        <w:rPr>
          <w:rFonts w:ascii="Arial" w:hAnsi="Arial" w:cs="Arial"/>
        </w:rPr>
        <w:t xml:space="preserve"> the imbalance in power </w:t>
      </w:r>
      <w:r w:rsidRPr="00DF4059">
        <w:rPr>
          <w:rFonts w:ascii="Arial" w:hAnsi="Arial" w:cs="Arial"/>
        </w:rPr>
        <w:t xml:space="preserve">between parties, </w:t>
      </w:r>
      <w:r w:rsidR="00947093" w:rsidRPr="00DF4059">
        <w:rPr>
          <w:rFonts w:ascii="Arial" w:hAnsi="Arial" w:cs="Arial"/>
        </w:rPr>
        <w:t xml:space="preserve">lack of ability </w:t>
      </w:r>
      <w:r w:rsidRPr="00DF4059">
        <w:rPr>
          <w:rFonts w:ascii="Arial" w:hAnsi="Arial" w:cs="Arial"/>
        </w:rPr>
        <w:t xml:space="preserve">to set a precedent that can guide future dispute resolution, concerns about needing to pay court costs if a the issue is heard in a court </w:t>
      </w:r>
      <w:r w:rsidR="00A02693" w:rsidRPr="00DF4059">
        <w:rPr>
          <w:rFonts w:ascii="Arial" w:hAnsi="Arial" w:cs="Arial"/>
        </w:rPr>
        <w:t>or a lack of awareness concerning bodies that provide ADR processes.</w:t>
      </w:r>
    </w:p>
    <w:p w:rsidR="006F01A1" w:rsidRPr="00DF4059" w:rsidRDefault="009D4AFD" w:rsidP="00DF4059">
      <w:pPr>
        <w:jc w:val="both"/>
        <w:rPr>
          <w:rFonts w:ascii="Arial" w:hAnsi="Arial" w:cs="Arial"/>
        </w:rPr>
      </w:pPr>
      <w:r w:rsidRPr="00DF4059">
        <w:rPr>
          <w:rFonts w:ascii="Arial" w:hAnsi="Arial" w:cs="Arial"/>
        </w:rPr>
        <w:lastRenderedPageBreak/>
        <w:t xml:space="preserve">PDCN supports strategies to increase the awareness of </w:t>
      </w:r>
      <w:r w:rsidR="00FB5E03" w:rsidRPr="00DF4059">
        <w:rPr>
          <w:rFonts w:ascii="Arial" w:hAnsi="Arial" w:cs="Arial"/>
        </w:rPr>
        <w:t>ADR processes</w:t>
      </w:r>
      <w:r w:rsidRPr="00DF4059">
        <w:rPr>
          <w:rFonts w:ascii="Arial" w:hAnsi="Arial" w:cs="Arial"/>
        </w:rPr>
        <w:t xml:space="preserve"> for the different legal problems</w:t>
      </w:r>
      <w:r w:rsidR="00FB5E03" w:rsidRPr="00DF4059">
        <w:rPr>
          <w:rFonts w:ascii="Arial" w:hAnsi="Arial" w:cs="Arial"/>
        </w:rPr>
        <w:t xml:space="preserve"> identified</w:t>
      </w:r>
      <w:r w:rsidR="007519C6" w:rsidRPr="00DF4059">
        <w:rPr>
          <w:rFonts w:ascii="Arial" w:hAnsi="Arial" w:cs="Arial"/>
        </w:rPr>
        <w:t xml:space="preserve"> </w:t>
      </w:r>
      <w:r w:rsidRPr="00DF4059">
        <w:rPr>
          <w:rFonts w:ascii="Arial" w:hAnsi="Arial" w:cs="Arial"/>
        </w:rPr>
        <w:t>in the Ap</w:t>
      </w:r>
      <w:r w:rsidR="007519C6" w:rsidRPr="00DF4059">
        <w:rPr>
          <w:rFonts w:ascii="Arial" w:hAnsi="Arial" w:cs="Arial"/>
        </w:rPr>
        <w:t>pendix B of the draft report</w:t>
      </w:r>
      <w:r w:rsidR="00FB5E03" w:rsidRPr="00DF4059">
        <w:rPr>
          <w:rFonts w:ascii="Arial" w:hAnsi="Arial" w:cs="Arial"/>
        </w:rPr>
        <w:t>.</w:t>
      </w:r>
    </w:p>
    <w:p w:rsidR="00922F91" w:rsidRPr="00DF4059" w:rsidRDefault="00FB5E03" w:rsidP="00DF4059">
      <w:pPr>
        <w:jc w:val="both"/>
        <w:rPr>
          <w:rFonts w:ascii="Arial" w:hAnsi="Arial" w:cs="Arial"/>
        </w:rPr>
      </w:pPr>
      <w:r w:rsidRPr="00DF4059">
        <w:rPr>
          <w:rFonts w:ascii="Arial" w:hAnsi="Arial" w:cs="Arial"/>
        </w:rPr>
        <w:t>Table 2: Suggested ADR processes for the different legal problems</w:t>
      </w:r>
    </w:p>
    <w:tbl>
      <w:tblPr>
        <w:tblStyle w:val="TableGrid"/>
        <w:tblW w:w="5000" w:type="pct"/>
        <w:tblLook w:val="04A0" w:firstRow="1" w:lastRow="0" w:firstColumn="1" w:lastColumn="0" w:noHBand="0" w:noVBand="1"/>
      </w:tblPr>
      <w:tblGrid>
        <w:gridCol w:w="1610"/>
        <w:gridCol w:w="2320"/>
        <w:gridCol w:w="2325"/>
        <w:gridCol w:w="2987"/>
      </w:tblGrid>
      <w:tr w:rsidR="00922F91" w:rsidRPr="00DF4059" w:rsidTr="00922F91">
        <w:tc>
          <w:tcPr>
            <w:tcW w:w="871" w:type="pct"/>
            <w:tcBorders>
              <w:top w:val="single" w:sz="4" w:space="0" w:color="auto"/>
              <w:left w:val="single" w:sz="4" w:space="0" w:color="auto"/>
              <w:bottom w:val="single" w:sz="4" w:space="0" w:color="auto"/>
              <w:right w:val="single" w:sz="4" w:space="0" w:color="auto"/>
            </w:tcBorders>
            <w:hideMark/>
          </w:tcPr>
          <w:p w:rsidR="00922F91" w:rsidRPr="00DF4059" w:rsidRDefault="00032D69" w:rsidP="00DF4059">
            <w:pPr>
              <w:jc w:val="both"/>
              <w:rPr>
                <w:rFonts w:ascii="Arial" w:hAnsi="Arial" w:cs="Arial"/>
                <w:b/>
              </w:rPr>
            </w:pPr>
            <w:r w:rsidRPr="00DF4059">
              <w:rPr>
                <w:rFonts w:ascii="Arial" w:hAnsi="Arial" w:cs="Arial"/>
                <w:b/>
              </w:rPr>
              <w:t>Legal problem</w:t>
            </w: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032D69" w:rsidP="00DF4059">
            <w:pPr>
              <w:jc w:val="both"/>
              <w:rPr>
                <w:rFonts w:ascii="Arial" w:hAnsi="Arial" w:cs="Arial"/>
                <w:b/>
              </w:rPr>
            </w:pPr>
            <w:r w:rsidRPr="00DF4059">
              <w:rPr>
                <w:rFonts w:ascii="Arial" w:hAnsi="Arial" w:cs="Arial"/>
                <w:b/>
              </w:rPr>
              <w:t>I</w:t>
            </w:r>
            <w:r w:rsidR="00922F91" w:rsidRPr="00DF4059">
              <w:rPr>
                <w:rFonts w:ascii="Arial" w:hAnsi="Arial" w:cs="Arial"/>
                <w:b/>
              </w:rPr>
              <w:t>ssue</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b/>
              </w:rPr>
            </w:pPr>
            <w:r w:rsidRPr="00DF4059">
              <w:rPr>
                <w:rFonts w:ascii="Arial" w:hAnsi="Arial" w:cs="Arial"/>
                <w:b/>
              </w:rPr>
              <w:t>Alternative Dispute Resolution</w:t>
            </w:r>
          </w:p>
        </w:tc>
        <w:tc>
          <w:tcPr>
            <w:tcW w:w="1616"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b/>
              </w:rPr>
            </w:pPr>
            <w:r w:rsidRPr="00DF4059">
              <w:rPr>
                <w:rFonts w:ascii="Arial" w:hAnsi="Arial" w:cs="Arial"/>
                <w:b/>
              </w:rPr>
              <w:t>Appeals or secondary options</w:t>
            </w: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hideMark/>
          </w:tcPr>
          <w:p w:rsidR="00922F91" w:rsidRPr="00DF4059" w:rsidRDefault="00032D69" w:rsidP="00DF4059">
            <w:pPr>
              <w:jc w:val="both"/>
              <w:rPr>
                <w:rFonts w:ascii="Arial" w:hAnsi="Arial" w:cs="Arial"/>
                <w:b/>
              </w:rPr>
            </w:pPr>
            <w:r w:rsidRPr="00DF4059">
              <w:rPr>
                <w:rFonts w:ascii="Arial" w:hAnsi="Arial" w:cs="Arial"/>
                <w:b/>
              </w:rPr>
              <w:t xml:space="preserve">Consumer problems </w:t>
            </w: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Telecommunications and TV appliances</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Telecommunications Industry Ombudsman</w:t>
            </w:r>
          </w:p>
        </w:tc>
        <w:tc>
          <w:tcPr>
            <w:tcW w:w="1616"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Insurance and Banking</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Financial Ombudsman   Service (FOS)</w:t>
            </w:r>
          </w:p>
          <w:p w:rsidR="00922F91" w:rsidRPr="00DF4059" w:rsidRDefault="00922F91" w:rsidP="00DF4059">
            <w:pPr>
              <w:jc w:val="both"/>
              <w:rPr>
                <w:rFonts w:ascii="Arial" w:hAnsi="Arial" w:cs="Arial"/>
              </w:rPr>
            </w:pPr>
            <w:r w:rsidRPr="00DF4059">
              <w:rPr>
                <w:rFonts w:ascii="Arial" w:hAnsi="Arial" w:cs="Arial"/>
              </w:rPr>
              <w:t xml:space="preserve">Credit Ombudsman Service </w:t>
            </w:r>
          </w:p>
        </w:tc>
        <w:tc>
          <w:tcPr>
            <w:tcW w:w="1616"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Purchase of faulty goods</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 xml:space="preserve">Office of Fair Trading- complaints mechanism </w:t>
            </w:r>
          </w:p>
        </w:tc>
        <w:tc>
          <w:tcPr>
            <w:tcW w:w="1616"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Relevant  State or territory tribunal</w:t>
            </w: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Utilities</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Energy Ombudsman</w:t>
            </w:r>
          </w:p>
        </w:tc>
        <w:tc>
          <w:tcPr>
            <w:tcW w:w="1616"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b/>
              </w:rPr>
            </w:pPr>
            <w:r w:rsidRPr="00DF4059">
              <w:rPr>
                <w:rFonts w:ascii="Arial" w:hAnsi="Arial" w:cs="Arial"/>
                <w:b/>
              </w:rPr>
              <w:t xml:space="preserve">Government problems </w:t>
            </w: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Local Government (services and amenities, planning approvals)</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 xml:space="preserve">State- based Ombudsman </w:t>
            </w:r>
          </w:p>
        </w:tc>
        <w:tc>
          <w:tcPr>
            <w:tcW w:w="1616"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If not within the scope of the Ombudsman, a tribunal may be an option</w:t>
            </w: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Receiving Government payments</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Commonwealth Department of Human Services able to review payments</w:t>
            </w:r>
          </w:p>
        </w:tc>
        <w:tc>
          <w:tcPr>
            <w:tcW w:w="1616"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Social Security Appeals Tribunal</w:t>
            </w:r>
          </w:p>
          <w:p w:rsidR="00922F91" w:rsidRPr="00DF4059" w:rsidRDefault="00922F91" w:rsidP="00DF4059">
            <w:pPr>
              <w:jc w:val="both"/>
              <w:rPr>
                <w:rFonts w:ascii="Arial" w:hAnsi="Arial" w:cs="Arial"/>
              </w:rPr>
            </w:pPr>
            <w:r w:rsidRPr="00DF4059">
              <w:rPr>
                <w:rFonts w:ascii="Arial" w:hAnsi="Arial" w:cs="Arial"/>
              </w:rPr>
              <w:t>Commonwealth Ombudsman</w:t>
            </w:r>
          </w:p>
          <w:p w:rsidR="00922F91" w:rsidRPr="00DF4059" w:rsidRDefault="00922F91" w:rsidP="00DF4059">
            <w:pPr>
              <w:jc w:val="both"/>
              <w:rPr>
                <w:rFonts w:ascii="Arial" w:hAnsi="Arial" w:cs="Arial"/>
              </w:rPr>
            </w:pPr>
            <w:r w:rsidRPr="00DF4059">
              <w:rPr>
                <w:rFonts w:ascii="Arial" w:hAnsi="Arial" w:cs="Arial"/>
              </w:rPr>
              <w:t>Administrative Appeals Tribunal</w:t>
            </w:r>
          </w:p>
          <w:p w:rsidR="00922F91" w:rsidRPr="00DF4059" w:rsidRDefault="00922F91" w:rsidP="00DF4059">
            <w:pPr>
              <w:jc w:val="both"/>
              <w:rPr>
                <w:rFonts w:ascii="Arial" w:hAnsi="Arial" w:cs="Arial"/>
              </w:rPr>
            </w:pPr>
            <w:r w:rsidRPr="00DF4059">
              <w:rPr>
                <w:rFonts w:ascii="Arial" w:hAnsi="Arial" w:cs="Arial"/>
              </w:rPr>
              <w:t>Federal Court</w:t>
            </w: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Tax assessments and tax debts</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Australian Taxation Office provides the opportunity to review decisions</w:t>
            </w:r>
          </w:p>
        </w:tc>
        <w:tc>
          <w:tcPr>
            <w:tcW w:w="1616"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Administrative Appeals Tribunal</w:t>
            </w: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Payment of fines</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No advice provided due to limited information</w:t>
            </w:r>
          </w:p>
        </w:tc>
        <w:tc>
          <w:tcPr>
            <w:tcW w:w="1616"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r w:rsidRPr="00DF4059">
              <w:rPr>
                <w:rFonts w:ascii="Arial" w:hAnsi="Arial" w:cs="Arial"/>
              </w:rPr>
              <w:t xml:space="preserve">Wide range of issues including; </w:t>
            </w:r>
          </w:p>
          <w:p w:rsidR="00922F91" w:rsidRPr="00DF4059" w:rsidRDefault="00922F91" w:rsidP="00DF4059">
            <w:pPr>
              <w:jc w:val="both"/>
              <w:rPr>
                <w:rFonts w:ascii="Arial" w:hAnsi="Arial" w:cs="Arial"/>
              </w:rPr>
            </w:pPr>
            <w:r w:rsidRPr="00DF4059">
              <w:rPr>
                <w:rFonts w:ascii="Arial" w:hAnsi="Arial" w:cs="Arial"/>
              </w:rPr>
              <w:t>Citizen, residency and immigration</w:t>
            </w:r>
          </w:p>
          <w:p w:rsidR="00922F91" w:rsidRPr="00DF4059" w:rsidRDefault="00922F91" w:rsidP="00DF4059">
            <w:pPr>
              <w:jc w:val="both"/>
              <w:rPr>
                <w:rFonts w:ascii="Arial" w:hAnsi="Arial" w:cs="Arial"/>
              </w:rPr>
            </w:pPr>
            <w:r w:rsidRPr="00DF4059">
              <w:rPr>
                <w:rFonts w:ascii="Arial" w:hAnsi="Arial" w:cs="Arial"/>
              </w:rPr>
              <w:t>Construction by home owners</w:t>
            </w:r>
          </w:p>
          <w:p w:rsidR="00922F91" w:rsidRPr="00DF4059" w:rsidRDefault="00922F91" w:rsidP="00DF4059">
            <w:pPr>
              <w:jc w:val="both"/>
              <w:rPr>
                <w:rFonts w:ascii="Arial" w:hAnsi="Arial" w:cs="Arial"/>
              </w:rPr>
            </w:pPr>
            <w:r w:rsidRPr="00DF4059">
              <w:rPr>
                <w:rFonts w:ascii="Arial" w:hAnsi="Arial" w:cs="Arial"/>
              </w:rPr>
              <w:t>Construction by investors Freedom of information</w:t>
            </w:r>
          </w:p>
          <w:p w:rsidR="00922F91" w:rsidRPr="00DF4059" w:rsidRDefault="00922F91" w:rsidP="00DF4059">
            <w:pPr>
              <w:jc w:val="both"/>
              <w:rPr>
                <w:rFonts w:ascii="Arial" w:hAnsi="Arial" w:cs="Arial"/>
              </w:rPr>
            </w:pPr>
          </w:p>
        </w:tc>
        <w:tc>
          <w:tcPr>
            <w:tcW w:w="1258"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p w:rsidR="00922F91" w:rsidRPr="00DF4059" w:rsidRDefault="00922F91" w:rsidP="00DF4059">
            <w:pPr>
              <w:jc w:val="both"/>
              <w:rPr>
                <w:rFonts w:ascii="Arial" w:hAnsi="Arial" w:cs="Arial"/>
              </w:rPr>
            </w:pPr>
          </w:p>
          <w:p w:rsidR="00922F91" w:rsidRPr="00DF4059" w:rsidRDefault="00922F91" w:rsidP="00DF4059">
            <w:pPr>
              <w:jc w:val="both"/>
              <w:rPr>
                <w:rFonts w:ascii="Arial" w:hAnsi="Arial" w:cs="Arial"/>
              </w:rPr>
            </w:pPr>
            <w:r w:rsidRPr="00DF4059">
              <w:rPr>
                <w:rFonts w:ascii="Arial" w:hAnsi="Arial" w:cs="Arial"/>
              </w:rPr>
              <w:t>Migration Tribunal</w:t>
            </w:r>
          </w:p>
          <w:p w:rsidR="00922F91" w:rsidRPr="00DF4059" w:rsidRDefault="00922F91" w:rsidP="00DF4059">
            <w:pPr>
              <w:jc w:val="both"/>
              <w:rPr>
                <w:rFonts w:ascii="Arial" w:hAnsi="Arial" w:cs="Arial"/>
              </w:rPr>
            </w:pPr>
            <w:r w:rsidRPr="00DF4059">
              <w:rPr>
                <w:rFonts w:ascii="Arial" w:hAnsi="Arial" w:cs="Arial"/>
              </w:rPr>
              <w:t>Refugee Review Tribunal</w:t>
            </w:r>
          </w:p>
          <w:p w:rsidR="00922F91" w:rsidRPr="00DF4059" w:rsidRDefault="00922F91" w:rsidP="00DF4059">
            <w:pPr>
              <w:jc w:val="both"/>
              <w:rPr>
                <w:rFonts w:ascii="Arial" w:hAnsi="Arial" w:cs="Arial"/>
              </w:rPr>
            </w:pPr>
            <w:r w:rsidRPr="00DF4059">
              <w:rPr>
                <w:rFonts w:ascii="Arial" w:hAnsi="Arial" w:cs="Arial"/>
              </w:rPr>
              <w:t>Commonwealth Ombudsman</w:t>
            </w:r>
          </w:p>
          <w:p w:rsidR="00922F91" w:rsidRPr="00DF4059" w:rsidRDefault="00922F91" w:rsidP="00DF4059">
            <w:pPr>
              <w:jc w:val="both"/>
              <w:rPr>
                <w:rFonts w:ascii="Arial" w:hAnsi="Arial" w:cs="Arial"/>
              </w:rPr>
            </w:pPr>
          </w:p>
          <w:p w:rsidR="00922F91" w:rsidRPr="00DF4059" w:rsidRDefault="00922F91" w:rsidP="00DF4059">
            <w:pPr>
              <w:jc w:val="both"/>
              <w:rPr>
                <w:rFonts w:ascii="Arial" w:hAnsi="Arial" w:cs="Arial"/>
              </w:rPr>
            </w:pPr>
            <w:r w:rsidRPr="00DF4059">
              <w:rPr>
                <w:rFonts w:ascii="Arial" w:hAnsi="Arial" w:cs="Arial"/>
              </w:rPr>
              <w:t>Information Commissioner</w:t>
            </w:r>
          </w:p>
        </w:tc>
        <w:tc>
          <w:tcPr>
            <w:tcW w:w="1616"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hideMark/>
          </w:tcPr>
          <w:p w:rsidR="00922F91" w:rsidRPr="00DF4059" w:rsidRDefault="00032D69" w:rsidP="00DF4059">
            <w:pPr>
              <w:jc w:val="both"/>
              <w:rPr>
                <w:rFonts w:ascii="Arial" w:hAnsi="Arial" w:cs="Arial"/>
                <w:b/>
              </w:rPr>
            </w:pPr>
            <w:r w:rsidRPr="00DF4059">
              <w:rPr>
                <w:rFonts w:ascii="Arial" w:hAnsi="Arial" w:cs="Arial"/>
                <w:b/>
              </w:rPr>
              <w:t xml:space="preserve">Housing problems </w:t>
            </w: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Neighbourhood disputes</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Community based legal facility</w:t>
            </w:r>
          </w:p>
        </w:tc>
        <w:tc>
          <w:tcPr>
            <w:tcW w:w="1616"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 xml:space="preserve">Tribunal </w:t>
            </w: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Rented housing</w:t>
            </w:r>
          </w:p>
        </w:tc>
        <w:tc>
          <w:tcPr>
            <w:tcW w:w="1258"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616"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State or territory based tribunal for issues regarding payment of rent</w:t>
            </w:r>
          </w:p>
          <w:p w:rsidR="00922F91" w:rsidRPr="00DF4059" w:rsidRDefault="00922F91" w:rsidP="00DF4059">
            <w:pPr>
              <w:jc w:val="both"/>
              <w:rPr>
                <w:rFonts w:ascii="Arial" w:hAnsi="Arial" w:cs="Arial"/>
              </w:rPr>
            </w:pPr>
            <w:r w:rsidRPr="00DF4059">
              <w:rPr>
                <w:rFonts w:ascii="Arial" w:hAnsi="Arial" w:cs="Arial"/>
              </w:rPr>
              <w:t xml:space="preserve">State or territory based housing departments for issues regarding payment of </w:t>
            </w:r>
            <w:r w:rsidRPr="00DF4059">
              <w:rPr>
                <w:rFonts w:ascii="Arial" w:hAnsi="Arial" w:cs="Arial"/>
              </w:rPr>
              <w:lastRenderedPageBreak/>
              <w:t>rent</w:t>
            </w: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Owned housing including;</w:t>
            </w:r>
          </w:p>
          <w:p w:rsidR="00922F91" w:rsidRPr="00DF4059" w:rsidRDefault="00922F91" w:rsidP="00DF4059">
            <w:pPr>
              <w:jc w:val="both"/>
              <w:rPr>
                <w:rFonts w:ascii="Arial" w:hAnsi="Arial" w:cs="Arial"/>
              </w:rPr>
            </w:pPr>
            <w:r w:rsidRPr="00DF4059">
              <w:rPr>
                <w:rFonts w:ascii="Arial" w:hAnsi="Arial" w:cs="Arial"/>
              </w:rPr>
              <w:t>Mortgage payments</w:t>
            </w:r>
          </w:p>
          <w:p w:rsidR="00922F91" w:rsidRPr="00DF4059" w:rsidRDefault="00922F91" w:rsidP="00DF4059">
            <w:pPr>
              <w:jc w:val="both"/>
              <w:rPr>
                <w:rFonts w:ascii="Arial" w:hAnsi="Arial" w:cs="Arial"/>
              </w:rPr>
            </w:pPr>
            <w:r w:rsidRPr="00DF4059">
              <w:rPr>
                <w:rFonts w:ascii="Arial" w:hAnsi="Arial" w:cs="Arial"/>
              </w:rPr>
              <w:t>Strata titles</w:t>
            </w:r>
          </w:p>
          <w:p w:rsidR="00922F91" w:rsidRPr="00DF4059" w:rsidRDefault="00922F91" w:rsidP="00DF4059">
            <w:pPr>
              <w:jc w:val="both"/>
              <w:rPr>
                <w:rFonts w:ascii="Arial" w:hAnsi="Arial" w:cs="Arial"/>
              </w:rPr>
            </w:pPr>
            <w:r w:rsidRPr="00DF4059">
              <w:rPr>
                <w:rFonts w:ascii="Arial" w:hAnsi="Arial" w:cs="Arial"/>
              </w:rPr>
              <w:t>Retirement villages</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Options include;</w:t>
            </w:r>
          </w:p>
          <w:p w:rsidR="00922F91" w:rsidRPr="00DF4059" w:rsidRDefault="00922F91" w:rsidP="00DF4059">
            <w:pPr>
              <w:jc w:val="both"/>
              <w:rPr>
                <w:rFonts w:ascii="Arial" w:hAnsi="Arial" w:cs="Arial"/>
              </w:rPr>
            </w:pPr>
            <w:r w:rsidRPr="00DF4059">
              <w:rPr>
                <w:rFonts w:ascii="Arial" w:hAnsi="Arial" w:cs="Arial"/>
              </w:rPr>
              <w:t>Financial Ombudsman Service</w:t>
            </w:r>
          </w:p>
          <w:p w:rsidR="00922F91" w:rsidRPr="00DF4059" w:rsidRDefault="00922F91" w:rsidP="00DF4059">
            <w:pPr>
              <w:jc w:val="both"/>
              <w:rPr>
                <w:rFonts w:ascii="Arial" w:hAnsi="Arial" w:cs="Arial"/>
              </w:rPr>
            </w:pPr>
            <w:r w:rsidRPr="00DF4059">
              <w:rPr>
                <w:rFonts w:ascii="Arial" w:hAnsi="Arial" w:cs="Arial"/>
              </w:rPr>
              <w:t>Office of Fair Trading</w:t>
            </w:r>
          </w:p>
          <w:p w:rsidR="00922F91" w:rsidRPr="00DF4059" w:rsidRDefault="00922F91" w:rsidP="00DF4059">
            <w:pPr>
              <w:jc w:val="both"/>
              <w:rPr>
                <w:rFonts w:ascii="Arial" w:hAnsi="Arial" w:cs="Arial"/>
              </w:rPr>
            </w:pPr>
            <w:r w:rsidRPr="00DF4059">
              <w:rPr>
                <w:rFonts w:ascii="Arial" w:hAnsi="Arial" w:cs="Arial"/>
              </w:rPr>
              <w:t>Aged Care Complaints Scheme</w:t>
            </w:r>
          </w:p>
        </w:tc>
        <w:tc>
          <w:tcPr>
            <w:tcW w:w="1616"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hideMark/>
          </w:tcPr>
          <w:p w:rsidR="00922F91" w:rsidRPr="00DF4059" w:rsidRDefault="00032D69" w:rsidP="00DF4059">
            <w:pPr>
              <w:jc w:val="both"/>
              <w:rPr>
                <w:rFonts w:ascii="Arial" w:hAnsi="Arial" w:cs="Arial"/>
                <w:b/>
              </w:rPr>
            </w:pPr>
            <w:r w:rsidRPr="00DF4059">
              <w:rPr>
                <w:rFonts w:ascii="Arial" w:hAnsi="Arial" w:cs="Arial"/>
                <w:b/>
              </w:rPr>
              <w:t xml:space="preserve">Employment problems </w:t>
            </w: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Conditions of employment</w:t>
            </w:r>
          </w:p>
          <w:p w:rsidR="00922F91" w:rsidRPr="00DF4059" w:rsidRDefault="00922F91" w:rsidP="00DF4059">
            <w:pPr>
              <w:jc w:val="both"/>
              <w:rPr>
                <w:rFonts w:ascii="Arial" w:hAnsi="Arial" w:cs="Arial"/>
              </w:rPr>
            </w:pPr>
            <w:r w:rsidRPr="00DF4059">
              <w:rPr>
                <w:rFonts w:ascii="Arial" w:hAnsi="Arial" w:cs="Arial"/>
              </w:rPr>
              <w:t>Harassment or victimisation</w:t>
            </w:r>
          </w:p>
          <w:p w:rsidR="00922F91" w:rsidRPr="00DF4059" w:rsidRDefault="00922F91" w:rsidP="00DF4059">
            <w:pPr>
              <w:jc w:val="both"/>
              <w:rPr>
                <w:rFonts w:ascii="Arial" w:hAnsi="Arial" w:cs="Arial"/>
              </w:rPr>
            </w:pPr>
            <w:r w:rsidRPr="00DF4059">
              <w:rPr>
                <w:rFonts w:ascii="Arial" w:hAnsi="Arial" w:cs="Arial"/>
              </w:rPr>
              <w:t>Discrimination</w:t>
            </w:r>
          </w:p>
          <w:p w:rsidR="00922F91" w:rsidRPr="00DF4059" w:rsidRDefault="00922F91" w:rsidP="00DF4059">
            <w:pPr>
              <w:jc w:val="both"/>
              <w:rPr>
                <w:rFonts w:ascii="Arial" w:hAnsi="Arial" w:cs="Arial"/>
              </w:rPr>
            </w:pPr>
            <w:r w:rsidRPr="00DF4059">
              <w:rPr>
                <w:rFonts w:ascii="Arial" w:hAnsi="Arial" w:cs="Arial"/>
              </w:rPr>
              <w:t>Work performance</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Employees Enterprise Agreement</w:t>
            </w:r>
          </w:p>
        </w:tc>
        <w:tc>
          <w:tcPr>
            <w:tcW w:w="1616"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Fair Work Ombudsman</w:t>
            </w:r>
          </w:p>
          <w:p w:rsidR="00922F91" w:rsidRPr="00DF4059" w:rsidRDefault="00922F91" w:rsidP="00DF4059">
            <w:pPr>
              <w:jc w:val="both"/>
              <w:rPr>
                <w:rFonts w:ascii="Arial" w:hAnsi="Arial" w:cs="Arial"/>
              </w:rPr>
            </w:pPr>
            <w:r w:rsidRPr="00DF4059">
              <w:rPr>
                <w:rFonts w:ascii="Arial" w:hAnsi="Arial" w:cs="Arial"/>
              </w:rPr>
              <w:t>Fair Work Australia</w:t>
            </w:r>
          </w:p>
          <w:p w:rsidR="00922F91" w:rsidRPr="00DF4059" w:rsidRDefault="00922F91" w:rsidP="00DF4059">
            <w:pPr>
              <w:jc w:val="both"/>
              <w:rPr>
                <w:rFonts w:ascii="Arial" w:hAnsi="Arial" w:cs="Arial"/>
              </w:rPr>
            </w:pPr>
            <w:r w:rsidRPr="00DF4059">
              <w:rPr>
                <w:rFonts w:ascii="Arial" w:hAnsi="Arial" w:cs="Arial"/>
              </w:rPr>
              <w:t>State or territory Industrial Commission</w:t>
            </w:r>
          </w:p>
          <w:p w:rsidR="00922F91" w:rsidRPr="00DF4059" w:rsidRDefault="00922F91" w:rsidP="00DF4059">
            <w:pPr>
              <w:jc w:val="both"/>
              <w:rPr>
                <w:rFonts w:ascii="Arial" w:hAnsi="Arial" w:cs="Arial"/>
              </w:rPr>
            </w:pPr>
            <w:r w:rsidRPr="00DF4059">
              <w:rPr>
                <w:rFonts w:ascii="Arial" w:hAnsi="Arial" w:cs="Arial"/>
              </w:rPr>
              <w:t>Human Rights and Equal Opportunity Commission or state anti- discrimination board</w:t>
            </w: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hideMark/>
          </w:tcPr>
          <w:p w:rsidR="00922F91" w:rsidRPr="00DF4059" w:rsidRDefault="00032D69" w:rsidP="00DF4059">
            <w:pPr>
              <w:jc w:val="both"/>
              <w:rPr>
                <w:rFonts w:ascii="Arial" w:hAnsi="Arial" w:cs="Arial"/>
                <w:b/>
              </w:rPr>
            </w:pPr>
            <w:r w:rsidRPr="00DF4059">
              <w:rPr>
                <w:rFonts w:ascii="Arial" w:hAnsi="Arial" w:cs="Arial"/>
                <w:b/>
              </w:rPr>
              <w:t xml:space="preserve">Family problems </w:t>
            </w: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Including issues relevant to Child support,</w:t>
            </w:r>
          </w:p>
          <w:p w:rsidR="00922F91" w:rsidRPr="00DF4059" w:rsidRDefault="00922F91" w:rsidP="00DF4059">
            <w:pPr>
              <w:jc w:val="both"/>
              <w:rPr>
                <w:rFonts w:ascii="Arial" w:hAnsi="Arial" w:cs="Arial"/>
              </w:rPr>
            </w:pPr>
            <w:r w:rsidRPr="00DF4059">
              <w:rPr>
                <w:rFonts w:ascii="Arial" w:hAnsi="Arial" w:cs="Arial"/>
              </w:rPr>
              <w:t>Divorce and separation, Guardianship, care and protection, custody and contact, division of assets</w:t>
            </w:r>
          </w:p>
        </w:tc>
        <w:tc>
          <w:tcPr>
            <w:tcW w:w="1258"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p w:rsidR="00922F91" w:rsidRPr="00DF4059" w:rsidRDefault="00922F91" w:rsidP="00DF4059">
            <w:pPr>
              <w:jc w:val="both"/>
              <w:rPr>
                <w:rFonts w:ascii="Arial" w:hAnsi="Arial" w:cs="Arial"/>
              </w:rPr>
            </w:pPr>
            <w:r w:rsidRPr="00DF4059">
              <w:rPr>
                <w:rFonts w:ascii="Arial" w:hAnsi="Arial" w:cs="Arial"/>
              </w:rPr>
              <w:t>Department of Family Services</w:t>
            </w:r>
          </w:p>
          <w:p w:rsidR="00922F91" w:rsidRPr="00DF4059" w:rsidRDefault="00922F91" w:rsidP="00DF4059">
            <w:pPr>
              <w:jc w:val="both"/>
              <w:rPr>
                <w:rFonts w:ascii="Arial" w:hAnsi="Arial" w:cs="Arial"/>
              </w:rPr>
            </w:pPr>
            <w:r w:rsidRPr="00DF4059">
              <w:rPr>
                <w:rFonts w:ascii="Arial" w:hAnsi="Arial" w:cs="Arial"/>
              </w:rPr>
              <w:t xml:space="preserve">Family Dispute Resolution Practitioner </w:t>
            </w:r>
          </w:p>
        </w:tc>
        <w:tc>
          <w:tcPr>
            <w:tcW w:w="1616"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p w:rsidR="00922F91" w:rsidRPr="00DF4059" w:rsidRDefault="00922F91" w:rsidP="00DF4059">
            <w:pPr>
              <w:jc w:val="both"/>
              <w:rPr>
                <w:rFonts w:ascii="Arial" w:hAnsi="Arial" w:cs="Arial"/>
              </w:rPr>
            </w:pPr>
            <w:r w:rsidRPr="00DF4059">
              <w:rPr>
                <w:rFonts w:ascii="Arial" w:hAnsi="Arial" w:cs="Arial"/>
              </w:rPr>
              <w:t>Commonwealth Ombudsman</w:t>
            </w:r>
          </w:p>
          <w:p w:rsidR="00922F91" w:rsidRPr="00DF4059" w:rsidRDefault="00922F91" w:rsidP="00DF4059">
            <w:pPr>
              <w:jc w:val="both"/>
              <w:rPr>
                <w:rFonts w:ascii="Arial" w:hAnsi="Arial" w:cs="Arial"/>
              </w:rPr>
            </w:pPr>
            <w:r w:rsidRPr="00DF4059">
              <w:rPr>
                <w:rFonts w:ascii="Arial" w:hAnsi="Arial" w:cs="Arial"/>
              </w:rPr>
              <w:t xml:space="preserve">For issues relating to guardianship, action through tribunals may be necessary </w:t>
            </w: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hideMark/>
          </w:tcPr>
          <w:p w:rsidR="00922F91" w:rsidRPr="00DF4059" w:rsidRDefault="00032D69" w:rsidP="00DF4059">
            <w:pPr>
              <w:jc w:val="both"/>
              <w:rPr>
                <w:rFonts w:ascii="Arial" w:hAnsi="Arial" w:cs="Arial"/>
                <w:b/>
              </w:rPr>
            </w:pPr>
            <w:r w:rsidRPr="00DF4059">
              <w:rPr>
                <w:rFonts w:ascii="Arial" w:hAnsi="Arial" w:cs="Arial"/>
                <w:b/>
              </w:rPr>
              <w:t xml:space="preserve">Rights problems </w:t>
            </w: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Education</w:t>
            </w:r>
          </w:p>
          <w:p w:rsidR="00922F91" w:rsidRPr="00DF4059" w:rsidRDefault="00922F91" w:rsidP="00DF4059">
            <w:pPr>
              <w:jc w:val="both"/>
              <w:rPr>
                <w:rFonts w:ascii="Arial" w:hAnsi="Arial" w:cs="Arial"/>
              </w:rPr>
            </w:pPr>
            <w:r w:rsidRPr="00DF4059">
              <w:rPr>
                <w:rFonts w:ascii="Arial" w:hAnsi="Arial" w:cs="Arial"/>
              </w:rPr>
              <w:t>Unfair treatment of police</w:t>
            </w:r>
          </w:p>
          <w:p w:rsidR="00922F91" w:rsidRPr="00DF4059" w:rsidRDefault="00922F91" w:rsidP="00DF4059">
            <w:pPr>
              <w:jc w:val="both"/>
              <w:rPr>
                <w:rFonts w:ascii="Arial" w:hAnsi="Arial" w:cs="Arial"/>
              </w:rPr>
            </w:pPr>
            <w:r w:rsidRPr="00DF4059">
              <w:rPr>
                <w:rFonts w:ascii="Arial" w:hAnsi="Arial" w:cs="Arial"/>
              </w:rPr>
              <w:t xml:space="preserve">Other civil matters </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State Department of Education</w:t>
            </w:r>
          </w:p>
        </w:tc>
        <w:tc>
          <w:tcPr>
            <w:tcW w:w="1616"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Human Rights and Equal Opportunity Commission or state anti- discrimination board</w:t>
            </w: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b/>
              </w:rPr>
            </w:pPr>
            <w:r w:rsidRPr="00DF4059">
              <w:rPr>
                <w:rFonts w:ascii="Arial" w:hAnsi="Arial" w:cs="Arial"/>
                <w:b/>
              </w:rPr>
              <w:t xml:space="preserve">Credit/debt problems </w:t>
            </w:r>
          </w:p>
        </w:tc>
        <w:tc>
          <w:tcPr>
            <w:tcW w:w="1255"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Unpaid bills or debts</w:t>
            </w:r>
          </w:p>
          <w:p w:rsidR="00922F91" w:rsidRPr="00DF4059" w:rsidRDefault="00922F91" w:rsidP="00DF4059">
            <w:pPr>
              <w:jc w:val="both"/>
              <w:rPr>
                <w:rFonts w:ascii="Arial" w:hAnsi="Arial" w:cs="Arial"/>
              </w:rPr>
            </w:pPr>
            <w:r w:rsidRPr="00DF4059">
              <w:rPr>
                <w:rFonts w:ascii="Arial" w:hAnsi="Arial" w:cs="Arial"/>
              </w:rPr>
              <w:t>Repayment of money</w:t>
            </w:r>
          </w:p>
          <w:p w:rsidR="00922F91" w:rsidRPr="00DF4059" w:rsidRDefault="00922F91" w:rsidP="00DF4059">
            <w:pPr>
              <w:jc w:val="both"/>
              <w:rPr>
                <w:rFonts w:ascii="Arial" w:hAnsi="Arial" w:cs="Arial"/>
              </w:rPr>
            </w:pPr>
            <w:r w:rsidRPr="00DF4059">
              <w:rPr>
                <w:rFonts w:ascii="Arial" w:hAnsi="Arial" w:cs="Arial"/>
              </w:rPr>
              <w:t>Credit ratings or refusal of credit</w:t>
            </w:r>
          </w:p>
          <w:p w:rsidR="00922F91" w:rsidRPr="00DF4059" w:rsidRDefault="00922F91" w:rsidP="00DF4059">
            <w:pPr>
              <w:jc w:val="both"/>
              <w:rPr>
                <w:rFonts w:ascii="Arial" w:hAnsi="Arial" w:cs="Arial"/>
              </w:rPr>
            </w:pPr>
            <w:r w:rsidRPr="00DF4059">
              <w:rPr>
                <w:rFonts w:ascii="Arial" w:hAnsi="Arial" w:cs="Arial"/>
              </w:rPr>
              <w:t>Other financial activities</w:t>
            </w:r>
          </w:p>
        </w:tc>
        <w:tc>
          <w:tcPr>
            <w:tcW w:w="1258"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rPr>
            </w:pPr>
            <w:r w:rsidRPr="00DF4059">
              <w:rPr>
                <w:rFonts w:ascii="Arial" w:hAnsi="Arial" w:cs="Arial"/>
              </w:rPr>
              <w:t>Credit Ombudsman Service</w:t>
            </w:r>
          </w:p>
        </w:tc>
        <w:tc>
          <w:tcPr>
            <w:tcW w:w="1616"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r>
      <w:tr w:rsidR="00922F91" w:rsidRPr="00DF4059" w:rsidTr="00922F91">
        <w:tc>
          <w:tcPr>
            <w:tcW w:w="871" w:type="pct"/>
            <w:tcBorders>
              <w:top w:val="single" w:sz="4" w:space="0" w:color="auto"/>
              <w:left w:val="single" w:sz="4" w:space="0" w:color="auto"/>
              <w:bottom w:val="single" w:sz="4" w:space="0" w:color="auto"/>
              <w:right w:val="single" w:sz="4" w:space="0" w:color="auto"/>
            </w:tcBorders>
            <w:hideMark/>
          </w:tcPr>
          <w:p w:rsidR="00922F91" w:rsidRPr="00DF4059" w:rsidRDefault="00922F91" w:rsidP="00DF4059">
            <w:pPr>
              <w:jc w:val="both"/>
              <w:rPr>
                <w:rFonts w:ascii="Arial" w:hAnsi="Arial" w:cs="Arial"/>
                <w:b/>
              </w:rPr>
            </w:pPr>
            <w:r w:rsidRPr="00DF4059">
              <w:rPr>
                <w:rFonts w:ascii="Arial" w:hAnsi="Arial" w:cs="Arial"/>
                <w:b/>
              </w:rPr>
              <w:t>Money,</w:t>
            </w:r>
          </w:p>
          <w:p w:rsidR="00922F91" w:rsidRPr="00DF4059" w:rsidRDefault="00922F91" w:rsidP="00DF4059">
            <w:pPr>
              <w:jc w:val="both"/>
              <w:rPr>
                <w:rFonts w:ascii="Arial" w:hAnsi="Arial" w:cs="Arial"/>
                <w:b/>
              </w:rPr>
            </w:pPr>
            <w:r w:rsidRPr="00DF4059">
              <w:rPr>
                <w:rFonts w:ascii="Arial" w:hAnsi="Arial" w:cs="Arial"/>
                <w:b/>
              </w:rPr>
              <w:t xml:space="preserve">Accidents, </w:t>
            </w:r>
          </w:p>
          <w:p w:rsidR="00922F91" w:rsidRPr="00DF4059" w:rsidRDefault="00922F91" w:rsidP="00DF4059">
            <w:pPr>
              <w:jc w:val="both"/>
              <w:rPr>
                <w:rFonts w:ascii="Arial" w:hAnsi="Arial" w:cs="Arial"/>
                <w:b/>
              </w:rPr>
            </w:pPr>
            <w:r w:rsidRPr="00DF4059">
              <w:rPr>
                <w:rFonts w:ascii="Arial" w:hAnsi="Arial" w:cs="Arial"/>
                <w:b/>
              </w:rPr>
              <w:t xml:space="preserve">Health and </w:t>
            </w:r>
          </w:p>
          <w:p w:rsidR="00922F91" w:rsidRPr="00DF4059" w:rsidRDefault="00922F91" w:rsidP="00DF4059">
            <w:pPr>
              <w:jc w:val="both"/>
              <w:rPr>
                <w:rFonts w:ascii="Arial" w:hAnsi="Arial" w:cs="Arial"/>
                <w:b/>
              </w:rPr>
            </w:pPr>
            <w:r w:rsidRPr="00DF4059">
              <w:rPr>
                <w:rFonts w:ascii="Arial" w:hAnsi="Arial" w:cs="Arial"/>
                <w:b/>
              </w:rPr>
              <w:t xml:space="preserve">Personal injury </w:t>
            </w:r>
          </w:p>
        </w:tc>
        <w:tc>
          <w:tcPr>
            <w:tcW w:w="1255"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c>
          <w:tcPr>
            <w:tcW w:w="1258"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r w:rsidRPr="00DF4059">
              <w:rPr>
                <w:rFonts w:ascii="Arial" w:hAnsi="Arial" w:cs="Arial"/>
              </w:rPr>
              <w:t>State based financial tribunal</w:t>
            </w:r>
          </w:p>
          <w:p w:rsidR="00922F91" w:rsidRPr="00DF4059" w:rsidRDefault="00922F91" w:rsidP="00DF4059">
            <w:pPr>
              <w:jc w:val="both"/>
              <w:rPr>
                <w:rFonts w:ascii="Arial" w:hAnsi="Arial" w:cs="Arial"/>
              </w:rPr>
            </w:pPr>
            <w:r w:rsidRPr="00DF4059">
              <w:rPr>
                <w:rFonts w:ascii="Arial" w:hAnsi="Arial" w:cs="Arial"/>
              </w:rPr>
              <w:t>Aged Care Complaints Scheme</w:t>
            </w:r>
          </w:p>
          <w:p w:rsidR="00922F91" w:rsidRPr="00DF4059" w:rsidRDefault="00922F91" w:rsidP="00DF4059">
            <w:pPr>
              <w:jc w:val="both"/>
              <w:rPr>
                <w:rFonts w:ascii="Arial" w:hAnsi="Arial" w:cs="Arial"/>
              </w:rPr>
            </w:pPr>
            <w:r w:rsidRPr="00DF4059">
              <w:rPr>
                <w:rFonts w:ascii="Arial" w:hAnsi="Arial" w:cs="Arial"/>
              </w:rPr>
              <w:t>State based Health Complaints Commission</w:t>
            </w:r>
          </w:p>
        </w:tc>
        <w:tc>
          <w:tcPr>
            <w:tcW w:w="1616" w:type="pct"/>
            <w:tcBorders>
              <w:top w:val="single" w:sz="4" w:space="0" w:color="auto"/>
              <w:left w:val="single" w:sz="4" w:space="0" w:color="auto"/>
              <w:bottom w:val="single" w:sz="4" w:space="0" w:color="auto"/>
              <w:right w:val="single" w:sz="4" w:space="0" w:color="auto"/>
            </w:tcBorders>
          </w:tcPr>
          <w:p w:rsidR="00922F91" w:rsidRPr="00DF4059" w:rsidRDefault="00922F91" w:rsidP="00DF4059">
            <w:pPr>
              <w:jc w:val="both"/>
              <w:rPr>
                <w:rFonts w:ascii="Arial" w:hAnsi="Arial" w:cs="Arial"/>
              </w:rPr>
            </w:pPr>
          </w:p>
        </w:tc>
      </w:tr>
    </w:tbl>
    <w:p w:rsidR="00FB5E03" w:rsidRPr="00DF4059" w:rsidRDefault="00FB5E03" w:rsidP="00DF4059">
      <w:pPr>
        <w:jc w:val="both"/>
        <w:rPr>
          <w:rFonts w:ascii="Arial" w:hAnsi="Arial" w:cs="Arial"/>
        </w:rPr>
      </w:pPr>
    </w:p>
    <w:p w:rsidR="00FB5E03" w:rsidRPr="007519C6" w:rsidRDefault="00FB5E03" w:rsidP="00A02693">
      <w:pPr>
        <w:jc w:val="both"/>
        <w:rPr>
          <w:rFonts w:ascii="Arial" w:hAnsi="Arial" w:cs="Arial"/>
        </w:rPr>
      </w:pPr>
    </w:p>
    <w:sectPr w:rsidR="00FB5E03" w:rsidRPr="007519C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9A2" w:rsidRDefault="002F09A2" w:rsidP="001002B7">
      <w:pPr>
        <w:spacing w:after="0" w:line="240" w:lineRule="auto"/>
      </w:pPr>
      <w:r>
        <w:separator/>
      </w:r>
    </w:p>
  </w:endnote>
  <w:endnote w:type="continuationSeparator" w:id="0">
    <w:p w:rsidR="002F09A2" w:rsidRDefault="002F09A2" w:rsidP="00100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utiger Linotype">
    <w:altName w:val="Frutiger Linotype"/>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wis721 Lt BT">
    <w:altName w:val="Swis721 Lt B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450123"/>
      <w:docPartObj>
        <w:docPartGallery w:val="Page Numbers (Bottom of Page)"/>
        <w:docPartUnique/>
      </w:docPartObj>
    </w:sdtPr>
    <w:sdtEndPr>
      <w:rPr>
        <w:noProof/>
      </w:rPr>
    </w:sdtEndPr>
    <w:sdtContent>
      <w:p w:rsidR="001002B7" w:rsidRDefault="001002B7">
        <w:pPr>
          <w:pStyle w:val="Footer"/>
          <w:jc w:val="right"/>
        </w:pPr>
        <w:r>
          <w:fldChar w:fldCharType="begin"/>
        </w:r>
        <w:r>
          <w:instrText xml:space="preserve"> PAGE   \* MERGEFORMAT </w:instrText>
        </w:r>
        <w:r>
          <w:fldChar w:fldCharType="separate"/>
        </w:r>
        <w:r w:rsidR="009F677C">
          <w:rPr>
            <w:noProof/>
          </w:rPr>
          <w:t>1</w:t>
        </w:r>
        <w:r>
          <w:rPr>
            <w:noProof/>
          </w:rPr>
          <w:fldChar w:fldCharType="end"/>
        </w:r>
      </w:p>
    </w:sdtContent>
  </w:sdt>
  <w:p w:rsidR="001002B7" w:rsidRDefault="00100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9A2" w:rsidRDefault="002F09A2" w:rsidP="001002B7">
      <w:pPr>
        <w:spacing w:after="0" w:line="240" w:lineRule="auto"/>
      </w:pPr>
      <w:r>
        <w:separator/>
      </w:r>
    </w:p>
  </w:footnote>
  <w:footnote w:type="continuationSeparator" w:id="0">
    <w:p w:rsidR="002F09A2" w:rsidRDefault="002F09A2" w:rsidP="001002B7">
      <w:pPr>
        <w:spacing w:after="0" w:line="240" w:lineRule="auto"/>
      </w:pPr>
      <w:r>
        <w:continuationSeparator/>
      </w:r>
    </w:p>
  </w:footnote>
  <w:footnote w:id="1">
    <w:p w:rsidR="00974B3D" w:rsidRDefault="00974B3D">
      <w:pPr>
        <w:pStyle w:val="FootnoteText"/>
      </w:pPr>
      <w:r>
        <w:rPr>
          <w:rStyle w:val="FootnoteReference"/>
        </w:rPr>
        <w:footnoteRef/>
      </w:r>
      <w:r>
        <w:t xml:space="preserve"> United Nations Convention on the Rights of Persons with Disabilities</w:t>
      </w:r>
      <w:r w:rsidR="00904DA5">
        <w:t xml:space="preserve"> (2006) Article 13</w:t>
      </w:r>
    </w:p>
  </w:footnote>
  <w:footnote w:id="2">
    <w:p w:rsidR="001002B7" w:rsidRDefault="001002B7">
      <w:pPr>
        <w:pStyle w:val="FootnoteText"/>
      </w:pPr>
      <w:r>
        <w:rPr>
          <w:rStyle w:val="FootnoteReference"/>
        </w:rPr>
        <w:footnoteRef/>
      </w:r>
      <w:r>
        <w:t xml:space="preserve"> Australian Council of Governments (2011) National Disability Strategy 2010- 2020</w:t>
      </w:r>
    </w:p>
  </w:footnote>
  <w:footnote w:id="3">
    <w:p w:rsidR="00A6212C" w:rsidRDefault="00A6212C">
      <w:pPr>
        <w:pStyle w:val="FootnoteText"/>
      </w:pPr>
      <w:r>
        <w:rPr>
          <w:rStyle w:val="FootnoteReference"/>
        </w:rPr>
        <w:footnoteRef/>
      </w:r>
      <w:r>
        <w:t xml:space="preserve"> Australian Council of Governments (2011) National Disability Strategy 2010- 2020</w:t>
      </w:r>
    </w:p>
  </w:footnote>
  <w:footnote w:id="4">
    <w:p w:rsidR="003E6757" w:rsidRDefault="00090594">
      <w:pPr>
        <w:pStyle w:val="FootnoteText"/>
      </w:pPr>
      <w:r>
        <w:rPr>
          <w:rStyle w:val="FootnoteReference"/>
        </w:rPr>
        <w:footnoteRef/>
      </w:r>
      <w:r>
        <w:t xml:space="preserve"> </w:t>
      </w:r>
      <w:r w:rsidR="00724A70">
        <w:t>Australian Government Productivity Commission (2014) Draft Report – Access to Justice Arrangements, P.819</w:t>
      </w:r>
    </w:p>
    <w:p w:rsidR="0073718D" w:rsidRDefault="0073718D">
      <w:pPr>
        <w:pStyle w:val="FootnoteText"/>
      </w:pPr>
    </w:p>
  </w:footnote>
  <w:footnote w:id="5">
    <w:p w:rsidR="00363774" w:rsidRDefault="00363774">
      <w:pPr>
        <w:pStyle w:val="FootnoteText"/>
      </w:pPr>
      <w:r>
        <w:rPr>
          <w:rStyle w:val="FootnoteReference"/>
        </w:rPr>
        <w:footnoteRef/>
      </w:r>
      <w:r>
        <w:t xml:space="preserve"> NSW Law and Justice </w:t>
      </w:r>
      <w:r w:rsidR="00493C77">
        <w:t>Foundation (2012) Law study Australia</w:t>
      </w:r>
    </w:p>
  </w:footnote>
  <w:footnote w:id="6">
    <w:p w:rsidR="00493C77" w:rsidRDefault="00493C77">
      <w:pPr>
        <w:pStyle w:val="FootnoteText"/>
      </w:pPr>
      <w:r>
        <w:rPr>
          <w:rStyle w:val="FootnoteReference"/>
        </w:rPr>
        <w:footnoteRef/>
      </w:r>
      <w:r>
        <w:t xml:space="preserve"> NSW Law and Justice Foundation (2013) </w:t>
      </w:r>
      <w:r>
        <w:rPr>
          <w:rFonts w:cs="Arial"/>
        </w:rPr>
        <w:t>Law</w:t>
      </w:r>
      <w:r w:rsidRPr="00493C77">
        <w:rPr>
          <w:rFonts w:cs="Arial"/>
        </w:rPr>
        <w:t xml:space="preserve"> Study- </w:t>
      </w:r>
      <w:r w:rsidRPr="00493C77">
        <w:rPr>
          <w:rFonts w:cs="Arial"/>
          <w:bCs/>
          <w:color w:val="000000"/>
        </w:rPr>
        <w:t>Law and disorders: illness/disability and the experience of everyday problems involving the law</w:t>
      </w:r>
    </w:p>
  </w:footnote>
  <w:footnote w:id="7">
    <w:p w:rsidR="0014086B" w:rsidRDefault="0014086B">
      <w:pPr>
        <w:pStyle w:val="FootnoteText"/>
      </w:pPr>
      <w:r>
        <w:rPr>
          <w:rStyle w:val="FootnoteReference"/>
        </w:rPr>
        <w:footnoteRef/>
      </w:r>
      <w:r>
        <w:t xml:space="preserve"> Law and </w:t>
      </w:r>
      <w:r w:rsidR="00151BD9">
        <w:t xml:space="preserve">Justice Foundation of NSW (Paper 17 September 2013) </w:t>
      </w:r>
      <w:r w:rsidR="00151BD9" w:rsidRPr="00151BD9">
        <w:rPr>
          <w:rFonts w:cs="Arial"/>
        </w:rPr>
        <w:t xml:space="preserve">LAW Study- </w:t>
      </w:r>
      <w:r w:rsidR="00151BD9" w:rsidRPr="00151BD9">
        <w:rPr>
          <w:rFonts w:cs="Arial"/>
          <w:bCs/>
          <w:color w:val="000000"/>
          <w:sz w:val="22"/>
          <w:szCs w:val="22"/>
        </w:rPr>
        <w:t>Law and disorders: illness/disability and the experience of everyday problems involving the law.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2FD1"/>
    <w:multiLevelType w:val="hybridMultilevel"/>
    <w:tmpl w:val="42D44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6F02DE"/>
    <w:multiLevelType w:val="hybridMultilevel"/>
    <w:tmpl w:val="740C7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1F4D55"/>
    <w:multiLevelType w:val="hybridMultilevel"/>
    <w:tmpl w:val="13E6A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262D0A"/>
    <w:multiLevelType w:val="hybridMultilevel"/>
    <w:tmpl w:val="10B42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4913AF"/>
    <w:multiLevelType w:val="hybridMultilevel"/>
    <w:tmpl w:val="94DAD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5665DB"/>
    <w:multiLevelType w:val="hybridMultilevel"/>
    <w:tmpl w:val="8B441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8A2010"/>
    <w:multiLevelType w:val="hybridMultilevel"/>
    <w:tmpl w:val="98523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77076A2"/>
    <w:multiLevelType w:val="hybridMultilevel"/>
    <w:tmpl w:val="C932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8392042"/>
    <w:multiLevelType w:val="hybridMultilevel"/>
    <w:tmpl w:val="7F5C7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65A04C0"/>
    <w:multiLevelType w:val="hybridMultilevel"/>
    <w:tmpl w:val="ED1C0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72B60B2"/>
    <w:multiLevelType w:val="hybridMultilevel"/>
    <w:tmpl w:val="AC0E0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2F3874"/>
    <w:multiLevelType w:val="hybridMultilevel"/>
    <w:tmpl w:val="033EC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0"/>
  </w:num>
  <w:num w:numId="4">
    <w:abstractNumId w:val="1"/>
  </w:num>
  <w:num w:numId="5">
    <w:abstractNumId w:val="4"/>
  </w:num>
  <w:num w:numId="6">
    <w:abstractNumId w:val="6"/>
  </w:num>
  <w:num w:numId="7">
    <w:abstractNumId w:val="0"/>
  </w:num>
  <w:num w:numId="8">
    <w:abstractNumId w:val="7"/>
  </w:num>
  <w:num w:numId="9">
    <w:abstractNumId w:val="9"/>
  </w:num>
  <w:num w:numId="10">
    <w:abstractNumId w:val="8"/>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00"/>
    <w:rsid w:val="00020FBA"/>
    <w:rsid w:val="0002476B"/>
    <w:rsid w:val="00030972"/>
    <w:rsid w:val="00032D69"/>
    <w:rsid w:val="00074A5F"/>
    <w:rsid w:val="00090339"/>
    <w:rsid w:val="00090594"/>
    <w:rsid w:val="00096EB4"/>
    <w:rsid w:val="000C778A"/>
    <w:rsid w:val="000D1F26"/>
    <w:rsid w:val="000F6632"/>
    <w:rsid w:val="001002B7"/>
    <w:rsid w:val="00120943"/>
    <w:rsid w:val="0014086B"/>
    <w:rsid w:val="00141569"/>
    <w:rsid w:val="0014230F"/>
    <w:rsid w:val="00151BD9"/>
    <w:rsid w:val="00172A33"/>
    <w:rsid w:val="001C570E"/>
    <w:rsid w:val="00224FC0"/>
    <w:rsid w:val="00280706"/>
    <w:rsid w:val="002810FB"/>
    <w:rsid w:val="00296195"/>
    <w:rsid w:val="002B2C6A"/>
    <w:rsid w:val="002F09A2"/>
    <w:rsid w:val="002F1A98"/>
    <w:rsid w:val="00301935"/>
    <w:rsid w:val="00337665"/>
    <w:rsid w:val="00363774"/>
    <w:rsid w:val="00391F84"/>
    <w:rsid w:val="003B0EE8"/>
    <w:rsid w:val="003E52EB"/>
    <w:rsid w:val="003E6757"/>
    <w:rsid w:val="003F6A1A"/>
    <w:rsid w:val="004030B8"/>
    <w:rsid w:val="00417964"/>
    <w:rsid w:val="00423D9C"/>
    <w:rsid w:val="00433030"/>
    <w:rsid w:val="00435D2E"/>
    <w:rsid w:val="004570E0"/>
    <w:rsid w:val="00460F0D"/>
    <w:rsid w:val="00463DD5"/>
    <w:rsid w:val="00471CFA"/>
    <w:rsid w:val="00482300"/>
    <w:rsid w:val="00484EB1"/>
    <w:rsid w:val="004924EB"/>
    <w:rsid w:val="00493C77"/>
    <w:rsid w:val="004C37B0"/>
    <w:rsid w:val="004E2DB5"/>
    <w:rsid w:val="00500F07"/>
    <w:rsid w:val="00510A49"/>
    <w:rsid w:val="00515D2E"/>
    <w:rsid w:val="00527365"/>
    <w:rsid w:val="00542A7A"/>
    <w:rsid w:val="00543636"/>
    <w:rsid w:val="00543942"/>
    <w:rsid w:val="00544915"/>
    <w:rsid w:val="00547231"/>
    <w:rsid w:val="0059698A"/>
    <w:rsid w:val="005B122C"/>
    <w:rsid w:val="00622295"/>
    <w:rsid w:val="006545E6"/>
    <w:rsid w:val="00664AE6"/>
    <w:rsid w:val="006C7F70"/>
    <w:rsid w:val="006D0A29"/>
    <w:rsid w:val="006F01A1"/>
    <w:rsid w:val="007078D6"/>
    <w:rsid w:val="00724A70"/>
    <w:rsid w:val="007334F1"/>
    <w:rsid w:val="0073718D"/>
    <w:rsid w:val="007430AD"/>
    <w:rsid w:val="007519C6"/>
    <w:rsid w:val="00760E39"/>
    <w:rsid w:val="00760EC9"/>
    <w:rsid w:val="00763FC4"/>
    <w:rsid w:val="00775F71"/>
    <w:rsid w:val="00780245"/>
    <w:rsid w:val="007B5FC5"/>
    <w:rsid w:val="007B7A11"/>
    <w:rsid w:val="007D10F7"/>
    <w:rsid w:val="007D23A5"/>
    <w:rsid w:val="007D77A2"/>
    <w:rsid w:val="007E1274"/>
    <w:rsid w:val="007F3F98"/>
    <w:rsid w:val="00807FF5"/>
    <w:rsid w:val="008159A5"/>
    <w:rsid w:val="008351A4"/>
    <w:rsid w:val="00874D72"/>
    <w:rsid w:val="00885A16"/>
    <w:rsid w:val="008D3625"/>
    <w:rsid w:val="00904DA5"/>
    <w:rsid w:val="00922F91"/>
    <w:rsid w:val="00934AE5"/>
    <w:rsid w:val="00940086"/>
    <w:rsid w:val="0094609C"/>
    <w:rsid w:val="00947093"/>
    <w:rsid w:val="009629DF"/>
    <w:rsid w:val="00965285"/>
    <w:rsid w:val="009665D4"/>
    <w:rsid w:val="00972B1A"/>
    <w:rsid w:val="00974B3D"/>
    <w:rsid w:val="00984D22"/>
    <w:rsid w:val="009A2C8B"/>
    <w:rsid w:val="009A47DC"/>
    <w:rsid w:val="009B5C82"/>
    <w:rsid w:val="009D4AFD"/>
    <w:rsid w:val="009E14E7"/>
    <w:rsid w:val="009E3573"/>
    <w:rsid w:val="009F677C"/>
    <w:rsid w:val="00A02693"/>
    <w:rsid w:val="00A04822"/>
    <w:rsid w:val="00A25A17"/>
    <w:rsid w:val="00A4260F"/>
    <w:rsid w:val="00A5618B"/>
    <w:rsid w:val="00A6085F"/>
    <w:rsid w:val="00A6212C"/>
    <w:rsid w:val="00A67514"/>
    <w:rsid w:val="00A90179"/>
    <w:rsid w:val="00A914AA"/>
    <w:rsid w:val="00A926C4"/>
    <w:rsid w:val="00AB49F9"/>
    <w:rsid w:val="00AD6EEB"/>
    <w:rsid w:val="00AE492E"/>
    <w:rsid w:val="00AF789E"/>
    <w:rsid w:val="00B03E6E"/>
    <w:rsid w:val="00B06DD3"/>
    <w:rsid w:val="00B2267F"/>
    <w:rsid w:val="00B60EF2"/>
    <w:rsid w:val="00B66E44"/>
    <w:rsid w:val="00B8126F"/>
    <w:rsid w:val="00BC1BF2"/>
    <w:rsid w:val="00BE4181"/>
    <w:rsid w:val="00BF5D62"/>
    <w:rsid w:val="00C038D8"/>
    <w:rsid w:val="00C1772E"/>
    <w:rsid w:val="00C42A8F"/>
    <w:rsid w:val="00C512A5"/>
    <w:rsid w:val="00C73C63"/>
    <w:rsid w:val="00CA3069"/>
    <w:rsid w:val="00CB2835"/>
    <w:rsid w:val="00D06538"/>
    <w:rsid w:val="00D15F2E"/>
    <w:rsid w:val="00D36CC9"/>
    <w:rsid w:val="00D66294"/>
    <w:rsid w:val="00D93937"/>
    <w:rsid w:val="00DA491C"/>
    <w:rsid w:val="00DC5BF0"/>
    <w:rsid w:val="00DE2B25"/>
    <w:rsid w:val="00DF4059"/>
    <w:rsid w:val="00E00B07"/>
    <w:rsid w:val="00E12127"/>
    <w:rsid w:val="00E35136"/>
    <w:rsid w:val="00E55562"/>
    <w:rsid w:val="00E66AA2"/>
    <w:rsid w:val="00ED1D94"/>
    <w:rsid w:val="00F0583C"/>
    <w:rsid w:val="00F249C6"/>
    <w:rsid w:val="00F54CAD"/>
    <w:rsid w:val="00F71DFE"/>
    <w:rsid w:val="00F805C8"/>
    <w:rsid w:val="00F81CF1"/>
    <w:rsid w:val="00FA2B3D"/>
    <w:rsid w:val="00FB16C9"/>
    <w:rsid w:val="00FB5E03"/>
    <w:rsid w:val="00FE4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A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2B7"/>
  </w:style>
  <w:style w:type="paragraph" w:styleId="Footer">
    <w:name w:val="footer"/>
    <w:basedOn w:val="Normal"/>
    <w:link w:val="FooterChar"/>
    <w:uiPriority w:val="99"/>
    <w:unhideWhenUsed/>
    <w:rsid w:val="00100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2B7"/>
  </w:style>
  <w:style w:type="paragraph" w:styleId="FootnoteText">
    <w:name w:val="footnote text"/>
    <w:basedOn w:val="Normal"/>
    <w:link w:val="FootnoteTextChar"/>
    <w:uiPriority w:val="99"/>
    <w:semiHidden/>
    <w:unhideWhenUsed/>
    <w:rsid w:val="001002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2B7"/>
    <w:rPr>
      <w:sz w:val="20"/>
      <w:szCs w:val="20"/>
    </w:rPr>
  </w:style>
  <w:style w:type="character" w:styleId="FootnoteReference">
    <w:name w:val="footnote reference"/>
    <w:basedOn w:val="DefaultParagraphFont"/>
    <w:uiPriority w:val="99"/>
    <w:semiHidden/>
    <w:unhideWhenUsed/>
    <w:rsid w:val="001002B7"/>
    <w:rPr>
      <w:vertAlign w:val="superscript"/>
    </w:rPr>
  </w:style>
  <w:style w:type="paragraph" w:styleId="ListParagraph">
    <w:name w:val="List Paragraph"/>
    <w:basedOn w:val="Normal"/>
    <w:uiPriority w:val="34"/>
    <w:qFormat/>
    <w:rsid w:val="00A6212C"/>
    <w:pPr>
      <w:ind w:left="720"/>
      <w:contextualSpacing/>
    </w:pPr>
  </w:style>
  <w:style w:type="paragraph" w:customStyle="1" w:styleId="Default">
    <w:name w:val="Default"/>
    <w:rsid w:val="00471CFA"/>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uiPriority w:val="59"/>
    <w:rsid w:val="007D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B8126F"/>
    <w:rPr>
      <w:rFonts w:cs="Georgia"/>
      <w:color w:val="000000"/>
      <w:sz w:val="20"/>
      <w:szCs w:val="20"/>
    </w:rPr>
  </w:style>
  <w:style w:type="paragraph" w:styleId="BalloonText">
    <w:name w:val="Balloon Text"/>
    <w:basedOn w:val="Normal"/>
    <w:link w:val="BalloonTextChar"/>
    <w:uiPriority w:val="99"/>
    <w:semiHidden/>
    <w:unhideWhenUsed/>
    <w:rsid w:val="00120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943"/>
    <w:rPr>
      <w:rFonts w:ascii="Tahoma" w:hAnsi="Tahoma" w:cs="Tahoma"/>
      <w:sz w:val="16"/>
      <w:szCs w:val="16"/>
    </w:rPr>
  </w:style>
  <w:style w:type="character" w:customStyle="1" w:styleId="A4">
    <w:name w:val="A4"/>
    <w:uiPriority w:val="99"/>
    <w:rsid w:val="00760E39"/>
    <w:rPr>
      <w:rFonts w:cs="Frutiger Linotype"/>
      <w:b/>
      <w:bCs/>
      <w:color w:val="000000"/>
      <w:sz w:val="59"/>
      <w:szCs w:val="59"/>
    </w:rPr>
  </w:style>
  <w:style w:type="paragraph" w:styleId="PlainText">
    <w:name w:val="Plain Text"/>
    <w:basedOn w:val="Normal"/>
    <w:link w:val="PlainTextChar"/>
    <w:uiPriority w:val="99"/>
    <w:semiHidden/>
    <w:unhideWhenUsed/>
    <w:rsid w:val="008159A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159A5"/>
    <w:rPr>
      <w:rFonts w:ascii="Calibri" w:hAnsi="Calibri" w:cs="Consolas"/>
      <w:szCs w:val="21"/>
    </w:rPr>
  </w:style>
  <w:style w:type="paragraph" w:customStyle="1" w:styleId="Pa11">
    <w:name w:val="Pa11"/>
    <w:basedOn w:val="Default"/>
    <w:next w:val="Default"/>
    <w:uiPriority w:val="99"/>
    <w:rsid w:val="00417964"/>
    <w:pPr>
      <w:spacing w:line="261" w:lineRule="atLeast"/>
    </w:pPr>
    <w:rPr>
      <w:rFonts w:ascii="Swis721 Lt BT" w:hAnsi="Swis721 Lt BT" w:cstheme="minorBidi"/>
      <w:color w:val="auto"/>
    </w:rPr>
  </w:style>
  <w:style w:type="paragraph" w:customStyle="1" w:styleId="Pa3">
    <w:name w:val="Pa3"/>
    <w:basedOn w:val="Default"/>
    <w:next w:val="Default"/>
    <w:uiPriority w:val="99"/>
    <w:rsid w:val="00417964"/>
    <w:pPr>
      <w:spacing w:line="201" w:lineRule="atLeast"/>
    </w:pPr>
    <w:rPr>
      <w:rFonts w:ascii="Swis721 Lt BT" w:hAnsi="Swis721 Lt BT" w:cstheme="minorBidi"/>
      <w:color w:val="auto"/>
    </w:rPr>
  </w:style>
  <w:style w:type="paragraph" w:customStyle="1" w:styleId="Pa12">
    <w:name w:val="Pa12"/>
    <w:basedOn w:val="Default"/>
    <w:next w:val="Default"/>
    <w:uiPriority w:val="99"/>
    <w:rsid w:val="00417964"/>
    <w:pPr>
      <w:spacing w:line="231" w:lineRule="atLeast"/>
    </w:pPr>
    <w:rPr>
      <w:rFonts w:ascii="Swis721 Lt BT" w:hAnsi="Swis721 Lt BT" w:cstheme="minorBidi"/>
      <w:color w:val="auto"/>
    </w:rPr>
  </w:style>
  <w:style w:type="character" w:customStyle="1" w:styleId="Heading1Char">
    <w:name w:val="Heading 1 Char"/>
    <w:basedOn w:val="DefaultParagraphFont"/>
    <w:link w:val="Heading1"/>
    <w:uiPriority w:val="9"/>
    <w:rsid w:val="00510A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10A49"/>
    <w:rPr>
      <w:color w:val="0000FF" w:themeColor="hyperlink"/>
      <w:u w:val="single"/>
    </w:rPr>
  </w:style>
  <w:style w:type="paragraph" w:styleId="BodyText2">
    <w:name w:val="Body Text 2"/>
    <w:basedOn w:val="Normal"/>
    <w:link w:val="BodyText2Char1"/>
    <w:uiPriority w:val="99"/>
    <w:semiHidden/>
    <w:unhideWhenUsed/>
    <w:rsid w:val="00510A49"/>
    <w:pPr>
      <w:spacing w:after="0" w:line="240" w:lineRule="auto"/>
    </w:pPr>
    <w:rPr>
      <w:rFonts w:ascii="Arial" w:eastAsia="Calibri" w:hAnsi="Arial" w:cs="Arial"/>
      <w:b/>
      <w:bCs/>
      <w:lang w:val="en-US"/>
    </w:rPr>
  </w:style>
  <w:style w:type="character" w:customStyle="1" w:styleId="BodyText2Char">
    <w:name w:val="Body Text 2 Char"/>
    <w:basedOn w:val="DefaultParagraphFont"/>
    <w:uiPriority w:val="99"/>
    <w:semiHidden/>
    <w:rsid w:val="00510A49"/>
  </w:style>
  <w:style w:type="character" w:customStyle="1" w:styleId="BodyText2Char1">
    <w:name w:val="Body Text 2 Char1"/>
    <w:basedOn w:val="DefaultParagraphFont"/>
    <w:link w:val="BodyText2"/>
    <w:uiPriority w:val="99"/>
    <w:semiHidden/>
    <w:locked/>
    <w:rsid w:val="00510A49"/>
    <w:rPr>
      <w:rFonts w:ascii="Arial" w:eastAsia="Calibri" w:hAnsi="Arial" w:cs="Arial"/>
      <w:b/>
      <w:bCs/>
      <w:lang w:val="en-US"/>
    </w:rPr>
  </w:style>
  <w:style w:type="character" w:styleId="Emphasis">
    <w:name w:val="Emphasis"/>
    <w:basedOn w:val="DefaultParagraphFont"/>
    <w:uiPriority w:val="99"/>
    <w:qFormat/>
    <w:rsid w:val="00510A49"/>
    <w:rPr>
      <w:i/>
      <w:iCs/>
    </w:rPr>
  </w:style>
  <w:style w:type="paragraph" w:customStyle="1" w:styleId="Bulletform">
    <w:name w:val="Bullet form"/>
    <w:basedOn w:val="Normal"/>
    <w:rsid w:val="00515D2E"/>
    <w:pPr>
      <w:numPr>
        <w:numId w:val="13"/>
      </w:numPr>
      <w:spacing w:before="120" w:after="0" w:line="240" w:lineRule="auto"/>
      <w:ind w:left="714" w:hanging="357"/>
      <w:jc w:val="both"/>
    </w:pPr>
    <w:rPr>
      <w:rFonts w:ascii="GoudyOlSt BT" w:eastAsia="Times New Roman" w:hAnsi="GoudyOlSt BT"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A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2B7"/>
  </w:style>
  <w:style w:type="paragraph" w:styleId="Footer">
    <w:name w:val="footer"/>
    <w:basedOn w:val="Normal"/>
    <w:link w:val="FooterChar"/>
    <w:uiPriority w:val="99"/>
    <w:unhideWhenUsed/>
    <w:rsid w:val="00100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2B7"/>
  </w:style>
  <w:style w:type="paragraph" w:styleId="FootnoteText">
    <w:name w:val="footnote text"/>
    <w:basedOn w:val="Normal"/>
    <w:link w:val="FootnoteTextChar"/>
    <w:uiPriority w:val="99"/>
    <w:semiHidden/>
    <w:unhideWhenUsed/>
    <w:rsid w:val="001002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2B7"/>
    <w:rPr>
      <w:sz w:val="20"/>
      <w:szCs w:val="20"/>
    </w:rPr>
  </w:style>
  <w:style w:type="character" w:styleId="FootnoteReference">
    <w:name w:val="footnote reference"/>
    <w:basedOn w:val="DefaultParagraphFont"/>
    <w:uiPriority w:val="99"/>
    <w:semiHidden/>
    <w:unhideWhenUsed/>
    <w:rsid w:val="001002B7"/>
    <w:rPr>
      <w:vertAlign w:val="superscript"/>
    </w:rPr>
  </w:style>
  <w:style w:type="paragraph" w:styleId="ListParagraph">
    <w:name w:val="List Paragraph"/>
    <w:basedOn w:val="Normal"/>
    <w:uiPriority w:val="34"/>
    <w:qFormat/>
    <w:rsid w:val="00A6212C"/>
    <w:pPr>
      <w:ind w:left="720"/>
      <w:contextualSpacing/>
    </w:pPr>
  </w:style>
  <w:style w:type="paragraph" w:customStyle="1" w:styleId="Default">
    <w:name w:val="Default"/>
    <w:rsid w:val="00471CFA"/>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uiPriority w:val="59"/>
    <w:rsid w:val="007D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
    <w:name w:val="A1"/>
    <w:uiPriority w:val="99"/>
    <w:rsid w:val="00B8126F"/>
    <w:rPr>
      <w:rFonts w:cs="Georgia"/>
      <w:color w:val="000000"/>
      <w:sz w:val="20"/>
      <w:szCs w:val="20"/>
    </w:rPr>
  </w:style>
  <w:style w:type="paragraph" w:styleId="BalloonText">
    <w:name w:val="Balloon Text"/>
    <w:basedOn w:val="Normal"/>
    <w:link w:val="BalloonTextChar"/>
    <w:uiPriority w:val="99"/>
    <w:semiHidden/>
    <w:unhideWhenUsed/>
    <w:rsid w:val="00120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943"/>
    <w:rPr>
      <w:rFonts w:ascii="Tahoma" w:hAnsi="Tahoma" w:cs="Tahoma"/>
      <w:sz w:val="16"/>
      <w:szCs w:val="16"/>
    </w:rPr>
  </w:style>
  <w:style w:type="character" w:customStyle="1" w:styleId="A4">
    <w:name w:val="A4"/>
    <w:uiPriority w:val="99"/>
    <w:rsid w:val="00760E39"/>
    <w:rPr>
      <w:rFonts w:cs="Frutiger Linotype"/>
      <w:b/>
      <w:bCs/>
      <w:color w:val="000000"/>
      <w:sz w:val="59"/>
      <w:szCs w:val="59"/>
    </w:rPr>
  </w:style>
  <w:style w:type="paragraph" w:styleId="PlainText">
    <w:name w:val="Plain Text"/>
    <w:basedOn w:val="Normal"/>
    <w:link w:val="PlainTextChar"/>
    <w:uiPriority w:val="99"/>
    <w:semiHidden/>
    <w:unhideWhenUsed/>
    <w:rsid w:val="008159A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8159A5"/>
    <w:rPr>
      <w:rFonts w:ascii="Calibri" w:hAnsi="Calibri" w:cs="Consolas"/>
      <w:szCs w:val="21"/>
    </w:rPr>
  </w:style>
  <w:style w:type="paragraph" w:customStyle="1" w:styleId="Pa11">
    <w:name w:val="Pa11"/>
    <w:basedOn w:val="Default"/>
    <w:next w:val="Default"/>
    <w:uiPriority w:val="99"/>
    <w:rsid w:val="00417964"/>
    <w:pPr>
      <w:spacing w:line="261" w:lineRule="atLeast"/>
    </w:pPr>
    <w:rPr>
      <w:rFonts w:ascii="Swis721 Lt BT" w:hAnsi="Swis721 Lt BT" w:cstheme="minorBidi"/>
      <w:color w:val="auto"/>
    </w:rPr>
  </w:style>
  <w:style w:type="paragraph" w:customStyle="1" w:styleId="Pa3">
    <w:name w:val="Pa3"/>
    <w:basedOn w:val="Default"/>
    <w:next w:val="Default"/>
    <w:uiPriority w:val="99"/>
    <w:rsid w:val="00417964"/>
    <w:pPr>
      <w:spacing w:line="201" w:lineRule="atLeast"/>
    </w:pPr>
    <w:rPr>
      <w:rFonts w:ascii="Swis721 Lt BT" w:hAnsi="Swis721 Lt BT" w:cstheme="minorBidi"/>
      <w:color w:val="auto"/>
    </w:rPr>
  </w:style>
  <w:style w:type="paragraph" w:customStyle="1" w:styleId="Pa12">
    <w:name w:val="Pa12"/>
    <w:basedOn w:val="Default"/>
    <w:next w:val="Default"/>
    <w:uiPriority w:val="99"/>
    <w:rsid w:val="00417964"/>
    <w:pPr>
      <w:spacing w:line="231" w:lineRule="atLeast"/>
    </w:pPr>
    <w:rPr>
      <w:rFonts w:ascii="Swis721 Lt BT" w:hAnsi="Swis721 Lt BT" w:cstheme="minorBidi"/>
      <w:color w:val="auto"/>
    </w:rPr>
  </w:style>
  <w:style w:type="character" w:customStyle="1" w:styleId="Heading1Char">
    <w:name w:val="Heading 1 Char"/>
    <w:basedOn w:val="DefaultParagraphFont"/>
    <w:link w:val="Heading1"/>
    <w:uiPriority w:val="9"/>
    <w:rsid w:val="00510A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10A49"/>
    <w:rPr>
      <w:color w:val="0000FF" w:themeColor="hyperlink"/>
      <w:u w:val="single"/>
    </w:rPr>
  </w:style>
  <w:style w:type="paragraph" w:styleId="BodyText2">
    <w:name w:val="Body Text 2"/>
    <w:basedOn w:val="Normal"/>
    <w:link w:val="BodyText2Char1"/>
    <w:uiPriority w:val="99"/>
    <w:semiHidden/>
    <w:unhideWhenUsed/>
    <w:rsid w:val="00510A49"/>
    <w:pPr>
      <w:spacing w:after="0" w:line="240" w:lineRule="auto"/>
    </w:pPr>
    <w:rPr>
      <w:rFonts w:ascii="Arial" w:eastAsia="Calibri" w:hAnsi="Arial" w:cs="Arial"/>
      <w:b/>
      <w:bCs/>
      <w:lang w:val="en-US"/>
    </w:rPr>
  </w:style>
  <w:style w:type="character" w:customStyle="1" w:styleId="BodyText2Char">
    <w:name w:val="Body Text 2 Char"/>
    <w:basedOn w:val="DefaultParagraphFont"/>
    <w:uiPriority w:val="99"/>
    <w:semiHidden/>
    <w:rsid w:val="00510A49"/>
  </w:style>
  <w:style w:type="character" w:customStyle="1" w:styleId="BodyText2Char1">
    <w:name w:val="Body Text 2 Char1"/>
    <w:basedOn w:val="DefaultParagraphFont"/>
    <w:link w:val="BodyText2"/>
    <w:uiPriority w:val="99"/>
    <w:semiHidden/>
    <w:locked/>
    <w:rsid w:val="00510A49"/>
    <w:rPr>
      <w:rFonts w:ascii="Arial" w:eastAsia="Calibri" w:hAnsi="Arial" w:cs="Arial"/>
      <w:b/>
      <w:bCs/>
      <w:lang w:val="en-US"/>
    </w:rPr>
  </w:style>
  <w:style w:type="character" w:styleId="Emphasis">
    <w:name w:val="Emphasis"/>
    <w:basedOn w:val="DefaultParagraphFont"/>
    <w:uiPriority w:val="99"/>
    <w:qFormat/>
    <w:rsid w:val="00510A49"/>
    <w:rPr>
      <w:i/>
      <w:iCs/>
    </w:rPr>
  </w:style>
  <w:style w:type="paragraph" w:customStyle="1" w:styleId="Bulletform">
    <w:name w:val="Bullet form"/>
    <w:basedOn w:val="Normal"/>
    <w:rsid w:val="00515D2E"/>
    <w:pPr>
      <w:numPr>
        <w:numId w:val="13"/>
      </w:numPr>
      <w:spacing w:before="120" w:after="0" w:line="240" w:lineRule="auto"/>
      <w:ind w:left="714" w:hanging="357"/>
      <w:jc w:val="both"/>
    </w:pPr>
    <w:rPr>
      <w:rFonts w:ascii="GoudyOlSt BT" w:eastAsia="Times New Roman" w:hAnsi="GoudyOlSt BT"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3660">
      <w:bodyDiv w:val="1"/>
      <w:marLeft w:val="0"/>
      <w:marRight w:val="0"/>
      <w:marTop w:val="0"/>
      <w:marBottom w:val="0"/>
      <w:divBdr>
        <w:top w:val="none" w:sz="0" w:space="0" w:color="auto"/>
        <w:left w:val="none" w:sz="0" w:space="0" w:color="auto"/>
        <w:bottom w:val="none" w:sz="0" w:space="0" w:color="auto"/>
        <w:right w:val="none" w:sz="0" w:space="0" w:color="auto"/>
      </w:divBdr>
    </w:div>
    <w:div w:id="454640422">
      <w:bodyDiv w:val="1"/>
      <w:marLeft w:val="0"/>
      <w:marRight w:val="0"/>
      <w:marTop w:val="0"/>
      <w:marBottom w:val="0"/>
      <w:divBdr>
        <w:top w:val="none" w:sz="0" w:space="0" w:color="auto"/>
        <w:left w:val="none" w:sz="0" w:space="0" w:color="auto"/>
        <w:bottom w:val="none" w:sz="0" w:space="0" w:color="auto"/>
        <w:right w:val="none" w:sz="0" w:space="0" w:color="auto"/>
      </w:divBdr>
    </w:div>
    <w:div w:id="1550605719">
      <w:bodyDiv w:val="1"/>
      <w:marLeft w:val="0"/>
      <w:marRight w:val="0"/>
      <w:marTop w:val="0"/>
      <w:marBottom w:val="0"/>
      <w:divBdr>
        <w:top w:val="none" w:sz="0" w:space="0" w:color="auto"/>
        <w:left w:val="none" w:sz="0" w:space="0" w:color="auto"/>
        <w:bottom w:val="none" w:sz="0" w:space="0" w:color="auto"/>
        <w:right w:val="none" w:sz="0" w:space="0" w:color="auto"/>
      </w:divBdr>
    </w:div>
    <w:div w:id="179721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dcn.nsw.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26F4-1EDD-4E21-8EC0-988E501B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2565</Words>
  <Characters>14934</Characters>
  <Application>Microsoft Office Word</Application>
  <DocSecurity>0</DocSecurity>
  <Lines>533</Lines>
  <Paragraphs>291</Paragraphs>
  <ScaleCrop>false</ScaleCrop>
  <HeadingPairs>
    <vt:vector size="2" baseType="variant">
      <vt:variant>
        <vt:lpstr>Title</vt:lpstr>
      </vt:variant>
      <vt:variant>
        <vt:i4>1</vt:i4>
      </vt:variant>
    </vt:vector>
  </HeadingPairs>
  <TitlesOfParts>
    <vt:vector size="1" baseType="lpstr">
      <vt:lpstr>Submission DR229 - Physical Disability Council of NSW - Access to Justice Arrangements - Public inquiry</vt:lpstr>
    </vt:vector>
  </TitlesOfParts>
  <Company>Physical Disability Council of NSW</Company>
  <LinksUpToDate>false</LinksUpToDate>
  <CharactersWithSpaces>17208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DR229 - Physical Disability Council of NSW - Access to Justice Arrangements - Public inquiry</dc:title>
  <dc:creator>Physical Disability Council of NSW</dc:creator>
  <cp:lastModifiedBy>Productivity Commission</cp:lastModifiedBy>
  <cp:revision>2</cp:revision>
  <cp:lastPrinted>2014-05-19T07:04:00Z</cp:lastPrinted>
  <dcterms:created xsi:type="dcterms:W3CDTF">2014-06-05T03:14:00Z</dcterms:created>
  <dcterms:modified xsi:type="dcterms:W3CDTF">2014-06-05T03:14:00Z</dcterms:modified>
</cp:coreProperties>
</file>