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8F" w:rsidRPr="00A241C7" w:rsidRDefault="0027128F" w:rsidP="00F13A25">
      <w:pPr>
        <w:rPr>
          <w:rFonts w:ascii="Arial" w:hAnsi="Arial" w:cs="Arial"/>
          <w:sz w:val="22"/>
          <w:szCs w:val="22"/>
        </w:rPr>
      </w:pPr>
      <w:bookmarkStart w:id="0" w:name="_GoBack"/>
      <w:bookmarkEnd w:id="0"/>
    </w:p>
    <w:p w:rsidR="00BD7097" w:rsidRPr="00A241C7" w:rsidRDefault="00BD7097" w:rsidP="00BD7097">
      <w:pPr>
        <w:pStyle w:val="IntenseQuote"/>
        <w:rPr>
          <w:rFonts w:ascii="Arial" w:hAnsi="Arial" w:cs="Arial"/>
          <w:sz w:val="22"/>
          <w:szCs w:val="22"/>
        </w:rPr>
      </w:pPr>
      <w:r w:rsidRPr="00A241C7">
        <w:rPr>
          <w:rFonts w:ascii="Arial" w:hAnsi="Arial" w:cs="Arial"/>
          <w:sz w:val="22"/>
          <w:szCs w:val="22"/>
        </w:rPr>
        <w:t>Recommendations</w:t>
      </w:r>
    </w:p>
    <w:p w:rsidR="00BD7097" w:rsidRPr="00A241C7" w:rsidRDefault="00BD7097" w:rsidP="00BD7097">
      <w:pPr>
        <w:rPr>
          <w:rFonts w:ascii="Arial" w:hAnsi="Arial" w:cs="Arial"/>
          <w:b/>
          <w:sz w:val="22"/>
          <w:szCs w:val="22"/>
        </w:rPr>
      </w:pPr>
    </w:p>
    <w:p w:rsidR="00BD7097" w:rsidRPr="00A241C7" w:rsidRDefault="00BD7097" w:rsidP="00BD7097">
      <w:pPr>
        <w:rPr>
          <w:rFonts w:ascii="Arial" w:hAnsi="Arial" w:cs="Arial"/>
          <w:sz w:val="22"/>
          <w:szCs w:val="22"/>
        </w:rPr>
      </w:pPr>
    </w:p>
    <w:p w:rsidR="00796601" w:rsidRPr="00A241C7" w:rsidRDefault="00796601" w:rsidP="00BD7097">
      <w:pPr>
        <w:rPr>
          <w:rFonts w:ascii="Arial" w:hAnsi="Arial" w:cs="Arial"/>
          <w:sz w:val="22"/>
          <w:szCs w:val="22"/>
        </w:rPr>
      </w:pPr>
    </w:p>
    <w:p w:rsidR="00796601" w:rsidRPr="00A241C7" w:rsidRDefault="00796601" w:rsidP="00BD7097">
      <w:pPr>
        <w:rPr>
          <w:rFonts w:ascii="Arial" w:hAnsi="Arial" w:cs="Arial"/>
          <w:sz w:val="22"/>
          <w:szCs w:val="22"/>
        </w:rPr>
      </w:pPr>
    </w:p>
    <w:p w:rsidR="00BD7097" w:rsidRPr="00A241C7" w:rsidRDefault="00BD7097" w:rsidP="00BD7097">
      <w:pPr>
        <w:rPr>
          <w:rFonts w:ascii="Arial" w:hAnsi="Arial" w:cs="Arial"/>
          <w:b/>
          <w:sz w:val="22"/>
          <w:szCs w:val="22"/>
        </w:rPr>
      </w:pPr>
      <w:r w:rsidRPr="00A241C7">
        <w:rPr>
          <w:rFonts w:ascii="Arial" w:hAnsi="Arial" w:cs="Arial"/>
          <w:b/>
          <w:sz w:val="22"/>
          <w:szCs w:val="22"/>
        </w:rPr>
        <w:t>Queensland Advocacy Incorporated’s Previous Recommendations</w:t>
      </w:r>
    </w:p>
    <w:p w:rsidR="00796601" w:rsidRPr="00A241C7" w:rsidRDefault="00796601" w:rsidP="00BD7097">
      <w:pPr>
        <w:rPr>
          <w:rFonts w:ascii="Arial" w:hAnsi="Arial" w:cs="Arial"/>
          <w:b/>
          <w:sz w:val="22"/>
          <w:szCs w:val="22"/>
        </w:rPr>
      </w:pPr>
    </w:p>
    <w:p w:rsidR="00BD7097" w:rsidRPr="00A241C7" w:rsidRDefault="00BD7097" w:rsidP="00BD7097">
      <w:pPr>
        <w:rPr>
          <w:rFonts w:ascii="Arial" w:hAnsi="Arial" w:cs="Arial"/>
          <w:b/>
          <w:sz w:val="22"/>
          <w:szCs w:val="22"/>
        </w:rPr>
      </w:pPr>
    </w:p>
    <w:p w:rsidR="00BD7097" w:rsidRPr="00A241C7" w:rsidRDefault="00975994" w:rsidP="00BD7097">
      <w:pPr>
        <w:numPr>
          <w:ilvl w:val="0"/>
          <w:numId w:val="30"/>
        </w:numPr>
        <w:rPr>
          <w:rFonts w:ascii="Arial" w:hAnsi="Arial" w:cs="Arial"/>
          <w:sz w:val="22"/>
          <w:szCs w:val="22"/>
        </w:rPr>
      </w:pPr>
      <w:r>
        <w:rPr>
          <w:rFonts w:ascii="Arial" w:hAnsi="Arial" w:cs="Arial"/>
          <w:sz w:val="22"/>
          <w:szCs w:val="22"/>
        </w:rPr>
        <w:t xml:space="preserve">More </w:t>
      </w:r>
      <w:r w:rsidR="00BD7097" w:rsidRPr="00A241C7">
        <w:rPr>
          <w:rFonts w:ascii="Arial" w:hAnsi="Arial" w:cs="Arial"/>
          <w:sz w:val="22"/>
          <w:szCs w:val="22"/>
        </w:rPr>
        <w:t xml:space="preserve">government supported representation </w:t>
      </w:r>
      <w:r>
        <w:rPr>
          <w:rFonts w:ascii="Arial" w:hAnsi="Arial" w:cs="Arial"/>
          <w:sz w:val="22"/>
          <w:szCs w:val="22"/>
        </w:rPr>
        <w:t>when there is a</w:t>
      </w:r>
      <w:r w:rsidR="00BD7097" w:rsidRPr="00A241C7">
        <w:rPr>
          <w:rFonts w:ascii="Arial" w:hAnsi="Arial" w:cs="Arial"/>
          <w:sz w:val="22"/>
          <w:szCs w:val="22"/>
        </w:rPr>
        <w:t xml:space="preserve"> prospect of custodial orders </w:t>
      </w:r>
      <w:r>
        <w:rPr>
          <w:rFonts w:ascii="Arial" w:hAnsi="Arial" w:cs="Arial"/>
          <w:sz w:val="22"/>
          <w:szCs w:val="22"/>
        </w:rPr>
        <w:t xml:space="preserve">(forensic, restrictive practices) </w:t>
      </w:r>
      <w:r w:rsidR="00BD7097" w:rsidRPr="00A241C7">
        <w:rPr>
          <w:rFonts w:ascii="Arial" w:hAnsi="Arial" w:cs="Arial"/>
          <w:sz w:val="22"/>
          <w:szCs w:val="22"/>
        </w:rPr>
        <w:t>of any kind.</w:t>
      </w:r>
    </w:p>
    <w:p w:rsidR="00BD7097" w:rsidRPr="00A241C7" w:rsidRDefault="00BD7097" w:rsidP="00BD7097">
      <w:pPr>
        <w:rPr>
          <w:rFonts w:ascii="Arial" w:hAnsi="Arial" w:cs="Arial"/>
          <w:sz w:val="22"/>
          <w:szCs w:val="22"/>
        </w:rPr>
      </w:pPr>
    </w:p>
    <w:p w:rsidR="00BD7097" w:rsidRPr="00A241C7" w:rsidRDefault="00BD7097" w:rsidP="00BD7097">
      <w:pPr>
        <w:pStyle w:val="ListParagraph"/>
        <w:numPr>
          <w:ilvl w:val="0"/>
          <w:numId w:val="30"/>
        </w:numPr>
        <w:rPr>
          <w:rFonts w:ascii="Arial" w:hAnsi="Arial" w:cs="Arial"/>
          <w:sz w:val="22"/>
          <w:szCs w:val="22"/>
        </w:rPr>
      </w:pPr>
      <w:r w:rsidRPr="00A241C7">
        <w:rPr>
          <w:rFonts w:ascii="Arial" w:hAnsi="Arial" w:cs="Arial"/>
          <w:sz w:val="22"/>
          <w:szCs w:val="22"/>
        </w:rPr>
        <w:t>Provision for government assisted representation for persons with diminished capacity facing the prospect of custodial orders or Restrictive Practices</w:t>
      </w:r>
    </w:p>
    <w:p w:rsidR="00BD7097" w:rsidRPr="00A241C7" w:rsidRDefault="00BD7097" w:rsidP="00BD7097">
      <w:pPr>
        <w:rPr>
          <w:rFonts w:ascii="Arial" w:hAnsi="Arial" w:cs="Arial"/>
          <w:b/>
          <w:sz w:val="22"/>
          <w:szCs w:val="22"/>
        </w:rPr>
      </w:pPr>
    </w:p>
    <w:p w:rsidR="00BD7097" w:rsidRPr="00A241C7" w:rsidRDefault="00BD7097" w:rsidP="00BD7097">
      <w:pPr>
        <w:rPr>
          <w:rFonts w:ascii="Arial" w:hAnsi="Arial" w:cs="Arial"/>
          <w:b/>
          <w:sz w:val="22"/>
          <w:szCs w:val="22"/>
        </w:rPr>
      </w:pPr>
    </w:p>
    <w:p w:rsidR="00BD7097" w:rsidRPr="00A241C7" w:rsidRDefault="00BD7097" w:rsidP="00BD7097">
      <w:pPr>
        <w:rPr>
          <w:rFonts w:ascii="Arial" w:hAnsi="Arial" w:cs="Arial"/>
          <w:b/>
          <w:sz w:val="22"/>
          <w:szCs w:val="22"/>
        </w:rPr>
      </w:pPr>
    </w:p>
    <w:p w:rsidR="00BD7097" w:rsidRPr="00A241C7" w:rsidRDefault="00BD7097" w:rsidP="00BD7097">
      <w:pPr>
        <w:rPr>
          <w:rFonts w:ascii="Arial" w:hAnsi="Arial" w:cs="Arial"/>
          <w:b/>
          <w:sz w:val="22"/>
          <w:szCs w:val="22"/>
        </w:rPr>
      </w:pPr>
    </w:p>
    <w:p w:rsidR="00BD7097" w:rsidRPr="00A241C7" w:rsidRDefault="00BD7097" w:rsidP="00BD7097">
      <w:pPr>
        <w:rPr>
          <w:rFonts w:ascii="Arial" w:hAnsi="Arial" w:cs="Arial"/>
          <w:b/>
          <w:sz w:val="22"/>
          <w:szCs w:val="22"/>
        </w:rPr>
      </w:pPr>
      <w:r w:rsidRPr="00A241C7">
        <w:rPr>
          <w:rFonts w:ascii="Arial" w:hAnsi="Arial" w:cs="Arial"/>
          <w:b/>
          <w:sz w:val="22"/>
          <w:szCs w:val="22"/>
        </w:rPr>
        <w:t>Queensland Advocacy Incorporated recommends in relation to the Draft Report-</w:t>
      </w:r>
    </w:p>
    <w:p w:rsidR="00BD7097" w:rsidRPr="00A241C7" w:rsidRDefault="00BD7097" w:rsidP="00BD7097">
      <w:pPr>
        <w:rPr>
          <w:rFonts w:ascii="Arial" w:hAnsi="Arial" w:cs="Arial"/>
          <w:b/>
          <w:sz w:val="22"/>
          <w:szCs w:val="22"/>
        </w:rPr>
      </w:pPr>
    </w:p>
    <w:p w:rsidR="00BD7097" w:rsidRPr="00A241C7" w:rsidRDefault="00BD7097" w:rsidP="00BD7097">
      <w:pPr>
        <w:rPr>
          <w:rFonts w:ascii="Arial" w:hAnsi="Arial" w:cs="Arial"/>
          <w:b/>
          <w:sz w:val="22"/>
          <w:szCs w:val="22"/>
        </w:rPr>
      </w:pPr>
    </w:p>
    <w:p w:rsidR="00BD7097" w:rsidRPr="00A241C7" w:rsidRDefault="00BD7097" w:rsidP="00BD7097">
      <w:pPr>
        <w:rPr>
          <w:rFonts w:ascii="Arial" w:hAnsi="Arial" w:cs="Arial"/>
          <w:sz w:val="22"/>
          <w:szCs w:val="22"/>
        </w:rPr>
      </w:pPr>
    </w:p>
    <w:p w:rsidR="00BD7097" w:rsidRPr="00A241C7" w:rsidRDefault="00975994" w:rsidP="00BD7097">
      <w:pPr>
        <w:pStyle w:val="ListParagraph"/>
        <w:numPr>
          <w:ilvl w:val="0"/>
          <w:numId w:val="31"/>
        </w:numPr>
        <w:rPr>
          <w:rFonts w:ascii="Arial" w:hAnsi="Arial" w:cs="Arial"/>
          <w:sz w:val="22"/>
          <w:szCs w:val="22"/>
        </w:rPr>
      </w:pPr>
      <w:r>
        <w:rPr>
          <w:rFonts w:ascii="Arial" w:hAnsi="Arial" w:cs="Arial"/>
          <w:sz w:val="22"/>
          <w:szCs w:val="22"/>
        </w:rPr>
        <w:t>More money available</w:t>
      </w:r>
      <w:r w:rsidR="00BD7097" w:rsidRPr="00A241C7">
        <w:rPr>
          <w:rFonts w:ascii="Arial" w:hAnsi="Arial" w:cs="Arial"/>
          <w:sz w:val="22"/>
          <w:szCs w:val="22"/>
        </w:rPr>
        <w:t xml:space="preserve"> for government assisted representation for persons with diminished capacity facing new or continuing forensic orders.</w:t>
      </w:r>
    </w:p>
    <w:p w:rsidR="00BD7097" w:rsidRPr="00A241C7" w:rsidRDefault="00BD7097" w:rsidP="00BD7097">
      <w:pPr>
        <w:pStyle w:val="ListParagraph"/>
        <w:rPr>
          <w:rFonts w:ascii="Arial" w:hAnsi="Arial" w:cs="Arial"/>
          <w:sz w:val="22"/>
          <w:szCs w:val="22"/>
        </w:rPr>
      </w:pPr>
    </w:p>
    <w:p w:rsidR="00BD7097" w:rsidRPr="00A241C7" w:rsidRDefault="00975994" w:rsidP="00BD7097">
      <w:pPr>
        <w:pStyle w:val="ListParagraph"/>
        <w:numPr>
          <w:ilvl w:val="0"/>
          <w:numId w:val="31"/>
        </w:numPr>
        <w:rPr>
          <w:rFonts w:ascii="Arial" w:hAnsi="Arial" w:cs="Arial"/>
          <w:sz w:val="22"/>
          <w:szCs w:val="22"/>
        </w:rPr>
      </w:pPr>
      <w:r>
        <w:rPr>
          <w:rFonts w:ascii="Arial" w:hAnsi="Arial" w:cs="Arial"/>
          <w:sz w:val="22"/>
          <w:szCs w:val="22"/>
        </w:rPr>
        <w:t xml:space="preserve">More money available for </w:t>
      </w:r>
      <w:r w:rsidR="00BD7097" w:rsidRPr="00A241C7">
        <w:rPr>
          <w:rFonts w:ascii="Arial" w:hAnsi="Arial" w:cs="Arial"/>
          <w:sz w:val="22"/>
          <w:szCs w:val="22"/>
        </w:rPr>
        <w:t xml:space="preserve"> government assisted representation in relation to tribunal hearing regarding  restrictive practices </w:t>
      </w:r>
    </w:p>
    <w:p w:rsidR="00BD7097" w:rsidRPr="00A241C7" w:rsidRDefault="00BD7097" w:rsidP="00BD7097">
      <w:pPr>
        <w:rPr>
          <w:rFonts w:ascii="Arial" w:hAnsi="Arial" w:cs="Arial"/>
          <w:sz w:val="22"/>
          <w:szCs w:val="22"/>
        </w:rPr>
      </w:pPr>
    </w:p>
    <w:p w:rsidR="00BD7097" w:rsidRPr="00A241C7" w:rsidRDefault="00BD7097" w:rsidP="00BD7097">
      <w:pPr>
        <w:pStyle w:val="ListParagraph"/>
        <w:numPr>
          <w:ilvl w:val="0"/>
          <w:numId w:val="31"/>
        </w:numPr>
        <w:rPr>
          <w:rFonts w:ascii="Arial" w:hAnsi="Arial" w:cs="Arial"/>
          <w:sz w:val="22"/>
          <w:szCs w:val="22"/>
        </w:rPr>
      </w:pPr>
      <w:r w:rsidRPr="00A241C7">
        <w:rPr>
          <w:rFonts w:ascii="Arial" w:hAnsi="Arial" w:cs="Arial"/>
          <w:sz w:val="22"/>
          <w:szCs w:val="22"/>
        </w:rPr>
        <w:t>That Commonwealth and states cooperate to ensure that specialist community legal centres and other agencies that provide services directly to people with intellectual or cognitive disability, acquired</w:t>
      </w:r>
      <w:r w:rsidR="00975994">
        <w:rPr>
          <w:rFonts w:ascii="Arial" w:hAnsi="Arial" w:cs="Arial"/>
          <w:sz w:val="22"/>
          <w:szCs w:val="22"/>
        </w:rPr>
        <w:t xml:space="preserve"> brain injury or mental illness</w:t>
      </w:r>
      <w:r w:rsidRPr="00A241C7">
        <w:rPr>
          <w:rFonts w:ascii="Arial" w:hAnsi="Arial" w:cs="Arial"/>
          <w:sz w:val="22"/>
          <w:szCs w:val="22"/>
        </w:rPr>
        <w:t xml:space="preserve"> are able to adequately meet demand.</w:t>
      </w:r>
    </w:p>
    <w:p w:rsidR="00BD7097" w:rsidRPr="00A241C7" w:rsidRDefault="00BD7097" w:rsidP="00BD7097">
      <w:pPr>
        <w:rPr>
          <w:rFonts w:ascii="Arial" w:hAnsi="Arial" w:cs="Arial"/>
          <w:sz w:val="22"/>
          <w:szCs w:val="22"/>
        </w:rPr>
      </w:pPr>
    </w:p>
    <w:p w:rsidR="00BD7097" w:rsidRPr="00A241C7" w:rsidRDefault="00BD7097" w:rsidP="00BD7097">
      <w:pPr>
        <w:pStyle w:val="ListParagraph"/>
        <w:numPr>
          <w:ilvl w:val="0"/>
          <w:numId w:val="31"/>
        </w:numPr>
        <w:rPr>
          <w:rFonts w:ascii="Arial" w:hAnsi="Arial" w:cs="Arial"/>
          <w:sz w:val="22"/>
          <w:szCs w:val="22"/>
        </w:rPr>
      </w:pPr>
      <w:r w:rsidRPr="00A241C7">
        <w:rPr>
          <w:rFonts w:ascii="Arial" w:hAnsi="Arial" w:cs="Arial"/>
          <w:sz w:val="22"/>
          <w:szCs w:val="22"/>
        </w:rPr>
        <w:t>Research to determine  the adequacy  of  funding to  Legal  Aid  Queensland and  to  assess  whether financially disadvantaged sectors of the community are able to access sufficient legal aid, particularly those with intellectual or cognitive disability, acquired brain injury or mental illness .</w:t>
      </w:r>
    </w:p>
    <w:p w:rsidR="00BD7097" w:rsidRPr="00A241C7" w:rsidRDefault="00BD7097" w:rsidP="00BD7097">
      <w:pPr>
        <w:rPr>
          <w:rFonts w:ascii="Arial" w:hAnsi="Arial" w:cs="Arial"/>
          <w:sz w:val="22"/>
          <w:szCs w:val="22"/>
        </w:rPr>
      </w:pPr>
    </w:p>
    <w:p w:rsidR="00BD7097" w:rsidRPr="00A241C7" w:rsidRDefault="00BD7097" w:rsidP="00BD7097">
      <w:pPr>
        <w:pStyle w:val="ListParagraph"/>
        <w:numPr>
          <w:ilvl w:val="0"/>
          <w:numId w:val="31"/>
        </w:numPr>
        <w:rPr>
          <w:rFonts w:ascii="Arial" w:hAnsi="Arial" w:cs="Arial"/>
          <w:sz w:val="22"/>
          <w:szCs w:val="22"/>
        </w:rPr>
      </w:pPr>
      <w:r w:rsidRPr="00A241C7">
        <w:rPr>
          <w:rFonts w:ascii="Arial" w:hAnsi="Arial" w:cs="Arial"/>
          <w:sz w:val="22"/>
          <w:szCs w:val="22"/>
        </w:rPr>
        <w:t>Review of</w:t>
      </w:r>
      <w:r w:rsidR="00975994">
        <w:rPr>
          <w:rFonts w:ascii="Arial" w:hAnsi="Arial" w:cs="Arial"/>
          <w:sz w:val="22"/>
          <w:szCs w:val="22"/>
        </w:rPr>
        <w:t xml:space="preserve"> current guidelines for grants </w:t>
      </w:r>
      <w:r w:rsidRPr="00A241C7">
        <w:rPr>
          <w:rFonts w:ascii="Arial" w:hAnsi="Arial" w:cs="Arial"/>
          <w:sz w:val="22"/>
          <w:szCs w:val="22"/>
        </w:rPr>
        <w:t>of  legal  aid to facilitate the  production  of  psychological  or psychiatric reports regarding the capacity and fitness for trial of people with intellectual or cognitive disability, acquired brain injury or mental illness.</w:t>
      </w:r>
    </w:p>
    <w:p w:rsidR="0027128F" w:rsidRPr="00A241C7" w:rsidRDefault="00BD7097" w:rsidP="00BD7097">
      <w:pPr>
        <w:pStyle w:val="IntenseQuote"/>
        <w:rPr>
          <w:rFonts w:ascii="Arial" w:hAnsi="Arial" w:cs="Arial"/>
          <w:sz w:val="22"/>
          <w:szCs w:val="22"/>
        </w:rPr>
      </w:pPr>
      <w:r w:rsidRPr="00A241C7">
        <w:rPr>
          <w:rFonts w:ascii="Arial" w:hAnsi="Arial" w:cs="Arial"/>
          <w:sz w:val="22"/>
          <w:szCs w:val="22"/>
        </w:rPr>
        <w:br w:type="page"/>
      </w:r>
      <w:r w:rsidRPr="00A241C7">
        <w:rPr>
          <w:rFonts w:ascii="Arial" w:hAnsi="Arial" w:cs="Arial"/>
          <w:sz w:val="22"/>
          <w:szCs w:val="22"/>
        </w:rPr>
        <w:lastRenderedPageBreak/>
        <w:t>Ab</w:t>
      </w:r>
      <w:r w:rsidR="0027128F" w:rsidRPr="00A241C7">
        <w:rPr>
          <w:rFonts w:ascii="Arial" w:eastAsia="Calibri" w:hAnsi="Arial" w:cs="Arial"/>
          <w:sz w:val="22"/>
          <w:szCs w:val="22"/>
          <w:lang w:eastAsia="en-US"/>
        </w:rPr>
        <w:t xml:space="preserve">out Queensland Advocacy Incorporated </w:t>
      </w:r>
    </w:p>
    <w:p w:rsidR="0027128F" w:rsidRPr="00A241C7" w:rsidRDefault="0027128F" w:rsidP="0027128F">
      <w:pPr>
        <w:spacing w:after="200" w:line="276" w:lineRule="auto"/>
        <w:jc w:val="both"/>
        <w:rPr>
          <w:rFonts w:ascii="Arial" w:eastAsia="Calibri" w:hAnsi="Arial" w:cs="Arial"/>
          <w:sz w:val="22"/>
          <w:szCs w:val="22"/>
          <w:lang w:eastAsia="en-US"/>
        </w:rPr>
      </w:pPr>
      <w:r w:rsidRPr="00A241C7">
        <w:rPr>
          <w:rFonts w:ascii="Arial" w:eastAsia="Calibri" w:hAnsi="Arial" w:cs="Arial"/>
          <w:sz w:val="22"/>
          <w:szCs w:val="22"/>
          <w:lang w:eastAsia="en-US"/>
        </w:rPr>
        <w:t>QAI is an independent, community-based, systems and individual legal advocacy organisation.  Our mission is to promote and protect the fundamental needs, rights and lives of the most vulnerable people with disability in Queensland.  In addition our efforts extend beyond the defence of civil and political rights to the defence of rights without a legal foundation, including rights to belonging, respect embodied in the simple quality of human dignity.</w:t>
      </w:r>
    </w:p>
    <w:p w:rsidR="0027128F" w:rsidRPr="00A241C7" w:rsidRDefault="0027128F" w:rsidP="0027128F">
      <w:pPr>
        <w:spacing w:after="200" w:line="276" w:lineRule="auto"/>
        <w:jc w:val="both"/>
        <w:rPr>
          <w:rFonts w:ascii="Arial" w:eastAsia="Calibri" w:hAnsi="Arial" w:cs="Arial"/>
          <w:sz w:val="22"/>
          <w:szCs w:val="22"/>
          <w:lang w:eastAsia="en-US"/>
        </w:rPr>
      </w:pPr>
      <w:r w:rsidRPr="00A241C7">
        <w:rPr>
          <w:rFonts w:ascii="Arial" w:eastAsia="Calibri" w:hAnsi="Arial" w:cs="Arial"/>
          <w:sz w:val="22"/>
          <w:szCs w:val="22"/>
          <w:lang w:eastAsia="en-US"/>
        </w:rPr>
        <w:t xml:space="preserve">We hold ourselves to account by including people with disability as paid staff, in our membership, and in key board positions.  Our board members have experience in advocacy, institutional living, community legal services, private legal practice, legal aid, accountancy and community work.  QAI is a member of the national Disability Advocacy Network of Australia (DANA) and Combined Advocacy Groups Qld (CAGQ). </w:t>
      </w:r>
    </w:p>
    <w:p w:rsidR="00713139" w:rsidRPr="00A241C7" w:rsidRDefault="0027128F" w:rsidP="0027128F">
      <w:pPr>
        <w:spacing w:after="200" w:line="276" w:lineRule="auto"/>
        <w:jc w:val="both"/>
        <w:rPr>
          <w:rFonts w:ascii="Arial" w:eastAsia="Calibri" w:hAnsi="Arial" w:cs="Arial"/>
          <w:sz w:val="22"/>
          <w:szCs w:val="22"/>
          <w:lang w:eastAsia="en-US"/>
        </w:rPr>
      </w:pPr>
      <w:r w:rsidRPr="00A241C7">
        <w:rPr>
          <w:rFonts w:ascii="Arial" w:eastAsia="Calibri" w:hAnsi="Arial" w:cs="Arial"/>
          <w:sz w:val="22"/>
          <w:szCs w:val="22"/>
          <w:lang w:eastAsia="en-US"/>
        </w:rPr>
        <w:t xml:space="preserve">As well as traditional systems advocacy Queensland Advocacy Incorporated's Human Rights Legal Service provides individual legal advocacy to people with a disability in relation to guardianship, administration, discrimination and restrictive practices and assists people required to appear before the Mental Health Review Tribunal.  We also provide non-legal advocacy to people with disability at risk from the criminal justice system by working with legal and community. </w:t>
      </w:r>
    </w:p>
    <w:p w:rsidR="002830F3" w:rsidRPr="00A241C7" w:rsidRDefault="002830F3" w:rsidP="00487F84">
      <w:pPr>
        <w:spacing w:after="200" w:line="276" w:lineRule="auto"/>
        <w:rPr>
          <w:rFonts w:ascii="Arial" w:hAnsi="Arial" w:cs="Arial"/>
          <w:b/>
          <w:sz w:val="22"/>
          <w:szCs w:val="22"/>
        </w:rPr>
      </w:pPr>
    </w:p>
    <w:p w:rsidR="00487F84" w:rsidRPr="00A241C7" w:rsidRDefault="00487F84" w:rsidP="00BD7097">
      <w:pPr>
        <w:pStyle w:val="IntenseQuote"/>
        <w:rPr>
          <w:rFonts w:ascii="Arial" w:eastAsiaTheme="minorHAnsi" w:hAnsi="Arial" w:cs="Arial"/>
          <w:sz w:val="22"/>
          <w:szCs w:val="22"/>
          <w:lang w:eastAsia="en-US"/>
        </w:rPr>
      </w:pPr>
    </w:p>
    <w:p w:rsidR="00487F84" w:rsidRPr="00A241C7" w:rsidRDefault="00487F84" w:rsidP="00BD7097">
      <w:pPr>
        <w:pStyle w:val="IntenseQuote"/>
        <w:rPr>
          <w:rFonts w:ascii="Arial" w:eastAsiaTheme="minorHAnsi" w:hAnsi="Arial" w:cs="Arial"/>
          <w:sz w:val="22"/>
          <w:szCs w:val="22"/>
          <w:lang w:eastAsia="en-US"/>
        </w:rPr>
      </w:pPr>
      <w:r w:rsidRPr="00A241C7">
        <w:rPr>
          <w:rFonts w:ascii="Arial" w:eastAsiaTheme="minorHAnsi" w:hAnsi="Arial" w:cs="Arial"/>
          <w:sz w:val="22"/>
          <w:szCs w:val="22"/>
          <w:lang w:eastAsia="en-US"/>
        </w:rPr>
        <w:t xml:space="preserve">Why we are submitting on the Draft Report (8 April 2014) </w:t>
      </w:r>
    </w:p>
    <w:p w:rsidR="00487F84" w:rsidRPr="00A241C7" w:rsidRDefault="00487F84" w:rsidP="00487F84">
      <w:pPr>
        <w:spacing w:after="200" w:line="276" w:lineRule="auto"/>
        <w:rPr>
          <w:rFonts w:ascii="Arial" w:eastAsiaTheme="minorHAnsi" w:hAnsi="Arial" w:cs="Arial"/>
          <w:sz w:val="22"/>
          <w:szCs w:val="22"/>
          <w:lang w:eastAsia="en-US"/>
        </w:rPr>
      </w:pPr>
      <w:r w:rsidRPr="00A241C7">
        <w:rPr>
          <w:rFonts w:ascii="Arial" w:eastAsiaTheme="minorHAnsi" w:hAnsi="Arial" w:cs="Arial"/>
          <w:sz w:val="22"/>
          <w:szCs w:val="22"/>
          <w:lang w:eastAsia="en-US"/>
        </w:rPr>
        <w:t>QAI is uniquely placed to make observations about the accessibility of the justice system for people with disabilities, including mental health-related disabilities.  We provide individual legal advocacy in support of persons whose disability is at the centre of their legal issue.  We run two direct-delivery legal services:</w:t>
      </w:r>
    </w:p>
    <w:p w:rsidR="00BD7097" w:rsidRPr="00A241C7" w:rsidRDefault="00BD7097" w:rsidP="00487F84">
      <w:pPr>
        <w:spacing w:after="200" w:line="276" w:lineRule="auto"/>
        <w:rPr>
          <w:rFonts w:ascii="Arial" w:eastAsiaTheme="minorHAnsi" w:hAnsi="Arial" w:cs="Arial"/>
          <w:sz w:val="22"/>
          <w:szCs w:val="22"/>
          <w:lang w:eastAsia="en-US"/>
        </w:rPr>
      </w:pPr>
    </w:p>
    <w:p w:rsidR="00487F84" w:rsidRPr="00A241C7" w:rsidRDefault="00487F84" w:rsidP="00487F84">
      <w:pPr>
        <w:numPr>
          <w:ilvl w:val="0"/>
          <w:numId w:val="26"/>
        </w:numPr>
        <w:spacing w:after="200" w:line="276" w:lineRule="auto"/>
        <w:contextualSpacing/>
        <w:rPr>
          <w:rFonts w:ascii="Arial" w:eastAsiaTheme="minorHAnsi" w:hAnsi="Arial" w:cs="Arial"/>
          <w:b/>
          <w:sz w:val="22"/>
          <w:szCs w:val="22"/>
          <w:lang w:eastAsia="en-US"/>
        </w:rPr>
      </w:pPr>
      <w:r w:rsidRPr="00A241C7">
        <w:rPr>
          <w:rFonts w:ascii="Arial" w:eastAsiaTheme="minorHAnsi" w:hAnsi="Arial" w:cs="Arial"/>
          <w:b/>
          <w:sz w:val="22"/>
          <w:szCs w:val="22"/>
          <w:lang w:eastAsia="en-US"/>
        </w:rPr>
        <w:t>The Human Rights Legal Service (HRLS)</w:t>
      </w:r>
    </w:p>
    <w:p w:rsidR="00BD7097" w:rsidRPr="00A241C7" w:rsidRDefault="00BD7097" w:rsidP="00487F84">
      <w:pPr>
        <w:spacing w:after="200" w:line="276" w:lineRule="auto"/>
        <w:ind w:left="360"/>
        <w:rPr>
          <w:rFonts w:ascii="Arial" w:eastAsiaTheme="minorHAnsi" w:hAnsi="Arial" w:cs="Arial"/>
          <w:sz w:val="22"/>
          <w:szCs w:val="22"/>
          <w:lang w:eastAsia="en-US"/>
        </w:rPr>
      </w:pPr>
    </w:p>
    <w:p w:rsidR="00487F84" w:rsidRPr="00A241C7" w:rsidRDefault="00487F84" w:rsidP="00487F84">
      <w:pPr>
        <w:spacing w:after="200" w:line="276" w:lineRule="auto"/>
        <w:ind w:left="360"/>
        <w:rPr>
          <w:rFonts w:ascii="Arial" w:eastAsiaTheme="minorHAnsi" w:hAnsi="Arial" w:cs="Arial"/>
          <w:sz w:val="22"/>
          <w:szCs w:val="22"/>
          <w:lang w:eastAsia="en-US"/>
        </w:rPr>
      </w:pPr>
      <w:r w:rsidRPr="00A241C7">
        <w:rPr>
          <w:rFonts w:ascii="Arial" w:eastAsiaTheme="minorHAnsi" w:hAnsi="Arial" w:cs="Arial"/>
          <w:sz w:val="22"/>
          <w:szCs w:val="22"/>
          <w:lang w:eastAsia="en-US"/>
        </w:rPr>
        <w:t>The HRLS advocates for people with intellectual disability and/or cognitive impairments (including ABI), or who have a dual diagnosis of intellectual disability/cognitive impairment plus mental illness, who have a profound physical disability, and require legal assistance in-</w:t>
      </w:r>
    </w:p>
    <w:p w:rsidR="00487F84" w:rsidRPr="00A241C7" w:rsidRDefault="00487F84" w:rsidP="00487F84">
      <w:pPr>
        <w:numPr>
          <w:ilvl w:val="0"/>
          <w:numId w:val="27"/>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lastRenderedPageBreak/>
        <w:t>challenging the use of restrictive practices,</w:t>
      </w:r>
      <w:r w:rsidRPr="00A241C7">
        <w:rPr>
          <w:rFonts w:ascii="Arial" w:eastAsiaTheme="minorHAnsi" w:hAnsi="Arial" w:cs="Arial"/>
          <w:sz w:val="22"/>
          <w:szCs w:val="22"/>
          <w:vertAlign w:val="superscript"/>
          <w:lang w:eastAsia="en-US"/>
        </w:rPr>
        <w:footnoteReference w:id="1"/>
      </w:r>
      <w:r w:rsidRPr="00A241C7">
        <w:rPr>
          <w:rFonts w:ascii="Arial" w:eastAsiaTheme="minorHAnsi" w:hAnsi="Arial" w:cs="Arial"/>
          <w:sz w:val="22"/>
          <w:szCs w:val="22"/>
          <w:lang w:eastAsia="en-US"/>
        </w:rPr>
        <w:t xml:space="preserve"> including the use of seclusion, containment and chemical, mechanical and physical restraint;</w:t>
      </w:r>
    </w:p>
    <w:p w:rsidR="00487F84" w:rsidRPr="00A241C7" w:rsidRDefault="00487F84" w:rsidP="00487F84">
      <w:pPr>
        <w:numPr>
          <w:ilvl w:val="0"/>
          <w:numId w:val="27"/>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guardianship and administration matters;</w:t>
      </w:r>
      <w:r w:rsidRPr="00A241C7">
        <w:rPr>
          <w:rFonts w:ascii="Arial" w:eastAsiaTheme="minorHAnsi" w:hAnsi="Arial" w:cs="Arial"/>
          <w:sz w:val="22"/>
          <w:szCs w:val="22"/>
          <w:vertAlign w:val="superscript"/>
          <w:lang w:eastAsia="en-US"/>
        </w:rPr>
        <w:t xml:space="preserve"> </w:t>
      </w:r>
      <w:r w:rsidRPr="00A241C7">
        <w:rPr>
          <w:rFonts w:ascii="Arial" w:eastAsiaTheme="minorHAnsi" w:hAnsi="Arial" w:cs="Arial"/>
          <w:sz w:val="22"/>
          <w:szCs w:val="22"/>
          <w:vertAlign w:val="superscript"/>
          <w:lang w:eastAsia="en-US"/>
        </w:rPr>
        <w:footnoteReference w:id="2"/>
      </w:r>
      <w:r w:rsidRPr="00A241C7">
        <w:rPr>
          <w:rFonts w:ascii="Arial" w:eastAsiaTheme="minorHAnsi" w:hAnsi="Arial" w:cs="Arial"/>
          <w:sz w:val="22"/>
          <w:szCs w:val="22"/>
          <w:vertAlign w:val="superscript"/>
          <w:lang w:eastAsia="en-US"/>
        </w:rPr>
        <w:t xml:space="preserve"> </w:t>
      </w:r>
    </w:p>
    <w:p w:rsidR="00487F84" w:rsidRPr="00A241C7" w:rsidRDefault="00487F84" w:rsidP="00487F84">
      <w:pPr>
        <w:numPr>
          <w:ilvl w:val="0"/>
          <w:numId w:val="27"/>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anti-discrimination matters;</w:t>
      </w:r>
      <w:r w:rsidRPr="00A241C7">
        <w:rPr>
          <w:rFonts w:ascii="Arial" w:eastAsiaTheme="minorHAnsi" w:hAnsi="Arial" w:cs="Arial"/>
          <w:sz w:val="22"/>
          <w:szCs w:val="22"/>
          <w:vertAlign w:val="superscript"/>
          <w:lang w:eastAsia="en-US"/>
        </w:rPr>
        <w:t xml:space="preserve"> </w:t>
      </w:r>
      <w:r w:rsidRPr="00A241C7">
        <w:rPr>
          <w:rFonts w:ascii="Arial" w:eastAsiaTheme="minorHAnsi" w:hAnsi="Arial" w:cs="Arial"/>
          <w:sz w:val="22"/>
          <w:szCs w:val="22"/>
          <w:vertAlign w:val="superscript"/>
          <w:lang w:eastAsia="en-US"/>
        </w:rPr>
        <w:footnoteReference w:id="3"/>
      </w:r>
    </w:p>
    <w:p w:rsidR="00487F84" w:rsidRPr="00A241C7" w:rsidRDefault="00487F84" w:rsidP="00487F84">
      <w:pPr>
        <w:numPr>
          <w:ilvl w:val="0"/>
          <w:numId w:val="27"/>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forensic orders and forensic orders- disability;</w:t>
      </w:r>
    </w:p>
    <w:p w:rsidR="00487F84" w:rsidRPr="00A241C7" w:rsidRDefault="00487F84" w:rsidP="00487F84">
      <w:pPr>
        <w:numPr>
          <w:ilvl w:val="0"/>
          <w:numId w:val="27"/>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health care and life sustaining measures; or</w:t>
      </w:r>
    </w:p>
    <w:p w:rsidR="00487F84" w:rsidRPr="00A241C7" w:rsidRDefault="00487F84" w:rsidP="00487F84">
      <w:pPr>
        <w:numPr>
          <w:ilvl w:val="0"/>
          <w:numId w:val="27"/>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abuse, neglect and serious injury.</w:t>
      </w:r>
    </w:p>
    <w:p w:rsidR="00487F84" w:rsidRPr="00A241C7" w:rsidRDefault="00487F84" w:rsidP="00487F84">
      <w:pPr>
        <w:spacing w:after="200" w:line="276" w:lineRule="auto"/>
        <w:rPr>
          <w:rFonts w:ascii="Arial" w:eastAsiaTheme="minorHAnsi" w:hAnsi="Arial" w:cs="Arial"/>
          <w:sz w:val="22"/>
          <w:szCs w:val="22"/>
          <w:lang w:eastAsia="en-US"/>
        </w:rPr>
      </w:pPr>
    </w:p>
    <w:p w:rsidR="00487F84" w:rsidRPr="00A241C7" w:rsidRDefault="00487F84" w:rsidP="00487F84">
      <w:pPr>
        <w:spacing w:after="200" w:line="276" w:lineRule="auto"/>
        <w:rPr>
          <w:rFonts w:ascii="Arial" w:eastAsiaTheme="minorHAnsi" w:hAnsi="Arial" w:cs="Arial"/>
          <w:sz w:val="22"/>
          <w:szCs w:val="22"/>
          <w:lang w:eastAsia="en-US"/>
        </w:rPr>
      </w:pPr>
      <w:r w:rsidRPr="00A241C7">
        <w:rPr>
          <w:rFonts w:ascii="Arial" w:eastAsiaTheme="minorHAnsi" w:hAnsi="Arial" w:cs="Arial"/>
          <w:sz w:val="22"/>
          <w:szCs w:val="22"/>
          <w:lang w:eastAsia="en-US"/>
        </w:rPr>
        <w:t xml:space="preserve">Much of the work of the HRLS involves representation in administrative tribunals, particularly the Queensland Civil and Administrative Tribunal (QCAT). </w:t>
      </w:r>
      <w:r w:rsidRPr="00A241C7">
        <w:rPr>
          <w:rFonts w:ascii="Arial" w:eastAsiaTheme="minorHAnsi" w:hAnsi="Arial" w:cs="Arial"/>
          <w:sz w:val="22"/>
          <w:szCs w:val="22"/>
          <w:lang w:eastAsia="en-US"/>
        </w:rPr>
        <w:tab/>
      </w:r>
    </w:p>
    <w:p w:rsidR="00BD7097" w:rsidRPr="00A241C7" w:rsidRDefault="00BD7097" w:rsidP="00487F84">
      <w:pPr>
        <w:spacing w:after="200" w:line="276" w:lineRule="auto"/>
        <w:rPr>
          <w:rFonts w:ascii="Arial" w:eastAsiaTheme="minorHAnsi" w:hAnsi="Arial" w:cs="Arial"/>
          <w:sz w:val="22"/>
          <w:szCs w:val="22"/>
          <w:lang w:eastAsia="en-US"/>
        </w:rPr>
      </w:pPr>
    </w:p>
    <w:p w:rsidR="00487F84" w:rsidRPr="00A241C7" w:rsidRDefault="00487F84" w:rsidP="00487F84">
      <w:pPr>
        <w:numPr>
          <w:ilvl w:val="0"/>
          <w:numId w:val="26"/>
        </w:numPr>
        <w:spacing w:after="200" w:line="276" w:lineRule="auto"/>
        <w:contextualSpacing/>
        <w:rPr>
          <w:rFonts w:ascii="Arial" w:eastAsiaTheme="minorHAnsi" w:hAnsi="Arial" w:cs="Arial"/>
          <w:b/>
          <w:sz w:val="22"/>
          <w:szCs w:val="22"/>
          <w:lang w:eastAsia="en-US"/>
        </w:rPr>
      </w:pPr>
      <w:r w:rsidRPr="00A241C7">
        <w:rPr>
          <w:rFonts w:ascii="Arial" w:eastAsiaTheme="minorHAnsi" w:hAnsi="Arial" w:cs="Arial"/>
          <w:b/>
          <w:sz w:val="22"/>
          <w:szCs w:val="22"/>
          <w:lang w:eastAsia="en-US"/>
        </w:rPr>
        <w:t>The Mental Health Legal Service (MHLS)-</w:t>
      </w:r>
    </w:p>
    <w:p w:rsidR="00BD7097" w:rsidRPr="00A241C7" w:rsidRDefault="00BD7097" w:rsidP="00487F84">
      <w:pPr>
        <w:spacing w:after="200" w:line="276" w:lineRule="auto"/>
        <w:rPr>
          <w:rFonts w:ascii="Arial" w:eastAsiaTheme="minorHAnsi" w:hAnsi="Arial" w:cs="Arial"/>
          <w:sz w:val="22"/>
          <w:szCs w:val="22"/>
          <w:lang w:eastAsia="en-US"/>
        </w:rPr>
      </w:pPr>
    </w:p>
    <w:p w:rsidR="00487F84" w:rsidRPr="00A241C7" w:rsidRDefault="00487F84" w:rsidP="00487F84">
      <w:pPr>
        <w:spacing w:after="200" w:line="276" w:lineRule="auto"/>
        <w:rPr>
          <w:rFonts w:ascii="Arial" w:eastAsiaTheme="minorHAnsi" w:hAnsi="Arial" w:cs="Arial"/>
          <w:sz w:val="22"/>
          <w:szCs w:val="22"/>
          <w:lang w:eastAsia="en-US"/>
        </w:rPr>
      </w:pPr>
      <w:r w:rsidRPr="00A241C7">
        <w:rPr>
          <w:rFonts w:ascii="Arial" w:eastAsiaTheme="minorHAnsi" w:hAnsi="Arial" w:cs="Arial"/>
          <w:sz w:val="22"/>
          <w:szCs w:val="22"/>
          <w:lang w:eastAsia="en-US"/>
        </w:rPr>
        <w:t>The MHLS provides advice and representation to people who have matters before the Mental Health Review Tribunal (MHRT)</w:t>
      </w:r>
      <w:r w:rsidRPr="00A241C7">
        <w:rPr>
          <w:rFonts w:ascii="Arial" w:eastAsiaTheme="minorHAnsi" w:hAnsi="Arial" w:cs="Arial"/>
          <w:b/>
          <w:sz w:val="22"/>
          <w:szCs w:val="22"/>
          <w:vertAlign w:val="superscript"/>
          <w:lang w:eastAsia="en-US"/>
        </w:rPr>
        <w:t xml:space="preserve"> </w:t>
      </w:r>
      <w:r w:rsidRPr="00A241C7">
        <w:rPr>
          <w:rFonts w:ascii="Arial" w:eastAsiaTheme="minorHAnsi" w:hAnsi="Arial" w:cs="Arial"/>
          <w:b/>
          <w:sz w:val="22"/>
          <w:szCs w:val="22"/>
          <w:vertAlign w:val="superscript"/>
          <w:lang w:eastAsia="en-US"/>
        </w:rPr>
        <w:footnoteReference w:id="4"/>
      </w:r>
      <w:r w:rsidRPr="00A241C7">
        <w:rPr>
          <w:rFonts w:ascii="Arial" w:eastAsiaTheme="minorHAnsi" w:hAnsi="Arial" w:cs="Arial"/>
          <w:sz w:val="22"/>
          <w:szCs w:val="22"/>
          <w:lang w:eastAsia="en-US"/>
        </w:rPr>
        <w:t xml:space="preserve"> including:</w:t>
      </w:r>
    </w:p>
    <w:p w:rsidR="00487F84" w:rsidRPr="00A241C7" w:rsidRDefault="00487F84" w:rsidP="00487F84">
      <w:pPr>
        <w:numPr>
          <w:ilvl w:val="0"/>
          <w:numId w:val="28"/>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reviews of involuntary treatment orders (ITOs);</w:t>
      </w:r>
    </w:p>
    <w:p w:rsidR="00487F84" w:rsidRPr="00A241C7" w:rsidRDefault="00487F84" w:rsidP="00487F84">
      <w:pPr>
        <w:numPr>
          <w:ilvl w:val="0"/>
          <w:numId w:val="28"/>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fitness to plea;</w:t>
      </w:r>
    </w:p>
    <w:p w:rsidR="00487F84" w:rsidRPr="00A241C7" w:rsidRDefault="00487F84" w:rsidP="00487F84">
      <w:pPr>
        <w:numPr>
          <w:ilvl w:val="0"/>
          <w:numId w:val="28"/>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reviews of forensic orders (FOs);</w:t>
      </w:r>
    </w:p>
    <w:p w:rsidR="00487F84" w:rsidRPr="00A241C7" w:rsidRDefault="00487F84" w:rsidP="00487F84">
      <w:pPr>
        <w:numPr>
          <w:ilvl w:val="0"/>
          <w:numId w:val="28"/>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 xml:space="preserve">applications for electroconvulsive therapy (ECT); and </w:t>
      </w:r>
    </w:p>
    <w:p w:rsidR="00487F84" w:rsidRPr="00A241C7" w:rsidRDefault="00487F84" w:rsidP="00487F84">
      <w:pPr>
        <w:numPr>
          <w:ilvl w:val="0"/>
          <w:numId w:val="28"/>
        </w:numPr>
        <w:spacing w:after="200" w:line="276" w:lineRule="auto"/>
        <w:contextualSpacing/>
        <w:rPr>
          <w:rFonts w:ascii="Arial" w:eastAsiaTheme="minorHAnsi" w:hAnsi="Arial" w:cs="Arial"/>
          <w:sz w:val="22"/>
          <w:szCs w:val="22"/>
          <w:lang w:eastAsia="en-US"/>
        </w:rPr>
      </w:pPr>
      <w:r w:rsidRPr="00A241C7">
        <w:rPr>
          <w:rFonts w:ascii="Arial" w:eastAsiaTheme="minorHAnsi" w:hAnsi="Arial" w:cs="Arial"/>
          <w:sz w:val="22"/>
          <w:szCs w:val="22"/>
          <w:lang w:eastAsia="en-US"/>
        </w:rPr>
        <w:t>applications by involuntary patients who wish to move out of Queensland.</w:t>
      </w:r>
    </w:p>
    <w:p w:rsidR="00BD7097" w:rsidRPr="00A241C7" w:rsidRDefault="00EB75F3" w:rsidP="003C5E3B">
      <w:pPr>
        <w:rPr>
          <w:rFonts w:ascii="Arial" w:eastAsiaTheme="minorHAnsi" w:hAnsi="Arial" w:cs="Arial"/>
          <w:b/>
          <w:sz w:val="22"/>
          <w:szCs w:val="22"/>
          <w:lang w:eastAsia="en-US"/>
        </w:rPr>
      </w:pPr>
      <w:r w:rsidRPr="00A241C7">
        <w:rPr>
          <w:rFonts w:ascii="Arial" w:eastAsiaTheme="minorHAnsi" w:hAnsi="Arial" w:cs="Arial"/>
          <w:b/>
          <w:sz w:val="22"/>
          <w:szCs w:val="22"/>
          <w:lang w:eastAsia="en-US"/>
        </w:rPr>
        <w:br w:type="page"/>
      </w:r>
    </w:p>
    <w:p w:rsidR="00BD7097" w:rsidRPr="00A241C7" w:rsidRDefault="00BD7097" w:rsidP="003C5E3B">
      <w:pPr>
        <w:rPr>
          <w:rFonts w:ascii="Arial" w:eastAsiaTheme="minorHAnsi" w:hAnsi="Arial" w:cs="Arial"/>
          <w:b/>
          <w:sz w:val="22"/>
          <w:szCs w:val="22"/>
          <w:lang w:eastAsia="en-US"/>
        </w:rPr>
      </w:pPr>
    </w:p>
    <w:p w:rsidR="00BD7097" w:rsidRPr="00A241C7" w:rsidRDefault="00BD7097" w:rsidP="003C5E3B">
      <w:pPr>
        <w:rPr>
          <w:rFonts w:ascii="Arial" w:eastAsiaTheme="minorHAnsi" w:hAnsi="Arial" w:cs="Arial"/>
          <w:b/>
          <w:sz w:val="22"/>
          <w:szCs w:val="22"/>
          <w:lang w:eastAsia="en-US"/>
        </w:rPr>
      </w:pPr>
    </w:p>
    <w:p w:rsidR="00447A52" w:rsidRPr="00A241C7" w:rsidRDefault="00447A52" w:rsidP="003C5E3B">
      <w:pPr>
        <w:rPr>
          <w:rFonts w:ascii="Arial" w:eastAsia="Calibri" w:hAnsi="Arial" w:cs="Arial"/>
          <w:b/>
          <w:sz w:val="22"/>
          <w:szCs w:val="22"/>
          <w:lang w:eastAsia="en-US"/>
        </w:rPr>
      </w:pPr>
    </w:p>
    <w:p w:rsidR="00447A52" w:rsidRPr="00A241C7" w:rsidRDefault="00447A52" w:rsidP="003C5E3B">
      <w:pPr>
        <w:rPr>
          <w:rFonts w:ascii="Arial" w:eastAsia="Calibri" w:hAnsi="Arial" w:cs="Arial"/>
          <w:b/>
          <w:sz w:val="22"/>
          <w:szCs w:val="22"/>
          <w:lang w:eastAsia="en-US"/>
        </w:rPr>
      </w:pPr>
    </w:p>
    <w:p w:rsidR="00447A52" w:rsidRPr="00A241C7" w:rsidRDefault="00447A52" w:rsidP="003072F5">
      <w:pPr>
        <w:pStyle w:val="IntenseQuote"/>
        <w:rPr>
          <w:rFonts w:ascii="Arial" w:eastAsia="Calibri" w:hAnsi="Arial" w:cs="Arial"/>
          <w:sz w:val="22"/>
          <w:szCs w:val="22"/>
          <w:lang w:eastAsia="en-US"/>
        </w:rPr>
      </w:pPr>
    </w:p>
    <w:p w:rsidR="00BC34CC" w:rsidRPr="00A241C7" w:rsidRDefault="00BD7097" w:rsidP="003072F5">
      <w:pPr>
        <w:pStyle w:val="IntenseQuote"/>
        <w:rPr>
          <w:rFonts w:ascii="Arial" w:eastAsia="Calibri" w:hAnsi="Arial" w:cs="Arial"/>
          <w:sz w:val="22"/>
          <w:szCs w:val="22"/>
          <w:lang w:eastAsia="en-US"/>
        </w:rPr>
      </w:pPr>
      <w:r w:rsidRPr="00A241C7">
        <w:rPr>
          <w:rFonts w:ascii="Arial" w:eastAsia="Calibri" w:hAnsi="Arial" w:cs="Arial"/>
          <w:sz w:val="22"/>
          <w:szCs w:val="22"/>
          <w:lang w:eastAsia="en-US"/>
        </w:rPr>
        <w:t>Additional Submission</w:t>
      </w:r>
    </w:p>
    <w:p w:rsidR="00C3045E" w:rsidRPr="00A241C7" w:rsidRDefault="00C3045E" w:rsidP="00EB75F3">
      <w:pPr>
        <w:spacing w:line="360" w:lineRule="auto"/>
        <w:rPr>
          <w:rFonts w:ascii="Arial" w:eastAsia="Calibri" w:hAnsi="Arial" w:cs="Arial"/>
          <w:sz w:val="22"/>
          <w:szCs w:val="22"/>
          <w:lang w:eastAsia="en-US"/>
        </w:rPr>
      </w:pPr>
    </w:p>
    <w:p w:rsidR="00BB5093" w:rsidRPr="00A241C7" w:rsidRDefault="00C3045E" w:rsidP="00EB75F3">
      <w:pPr>
        <w:spacing w:line="360" w:lineRule="auto"/>
        <w:rPr>
          <w:rFonts w:ascii="Arial" w:eastAsia="Calibri" w:hAnsi="Arial" w:cs="Arial"/>
          <w:i/>
          <w:sz w:val="22"/>
          <w:szCs w:val="22"/>
          <w:lang w:eastAsia="en-US"/>
        </w:rPr>
      </w:pPr>
      <w:r w:rsidRPr="00A241C7">
        <w:rPr>
          <w:rFonts w:ascii="Arial" w:eastAsia="Calibri" w:hAnsi="Arial" w:cs="Arial"/>
          <w:sz w:val="22"/>
          <w:szCs w:val="22"/>
          <w:lang w:eastAsia="en-US"/>
        </w:rPr>
        <w:t xml:space="preserve">In the </w:t>
      </w:r>
      <w:r w:rsidRPr="00A241C7">
        <w:rPr>
          <w:rFonts w:ascii="Arial" w:eastAsia="Calibri" w:hAnsi="Arial" w:cs="Arial"/>
          <w:i/>
          <w:sz w:val="22"/>
          <w:szCs w:val="22"/>
          <w:lang w:eastAsia="en-US"/>
        </w:rPr>
        <w:t>Access to Justice Arrangements -  Draft Report 8 April 2014</w:t>
      </w:r>
      <w:r w:rsidRPr="00A241C7">
        <w:rPr>
          <w:rFonts w:ascii="Arial" w:eastAsia="Calibri" w:hAnsi="Arial" w:cs="Arial"/>
          <w:sz w:val="22"/>
          <w:szCs w:val="22"/>
          <w:lang w:eastAsia="en-US"/>
        </w:rPr>
        <w:t xml:space="preserve"> (‘Draft Report’) -  the Productivity Commission  (PC)  accepts that representation is desirable </w:t>
      </w:r>
      <w:r w:rsidRPr="00A241C7">
        <w:rPr>
          <w:rFonts w:ascii="Arial" w:eastAsia="Calibri" w:hAnsi="Arial" w:cs="Arial"/>
          <w:i/>
          <w:sz w:val="22"/>
          <w:szCs w:val="22"/>
          <w:lang w:eastAsia="en-US"/>
        </w:rPr>
        <w:t>where it secures fairness and equity</w:t>
      </w:r>
      <w:r w:rsidR="00BB5093" w:rsidRPr="00A241C7">
        <w:rPr>
          <w:rFonts w:ascii="Arial" w:eastAsia="Calibri" w:hAnsi="Arial" w:cs="Arial"/>
          <w:i/>
          <w:sz w:val="22"/>
          <w:szCs w:val="22"/>
          <w:lang w:eastAsia="en-US"/>
        </w:rPr>
        <w:t>:</w:t>
      </w:r>
    </w:p>
    <w:p w:rsidR="00BB5093" w:rsidRPr="00A241C7" w:rsidRDefault="00BB5093" w:rsidP="00EB75F3">
      <w:pPr>
        <w:spacing w:line="360" w:lineRule="auto"/>
        <w:rPr>
          <w:rFonts w:ascii="Arial" w:eastAsia="Calibri" w:hAnsi="Arial" w:cs="Arial"/>
          <w:i/>
          <w:sz w:val="22"/>
          <w:szCs w:val="22"/>
          <w:lang w:eastAsia="en-US"/>
        </w:rPr>
      </w:pPr>
    </w:p>
    <w:p w:rsidR="00BB5093" w:rsidRPr="00A241C7" w:rsidRDefault="00BB5093" w:rsidP="00BD7097">
      <w:pPr>
        <w:ind w:left="1134"/>
        <w:rPr>
          <w:rFonts w:ascii="Arial" w:eastAsia="Calibri" w:hAnsi="Arial" w:cs="Arial"/>
          <w:sz w:val="22"/>
          <w:szCs w:val="22"/>
          <w:lang w:eastAsia="en-US"/>
        </w:rPr>
      </w:pPr>
      <w:r w:rsidRPr="00A241C7">
        <w:rPr>
          <w:rFonts w:ascii="Arial" w:eastAsia="Calibri" w:hAnsi="Arial" w:cs="Arial"/>
          <w:sz w:val="22"/>
          <w:szCs w:val="22"/>
          <w:lang w:eastAsia="en-US"/>
        </w:rPr>
        <w:t xml:space="preserve">the Commission also accepts that some degree of representation is inevitable and indeed desirable. For example, where representation would facilitate the identification and resolution of the issues, or where it might be required to </w:t>
      </w:r>
      <w:r w:rsidRPr="00A241C7">
        <w:rPr>
          <w:rFonts w:ascii="Arial" w:eastAsia="Calibri" w:hAnsi="Arial" w:cs="Arial"/>
          <w:i/>
          <w:sz w:val="22"/>
          <w:szCs w:val="22"/>
          <w:lang w:eastAsia="en-US"/>
        </w:rPr>
        <w:t>facilitate fairness and equity</w:t>
      </w:r>
      <w:r w:rsidRPr="00A241C7">
        <w:rPr>
          <w:rFonts w:ascii="Arial" w:eastAsia="Calibri" w:hAnsi="Arial" w:cs="Arial"/>
          <w:sz w:val="22"/>
          <w:szCs w:val="22"/>
          <w:lang w:eastAsia="en-US"/>
        </w:rPr>
        <w:t>, such as in specialist tribunals dealing with adult guardianship and mental health issues.</w:t>
      </w:r>
      <w:r w:rsidRPr="00A241C7">
        <w:rPr>
          <w:rStyle w:val="FootnoteReference"/>
          <w:rFonts w:ascii="Arial" w:eastAsia="Calibri" w:hAnsi="Arial" w:cs="Arial"/>
          <w:szCs w:val="22"/>
          <w:lang w:eastAsia="en-US"/>
        </w:rPr>
        <w:footnoteReference w:id="5"/>
      </w:r>
    </w:p>
    <w:p w:rsidR="00BB5093" w:rsidRPr="00A241C7" w:rsidRDefault="00BB5093" w:rsidP="00EB75F3">
      <w:pPr>
        <w:spacing w:line="360" w:lineRule="auto"/>
        <w:rPr>
          <w:rFonts w:ascii="Arial" w:eastAsia="Calibri" w:hAnsi="Arial" w:cs="Arial"/>
          <w:i/>
          <w:sz w:val="22"/>
          <w:szCs w:val="22"/>
          <w:lang w:eastAsia="en-US"/>
        </w:rPr>
      </w:pPr>
    </w:p>
    <w:p w:rsidR="00BD7097" w:rsidRPr="00A241C7" w:rsidRDefault="00BD7097" w:rsidP="00EB75F3">
      <w:pPr>
        <w:spacing w:line="360" w:lineRule="auto"/>
        <w:rPr>
          <w:rFonts w:ascii="Arial" w:eastAsia="Calibri" w:hAnsi="Arial" w:cs="Arial"/>
          <w:sz w:val="22"/>
          <w:szCs w:val="22"/>
          <w:lang w:eastAsia="en-US"/>
        </w:rPr>
      </w:pPr>
    </w:p>
    <w:p w:rsidR="00C3045E" w:rsidRPr="00A241C7" w:rsidRDefault="00BB5093" w:rsidP="00EB75F3">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The </w:t>
      </w:r>
      <w:r w:rsidRPr="00A241C7">
        <w:rPr>
          <w:rFonts w:ascii="Arial" w:eastAsia="Calibri" w:hAnsi="Arial" w:cs="Arial"/>
          <w:i/>
          <w:sz w:val="22"/>
          <w:szCs w:val="22"/>
          <w:lang w:eastAsia="en-US"/>
        </w:rPr>
        <w:t xml:space="preserve">Draft Report </w:t>
      </w:r>
      <w:r w:rsidR="00BD7097" w:rsidRPr="00A241C7">
        <w:rPr>
          <w:rFonts w:ascii="Arial" w:eastAsia="Calibri" w:hAnsi="Arial" w:cs="Arial"/>
          <w:sz w:val="22"/>
          <w:szCs w:val="22"/>
          <w:lang w:eastAsia="en-US"/>
        </w:rPr>
        <w:t xml:space="preserve">also </w:t>
      </w:r>
      <w:r w:rsidRPr="00A241C7">
        <w:rPr>
          <w:rFonts w:ascii="Arial" w:eastAsia="Calibri" w:hAnsi="Arial" w:cs="Arial"/>
          <w:sz w:val="22"/>
          <w:szCs w:val="22"/>
          <w:lang w:eastAsia="en-US"/>
        </w:rPr>
        <w:t>suggests</w:t>
      </w:r>
      <w:r w:rsidR="00C3045E" w:rsidRPr="00A241C7">
        <w:rPr>
          <w:rFonts w:ascii="Arial" w:eastAsia="Calibri" w:hAnsi="Arial" w:cs="Arial"/>
          <w:sz w:val="22"/>
          <w:szCs w:val="22"/>
          <w:lang w:eastAsia="en-US"/>
        </w:rPr>
        <w:t xml:space="preserve"> that representatives should be required to support the objectives of the tribunals in which they are seeking leave to appear</w:t>
      </w:r>
      <w:r w:rsidR="00BD7097" w:rsidRPr="00A241C7">
        <w:rPr>
          <w:rFonts w:ascii="Arial" w:eastAsia="Calibri" w:hAnsi="Arial" w:cs="Arial"/>
          <w:sz w:val="22"/>
          <w:szCs w:val="22"/>
          <w:lang w:eastAsia="en-US"/>
        </w:rPr>
        <w:t>, and</w:t>
      </w:r>
      <w:r w:rsidR="00C3045E" w:rsidRPr="00A241C7">
        <w:rPr>
          <w:rFonts w:ascii="Arial" w:eastAsia="Calibri" w:hAnsi="Arial" w:cs="Arial"/>
          <w:sz w:val="22"/>
          <w:szCs w:val="22"/>
          <w:lang w:eastAsia="en-US"/>
        </w:rPr>
        <w:t xml:space="preserve"> that easier access to alternative dispute resolution (ADR) and more user-friendly arrangements for self-represented litigants will greatly reduce the need for representation in the first place.  </w:t>
      </w:r>
      <w:r w:rsidR="00BD7097" w:rsidRPr="00A241C7">
        <w:rPr>
          <w:rFonts w:ascii="Arial" w:eastAsia="Calibri" w:hAnsi="Arial" w:cs="Arial"/>
          <w:sz w:val="22"/>
          <w:szCs w:val="22"/>
          <w:lang w:eastAsia="en-US"/>
        </w:rPr>
        <w:t>These are the points we want to address here.</w:t>
      </w:r>
    </w:p>
    <w:p w:rsidR="00BD7097" w:rsidRPr="00A241C7" w:rsidRDefault="00BD7097" w:rsidP="00EB75F3">
      <w:pPr>
        <w:spacing w:line="360" w:lineRule="auto"/>
        <w:rPr>
          <w:rFonts w:ascii="Arial" w:eastAsia="Calibri" w:hAnsi="Arial" w:cs="Arial"/>
          <w:sz w:val="22"/>
          <w:szCs w:val="22"/>
          <w:lang w:eastAsia="en-US"/>
        </w:rPr>
      </w:pPr>
    </w:p>
    <w:p w:rsidR="00C3045E" w:rsidRPr="00A241C7" w:rsidRDefault="00C3045E" w:rsidP="00EB75F3">
      <w:pPr>
        <w:spacing w:line="360" w:lineRule="auto"/>
        <w:rPr>
          <w:rFonts w:ascii="Arial" w:eastAsia="Calibri" w:hAnsi="Arial" w:cs="Arial"/>
          <w:sz w:val="22"/>
          <w:szCs w:val="22"/>
          <w:lang w:eastAsia="en-US"/>
        </w:rPr>
      </w:pPr>
    </w:p>
    <w:p w:rsidR="00447A52" w:rsidRPr="00A241C7" w:rsidRDefault="00447A52" w:rsidP="00EB75F3">
      <w:pPr>
        <w:spacing w:line="360" w:lineRule="auto"/>
        <w:rPr>
          <w:rFonts w:ascii="Arial" w:eastAsia="Calibri" w:hAnsi="Arial" w:cs="Arial"/>
          <w:sz w:val="22"/>
          <w:szCs w:val="22"/>
          <w:lang w:eastAsia="en-US"/>
        </w:rPr>
      </w:pPr>
    </w:p>
    <w:p w:rsidR="00447A52" w:rsidRPr="00A241C7" w:rsidRDefault="00447A52" w:rsidP="00EB75F3">
      <w:pPr>
        <w:spacing w:line="360" w:lineRule="auto"/>
        <w:rPr>
          <w:rFonts w:ascii="Arial" w:eastAsia="Calibri" w:hAnsi="Arial" w:cs="Arial"/>
          <w:sz w:val="22"/>
          <w:szCs w:val="22"/>
          <w:lang w:eastAsia="en-US"/>
        </w:rPr>
      </w:pPr>
    </w:p>
    <w:p w:rsidR="00BD7097" w:rsidRPr="00A241C7" w:rsidRDefault="00BD7097" w:rsidP="00BD7097">
      <w:pPr>
        <w:pStyle w:val="IntenseQuote"/>
        <w:rPr>
          <w:rFonts w:ascii="Arial" w:eastAsia="Calibri" w:hAnsi="Arial" w:cs="Arial"/>
          <w:sz w:val="22"/>
          <w:szCs w:val="22"/>
          <w:lang w:eastAsia="en-US"/>
        </w:rPr>
      </w:pPr>
      <w:r w:rsidRPr="00A241C7">
        <w:rPr>
          <w:rFonts w:ascii="Arial" w:eastAsia="Calibri" w:hAnsi="Arial" w:cs="Arial"/>
          <w:sz w:val="22"/>
          <w:szCs w:val="22"/>
          <w:lang w:eastAsia="en-US"/>
        </w:rPr>
        <w:t>Fairness and Equity</w:t>
      </w:r>
    </w:p>
    <w:p w:rsidR="00BD7097" w:rsidRPr="00A241C7" w:rsidRDefault="00BD7097" w:rsidP="00EB75F3">
      <w:pPr>
        <w:spacing w:line="360" w:lineRule="auto"/>
        <w:rPr>
          <w:rFonts w:ascii="Arial" w:eastAsia="Calibri" w:hAnsi="Arial" w:cs="Arial"/>
          <w:sz w:val="22"/>
          <w:szCs w:val="22"/>
          <w:lang w:eastAsia="en-US"/>
        </w:rPr>
      </w:pPr>
    </w:p>
    <w:p w:rsidR="00482E08" w:rsidRPr="00A241C7" w:rsidRDefault="00C3045E" w:rsidP="00EB75F3">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While </w:t>
      </w:r>
      <w:r w:rsidR="003B57C1" w:rsidRPr="00A241C7">
        <w:rPr>
          <w:rFonts w:ascii="Arial" w:eastAsia="Calibri" w:hAnsi="Arial" w:cs="Arial"/>
          <w:sz w:val="22"/>
          <w:szCs w:val="22"/>
          <w:lang w:eastAsia="en-US"/>
        </w:rPr>
        <w:t>we agree</w:t>
      </w:r>
      <w:r w:rsidRPr="00A241C7">
        <w:rPr>
          <w:rFonts w:ascii="Arial" w:eastAsia="Calibri" w:hAnsi="Arial" w:cs="Arial"/>
          <w:sz w:val="22"/>
          <w:szCs w:val="22"/>
          <w:lang w:eastAsia="en-US"/>
        </w:rPr>
        <w:t xml:space="preserve"> that alternative dispute resolution and user-f</w:t>
      </w:r>
      <w:r w:rsidR="00217CDD" w:rsidRPr="00A241C7">
        <w:rPr>
          <w:rFonts w:ascii="Arial" w:eastAsia="Calibri" w:hAnsi="Arial" w:cs="Arial"/>
          <w:sz w:val="22"/>
          <w:szCs w:val="22"/>
          <w:lang w:eastAsia="en-US"/>
        </w:rPr>
        <w:t xml:space="preserve">riendly arrangements will work </w:t>
      </w:r>
      <w:r w:rsidR="00234578" w:rsidRPr="00A241C7">
        <w:rPr>
          <w:rFonts w:ascii="Arial" w:eastAsia="Calibri" w:hAnsi="Arial" w:cs="Arial"/>
          <w:sz w:val="22"/>
          <w:szCs w:val="22"/>
          <w:lang w:eastAsia="en-US"/>
        </w:rPr>
        <w:t>for consumer</w:t>
      </w:r>
      <w:r w:rsidRPr="00A241C7">
        <w:rPr>
          <w:rFonts w:ascii="Arial" w:eastAsia="Calibri" w:hAnsi="Arial" w:cs="Arial"/>
          <w:sz w:val="22"/>
          <w:szCs w:val="22"/>
          <w:lang w:eastAsia="en-US"/>
        </w:rPr>
        <w:t xml:space="preserve"> credit/debt, family and neighbourhood type disputes,</w:t>
      </w:r>
      <w:r w:rsidR="003B57C1" w:rsidRPr="00A241C7">
        <w:rPr>
          <w:rFonts w:ascii="Arial" w:eastAsia="Calibri" w:hAnsi="Arial" w:cs="Arial"/>
          <w:sz w:val="22"/>
          <w:szCs w:val="22"/>
          <w:lang w:eastAsia="en-US"/>
        </w:rPr>
        <w:t xml:space="preserve"> there are other </w:t>
      </w:r>
      <w:r w:rsidR="00234578" w:rsidRPr="00A241C7">
        <w:rPr>
          <w:rFonts w:ascii="Arial" w:eastAsia="Calibri" w:hAnsi="Arial" w:cs="Arial"/>
          <w:sz w:val="22"/>
          <w:szCs w:val="22"/>
          <w:lang w:eastAsia="en-US"/>
        </w:rPr>
        <w:t xml:space="preserve">civil </w:t>
      </w:r>
      <w:r w:rsidR="003B57C1" w:rsidRPr="00A241C7">
        <w:rPr>
          <w:rFonts w:ascii="Arial" w:eastAsia="Calibri" w:hAnsi="Arial" w:cs="Arial"/>
          <w:sz w:val="22"/>
          <w:szCs w:val="22"/>
          <w:lang w:eastAsia="en-US"/>
        </w:rPr>
        <w:t xml:space="preserve">disputes in relation to people with disabilities and mental illness that are </w:t>
      </w:r>
      <w:r w:rsidR="003B57C1" w:rsidRPr="00A241C7">
        <w:rPr>
          <w:rFonts w:ascii="Arial" w:eastAsia="Calibri" w:hAnsi="Arial" w:cs="Arial"/>
          <w:i/>
          <w:sz w:val="22"/>
          <w:szCs w:val="22"/>
          <w:lang w:eastAsia="en-US"/>
        </w:rPr>
        <w:t>qualitatively different</w:t>
      </w:r>
      <w:r w:rsidR="003B57C1" w:rsidRPr="00A241C7">
        <w:rPr>
          <w:rFonts w:ascii="Arial" w:eastAsia="Calibri" w:hAnsi="Arial" w:cs="Arial"/>
          <w:sz w:val="22"/>
          <w:szCs w:val="22"/>
          <w:lang w:eastAsia="en-US"/>
        </w:rPr>
        <w:t xml:space="preserve"> in </w:t>
      </w:r>
      <w:r w:rsidR="00EB75F3" w:rsidRPr="00A241C7">
        <w:rPr>
          <w:rFonts w:ascii="Arial" w:eastAsia="Calibri" w:hAnsi="Arial" w:cs="Arial"/>
          <w:sz w:val="22"/>
          <w:szCs w:val="22"/>
          <w:lang w:eastAsia="en-US"/>
        </w:rPr>
        <w:t>their conduct</w:t>
      </w:r>
      <w:r w:rsidR="003B57C1" w:rsidRPr="00A241C7">
        <w:rPr>
          <w:rFonts w:ascii="Arial" w:eastAsia="Calibri" w:hAnsi="Arial" w:cs="Arial"/>
          <w:sz w:val="22"/>
          <w:szCs w:val="22"/>
          <w:lang w:eastAsia="en-US"/>
        </w:rPr>
        <w:t xml:space="preserve"> and</w:t>
      </w:r>
      <w:r w:rsidR="00BB5093" w:rsidRPr="00A241C7">
        <w:rPr>
          <w:rFonts w:ascii="Arial" w:eastAsia="Calibri" w:hAnsi="Arial" w:cs="Arial"/>
          <w:sz w:val="22"/>
          <w:szCs w:val="22"/>
          <w:lang w:eastAsia="en-US"/>
        </w:rPr>
        <w:t xml:space="preserve"> particularly</w:t>
      </w:r>
      <w:r w:rsidR="003B57C1" w:rsidRPr="00A241C7">
        <w:rPr>
          <w:rFonts w:ascii="Arial" w:eastAsia="Calibri" w:hAnsi="Arial" w:cs="Arial"/>
          <w:sz w:val="22"/>
          <w:szCs w:val="22"/>
          <w:lang w:eastAsia="en-US"/>
        </w:rPr>
        <w:t xml:space="preserve"> </w:t>
      </w:r>
      <w:r w:rsidR="00482E08" w:rsidRPr="00A241C7">
        <w:rPr>
          <w:rFonts w:ascii="Arial" w:eastAsia="Calibri" w:hAnsi="Arial" w:cs="Arial"/>
          <w:sz w:val="22"/>
          <w:szCs w:val="22"/>
          <w:lang w:eastAsia="en-US"/>
        </w:rPr>
        <w:t xml:space="preserve">in </w:t>
      </w:r>
      <w:r w:rsidR="003B57C1" w:rsidRPr="00A241C7">
        <w:rPr>
          <w:rFonts w:ascii="Arial" w:eastAsia="Calibri" w:hAnsi="Arial" w:cs="Arial"/>
          <w:sz w:val="22"/>
          <w:szCs w:val="22"/>
          <w:lang w:eastAsia="en-US"/>
        </w:rPr>
        <w:t xml:space="preserve">their outcomes.   </w:t>
      </w:r>
      <w:r w:rsidRPr="00A241C7">
        <w:rPr>
          <w:rFonts w:ascii="Arial" w:eastAsia="Calibri" w:hAnsi="Arial" w:cs="Arial"/>
          <w:sz w:val="22"/>
          <w:szCs w:val="22"/>
          <w:lang w:eastAsia="en-US"/>
        </w:rPr>
        <w:t xml:space="preserve"> </w:t>
      </w:r>
      <w:r w:rsidR="003B57C1" w:rsidRPr="00A241C7">
        <w:rPr>
          <w:rFonts w:ascii="Arial" w:eastAsia="Calibri" w:hAnsi="Arial" w:cs="Arial"/>
          <w:sz w:val="22"/>
          <w:szCs w:val="22"/>
          <w:lang w:eastAsia="en-US"/>
        </w:rPr>
        <w:t>F</w:t>
      </w:r>
      <w:r w:rsidRPr="00A241C7">
        <w:rPr>
          <w:rFonts w:ascii="Arial" w:eastAsia="Calibri" w:hAnsi="Arial" w:cs="Arial"/>
          <w:sz w:val="22"/>
          <w:szCs w:val="22"/>
          <w:lang w:eastAsia="en-US"/>
        </w:rPr>
        <w:t xml:space="preserve">undamental </w:t>
      </w:r>
      <w:r w:rsidR="00482E08" w:rsidRPr="00A241C7">
        <w:rPr>
          <w:rFonts w:ascii="Arial" w:eastAsia="Calibri" w:hAnsi="Arial" w:cs="Arial"/>
          <w:sz w:val="22"/>
          <w:szCs w:val="22"/>
          <w:lang w:eastAsia="en-US"/>
        </w:rPr>
        <w:t xml:space="preserve">human rights-based matters involving </w:t>
      </w:r>
      <w:r w:rsidR="00234578" w:rsidRPr="00A241C7">
        <w:rPr>
          <w:rFonts w:ascii="Arial" w:eastAsia="Calibri" w:hAnsi="Arial" w:cs="Arial"/>
          <w:sz w:val="22"/>
          <w:szCs w:val="22"/>
          <w:lang w:eastAsia="en-US"/>
        </w:rPr>
        <w:t xml:space="preserve">the civil </w:t>
      </w:r>
      <w:r w:rsidR="00234578" w:rsidRPr="00A241C7">
        <w:rPr>
          <w:rFonts w:ascii="Arial" w:eastAsia="Calibri" w:hAnsi="Arial" w:cs="Arial"/>
          <w:sz w:val="22"/>
          <w:szCs w:val="22"/>
          <w:lang w:eastAsia="en-US"/>
        </w:rPr>
        <w:lastRenderedPageBreak/>
        <w:t xml:space="preserve">restraint and detention of </w:t>
      </w:r>
      <w:r w:rsidR="00482E08" w:rsidRPr="00A241C7">
        <w:rPr>
          <w:rFonts w:ascii="Arial" w:eastAsia="Calibri" w:hAnsi="Arial" w:cs="Arial"/>
          <w:sz w:val="22"/>
          <w:szCs w:val="22"/>
          <w:lang w:eastAsia="en-US"/>
        </w:rPr>
        <w:t xml:space="preserve">people with impaired capacity and the consideration of their appropriate care and support </w:t>
      </w:r>
      <w:r w:rsidRPr="00A241C7">
        <w:rPr>
          <w:rFonts w:ascii="Arial" w:eastAsia="Calibri" w:hAnsi="Arial" w:cs="Arial"/>
          <w:sz w:val="22"/>
          <w:szCs w:val="22"/>
          <w:lang w:eastAsia="en-US"/>
        </w:rPr>
        <w:t xml:space="preserve">are not amenable to </w:t>
      </w:r>
      <w:r w:rsidR="00BC34CC" w:rsidRPr="00A241C7">
        <w:rPr>
          <w:rFonts w:ascii="Arial" w:eastAsia="Calibri" w:hAnsi="Arial" w:cs="Arial"/>
          <w:sz w:val="22"/>
          <w:szCs w:val="22"/>
          <w:lang w:eastAsia="en-US"/>
        </w:rPr>
        <w:t>user-friendly or ADR processes</w:t>
      </w:r>
      <w:r w:rsidR="00234578" w:rsidRPr="00A241C7">
        <w:rPr>
          <w:rFonts w:ascii="Arial" w:eastAsia="Calibri" w:hAnsi="Arial" w:cs="Arial"/>
          <w:sz w:val="22"/>
          <w:szCs w:val="22"/>
          <w:lang w:eastAsia="en-US"/>
        </w:rPr>
        <w:t xml:space="preserve">.  Such processes are more likely to diminish rather than enhance fairness and equity in relation to these sorts of matters </w:t>
      </w:r>
      <w:r w:rsidR="00EB75F3" w:rsidRPr="00A241C7">
        <w:rPr>
          <w:rFonts w:ascii="Arial" w:eastAsia="Calibri" w:hAnsi="Arial" w:cs="Arial"/>
          <w:sz w:val="22"/>
          <w:szCs w:val="22"/>
          <w:lang w:eastAsia="en-US"/>
        </w:rPr>
        <w:t>for two reasons</w:t>
      </w:r>
      <w:r w:rsidRPr="00A241C7">
        <w:rPr>
          <w:rFonts w:ascii="Arial" w:eastAsia="Calibri" w:hAnsi="Arial" w:cs="Arial"/>
          <w:sz w:val="22"/>
          <w:szCs w:val="22"/>
          <w:lang w:eastAsia="en-US"/>
        </w:rPr>
        <w:t>.</w:t>
      </w:r>
      <w:r w:rsidR="00482E08" w:rsidRPr="00A241C7">
        <w:rPr>
          <w:rFonts w:ascii="Arial" w:eastAsia="Calibri" w:hAnsi="Arial" w:cs="Arial"/>
          <w:sz w:val="22"/>
          <w:szCs w:val="22"/>
          <w:lang w:eastAsia="en-US"/>
        </w:rPr>
        <w:t xml:space="preserve">  </w:t>
      </w:r>
    </w:p>
    <w:p w:rsidR="00482E08" w:rsidRPr="00A241C7" w:rsidRDefault="00482E08" w:rsidP="00EB75F3">
      <w:pPr>
        <w:spacing w:line="360" w:lineRule="auto"/>
        <w:rPr>
          <w:rFonts w:ascii="Arial" w:eastAsia="Calibri" w:hAnsi="Arial" w:cs="Arial"/>
          <w:sz w:val="22"/>
          <w:szCs w:val="22"/>
          <w:lang w:eastAsia="en-US"/>
        </w:rPr>
      </w:pPr>
    </w:p>
    <w:p w:rsidR="00447A52" w:rsidRPr="00A241C7" w:rsidRDefault="00975994" w:rsidP="00234578">
      <w:pPr>
        <w:spacing w:line="360" w:lineRule="auto"/>
        <w:rPr>
          <w:rFonts w:ascii="Arial" w:eastAsia="Calibri" w:hAnsi="Arial" w:cs="Arial"/>
          <w:sz w:val="22"/>
          <w:szCs w:val="22"/>
          <w:lang w:eastAsia="en-US"/>
        </w:rPr>
      </w:pPr>
      <w:r>
        <w:rPr>
          <w:rFonts w:ascii="Arial" w:eastAsia="Calibri" w:hAnsi="Arial" w:cs="Arial"/>
          <w:sz w:val="22"/>
          <w:szCs w:val="22"/>
          <w:lang w:eastAsia="en-US"/>
        </w:rPr>
        <w:t>The first reason is that</w:t>
      </w:r>
      <w:r w:rsidR="00482E08" w:rsidRPr="00A241C7">
        <w:rPr>
          <w:rFonts w:ascii="Arial" w:eastAsia="Calibri" w:hAnsi="Arial" w:cs="Arial"/>
          <w:sz w:val="22"/>
          <w:szCs w:val="22"/>
          <w:lang w:eastAsia="en-US"/>
        </w:rPr>
        <w:t xml:space="preserve"> </w:t>
      </w:r>
      <w:r w:rsidR="00EB75F3" w:rsidRPr="00A241C7">
        <w:rPr>
          <w:rFonts w:ascii="Arial" w:eastAsia="Calibri" w:hAnsi="Arial" w:cs="Arial"/>
          <w:sz w:val="22"/>
          <w:szCs w:val="22"/>
          <w:lang w:eastAsia="en-US"/>
        </w:rPr>
        <w:t>people with impaired capacity are not always able to successfully engage in</w:t>
      </w:r>
      <w:r w:rsidR="00234578" w:rsidRPr="00A241C7">
        <w:rPr>
          <w:rFonts w:ascii="Arial" w:eastAsia="Calibri" w:hAnsi="Arial" w:cs="Arial"/>
          <w:sz w:val="22"/>
          <w:szCs w:val="22"/>
          <w:lang w:eastAsia="en-US"/>
        </w:rPr>
        <w:t xml:space="preserve"> alternative dispute resolution (</w:t>
      </w:r>
      <w:r w:rsidR="00EB75F3" w:rsidRPr="00A241C7">
        <w:rPr>
          <w:rFonts w:ascii="Arial" w:eastAsia="Calibri" w:hAnsi="Arial" w:cs="Arial"/>
          <w:sz w:val="22"/>
          <w:szCs w:val="22"/>
          <w:lang w:eastAsia="en-US"/>
        </w:rPr>
        <w:t>ADR</w:t>
      </w:r>
      <w:r w:rsidR="00234578" w:rsidRPr="00A241C7">
        <w:rPr>
          <w:rFonts w:ascii="Arial" w:eastAsia="Calibri" w:hAnsi="Arial" w:cs="Arial"/>
          <w:sz w:val="22"/>
          <w:szCs w:val="22"/>
          <w:lang w:eastAsia="en-US"/>
        </w:rPr>
        <w:t xml:space="preserve">) </w:t>
      </w:r>
      <w:r w:rsidR="00EB75F3" w:rsidRPr="00A241C7">
        <w:rPr>
          <w:rFonts w:ascii="Arial" w:eastAsia="Calibri" w:hAnsi="Arial" w:cs="Arial"/>
          <w:sz w:val="22"/>
          <w:szCs w:val="22"/>
          <w:lang w:eastAsia="en-US"/>
        </w:rPr>
        <w:t>or ‘user-friendly</w:t>
      </w:r>
      <w:r w:rsidR="00447A52" w:rsidRPr="00A241C7">
        <w:rPr>
          <w:rFonts w:ascii="Arial" w:eastAsia="Calibri" w:hAnsi="Arial" w:cs="Arial"/>
          <w:sz w:val="22"/>
          <w:szCs w:val="22"/>
          <w:lang w:eastAsia="en-US"/>
        </w:rPr>
        <w:t>’ civil justice processes.  T</w:t>
      </w:r>
      <w:r w:rsidR="00DB689F" w:rsidRPr="00A241C7">
        <w:rPr>
          <w:rFonts w:ascii="Arial" w:eastAsia="Calibri" w:hAnsi="Arial" w:cs="Arial"/>
          <w:sz w:val="22"/>
          <w:szCs w:val="22"/>
          <w:lang w:eastAsia="en-US"/>
        </w:rPr>
        <w:t xml:space="preserve">heir impaired capacity </w:t>
      </w:r>
      <w:r w:rsidR="00234578" w:rsidRPr="00A241C7">
        <w:rPr>
          <w:rFonts w:ascii="Arial" w:eastAsia="Calibri" w:hAnsi="Arial" w:cs="Arial"/>
          <w:sz w:val="22"/>
          <w:szCs w:val="22"/>
          <w:lang w:eastAsia="en-US"/>
        </w:rPr>
        <w:t>warrants</w:t>
      </w:r>
      <w:r w:rsidR="00DB689F" w:rsidRPr="00A241C7">
        <w:rPr>
          <w:rFonts w:ascii="Arial" w:eastAsia="Calibri" w:hAnsi="Arial" w:cs="Arial"/>
          <w:sz w:val="22"/>
          <w:szCs w:val="22"/>
          <w:lang w:eastAsia="en-US"/>
        </w:rPr>
        <w:t xml:space="preserve"> a high level of support </w:t>
      </w:r>
      <w:r w:rsidR="00234578" w:rsidRPr="00A241C7">
        <w:rPr>
          <w:rFonts w:ascii="Arial" w:eastAsia="Calibri" w:hAnsi="Arial" w:cs="Arial"/>
          <w:sz w:val="22"/>
          <w:szCs w:val="22"/>
          <w:lang w:eastAsia="en-US"/>
        </w:rPr>
        <w:t xml:space="preserve">for meaningful involvement in any kind of formal procedure-  </w:t>
      </w:r>
      <w:r w:rsidR="00447A52" w:rsidRPr="00A241C7">
        <w:rPr>
          <w:rFonts w:ascii="Arial" w:eastAsia="Calibri" w:hAnsi="Arial" w:cs="Arial"/>
          <w:sz w:val="22"/>
          <w:szCs w:val="22"/>
          <w:lang w:eastAsia="en-US"/>
        </w:rPr>
        <w:t xml:space="preserve">especially </w:t>
      </w:r>
      <w:r w:rsidR="00234578" w:rsidRPr="00A241C7">
        <w:rPr>
          <w:rFonts w:ascii="Arial" w:eastAsia="Calibri" w:hAnsi="Arial" w:cs="Arial"/>
          <w:sz w:val="22"/>
          <w:szCs w:val="22"/>
          <w:lang w:eastAsia="en-US"/>
        </w:rPr>
        <w:t xml:space="preserve">those in courts and tribunals.  </w:t>
      </w:r>
    </w:p>
    <w:p w:rsidR="00447A52" w:rsidRPr="00A241C7" w:rsidRDefault="00234578" w:rsidP="00234578">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 </w:t>
      </w:r>
    </w:p>
    <w:p w:rsidR="00447A52" w:rsidRPr="00A241C7" w:rsidRDefault="00447A52" w:rsidP="00234578">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QAI </w:t>
      </w:r>
      <w:r w:rsidR="00EB75F3" w:rsidRPr="00A241C7">
        <w:rPr>
          <w:rFonts w:ascii="Arial" w:eastAsia="Calibri" w:hAnsi="Arial" w:cs="Arial"/>
          <w:sz w:val="22"/>
          <w:szCs w:val="22"/>
          <w:lang w:eastAsia="en-US"/>
        </w:rPr>
        <w:t>promote</w:t>
      </w:r>
      <w:r w:rsidRPr="00A241C7">
        <w:rPr>
          <w:rFonts w:ascii="Arial" w:eastAsia="Calibri" w:hAnsi="Arial" w:cs="Arial"/>
          <w:sz w:val="22"/>
          <w:szCs w:val="22"/>
          <w:lang w:eastAsia="en-US"/>
        </w:rPr>
        <w:t>s</w:t>
      </w:r>
      <w:r w:rsidR="00EB75F3" w:rsidRPr="00A241C7">
        <w:rPr>
          <w:rFonts w:ascii="Arial" w:eastAsia="Calibri" w:hAnsi="Arial" w:cs="Arial"/>
          <w:sz w:val="22"/>
          <w:szCs w:val="22"/>
          <w:lang w:eastAsia="en-US"/>
        </w:rPr>
        <w:t xml:space="preserve"> the recognition of the legal capacity of persons with disabilities on an equal basis with others</w:t>
      </w:r>
      <w:r w:rsidR="00EB75F3" w:rsidRPr="00A241C7">
        <w:rPr>
          <w:rStyle w:val="FootnoteReference"/>
          <w:rFonts w:ascii="Arial" w:eastAsia="Calibri" w:hAnsi="Arial" w:cs="Arial"/>
          <w:szCs w:val="22"/>
          <w:lang w:eastAsia="en-US"/>
        </w:rPr>
        <w:footnoteReference w:id="6"/>
      </w:r>
      <w:r w:rsidR="00EB75F3" w:rsidRPr="00A241C7">
        <w:rPr>
          <w:rFonts w:ascii="Arial" w:eastAsia="Calibri" w:hAnsi="Arial" w:cs="Arial"/>
          <w:sz w:val="22"/>
          <w:szCs w:val="22"/>
          <w:lang w:eastAsia="en-US"/>
        </w:rPr>
        <w:t xml:space="preserve"> </w:t>
      </w:r>
      <w:r w:rsidR="00234578" w:rsidRPr="00A241C7">
        <w:rPr>
          <w:rFonts w:ascii="Arial" w:eastAsia="Calibri" w:hAnsi="Arial" w:cs="Arial"/>
          <w:sz w:val="22"/>
          <w:szCs w:val="22"/>
          <w:lang w:eastAsia="en-US"/>
        </w:rPr>
        <w:t>while at the same time recognising</w:t>
      </w:r>
      <w:r w:rsidR="00EB75F3" w:rsidRPr="00A241C7">
        <w:rPr>
          <w:rFonts w:ascii="Arial" w:eastAsia="Calibri" w:hAnsi="Arial" w:cs="Arial"/>
          <w:sz w:val="22"/>
          <w:szCs w:val="22"/>
          <w:lang w:eastAsia="en-US"/>
        </w:rPr>
        <w:t xml:space="preserve"> that people with disabilities are entitled to effective access to justice on an equal basis with others</w:t>
      </w:r>
      <w:r w:rsidRPr="00A241C7">
        <w:rPr>
          <w:rFonts w:ascii="Arial" w:eastAsia="Calibri" w:hAnsi="Arial" w:cs="Arial"/>
          <w:sz w:val="22"/>
          <w:szCs w:val="22"/>
          <w:lang w:eastAsia="en-US"/>
        </w:rPr>
        <w:t>.  That can only be guaranteed by</w:t>
      </w:r>
      <w:r w:rsidR="00EB75F3" w:rsidRPr="00A241C7">
        <w:rPr>
          <w:rFonts w:ascii="Arial" w:eastAsia="Calibri" w:hAnsi="Arial" w:cs="Arial"/>
          <w:sz w:val="22"/>
          <w:szCs w:val="22"/>
          <w:lang w:eastAsia="en-US"/>
        </w:rPr>
        <w:t xml:space="preserve"> the provision of </w:t>
      </w:r>
      <w:r w:rsidR="00EB75F3" w:rsidRPr="00A241C7">
        <w:rPr>
          <w:rFonts w:ascii="Arial" w:eastAsia="Calibri" w:hAnsi="Arial" w:cs="Arial"/>
          <w:i/>
          <w:sz w:val="22"/>
          <w:szCs w:val="22"/>
          <w:lang w:eastAsia="en-US"/>
        </w:rPr>
        <w:t>procedural accommodations</w:t>
      </w:r>
      <w:r w:rsidR="00EB75F3" w:rsidRPr="00A241C7">
        <w:rPr>
          <w:rFonts w:ascii="Arial" w:eastAsia="Calibri" w:hAnsi="Arial" w:cs="Arial"/>
          <w:sz w:val="22"/>
          <w:szCs w:val="22"/>
          <w:lang w:eastAsia="en-US"/>
        </w:rPr>
        <w:t xml:space="preserve"> that promote people’s </w:t>
      </w:r>
      <w:r w:rsidR="00EB75F3" w:rsidRPr="00A241C7">
        <w:rPr>
          <w:rFonts w:ascii="Arial" w:eastAsia="Calibri" w:hAnsi="Arial" w:cs="Arial"/>
          <w:i/>
          <w:sz w:val="22"/>
          <w:szCs w:val="22"/>
          <w:lang w:eastAsia="en-US"/>
        </w:rPr>
        <w:t>direct or indirect participation</w:t>
      </w:r>
      <w:r w:rsidR="00DB689F" w:rsidRPr="00A241C7">
        <w:rPr>
          <w:rFonts w:ascii="Arial" w:eastAsia="Calibri" w:hAnsi="Arial" w:cs="Arial"/>
          <w:sz w:val="22"/>
          <w:szCs w:val="22"/>
          <w:lang w:eastAsia="en-US"/>
        </w:rPr>
        <w:t>.</w:t>
      </w:r>
      <w:r w:rsidR="00EB75F3" w:rsidRPr="00A241C7">
        <w:rPr>
          <w:rStyle w:val="FootnoteReference"/>
          <w:rFonts w:ascii="Arial" w:eastAsia="Calibri" w:hAnsi="Arial" w:cs="Arial"/>
          <w:szCs w:val="22"/>
          <w:lang w:eastAsia="en-US"/>
        </w:rPr>
        <w:footnoteReference w:id="7"/>
      </w:r>
      <w:r w:rsidR="00DB689F" w:rsidRPr="00A241C7">
        <w:rPr>
          <w:rFonts w:ascii="Arial" w:eastAsia="Calibri" w:hAnsi="Arial" w:cs="Arial"/>
          <w:sz w:val="22"/>
          <w:szCs w:val="22"/>
          <w:lang w:eastAsia="en-US"/>
        </w:rPr>
        <w:t xml:space="preserve">  </w:t>
      </w:r>
      <w:r w:rsidRPr="00A241C7">
        <w:rPr>
          <w:rFonts w:ascii="Arial" w:eastAsia="Calibri" w:hAnsi="Arial" w:cs="Arial"/>
          <w:sz w:val="22"/>
          <w:szCs w:val="22"/>
          <w:lang w:eastAsia="en-US"/>
        </w:rPr>
        <w:t>Those accommodations will likely</w:t>
      </w:r>
      <w:r w:rsidR="00DB689F" w:rsidRPr="00A241C7">
        <w:rPr>
          <w:rFonts w:ascii="Arial" w:eastAsia="Calibri" w:hAnsi="Arial" w:cs="Arial"/>
          <w:sz w:val="22"/>
          <w:szCs w:val="22"/>
          <w:lang w:eastAsia="en-US"/>
        </w:rPr>
        <w:t xml:space="preserve"> include the provision of better legal support over a longer time.  </w:t>
      </w:r>
      <w:r w:rsidR="00234578" w:rsidRPr="00A241C7">
        <w:rPr>
          <w:rFonts w:ascii="Arial" w:eastAsia="Calibri" w:hAnsi="Arial" w:cs="Arial"/>
          <w:sz w:val="22"/>
          <w:szCs w:val="22"/>
          <w:lang w:eastAsia="en-US"/>
        </w:rPr>
        <w:t>S</w:t>
      </w:r>
      <w:r w:rsidR="00DB689F" w:rsidRPr="00A241C7">
        <w:rPr>
          <w:rFonts w:ascii="Arial" w:eastAsia="Calibri" w:hAnsi="Arial" w:cs="Arial"/>
          <w:sz w:val="22"/>
          <w:szCs w:val="22"/>
          <w:lang w:eastAsia="en-US"/>
        </w:rPr>
        <w:t>ee case study ‘Robert’ below</w:t>
      </w:r>
      <w:r w:rsidR="00234578" w:rsidRPr="00A241C7">
        <w:rPr>
          <w:rFonts w:ascii="Arial" w:eastAsia="Calibri" w:hAnsi="Arial" w:cs="Arial"/>
          <w:sz w:val="22"/>
          <w:szCs w:val="22"/>
          <w:lang w:eastAsia="en-US"/>
        </w:rPr>
        <w:t xml:space="preserve"> for an example</w:t>
      </w:r>
      <w:r w:rsidR="00DB689F" w:rsidRPr="00A241C7">
        <w:rPr>
          <w:rFonts w:ascii="Arial" w:eastAsia="Calibri" w:hAnsi="Arial" w:cs="Arial"/>
          <w:sz w:val="22"/>
          <w:szCs w:val="22"/>
          <w:lang w:eastAsia="en-US"/>
        </w:rPr>
        <w:t>.</w:t>
      </w:r>
      <w:r w:rsidRPr="00A241C7">
        <w:rPr>
          <w:rFonts w:ascii="Arial" w:eastAsia="Calibri" w:hAnsi="Arial" w:cs="Arial"/>
          <w:sz w:val="22"/>
          <w:szCs w:val="22"/>
          <w:lang w:eastAsia="en-US"/>
        </w:rPr>
        <w:t xml:space="preserve">  </w:t>
      </w:r>
    </w:p>
    <w:p w:rsidR="00447A52" w:rsidRPr="00A241C7" w:rsidRDefault="00447A52" w:rsidP="00234578">
      <w:pPr>
        <w:spacing w:line="360" w:lineRule="auto"/>
        <w:rPr>
          <w:rFonts w:ascii="Arial" w:eastAsia="Calibri" w:hAnsi="Arial" w:cs="Arial"/>
          <w:sz w:val="22"/>
          <w:szCs w:val="22"/>
          <w:lang w:eastAsia="en-US"/>
        </w:rPr>
      </w:pPr>
    </w:p>
    <w:p w:rsidR="00234578" w:rsidRPr="00A241C7" w:rsidRDefault="00447A52" w:rsidP="00234578">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But that kind of support is rarely available to the roughly 4000 Queenslanders with impaired capacity who are subject to guardianship or administration orders (hundreds of whom are also subject to restrictive practices or forensic orders</w:t>
      </w:r>
      <w:r w:rsidR="003072F5" w:rsidRPr="00A241C7">
        <w:rPr>
          <w:rFonts w:ascii="Arial" w:eastAsia="Calibri" w:hAnsi="Arial" w:cs="Arial"/>
          <w:sz w:val="22"/>
          <w:szCs w:val="22"/>
          <w:lang w:eastAsia="en-US"/>
        </w:rPr>
        <w:t xml:space="preserve">) </w:t>
      </w:r>
      <w:r w:rsidRPr="00A241C7">
        <w:rPr>
          <w:rFonts w:ascii="Arial" w:eastAsia="Calibri" w:hAnsi="Arial" w:cs="Arial"/>
          <w:sz w:val="22"/>
          <w:szCs w:val="22"/>
          <w:lang w:eastAsia="en-US"/>
        </w:rPr>
        <w:t xml:space="preserve">or the thousands of other people with impaired capacity placed on involuntary treatment orders every year in this state.  </w:t>
      </w:r>
    </w:p>
    <w:p w:rsidR="00234578" w:rsidRPr="00A241C7" w:rsidRDefault="00234578" w:rsidP="00234578">
      <w:pPr>
        <w:spacing w:line="360" w:lineRule="auto"/>
        <w:rPr>
          <w:rFonts w:ascii="Arial" w:eastAsia="Calibri" w:hAnsi="Arial" w:cs="Arial"/>
          <w:sz w:val="22"/>
          <w:szCs w:val="22"/>
          <w:lang w:eastAsia="en-US"/>
        </w:rPr>
      </w:pPr>
    </w:p>
    <w:p w:rsidR="00B67429" w:rsidRPr="00A241C7" w:rsidRDefault="003072F5" w:rsidP="00234578">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In fact Queensland has one of the lowest rates of representation in the Mental Health Review Tribunal equivalent in any state or territory.  Only some 40% of ‘patients’ actually attend hearings in the first place, and about 2% of ‘patients’ are represented in all matters.  </w:t>
      </w:r>
      <w:r w:rsidR="00B67429" w:rsidRPr="00A241C7">
        <w:rPr>
          <w:rFonts w:ascii="Arial" w:eastAsia="Calibri" w:hAnsi="Arial" w:cs="Arial"/>
          <w:sz w:val="22"/>
          <w:szCs w:val="22"/>
          <w:lang w:eastAsia="en-US"/>
        </w:rPr>
        <w:t xml:space="preserve">Forensic order reviews take place in the Mental Health Review Tribunal, along with hearings to determine whether a person should receive electro-convulsive therapy (ECT), and determination or reviews of Involuntary Treatment Orders.  In Queensland that representation occurs in only 2% of matters. (see chart below)  By way of contrast, the Attorney-General is represented in some 50% of all matters.  </w:t>
      </w:r>
    </w:p>
    <w:p w:rsidR="00B67429" w:rsidRPr="00A241C7" w:rsidRDefault="00B67429" w:rsidP="00234578">
      <w:pPr>
        <w:spacing w:line="360" w:lineRule="auto"/>
        <w:rPr>
          <w:rFonts w:ascii="Arial" w:eastAsia="Calibri" w:hAnsi="Arial" w:cs="Arial"/>
          <w:sz w:val="22"/>
          <w:szCs w:val="22"/>
          <w:lang w:eastAsia="en-US"/>
        </w:rPr>
      </w:pPr>
    </w:p>
    <w:p w:rsidR="00B67429" w:rsidRPr="00A241C7" w:rsidRDefault="00B67429" w:rsidP="00234578">
      <w:pPr>
        <w:spacing w:line="360" w:lineRule="auto"/>
        <w:rPr>
          <w:rFonts w:ascii="Arial" w:eastAsia="Calibri" w:hAnsi="Arial" w:cs="Arial"/>
          <w:sz w:val="22"/>
          <w:szCs w:val="22"/>
          <w:lang w:eastAsia="en-US"/>
        </w:rPr>
      </w:pPr>
    </w:p>
    <w:p w:rsidR="00B67429" w:rsidRPr="00A241C7" w:rsidRDefault="003072F5" w:rsidP="00234578">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The following tables taken from recent Mental Health Review Tribunal Annual Reports</w:t>
      </w:r>
      <w:r w:rsidR="00796601" w:rsidRPr="00A241C7">
        <w:rPr>
          <w:rFonts w:ascii="Arial" w:eastAsia="Calibri" w:hAnsi="Arial" w:cs="Arial"/>
          <w:sz w:val="22"/>
          <w:szCs w:val="22"/>
          <w:lang w:eastAsia="en-US"/>
        </w:rPr>
        <w:t xml:space="preserve"> (2012 &amp; 2013) </w:t>
      </w:r>
      <w:r w:rsidRPr="00A241C7">
        <w:rPr>
          <w:rFonts w:ascii="Arial" w:eastAsia="Calibri" w:hAnsi="Arial" w:cs="Arial"/>
          <w:sz w:val="22"/>
          <w:szCs w:val="22"/>
          <w:lang w:eastAsia="en-US"/>
        </w:rPr>
        <w:t xml:space="preserve"> illustrate these low rates of participation. </w:t>
      </w:r>
    </w:p>
    <w:p w:rsidR="00B67429" w:rsidRPr="00A241C7" w:rsidRDefault="00B67429" w:rsidP="00234578">
      <w:pPr>
        <w:spacing w:line="360" w:lineRule="auto"/>
        <w:rPr>
          <w:rFonts w:ascii="Arial" w:eastAsia="Calibri" w:hAnsi="Arial" w:cs="Arial"/>
          <w:sz w:val="22"/>
          <w:szCs w:val="22"/>
          <w:lang w:eastAsia="en-US"/>
        </w:rPr>
      </w:pPr>
    </w:p>
    <w:p w:rsidR="00234578" w:rsidRPr="00A241C7" w:rsidRDefault="00447A52" w:rsidP="00234578">
      <w:pPr>
        <w:spacing w:line="360" w:lineRule="auto"/>
        <w:rPr>
          <w:rFonts w:ascii="Arial" w:eastAsia="Calibri" w:hAnsi="Arial" w:cs="Arial"/>
          <w:sz w:val="22"/>
          <w:szCs w:val="22"/>
          <w:lang w:eastAsia="en-US"/>
        </w:rPr>
      </w:pPr>
      <w:r w:rsidRPr="00A241C7">
        <w:rPr>
          <w:rFonts w:ascii="Arial" w:hAnsi="Arial" w:cs="Arial"/>
          <w:noProof/>
          <w:sz w:val="22"/>
          <w:szCs w:val="22"/>
        </w:rPr>
        <w:drawing>
          <wp:inline distT="0" distB="0" distL="0" distR="0" wp14:anchorId="41AE2C88" wp14:editId="51EF34EC">
            <wp:extent cx="4305300" cy="339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05300" cy="3390900"/>
                    </a:xfrm>
                    <a:prstGeom prst="rect">
                      <a:avLst/>
                    </a:prstGeom>
                  </pic:spPr>
                </pic:pic>
              </a:graphicData>
            </a:graphic>
          </wp:inline>
        </w:drawing>
      </w:r>
    </w:p>
    <w:p w:rsidR="003072F5" w:rsidRPr="00A241C7" w:rsidRDefault="003072F5" w:rsidP="00234578">
      <w:pPr>
        <w:spacing w:line="360" w:lineRule="auto"/>
        <w:rPr>
          <w:rFonts w:ascii="Arial" w:eastAsia="Calibri" w:hAnsi="Arial" w:cs="Arial"/>
          <w:sz w:val="22"/>
          <w:szCs w:val="22"/>
          <w:lang w:eastAsia="en-US"/>
        </w:rPr>
      </w:pPr>
      <w:r w:rsidRPr="00A241C7">
        <w:rPr>
          <w:rFonts w:ascii="Arial" w:hAnsi="Arial" w:cs="Arial"/>
          <w:noProof/>
          <w:sz w:val="22"/>
          <w:szCs w:val="22"/>
        </w:rPr>
        <w:drawing>
          <wp:inline distT="0" distB="0" distL="0" distR="0" wp14:anchorId="60CE2191" wp14:editId="5EEA9DBA">
            <wp:extent cx="5357294" cy="28721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57294" cy="2872105"/>
                    </a:xfrm>
                    <a:prstGeom prst="rect">
                      <a:avLst/>
                    </a:prstGeom>
                  </pic:spPr>
                </pic:pic>
              </a:graphicData>
            </a:graphic>
          </wp:inline>
        </w:drawing>
      </w:r>
    </w:p>
    <w:p w:rsidR="003072F5" w:rsidRPr="00A241C7" w:rsidRDefault="003072F5" w:rsidP="00234578">
      <w:pPr>
        <w:spacing w:line="360" w:lineRule="auto"/>
        <w:rPr>
          <w:rFonts w:ascii="Arial" w:eastAsia="Calibri" w:hAnsi="Arial" w:cs="Arial"/>
          <w:sz w:val="22"/>
          <w:szCs w:val="22"/>
          <w:lang w:eastAsia="en-US"/>
        </w:rPr>
      </w:pPr>
    </w:p>
    <w:p w:rsidR="00CC043B" w:rsidRPr="00A241C7" w:rsidRDefault="003072F5" w:rsidP="00234578">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lastRenderedPageBreak/>
        <w:t xml:space="preserve">There is a variety of reasons why people do not attend:  some are too unwell, some do not wish to contest orders, and others simply trust the tribunal to make the right decision without their input.  But many others are actively or passively discouraged from doing so:  service providers </w:t>
      </w:r>
      <w:r w:rsidR="00CC043B" w:rsidRPr="00A241C7">
        <w:rPr>
          <w:rFonts w:ascii="Arial" w:eastAsia="Calibri" w:hAnsi="Arial" w:cs="Arial"/>
          <w:sz w:val="22"/>
          <w:szCs w:val="22"/>
          <w:lang w:eastAsia="en-US"/>
        </w:rPr>
        <w:t xml:space="preserve">find it inconvenient to facilitate attendance, or do not consider that the person would gain anything by attending, or engaging a representative may stir things up unnecessarily.   </w:t>
      </w:r>
    </w:p>
    <w:p w:rsidR="00CC043B" w:rsidRPr="00A241C7" w:rsidRDefault="00CC043B" w:rsidP="00234578">
      <w:pPr>
        <w:spacing w:line="360" w:lineRule="auto"/>
        <w:rPr>
          <w:rFonts w:ascii="Arial" w:eastAsia="Calibri" w:hAnsi="Arial" w:cs="Arial"/>
          <w:sz w:val="22"/>
          <w:szCs w:val="22"/>
          <w:lang w:eastAsia="en-US"/>
        </w:rPr>
      </w:pPr>
    </w:p>
    <w:p w:rsidR="003072F5" w:rsidRPr="00A241C7" w:rsidRDefault="00CC043B" w:rsidP="00234578">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In our view people must be </w:t>
      </w:r>
      <w:r w:rsidRPr="00A241C7">
        <w:rPr>
          <w:rFonts w:ascii="Arial" w:eastAsia="Calibri" w:hAnsi="Arial" w:cs="Arial"/>
          <w:i/>
          <w:sz w:val="22"/>
          <w:szCs w:val="22"/>
          <w:lang w:eastAsia="en-US"/>
        </w:rPr>
        <w:t>actively</w:t>
      </w:r>
      <w:r w:rsidRPr="00A241C7">
        <w:rPr>
          <w:rFonts w:ascii="Arial" w:eastAsia="Calibri" w:hAnsi="Arial" w:cs="Arial"/>
          <w:sz w:val="22"/>
          <w:szCs w:val="22"/>
          <w:lang w:eastAsia="en-US"/>
        </w:rPr>
        <w:t xml:space="preserve"> supported to take part in legal processes that may determine the degree of liberty that they experience for years to come.     In our view both attendance and representation should be the default presumption for the review of forensic orders, and the determination of guardianship, administration, involuntary treatment, ECT and restrictive practice orders. </w:t>
      </w:r>
    </w:p>
    <w:p w:rsidR="003072F5" w:rsidRPr="00A241C7" w:rsidRDefault="003072F5" w:rsidP="00234578">
      <w:pPr>
        <w:spacing w:line="360" w:lineRule="auto"/>
        <w:rPr>
          <w:rFonts w:ascii="Arial" w:eastAsia="Calibri" w:hAnsi="Arial" w:cs="Arial"/>
          <w:sz w:val="22"/>
          <w:szCs w:val="22"/>
          <w:lang w:eastAsia="en-US"/>
        </w:rPr>
      </w:pPr>
    </w:p>
    <w:p w:rsidR="003072F5" w:rsidRPr="00A241C7" w:rsidRDefault="003072F5" w:rsidP="00234578">
      <w:pPr>
        <w:spacing w:line="360" w:lineRule="auto"/>
        <w:rPr>
          <w:rFonts w:ascii="Arial" w:eastAsia="Calibri" w:hAnsi="Arial" w:cs="Arial"/>
          <w:sz w:val="22"/>
          <w:szCs w:val="22"/>
          <w:lang w:eastAsia="en-US"/>
        </w:rPr>
      </w:pPr>
    </w:p>
    <w:p w:rsidR="00BC34CC" w:rsidRPr="00A241C7" w:rsidRDefault="00975994" w:rsidP="00234578">
      <w:pPr>
        <w:spacing w:line="360" w:lineRule="auto"/>
        <w:rPr>
          <w:rFonts w:ascii="Arial" w:eastAsia="Calibri" w:hAnsi="Arial" w:cs="Arial"/>
          <w:sz w:val="22"/>
          <w:szCs w:val="22"/>
          <w:lang w:eastAsia="en-US"/>
        </w:rPr>
      </w:pPr>
      <w:r>
        <w:rPr>
          <w:rFonts w:ascii="Arial" w:eastAsia="Calibri" w:hAnsi="Arial" w:cs="Arial"/>
          <w:sz w:val="22"/>
          <w:szCs w:val="22"/>
          <w:lang w:eastAsia="en-US"/>
        </w:rPr>
        <w:t xml:space="preserve">The second reason is that </w:t>
      </w:r>
      <w:r w:rsidR="00EB75F3" w:rsidRPr="00A241C7">
        <w:rPr>
          <w:rFonts w:ascii="Arial" w:eastAsia="Calibri" w:hAnsi="Arial" w:cs="Arial"/>
          <w:sz w:val="22"/>
          <w:szCs w:val="22"/>
          <w:lang w:eastAsia="en-US"/>
        </w:rPr>
        <w:t xml:space="preserve"> </w:t>
      </w:r>
      <w:r w:rsidR="00CC043B" w:rsidRPr="00A241C7">
        <w:rPr>
          <w:rFonts w:ascii="Arial" w:eastAsia="Calibri" w:hAnsi="Arial" w:cs="Arial"/>
          <w:sz w:val="22"/>
          <w:szCs w:val="22"/>
          <w:lang w:eastAsia="en-US"/>
        </w:rPr>
        <w:t>user-friendly processes are not appropriate when there is so</w:t>
      </w:r>
      <w:r w:rsidR="00482E08" w:rsidRPr="00A241C7">
        <w:rPr>
          <w:rFonts w:ascii="Arial" w:eastAsia="Calibri" w:hAnsi="Arial" w:cs="Arial"/>
          <w:sz w:val="22"/>
          <w:szCs w:val="22"/>
          <w:lang w:eastAsia="en-US"/>
        </w:rPr>
        <w:t xml:space="preserve"> much at stake for the person concerned.    Forensic orders, for example, </w:t>
      </w:r>
      <w:r w:rsidR="00CC043B" w:rsidRPr="00A241C7">
        <w:rPr>
          <w:rFonts w:ascii="Arial" w:eastAsia="Calibri" w:hAnsi="Arial" w:cs="Arial"/>
          <w:sz w:val="22"/>
          <w:szCs w:val="22"/>
          <w:lang w:eastAsia="en-US"/>
        </w:rPr>
        <w:t xml:space="preserve">provide </w:t>
      </w:r>
      <w:r w:rsidR="00482E08" w:rsidRPr="00A241C7">
        <w:rPr>
          <w:rFonts w:ascii="Arial" w:eastAsia="Calibri" w:hAnsi="Arial" w:cs="Arial"/>
          <w:sz w:val="22"/>
          <w:szCs w:val="22"/>
          <w:lang w:eastAsia="en-US"/>
        </w:rPr>
        <w:t xml:space="preserve">a person </w:t>
      </w:r>
      <w:r w:rsidR="00BC34CC" w:rsidRPr="00A241C7">
        <w:rPr>
          <w:rFonts w:ascii="Arial" w:eastAsia="Calibri" w:hAnsi="Arial" w:cs="Arial"/>
          <w:sz w:val="22"/>
          <w:szCs w:val="22"/>
          <w:lang w:eastAsia="en-US"/>
        </w:rPr>
        <w:t xml:space="preserve">with impaired capacity </w:t>
      </w:r>
      <w:r w:rsidR="00CC043B" w:rsidRPr="00A241C7">
        <w:rPr>
          <w:rFonts w:ascii="Arial" w:eastAsia="Calibri" w:hAnsi="Arial" w:cs="Arial"/>
          <w:sz w:val="22"/>
          <w:szCs w:val="22"/>
          <w:lang w:eastAsia="en-US"/>
        </w:rPr>
        <w:t xml:space="preserve">with a qualified acquittal.  They are not </w:t>
      </w:r>
      <w:r w:rsidR="00482E08" w:rsidRPr="00A241C7">
        <w:rPr>
          <w:rFonts w:ascii="Arial" w:eastAsia="Calibri" w:hAnsi="Arial" w:cs="Arial"/>
          <w:sz w:val="22"/>
          <w:szCs w:val="22"/>
          <w:lang w:eastAsia="en-US"/>
        </w:rPr>
        <w:t>criminal</w:t>
      </w:r>
      <w:r w:rsidR="00CC043B" w:rsidRPr="00A241C7">
        <w:rPr>
          <w:rFonts w:ascii="Arial" w:eastAsia="Calibri" w:hAnsi="Arial" w:cs="Arial"/>
          <w:sz w:val="22"/>
          <w:szCs w:val="22"/>
          <w:lang w:eastAsia="en-US"/>
        </w:rPr>
        <w:t>ly</w:t>
      </w:r>
      <w:r w:rsidR="00482E08" w:rsidRPr="00A241C7">
        <w:rPr>
          <w:rFonts w:ascii="Arial" w:eastAsia="Calibri" w:hAnsi="Arial" w:cs="Arial"/>
          <w:sz w:val="22"/>
          <w:szCs w:val="22"/>
          <w:lang w:eastAsia="en-US"/>
        </w:rPr>
        <w:t xml:space="preserve"> </w:t>
      </w:r>
      <w:r w:rsidR="00CC043B" w:rsidRPr="00A241C7">
        <w:rPr>
          <w:rFonts w:ascii="Arial" w:eastAsia="Calibri" w:hAnsi="Arial" w:cs="Arial"/>
          <w:sz w:val="22"/>
          <w:szCs w:val="22"/>
          <w:lang w:eastAsia="en-US"/>
        </w:rPr>
        <w:t>responsible.   B</w:t>
      </w:r>
      <w:r w:rsidR="00BC34CC" w:rsidRPr="00A241C7">
        <w:rPr>
          <w:rFonts w:ascii="Arial" w:eastAsia="Calibri" w:hAnsi="Arial" w:cs="Arial"/>
          <w:sz w:val="22"/>
          <w:szCs w:val="22"/>
          <w:lang w:eastAsia="en-US"/>
        </w:rPr>
        <w:t xml:space="preserve">ut they </w:t>
      </w:r>
      <w:r w:rsidR="00482E08" w:rsidRPr="00A241C7">
        <w:rPr>
          <w:rFonts w:ascii="Arial" w:eastAsia="Calibri" w:hAnsi="Arial" w:cs="Arial"/>
          <w:sz w:val="22"/>
          <w:szCs w:val="22"/>
          <w:lang w:eastAsia="en-US"/>
        </w:rPr>
        <w:t>may nevertheless</w:t>
      </w:r>
      <w:r w:rsidR="00CC043B" w:rsidRPr="00A241C7">
        <w:rPr>
          <w:rFonts w:ascii="Arial" w:eastAsia="Calibri" w:hAnsi="Arial" w:cs="Arial"/>
          <w:sz w:val="22"/>
          <w:szCs w:val="22"/>
          <w:lang w:eastAsia="en-US"/>
        </w:rPr>
        <w:t xml:space="preserve"> be subject to orders for</w:t>
      </w:r>
      <w:r w:rsidR="00482E08" w:rsidRPr="00A241C7">
        <w:rPr>
          <w:rFonts w:ascii="Arial" w:eastAsia="Calibri" w:hAnsi="Arial" w:cs="Arial"/>
          <w:sz w:val="22"/>
          <w:szCs w:val="22"/>
          <w:lang w:eastAsia="en-US"/>
        </w:rPr>
        <w:t xml:space="preserve"> long terms of containment in locked facilities with limited access to community or loved ones. </w:t>
      </w: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482E08" w:rsidP="00EB75F3">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 It is not uncommon for forensic orders to last longer and </w:t>
      </w:r>
      <w:r w:rsidR="00B67429" w:rsidRPr="00A241C7">
        <w:rPr>
          <w:rFonts w:ascii="Arial" w:eastAsia="Calibri" w:hAnsi="Arial" w:cs="Arial"/>
          <w:sz w:val="22"/>
          <w:szCs w:val="22"/>
          <w:lang w:eastAsia="en-US"/>
        </w:rPr>
        <w:t xml:space="preserve">to </w:t>
      </w:r>
      <w:r w:rsidRPr="00A241C7">
        <w:rPr>
          <w:rFonts w:ascii="Arial" w:eastAsia="Calibri" w:hAnsi="Arial" w:cs="Arial"/>
          <w:sz w:val="22"/>
          <w:szCs w:val="22"/>
          <w:lang w:eastAsia="en-US"/>
        </w:rPr>
        <w:t>involve more serious deprivation of liberty than ordinary criminal detention</w:t>
      </w:r>
      <w:r w:rsidR="00B67429" w:rsidRPr="00A241C7">
        <w:rPr>
          <w:rFonts w:ascii="Arial" w:eastAsia="Calibri" w:hAnsi="Arial" w:cs="Arial"/>
          <w:sz w:val="22"/>
          <w:szCs w:val="22"/>
          <w:lang w:eastAsia="en-US"/>
        </w:rPr>
        <w:t xml:space="preserve"> subsequent to a finding of guilt in relation to the same fact scenario</w:t>
      </w:r>
      <w:r w:rsidRPr="00A241C7">
        <w:rPr>
          <w:rFonts w:ascii="Arial" w:eastAsia="Calibri" w:hAnsi="Arial" w:cs="Arial"/>
          <w:sz w:val="22"/>
          <w:szCs w:val="22"/>
          <w:lang w:eastAsia="en-US"/>
        </w:rPr>
        <w:t>, even though the person with impaired capacity</w:t>
      </w:r>
      <w:r w:rsidR="00B67429" w:rsidRPr="00A241C7">
        <w:rPr>
          <w:rFonts w:ascii="Arial" w:eastAsia="Calibri" w:hAnsi="Arial" w:cs="Arial"/>
          <w:sz w:val="22"/>
          <w:szCs w:val="22"/>
          <w:lang w:eastAsia="en-US"/>
        </w:rPr>
        <w:t xml:space="preserve"> cannot have the </w:t>
      </w:r>
      <w:proofErr w:type="spellStart"/>
      <w:r w:rsidR="00B67429" w:rsidRPr="00A241C7">
        <w:rPr>
          <w:rFonts w:ascii="Arial" w:eastAsia="Calibri" w:hAnsi="Arial" w:cs="Arial"/>
          <w:i/>
          <w:sz w:val="22"/>
          <w:szCs w:val="22"/>
          <w:lang w:eastAsia="en-US"/>
        </w:rPr>
        <w:t>mens</w:t>
      </w:r>
      <w:proofErr w:type="spellEnd"/>
      <w:r w:rsidR="00B67429" w:rsidRPr="00A241C7">
        <w:rPr>
          <w:rFonts w:ascii="Arial" w:eastAsia="Calibri" w:hAnsi="Arial" w:cs="Arial"/>
          <w:i/>
          <w:sz w:val="22"/>
          <w:szCs w:val="22"/>
          <w:lang w:eastAsia="en-US"/>
        </w:rPr>
        <w:t xml:space="preserve"> rea</w:t>
      </w:r>
      <w:r w:rsidR="00B67429" w:rsidRPr="00A241C7">
        <w:rPr>
          <w:rFonts w:ascii="Arial" w:eastAsia="Calibri" w:hAnsi="Arial" w:cs="Arial"/>
          <w:sz w:val="22"/>
          <w:szCs w:val="22"/>
          <w:lang w:eastAsia="en-US"/>
        </w:rPr>
        <w:t xml:space="preserve"> and has not </w:t>
      </w:r>
      <w:r w:rsidRPr="00A241C7">
        <w:rPr>
          <w:rFonts w:ascii="Arial" w:eastAsia="Calibri" w:hAnsi="Arial" w:cs="Arial"/>
          <w:sz w:val="22"/>
          <w:szCs w:val="22"/>
          <w:lang w:eastAsia="en-US"/>
        </w:rPr>
        <w:t xml:space="preserve">committed any crime.   </w:t>
      </w:r>
      <w:r w:rsidR="006B1586" w:rsidRPr="00A241C7">
        <w:rPr>
          <w:rFonts w:ascii="Arial" w:eastAsia="Calibri" w:hAnsi="Arial" w:cs="Arial"/>
          <w:sz w:val="22"/>
          <w:szCs w:val="22"/>
          <w:lang w:eastAsia="en-US"/>
        </w:rPr>
        <w:t>Legal Aid is available for people</w:t>
      </w:r>
      <w:r w:rsidR="00BC34CC" w:rsidRPr="00A241C7">
        <w:rPr>
          <w:rFonts w:ascii="Arial" w:eastAsia="Calibri" w:hAnsi="Arial" w:cs="Arial"/>
          <w:sz w:val="22"/>
          <w:szCs w:val="22"/>
          <w:lang w:eastAsia="en-US"/>
        </w:rPr>
        <w:t xml:space="preserve"> proceeding to</w:t>
      </w:r>
      <w:r w:rsidR="006B1586" w:rsidRPr="00A241C7">
        <w:rPr>
          <w:rFonts w:ascii="Arial" w:eastAsia="Calibri" w:hAnsi="Arial" w:cs="Arial"/>
          <w:sz w:val="22"/>
          <w:szCs w:val="22"/>
          <w:lang w:eastAsia="en-US"/>
        </w:rPr>
        <w:t xml:space="preserve"> Queensland’s Mental Health Court</w:t>
      </w:r>
      <w:r w:rsidR="00BC34CC" w:rsidRPr="00A241C7">
        <w:rPr>
          <w:rFonts w:ascii="Arial" w:eastAsia="Calibri" w:hAnsi="Arial" w:cs="Arial"/>
          <w:sz w:val="22"/>
          <w:szCs w:val="22"/>
          <w:lang w:eastAsia="en-US"/>
        </w:rPr>
        <w:t xml:space="preserve">, </w:t>
      </w:r>
      <w:r w:rsidR="00B67429" w:rsidRPr="00A241C7">
        <w:rPr>
          <w:rFonts w:ascii="Arial" w:eastAsia="Calibri" w:hAnsi="Arial" w:cs="Arial"/>
          <w:sz w:val="22"/>
          <w:szCs w:val="22"/>
          <w:lang w:eastAsia="en-US"/>
        </w:rPr>
        <w:t>subject to the assets, income and merit tests, but</w:t>
      </w:r>
      <w:r w:rsidR="006B1586" w:rsidRPr="00A241C7">
        <w:rPr>
          <w:rFonts w:ascii="Arial" w:eastAsia="Calibri" w:hAnsi="Arial" w:cs="Arial"/>
          <w:sz w:val="22"/>
          <w:szCs w:val="22"/>
          <w:lang w:eastAsia="en-US"/>
        </w:rPr>
        <w:t xml:space="preserve"> it is not uncommon for people </w:t>
      </w:r>
      <w:r w:rsidR="00B67429" w:rsidRPr="00A241C7">
        <w:rPr>
          <w:rFonts w:ascii="Arial" w:eastAsia="Calibri" w:hAnsi="Arial" w:cs="Arial"/>
          <w:sz w:val="22"/>
          <w:szCs w:val="22"/>
          <w:lang w:eastAsia="en-US"/>
        </w:rPr>
        <w:t xml:space="preserve">already </w:t>
      </w:r>
      <w:r w:rsidR="006B1586" w:rsidRPr="00A241C7">
        <w:rPr>
          <w:rFonts w:ascii="Arial" w:eastAsia="Calibri" w:hAnsi="Arial" w:cs="Arial"/>
          <w:sz w:val="22"/>
          <w:szCs w:val="22"/>
          <w:lang w:eastAsia="en-US"/>
        </w:rPr>
        <w:t>subject to forensic orders to be unrepresented in schedu</w:t>
      </w:r>
      <w:r w:rsidR="00BC34CC" w:rsidRPr="00A241C7">
        <w:rPr>
          <w:rFonts w:ascii="Arial" w:eastAsia="Calibri" w:hAnsi="Arial" w:cs="Arial"/>
          <w:sz w:val="22"/>
          <w:szCs w:val="22"/>
          <w:lang w:eastAsia="en-US"/>
        </w:rPr>
        <w:t xml:space="preserve">led reviews of </w:t>
      </w:r>
      <w:r w:rsidR="00B67429" w:rsidRPr="00A241C7">
        <w:rPr>
          <w:rFonts w:ascii="Arial" w:eastAsia="Calibri" w:hAnsi="Arial" w:cs="Arial"/>
          <w:sz w:val="22"/>
          <w:szCs w:val="22"/>
          <w:lang w:eastAsia="en-US"/>
        </w:rPr>
        <w:t>those</w:t>
      </w:r>
      <w:r w:rsidR="00BC34CC" w:rsidRPr="00A241C7">
        <w:rPr>
          <w:rFonts w:ascii="Arial" w:eastAsia="Calibri" w:hAnsi="Arial" w:cs="Arial"/>
          <w:sz w:val="22"/>
          <w:szCs w:val="22"/>
          <w:lang w:eastAsia="en-US"/>
        </w:rPr>
        <w:t xml:space="preserve"> orders.  </w:t>
      </w:r>
    </w:p>
    <w:p w:rsidR="00BC34CC" w:rsidRPr="00A241C7" w:rsidRDefault="00BC34CC" w:rsidP="00EB75F3">
      <w:pPr>
        <w:spacing w:line="360" w:lineRule="auto"/>
        <w:rPr>
          <w:rFonts w:ascii="Arial" w:eastAsia="Calibri" w:hAnsi="Arial" w:cs="Arial"/>
          <w:sz w:val="22"/>
          <w:szCs w:val="22"/>
          <w:lang w:eastAsia="en-US"/>
        </w:rPr>
      </w:pPr>
    </w:p>
    <w:p w:rsidR="00652910" w:rsidRPr="00A241C7" w:rsidRDefault="00652910" w:rsidP="00EB75F3">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We know of a client who </w:t>
      </w:r>
      <w:r w:rsidR="00B67429" w:rsidRPr="00A241C7">
        <w:rPr>
          <w:rFonts w:ascii="Arial" w:eastAsia="Calibri" w:hAnsi="Arial" w:cs="Arial"/>
          <w:sz w:val="22"/>
          <w:szCs w:val="22"/>
          <w:lang w:eastAsia="en-US"/>
        </w:rPr>
        <w:t xml:space="preserve">was detained without </w:t>
      </w:r>
      <w:proofErr w:type="spellStart"/>
      <w:r w:rsidR="00B67429" w:rsidRPr="00A241C7">
        <w:rPr>
          <w:rFonts w:ascii="Arial" w:eastAsia="Calibri" w:hAnsi="Arial" w:cs="Arial"/>
          <w:sz w:val="22"/>
          <w:szCs w:val="22"/>
          <w:lang w:eastAsia="en-US"/>
        </w:rPr>
        <w:t>convition</w:t>
      </w:r>
      <w:proofErr w:type="spellEnd"/>
      <w:r w:rsidRPr="00A241C7">
        <w:rPr>
          <w:rFonts w:ascii="Arial" w:eastAsia="Calibri" w:hAnsi="Arial" w:cs="Arial"/>
          <w:sz w:val="22"/>
          <w:szCs w:val="22"/>
          <w:lang w:eastAsia="en-US"/>
        </w:rPr>
        <w:t xml:space="preserve"> for a number of years in a secure mental health unit and who was transferred to a forensic disability unit four years ago.  He is still there.  We know of a young ATSI man who has not been convicted of any offence (unfit for trial) yet has been transferred from rehabilitation unit (2 years) to a limited detention unit (18 months) to a medium security unit (2 years) to a foren</w:t>
      </w:r>
      <w:r w:rsidR="00BB5093" w:rsidRPr="00A241C7">
        <w:rPr>
          <w:rFonts w:ascii="Arial" w:eastAsia="Calibri" w:hAnsi="Arial" w:cs="Arial"/>
          <w:sz w:val="22"/>
          <w:szCs w:val="22"/>
          <w:lang w:eastAsia="en-US"/>
        </w:rPr>
        <w:t xml:space="preserve">sic disability unit (2+ years) </w:t>
      </w:r>
      <w:r w:rsidRPr="00A241C7">
        <w:rPr>
          <w:rFonts w:ascii="Arial" w:eastAsia="Calibri" w:hAnsi="Arial" w:cs="Arial"/>
          <w:sz w:val="22"/>
          <w:szCs w:val="22"/>
          <w:lang w:eastAsia="en-US"/>
        </w:rPr>
        <w:t>and is still seeking proper representation</w:t>
      </w:r>
      <w:r w:rsidR="00BB5093" w:rsidRPr="00A241C7">
        <w:rPr>
          <w:rFonts w:ascii="Arial" w:eastAsia="Calibri" w:hAnsi="Arial" w:cs="Arial"/>
          <w:sz w:val="22"/>
          <w:szCs w:val="22"/>
          <w:lang w:eastAsia="en-US"/>
        </w:rPr>
        <w:t xml:space="preserve"> with a view to returning to the community.  </w:t>
      </w:r>
    </w:p>
    <w:p w:rsidR="00BB5093" w:rsidRPr="00A241C7" w:rsidRDefault="00BB5093" w:rsidP="00EB75F3">
      <w:pPr>
        <w:spacing w:line="360" w:lineRule="auto"/>
        <w:rPr>
          <w:rFonts w:ascii="Arial" w:eastAsia="Calibri" w:hAnsi="Arial" w:cs="Arial"/>
          <w:sz w:val="22"/>
          <w:szCs w:val="22"/>
          <w:lang w:eastAsia="en-US"/>
        </w:rPr>
      </w:pPr>
    </w:p>
    <w:p w:rsidR="00796601" w:rsidRPr="00A241C7" w:rsidRDefault="00796601" w:rsidP="00796601">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  A person with a disability in a group home and subject to restrictive practices cannot self-represent, and they cannot engage in ADR.   Nor can the person subject to an Involuntary Treatment Order or Forensic Order.  And whether their legal representative, should they be among the few fortunate to have representation, supports the objectives of the tribunal will make little difference to the outcome.  It will not change the fact that 98% of people with matters relating to ITOs and FOs will offer no view alternative to that presented by the state employed psychiatrists and psychologists.   </w:t>
      </w:r>
    </w:p>
    <w:p w:rsidR="00BB5093" w:rsidRPr="00A241C7" w:rsidRDefault="00BB5093" w:rsidP="00EB75F3">
      <w:pPr>
        <w:spacing w:line="360" w:lineRule="auto"/>
        <w:rPr>
          <w:rFonts w:ascii="Arial" w:eastAsia="Calibri" w:hAnsi="Arial" w:cs="Arial"/>
          <w:sz w:val="22"/>
          <w:szCs w:val="22"/>
          <w:lang w:eastAsia="en-US"/>
        </w:rPr>
      </w:pPr>
    </w:p>
    <w:p w:rsidR="00BB5093" w:rsidRPr="00A241C7" w:rsidRDefault="00BB5093" w:rsidP="00EB75F3">
      <w:pPr>
        <w:spacing w:line="360" w:lineRule="auto"/>
        <w:rPr>
          <w:rFonts w:ascii="Arial" w:eastAsia="Calibri" w:hAnsi="Arial" w:cs="Arial"/>
          <w:sz w:val="22"/>
          <w:szCs w:val="22"/>
          <w:lang w:eastAsia="en-US"/>
        </w:rPr>
      </w:pPr>
    </w:p>
    <w:p w:rsidR="00BB5093" w:rsidRPr="00A241C7" w:rsidRDefault="00975994" w:rsidP="00EB75F3">
      <w:pPr>
        <w:spacing w:line="360" w:lineRule="auto"/>
        <w:rPr>
          <w:rFonts w:ascii="Arial" w:eastAsia="Calibri" w:hAnsi="Arial" w:cs="Arial"/>
          <w:sz w:val="22"/>
          <w:szCs w:val="22"/>
          <w:lang w:eastAsia="en-US"/>
        </w:rPr>
      </w:pPr>
      <w:r w:rsidRPr="00A241C7">
        <w:rPr>
          <w:rFonts w:ascii="Arial" w:eastAsia="Calibri" w:hAnsi="Arial" w:cs="Arial"/>
          <w:noProof/>
          <w:sz w:val="22"/>
          <w:szCs w:val="22"/>
        </w:rPr>
        <mc:AlternateContent>
          <mc:Choice Requires="wps">
            <w:drawing>
              <wp:anchor distT="0" distB="0" distL="114300" distR="114300" simplePos="0" relativeHeight="251659264" behindDoc="0" locked="0" layoutInCell="1" allowOverlap="1" wp14:anchorId="0BA677E7" wp14:editId="0C5286C7">
                <wp:simplePos x="0" y="0"/>
                <wp:positionH relativeFrom="column">
                  <wp:posOffset>361315</wp:posOffset>
                </wp:positionH>
                <wp:positionV relativeFrom="paragraph">
                  <wp:posOffset>19050</wp:posOffset>
                </wp:positionV>
                <wp:extent cx="6048375" cy="5438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5438775"/>
                        </a:xfrm>
                        <a:prstGeom prst="rect">
                          <a:avLst/>
                        </a:prstGeom>
                        <a:solidFill>
                          <a:srgbClr val="FFFFFF"/>
                        </a:solidFill>
                        <a:ln w="9525">
                          <a:solidFill>
                            <a:srgbClr val="000000"/>
                          </a:solidFill>
                          <a:miter lim="800000"/>
                          <a:headEnd/>
                          <a:tailEnd/>
                        </a:ln>
                      </wps:spPr>
                      <wps:txbx>
                        <w:txbxContent>
                          <w:p w:rsidR="00975994" w:rsidRDefault="00975994" w:rsidP="00EA6202">
                            <w:pPr>
                              <w:spacing w:line="360" w:lineRule="auto"/>
                              <w:jc w:val="both"/>
                              <w:rPr>
                                <w:sz w:val="24"/>
                              </w:rPr>
                            </w:pPr>
                          </w:p>
                          <w:p w:rsidR="006F3819" w:rsidRPr="00975994" w:rsidRDefault="006F3819" w:rsidP="00EA6202">
                            <w:pPr>
                              <w:spacing w:line="360" w:lineRule="auto"/>
                              <w:jc w:val="both"/>
                              <w:rPr>
                                <w:i/>
                                <w:sz w:val="28"/>
                              </w:rPr>
                            </w:pPr>
                            <w:r w:rsidRPr="00975994">
                              <w:rPr>
                                <w:sz w:val="28"/>
                              </w:rPr>
                              <w:t>“</w:t>
                            </w:r>
                            <w:r w:rsidRPr="00975994">
                              <w:rPr>
                                <w:b/>
                                <w:sz w:val="28"/>
                              </w:rPr>
                              <w:t>Bret”-</w:t>
                            </w:r>
                            <w:r w:rsidRPr="00975994">
                              <w:rPr>
                                <w:sz w:val="28"/>
                              </w:rPr>
                              <w:t xml:space="preserve">   By order of the Queensland Civil and Administrative Tribunal Bret was placed under containment in a secure unit west of Brisbane about 4 years ago.  His 24/7 supp</w:t>
                            </w:r>
                            <w:r w:rsidR="003C5E3B" w:rsidRPr="00975994">
                              <w:rPr>
                                <w:sz w:val="28"/>
                              </w:rPr>
                              <w:t>ort</w:t>
                            </w:r>
                            <w:r w:rsidRPr="00975994">
                              <w:rPr>
                                <w:sz w:val="28"/>
                              </w:rPr>
                              <w:t xml:space="preserve"> cost  the state $800k + per annum.   </w:t>
                            </w:r>
                            <w:r w:rsidR="00EA6202" w:rsidRPr="00975994">
                              <w:rPr>
                                <w:sz w:val="28"/>
                              </w:rPr>
                              <w:t xml:space="preserve">Through his guardian/sister Bret successfully engaged QAI </w:t>
                            </w:r>
                            <w:r w:rsidR="003C5E3B" w:rsidRPr="00975994">
                              <w:rPr>
                                <w:sz w:val="28"/>
                              </w:rPr>
                              <w:t>counsel to seek a lessening of his restraints.  Counsel d</w:t>
                            </w:r>
                            <w:r w:rsidR="00EA6202" w:rsidRPr="00975994">
                              <w:rPr>
                                <w:sz w:val="28"/>
                              </w:rPr>
                              <w:t>evoted considerable time to obtaining instructions and relaying information to and getting information from his client.  Bret’s legal representative convinced QCAT to reconsider its earlier decision and agree to tr</w:t>
                            </w:r>
                            <w:r w:rsidR="003C5E3B" w:rsidRPr="00975994">
                              <w:rPr>
                                <w:sz w:val="28"/>
                              </w:rPr>
                              <w:t xml:space="preserve">ansfer Bret to his own home in a </w:t>
                            </w:r>
                            <w:r w:rsidR="00EA6202" w:rsidRPr="00975994">
                              <w:rPr>
                                <w:sz w:val="28"/>
                              </w:rPr>
                              <w:t>community rather than institutional setting</w:t>
                            </w:r>
                            <w:r w:rsidR="003C5E3B" w:rsidRPr="00975994">
                              <w:rPr>
                                <w:sz w:val="28"/>
                              </w:rPr>
                              <w:t xml:space="preserve"> and</w:t>
                            </w:r>
                            <w:r w:rsidR="00EA6202" w:rsidRPr="00975994">
                              <w:rPr>
                                <w:sz w:val="28"/>
                              </w:rPr>
                              <w:t xml:space="preserve"> at a fraction of the cost.   </w:t>
                            </w:r>
                            <w:r w:rsidRPr="00975994">
                              <w:rPr>
                                <w:sz w:val="28"/>
                              </w:rPr>
                              <w:t xml:space="preserve">Without access to free legal advocacy Bret would still be </w:t>
                            </w:r>
                            <w:r w:rsidR="00EA6202" w:rsidRPr="00975994">
                              <w:rPr>
                                <w:sz w:val="28"/>
                              </w:rPr>
                              <w:t xml:space="preserve">living in an </w:t>
                            </w:r>
                            <w:r w:rsidR="003C5E3B" w:rsidRPr="00975994">
                              <w:rPr>
                                <w:sz w:val="28"/>
                              </w:rPr>
                              <w:t>‘</w:t>
                            </w:r>
                            <w:r w:rsidR="00EA6202" w:rsidRPr="00975994">
                              <w:rPr>
                                <w:sz w:val="28"/>
                              </w:rPr>
                              <w:t>institution for one</w:t>
                            </w:r>
                            <w:r w:rsidR="003C5E3B" w:rsidRPr="00975994">
                              <w:rPr>
                                <w:sz w:val="28"/>
                              </w:rPr>
                              <w:t>’</w:t>
                            </w:r>
                            <w:r w:rsidR="00EA6202" w:rsidRPr="00975994">
                              <w:rPr>
                                <w:sz w:val="28"/>
                              </w:rPr>
                              <w:t xml:space="preserve"> under sur</w:t>
                            </w:r>
                            <w:r w:rsidR="003C5E3B" w:rsidRPr="00975994">
                              <w:rPr>
                                <w:sz w:val="28"/>
                              </w:rPr>
                              <w:t>veillance and restraint.   O</w:t>
                            </w:r>
                            <w:r w:rsidR="00EA6202" w:rsidRPr="00975994">
                              <w:rPr>
                                <w:sz w:val="28"/>
                              </w:rPr>
                              <w:t xml:space="preserve">thers subject to Queensland’s restrictive practices </w:t>
                            </w:r>
                            <w:r w:rsidR="003C5E3B" w:rsidRPr="00975994">
                              <w:rPr>
                                <w:sz w:val="28"/>
                              </w:rPr>
                              <w:t>regulation have not been successful in engaging</w:t>
                            </w:r>
                            <w:r w:rsidR="00EA6202" w:rsidRPr="00975994">
                              <w:rPr>
                                <w:sz w:val="28"/>
                              </w:rPr>
                              <w:t xml:space="preserve"> legal representation</w:t>
                            </w:r>
                            <w:r w:rsidR="003C5E3B" w:rsidRPr="00975994">
                              <w:rPr>
                                <w:sz w:val="28"/>
                              </w:rPr>
                              <w:t xml:space="preserve">.    Demand outstrips supply despite </w:t>
                            </w:r>
                            <w:r w:rsidR="003C5E3B" w:rsidRPr="00975994">
                              <w:rPr>
                                <w:i/>
                                <w:sz w:val="28"/>
                              </w:rPr>
                              <w:t>pro bono</w:t>
                            </w:r>
                            <w:r w:rsidR="003C5E3B" w:rsidRPr="00975994">
                              <w:rPr>
                                <w:sz w:val="28"/>
                              </w:rPr>
                              <w:t xml:space="preserve"> work provided by some firms and barristers.  </w:t>
                            </w:r>
                            <w:r w:rsidR="00EA6202" w:rsidRPr="00975994">
                              <w:rPr>
                                <w:sz w:val="28"/>
                              </w:rPr>
                              <w:t xml:space="preserve"> </w:t>
                            </w:r>
                            <w:r w:rsidR="003C5E3B" w:rsidRPr="00975994">
                              <w:rPr>
                                <w:sz w:val="28"/>
                              </w:rPr>
                              <w:t xml:space="preserve">Many </w:t>
                            </w:r>
                            <w:r w:rsidR="00EA6202" w:rsidRPr="00975994">
                              <w:rPr>
                                <w:sz w:val="28"/>
                              </w:rPr>
                              <w:t xml:space="preserve">continue to live subject to conditions that clearly breach the </w:t>
                            </w:r>
                            <w:r w:rsidR="00EA6202" w:rsidRPr="00975994">
                              <w:rPr>
                                <w:i/>
                                <w:sz w:val="28"/>
                              </w:rPr>
                              <w:t xml:space="preserve">Convention on the Rights of Persons with Disabilities. </w:t>
                            </w:r>
                          </w:p>
                          <w:p w:rsidR="00975994" w:rsidRPr="00975994" w:rsidRDefault="00975994" w:rsidP="00EA6202">
                            <w:pPr>
                              <w:spacing w:line="360" w:lineRule="auto"/>
                              <w:jc w:val="both"/>
                              <w:rPr>
                                <w:sz w:val="24"/>
                              </w:rPr>
                            </w:pPr>
                          </w:p>
                          <w:p w:rsidR="006F3819" w:rsidRDefault="006F3819" w:rsidP="00EA6202">
                            <w:pPr>
                              <w:spacing w:line="360" w:lineRule="auto"/>
                              <w:jc w:val="both"/>
                            </w:pPr>
                          </w:p>
                          <w:p w:rsidR="006F3819" w:rsidRDefault="006F3819"/>
                          <w:p w:rsidR="006F3819" w:rsidRDefault="006F3819"/>
                          <w:p w:rsidR="006F3819" w:rsidRDefault="006F3819"/>
                          <w:p w:rsidR="006F3819" w:rsidRDefault="006F3819"/>
                          <w:p w:rsidR="006F3819" w:rsidRDefault="006F3819"/>
                          <w:p w:rsidR="006F3819" w:rsidRDefault="006F3819"/>
                          <w:p w:rsidR="006F3819" w:rsidRDefault="006F3819"/>
                          <w:p w:rsidR="006F3819" w:rsidRDefault="006F3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5pt;margin-top:1.5pt;width:476.25pt;height:4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">
                <v:textbox>
                  <w:txbxContent>
                    <w:p w:rsidR="00975994" w:rsidRDefault="00975994" w:rsidP="00EA6202">
                      <w:pPr>
                        <w:spacing w:line="360" w:lineRule="auto"/>
                        <w:jc w:val="both"/>
                        <w:rPr>
                          <w:sz w:val="24"/>
                        </w:rPr>
                      </w:pPr>
                    </w:p>
                    <w:p w:rsidR="006F3819" w:rsidRPr="00975994" w:rsidRDefault="006F3819" w:rsidP="00EA6202">
                      <w:pPr>
                        <w:spacing w:line="360" w:lineRule="auto"/>
                        <w:jc w:val="both"/>
                        <w:rPr>
                          <w:i/>
                          <w:sz w:val="28"/>
                        </w:rPr>
                      </w:pPr>
                      <w:r w:rsidRPr="00975994">
                        <w:rPr>
                          <w:sz w:val="28"/>
                        </w:rPr>
                        <w:t>“</w:t>
                      </w:r>
                      <w:r w:rsidRPr="00975994">
                        <w:rPr>
                          <w:b/>
                          <w:sz w:val="28"/>
                        </w:rPr>
                        <w:t>Bret”-</w:t>
                      </w:r>
                      <w:r w:rsidRPr="00975994">
                        <w:rPr>
                          <w:sz w:val="28"/>
                        </w:rPr>
                        <w:t xml:space="preserve">   By order of the Queensland Civil and Administrative Tribunal Bret was placed under containment in a secure unit west of Brisbane about 4 years ago.  His 24/7 supp</w:t>
                      </w:r>
                      <w:r w:rsidR="003C5E3B" w:rsidRPr="00975994">
                        <w:rPr>
                          <w:sz w:val="28"/>
                        </w:rPr>
                        <w:t>ort</w:t>
                      </w:r>
                      <w:r w:rsidRPr="00975994">
                        <w:rPr>
                          <w:sz w:val="28"/>
                        </w:rPr>
                        <w:t xml:space="preserve"> </w:t>
                      </w:r>
                      <w:proofErr w:type="gramStart"/>
                      <w:r w:rsidRPr="00975994">
                        <w:rPr>
                          <w:sz w:val="28"/>
                        </w:rPr>
                        <w:t>cost  the</w:t>
                      </w:r>
                      <w:proofErr w:type="gramEnd"/>
                      <w:r w:rsidRPr="00975994">
                        <w:rPr>
                          <w:sz w:val="28"/>
                        </w:rPr>
                        <w:t xml:space="preserve"> state $800k + per annum.   </w:t>
                      </w:r>
                      <w:r w:rsidR="00EA6202" w:rsidRPr="00975994">
                        <w:rPr>
                          <w:sz w:val="28"/>
                        </w:rPr>
                        <w:t xml:space="preserve">Through his guardian/sister Bret successfully engaged QAI </w:t>
                      </w:r>
                      <w:r w:rsidR="003C5E3B" w:rsidRPr="00975994">
                        <w:rPr>
                          <w:sz w:val="28"/>
                        </w:rPr>
                        <w:t>counsel to seek a lessening of his restraints.  Counsel d</w:t>
                      </w:r>
                      <w:r w:rsidR="00EA6202" w:rsidRPr="00975994">
                        <w:rPr>
                          <w:sz w:val="28"/>
                        </w:rPr>
                        <w:t>evoted considerable time to obtaining instructions and relaying information to and getting information from his client.  Bret’s legal representative convinced QCAT to reconsider its earlier decision and agree to tr</w:t>
                      </w:r>
                      <w:r w:rsidR="003C5E3B" w:rsidRPr="00975994">
                        <w:rPr>
                          <w:sz w:val="28"/>
                        </w:rPr>
                        <w:t xml:space="preserve">ansfer Bret to his own home in a </w:t>
                      </w:r>
                      <w:r w:rsidR="00EA6202" w:rsidRPr="00975994">
                        <w:rPr>
                          <w:sz w:val="28"/>
                        </w:rPr>
                        <w:t>community rather than institutional setting</w:t>
                      </w:r>
                      <w:r w:rsidR="003C5E3B" w:rsidRPr="00975994">
                        <w:rPr>
                          <w:sz w:val="28"/>
                        </w:rPr>
                        <w:t xml:space="preserve"> and</w:t>
                      </w:r>
                      <w:r w:rsidR="00EA6202" w:rsidRPr="00975994">
                        <w:rPr>
                          <w:sz w:val="28"/>
                        </w:rPr>
                        <w:t xml:space="preserve"> at a fraction of the cost.   </w:t>
                      </w:r>
                      <w:r w:rsidRPr="00975994">
                        <w:rPr>
                          <w:sz w:val="28"/>
                        </w:rPr>
                        <w:t xml:space="preserve">Without access to free legal advocacy Bret would still be </w:t>
                      </w:r>
                      <w:r w:rsidR="00EA6202" w:rsidRPr="00975994">
                        <w:rPr>
                          <w:sz w:val="28"/>
                        </w:rPr>
                        <w:t xml:space="preserve">living in an </w:t>
                      </w:r>
                      <w:r w:rsidR="003C5E3B" w:rsidRPr="00975994">
                        <w:rPr>
                          <w:sz w:val="28"/>
                        </w:rPr>
                        <w:t>‘</w:t>
                      </w:r>
                      <w:r w:rsidR="00EA6202" w:rsidRPr="00975994">
                        <w:rPr>
                          <w:sz w:val="28"/>
                        </w:rPr>
                        <w:t>institution for one</w:t>
                      </w:r>
                      <w:r w:rsidR="003C5E3B" w:rsidRPr="00975994">
                        <w:rPr>
                          <w:sz w:val="28"/>
                        </w:rPr>
                        <w:t>’</w:t>
                      </w:r>
                      <w:r w:rsidR="00EA6202" w:rsidRPr="00975994">
                        <w:rPr>
                          <w:sz w:val="28"/>
                        </w:rPr>
                        <w:t xml:space="preserve"> under sur</w:t>
                      </w:r>
                      <w:r w:rsidR="003C5E3B" w:rsidRPr="00975994">
                        <w:rPr>
                          <w:sz w:val="28"/>
                        </w:rPr>
                        <w:t>veillance and restraint.   O</w:t>
                      </w:r>
                      <w:r w:rsidR="00EA6202" w:rsidRPr="00975994">
                        <w:rPr>
                          <w:sz w:val="28"/>
                        </w:rPr>
                        <w:t xml:space="preserve">thers subject to Queensland’s restrictive practices </w:t>
                      </w:r>
                      <w:r w:rsidR="003C5E3B" w:rsidRPr="00975994">
                        <w:rPr>
                          <w:sz w:val="28"/>
                        </w:rPr>
                        <w:t>regulation have not been successful in engaging</w:t>
                      </w:r>
                      <w:r w:rsidR="00EA6202" w:rsidRPr="00975994">
                        <w:rPr>
                          <w:sz w:val="28"/>
                        </w:rPr>
                        <w:t xml:space="preserve"> legal representation</w:t>
                      </w:r>
                      <w:r w:rsidR="003C5E3B" w:rsidRPr="00975994">
                        <w:rPr>
                          <w:sz w:val="28"/>
                        </w:rPr>
                        <w:t xml:space="preserve">.    Demand outstrips supply despite </w:t>
                      </w:r>
                      <w:r w:rsidR="003C5E3B" w:rsidRPr="00975994">
                        <w:rPr>
                          <w:i/>
                          <w:sz w:val="28"/>
                        </w:rPr>
                        <w:t>pro bono</w:t>
                      </w:r>
                      <w:r w:rsidR="003C5E3B" w:rsidRPr="00975994">
                        <w:rPr>
                          <w:sz w:val="28"/>
                        </w:rPr>
                        <w:t xml:space="preserve"> work provided by some firms and barristers.  </w:t>
                      </w:r>
                      <w:r w:rsidR="00EA6202" w:rsidRPr="00975994">
                        <w:rPr>
                          <w:sz w:val="28"/>
                        </w:rPr>
                        <w:t xml:space="preserve"> </w:t>
                      </w:r>
                      <w:r w:rsidR="003C5E3B" w:rsidRPr="00975994">
                        <w:rPr>
                          <w:sz w:val="28"/>
                        </w:rPr>
                        <w:t xml:space="preserve">Many </w:t>
                      </w:r>
                      <w:r w:rsidR="00EA6202" w:rsidRPr="00975994">
                        <w:rPr>
                          <w:sz w:val="28"/>
                        </w:rPr>
                        <w:t xml:space="preserve">continue to live subject to conditions that clearly breach the </w:t>
                      </w:r>
                      <w:r w:rsidR="00EA6202" w:rsidRPr="00975994">
                        <w:rPr>
                          <w:i/>
                          <w:sz w:val="28"/>
                        </w:rPr>
                        <w:t xml:space="preserve">Convention on the Rights of Persons with Disabilities. </w:t>
                      </w:r>
                    </w:p>
                    <w:p w:rsidR="00975994" w:rsidRPr="00975994" w:rsidRDefault="00975994" w:rsidP="00EA6202">
                      <w:pPr>
                        <w:spacing w:line="360" w:lineRule="auto"/>
                        <w:jc w:val="both"/>
                        <w:rPr>
                          <w:sz w:val="24"/>
                        </w:rPr>
                      </w:pPr>
                    </w:p>
                    <w:p w:rsidR="006F3819" w:rsidRDefault="006F3819" w:rsidP="00EA6202">
                      <w:pPr>
                        <w:spacing w:line="360" w:lineRule="auto"/>
                        <w:jc w:val="both"/>
                      </w:pPr>
                    </w:p>
                    <w:p w:rsidR="006F3819" w:rsidRDefault="006F3819"/>
                    <w:p w:rsidR="006F3819" w:rsidRDefault="006F3819"/>
                    <w:p w:rsidR="006F3819" w:rsidRDefault="006F3819"/>
                    <w:p w:rsidR="006F3819" w:rsidRDefault="006F3819"/>
                    <w:p w:rsidR="006F3819" w:rsidRDefault="006F3819"/>
                    <w:p w:rsidR="006F3819" w:rsidRDefault="006F3819"/>
                    <w:p w:rsidR="006F3819" w:rsidRDefault="006F3819"/>
                    <w:p w:rsidR="006F3819" w:rsidRDefault="006F3819"/>
                  </w:txbxContent>
                </v:textbox>
              </v:shape>
            </w:pict>
          </mc:Fallback>
        </mc:AlternateContent>
      </w: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293103" w:rsidRPr="00A241C7" w:rsidRDefault="00293103"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B5093" w:rsidP="00EB75F3">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 </w:t>
      </w: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EB75F3" w:rsidRPr="00A241C7" w:rsidRDefault="00EB75F3" w:rsidP="00EB75F3">
      <w:pPr>
        <w:spacing w:line="360" w:lineRule="auto"/>
        <w:rPr>
          <w:rFonts w:ascii="Arial" w:eastAsia="Calibri" w:hAnsi="Arial" w:cs="Arial"/>
          <w:sz w:val="22"/>
          <w:szCs w:val="22"/>
          <w:lang w:eastAsia="en-US"/>
        </w:rPr>
      </w:pPr>
    </w:p>
    <w:p w:rsidR="00EB75F3" w:rsidRPr="00A241C7" w:rsidRDefault="00EB75F3"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BC34CC" w:rsidRPr="00A241C7" w:rsidRDefault="00BC34CC" w:rsidP="00EB75F3">
      <w:pPr>
        <w:spacing w:line="360" w:lineRule="auto"/>
        <w:rPr>
          <w:rFonts w:ascii="Arial" w:eastAsia="Calibri" w:hAnsi="Arial" w:cs="Arial"/>
          <w:sz w:val="22"/>
          <w:szCs w:val="22"/>
          <w:lang w:eastAsia="en-US"/>
        </w:rPr>
      </w:pPr>
    </w:p>
    <w:p w:rsidR="00796601" w:rsidRPr="00A241C7" w:rsidRDefault="00796601" w:rsidP="00A241C7">
      <w:pPr>
        <w:pStyle w:val="IntenseQuote"/>
        <w:rPr>
          <w:rFonts w:ascii="Arial" w:eastAsia="Calibri" w:hAnsi="Arial" w:cs="Arial"/>
          <w:sz w:val="22"/>
          <w:szCs w:val="22"/>
          <w:lang w:eastAsia="en-US"/>
        </w:rPr>
      </w:pPr>
      <w:r w:rsidRPr="00A241C7">
        <w:rPr>
          <w:rFonts w:ascii="Arial" w:eastAsia="Calibri" w:hAnsi="Arial" w:cs="Arial"/>
          <w:sz w:val="22"/>
          <w:szCs w:val="22"/>
          <w:lang w:eastAsia="en-US"/>
        </w:rPr>
        <w:t>Conclusion</w:t>
      </w:r>
    </w:p>
    <w:p w:rsidR="00796601" w:rsidRPr="00A241C7" w:rsidRDefault="00796601" w:rsidP="000C252A">
      <w:pPr>
        <w:spacing w:before="240" w:line="360" w:lineRule="auto"/>
        <w:jc w:val="both"/>
        <w:rPr>
          <w:rFonts w:ascii="Arial" w:eastAsia="Calibri" w:hAnsi="Arial" w:cs="Arial"/>
          <w:sz w:val="22"/>
          <w:szCs w:val="22"/>
          <w:lang w:eastAsia="en-US"/>
        </w:rPr>
      </w:pPr>
      <w:r w:rsidRPr="00A241C7">
        <w:rPr>
          <w:rFonts w:ascii="Arial" w:hAnsi="Arial" w:cs="Arial"/>
          <w:sz w:val="22"/>
          <w:szCs w:val="22"/>
        </w:rPr>
        <w:t xml:space="preserve">According to the </w:t>
      </w:r>
      <w:r w:rsidRPr="00A241C7">
        <w:rPr>
          <w:rFonts w:ascii="Arial" w:hAnsi="Arial" w:cs="Arial"/>
          <w:i/>
          <w:sz w:val="22"/>
          <w:szCs w:val="22"/>
        </w:rPr>
        <w:t xml:space="preserve">Draft </w:t>
      </w:r>
      <w:r w:rsidRPr="00A241C7">
        <w:rPr>
          <w:rFonts w:ascii="Arial" w:hAnsi="Arial" w:cs="Arial"/>
          <w:sz w:val="22"/>
          <w:szCs w:val="22"/>
        </w:rPr>
        <w:t xml:space="preserve">Report, </w:t>
      </w:r>
      <w:r w:rsidR="009746D2" w:rsidRPr="00A241C7">
        <w:rPr>
          <w:rFonts w:ascii="Arial" w:hAnsi="Arial" w:cs="Arial"/>
          <w:sz w:val="22"/>
          <w:szCs w:val="22"/>
        </w:rPr>
        <w:t xml:space="preserve">people with a disability are also more likely to be deeply socially excluded </w:t>
      </w:r>
      <w:r w:rsidR="009746D2" w:rsidRPr="00A241C7">
        <w:rPr>
          <w:rFonts w:ascii="Arial" w:hAnsi="Arial" w:cs="Arial"/>
          <w:i/>
          <w:sz w:val="22"/>
          <w:szCs w:val="22"/>
        </w:rPr>
        <w:t xml:space="preserve">and </w:t>
      </w:r>
      <w:r w:rsidRPr="00A241C7">
        <w:rPr>
          <w:rFonts w:ascii="Arial" w:hAnsi="Arial" w:cs="Arial"/>
          <w:sz w:val="22"/>
          <w:szCs w:val="22"/>
        </w:rPr>
        <w:t>having a long</w:t>
      </w:r>
      <w:r w:rsidRPr="00A241C7">
        <w:rPr>
          <w:rFonts w:ascii="Arial" w:hAnsi="Arial" w:cs="Arial"/>
          <w:sz w:val="22"/>
          <w:szCs w:val="22"/>
        </w:rPr>
        <w:noBreakHyphen/>
        <w:t>term illness or disability is the strongest predictor of justiciable problems</w:t>
      </w:r>
      <w:r w:rsidR="009746D2" w:rsidRPr="00A241C7">
        <w:rPr>
          <w:rFonts w:ascii="Arial" w:hAnsi="Arial" w:cs="Arial"/>
          <w:sz w:val="22"/>
          <w:szCs w:val="22"/>
        </w:rPr>
        <w:t>.</w:t>
      </w:r>
    </w:p>
    <w:p w:rsidR="006F3819" w:rsidRPr="00A241C7" w:rsidRDefault="000C252A" w:rsidP="000C252A">
      <w:pPr>
        <w:spacing w:line="360" w:lineRule="auto"/>
        <w:rPr>
          <w:rFonts w:ascii="Arial" w:eastAsia="Calibri" w:hAnsi="Arial" w:cs="Arial"/>
          <w:sz w:val="22"/>
          <w:szCs w:val="22"/>
          <w:lang w:eastAsia="en-US"/>
        </w:rPr>
      </w:pPr>
      <w:r w:rsidRPr="00A241C7">
        <w:rPr>
          <w:rFonts w:ascii="Arial" w:eastAsia="Calibri" w:hAnsi="Arial" w:cs="Arial"/>
          <w:sz w:val="22"/>
          <w:szCs w:val="22"/>
          <w:lang w:eastAsia="en-US"/>
        </w:rPr>
        <w:t xml:space="preserve">For the most vulnerable people with disability the justice system has profound impacts.   They are not debtors, but they may have the management of their financial affairs taken from them.  </w:t>
      </w:r>
      <w:r w:rsidR="00A241C7" w:rsidRPr="00A241C7">
        <w:rPr>
          <w:rFonts w:ascii="Arial" w:eastAsia="Calibri" w:hAnsi="Arial" w:cs="Arial"/>
          <w:sz w:val="22"/>
          <w:szCs w:val="22"/>
          <w:lang w:eastAsia="en-US"/>
        </w:rPr>
        <w:t xml:space="preserve">When they try to communicate we call this ‘challenging behaviours’ and the tribunal subjects them to restrictive practices.   </w:t>
      </w:r>
      <w:r w:rsidRPr="00A241C7">
        <w:rPr>
          <w:rFonts w:ascii="Arial" w:eastAsia="Calibri" w:hAnsi="Arial" w:cs="Arial"/>
          <w:sz w:val="22"/>
          <w:szCs w:val="22"/>
          <w:lang w:eastAsia="en-US"/>
        </w:rPr>
        <w:t xml:space="preserve">They are not criminals, but they may have their liberty taken from them.   </w:t>
      </w:r>
      <w:r w:rsidR="00A241C7" w:rsidRPr="00A241C7">
        <w:rPr>
          <w:rFonts w:ascii="Arial" w:eastAsia="Calibri" w:hAnsi="Arial" w:cs="Arial"/>
          <w:sz w:val="22"/>
          <w:szCs w:val="22"/>
          <w:lang w:eastAsia="en-US"/>
        </w:rPr>
        <w:t xml:space="preserve"> Queensland’s appallingly low rates of representation in specialist tribunals must be addressed by increasing legal support and representation. </w:t>
      </w:r>
    </w:p>
    <w:p w:rsidR="006F3819" w:rsidRPr="00A241C7" w:rsidRDefault="006F3819" w:rsidP="000C252A">
      <w:pPr>
        <w:spacing w:line="360" w:lineRule="auto"/>
        <w:rPr>
          <w:rFonts w:ascii="Arial" w:eastAsia="Calibri" w:hAnsi="Arial" w:cs="Arial"/>
          <w:sz w:val="22"/>
          <w:szCs w:val="22"/>
          <w:lang w:eastAsia="en-US"/>
        </w:rPr>
      </w:pPr>
    </w:p>
    <w:p w:rsidR="00BB5093" w:rsidRPr="00A241C7" w:rsidRDefault="00BB5093" w:rsidP="000C252A">
      <w:pPr>
        <w:spacing w:line="360" w:lineRule="auto"/>
        <w:rPr>
          <w:rFonts w:ascii="Arial" w:eastAsia="Calibri" w:hAnsi="Arial" w:cs="Arial"/>
          <w:sz w:val="22"/>
          <w:szCs w:val="22"/>
          <w:lang w:eastAsia="en-US"/>
        </w:rPr>
      </w:pPr>
    </w:p>
    <w:p w:rsidR="006F3819" w:rsidRPr="00A241C7" w:rsidRDefault="006F3819" w:rsidP="000C252A">
      <w:pPr>
        <w:spacing w:line="360" w:lineRule="auto"/>
        <w:rPr>
          <w:rFonts w:ascii="Arial" w:eastAsia="Calibri" w:hAnsi="Arial" w:cs="Arial"/>
          <w:b/>
          <w:bCs/>
          <w:i/>
          <w:iCs/>
          <w:color w:val="4F81BD"/>
          <w:sz w:val="22"/>
          <w:szCs w:val="22"/>
          <w:lang w:eastAsia="en-US"/>
        </w:rPr>
      </w:pPr>
    </w:p>
    <w:p w:rsidR="006F3819" w:rsidRPr="00A241C7" w:rsidRDefault="006F3819" w:rsidP="000C252A">
      <w:pPr>
        <w:spacing w:line="360" w:lineRule="auto"/>
        <w:rPr>
          <w:rFonts w:ascii="Arial" w:eastAsia="Calibri" w:hAnsi="Arial" w:cs="Arial"/>
          <w:b/>
          <w:bCs/>
          <w:i/>
          <w:iCs/>
          <w:color w:val="4F81BD"/>
          <w:sz w:val="22"/>
          <w:szCs w:val="22"/>
          <w:lang w:eastAsia="en-US"/>
        </w:rPr>
      </w:pPr>
    </w:p>
    <w:p w:rsidR="006F3819" w:rsidRPr="00A241C7" w:rsidRDefault="006F3819" w:rsidP="000C252A">
      <w:pPr>
        <w:spacing w:line="360" w:lineRule="auto"/>
        <w:rPr>
          <w:rFonts w:ascii="Arial" w:eastAsia="Calibri" w:hAnsi="Arial" w:cs="Arial"/>
          <w:b/>
          <w:bCs/>
          <w:i/>
          <w:iCs/>
          <w:color w:val="4F81BD"/>
          <w:sz w:val="22"/>
          <w:szCs w:val="22"/>
          <w:lang w:eastAsia="en-US"/>
        </w:rPr>
      </w:pPr>
    </w:p>
    <w:p w:rsidR="006F3819" w:rsidRPr="00A241C7" w:rsidRDefault="006F3819" w:rsidP="00EB75F3">
      <w:pPr>
        <w:spacing w:line="360" w:lineRule="auto"/>
        <w:rPr>
          <w:rFonts w:ascii="Arial" w:eastAsia="Calibri" w:hAnsi="Arial" w:cs="Arial"/>
          <w:b/>
          <w:bCs/>
          <w:i/>
          <w:iCs/>
          <w:color w:val="4F81BD"/>
          <w:sz w:val="22"/>
          <w:szCs w:val="22"/>
          <w:lang w:eastAsia="en-US"/>
        </w:rPr>
      </w:pPr>
    </w:p>
    <w:p w:rsidR="006F3819" w:rsidRPr="00A241C7" w:rsidRDefault="006F3819" w:rsidP="00EB75F3">
      <w:pPr>
        <w:spacing w:line="360" w:lineRule="auto"/>
        <w:rPr>
          <w:rFonts w:ascii="Arial" w:eastAsia="Calibri" w:hAnsi="Arial" w:cs="Arial"/>
          <w:b/>
          <w:bCs/>
          <w:i/>
          <w:iCs/>
          <w:color w:val="4F81BD"/>
          <w:sz w:val="22"/>
          <w:szCs w:val="22"/>
          <w:lang w:eastAsia="en-US"/>
        </w:rPr>
      </w:pPr>
    </w:p>
    <w:p w:rsidR="006F3819" w:rsidRPr="00A241C7" w:rsidRDefault="006F3819" w:rsidP="00EB75F3">
      <w:pPr>
        <w:spacing w:line="360" w:lineRule="auto"/>
        <w:rPr>
          <w:rFonts w:ascii="Arial" w:eastAsia="Calibri" w:hAnsi="Arial" w:cs="Arial"/>
          <w:b/>
          <w:bCs/>
          <w:i/>
          <w:iCs/>
          <w:color w:val="4F81BD"/>
          <w:sz w:val="22"/>
          <w:szCs w:val="22"/>
          <w:lang w:eastAsia="en-US"/>
        </w:rPr>
      </w:pPr>
    </w:p>
    <w:p w:rsidR="006F3819" w:rsidRPr="00A241C7" w:rsidRDefault="006F3819" w:rsidP="00EB75F3">
      <w:pPr>
        <w:spacing w:line="360" w:lineRule="auto"/>
        <w:rPr>
          <w:rFonts w:ascii="Arial" w:eastAsia="Calibri" w:hAnsi="Arial" w:cs="Arial"/>
          <w:b/>
          <w:bCs/>
          <w:i/>
          <w:iCs/>
          <w:color w:val="4F81BD"/>
          <w:sz w:val="22"/>
          <w:szCs w:val="22"/>
          <w:lang w:eastAsia="en-US"/>
        </w:rPr>
      </w:pPr>
    </w:p>
    <w:p w:rsidR="006F3819" w:rsidRPr="00A241C7" w:rsidRDefault="006F3819" w:rsidP="00EB75F3">
      <w:pPr>
        <w:spacing w:line="360" w:lineRule="auto"/>
        <w:rPr>
          <w:rFonts w:ascii="Arial" w:eastAsia="Calibri" w:hAnsi="Arial" w:cs="Arial"/>
          <w:b/>
          <w:bCs/>
          <w:i/>
          <w:iCs/>
          <w:color w:val="4F81BD"/>
          <w:sz w:val="22"/>
          <w:szCs w:val="22"/>
          <w:lang w:eastAsia="en-US"/>
        </w:rPr>
      </w:pPr>
    </w:p>
    <w:p w:rsidR="006F3819" w:rsidRPr="00A241C7" w:rsidRDefault="006F3819" w:rsidP="00EB75F3">
      <w:pPr>
        <w:spacing w:line="360" w:lineRule="auto"/>
        <w:rPr>
          <w:rFonts w:ascii="Arial" w:eastAsia="Calibri" w:hAnsi="Arial" w:cs="Arial"/>
          <w:b/>
          <w:bCs/>
          <w:i/>
          <w:iCs/>
          <w:color w:val="4F81BD"/>
          <w:sz w:val="22"/>
          <w:szCs w:val="22"/>
          <w:lang w:eastAsia="en-US"/>
        </w:rPr>
      </w:pPr>
    </w:p>
    <w:p w:rsidR="0027128F" w:rsidRPr="00A241C7" w:rsidRDefault="0027128F" w:rsidP="00EB75F3">
      <w:pPr>
        <w:spacing w:line="360" w:lineRule="auto"/>
        <w:rPr>
          <w:rFonts w:ascii="Arial" w:hAnsi="Arial" w:cs="Arial"/>
          <w:sz w:val="22"/>
          <w:szCs w:val="22"/>
        </w:rPr>
      </w:pPr>
    </w:p>
    <w:sectPr w:rsidR="0027128F" w:rsidRPr="00A241C7" w:rsidSect="00F13A25">
      <w:headerReference w:type="default" r:id="rId11"/>
      <w:footerReference w:type="default" r:id="rId12"/>
      <w:pgSz w:w="11907" w:h="16840" w:code="9"/>
      <w:pgMar w:top="851"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F6" w:rsidRDefault="00371DF6">
      <w:r>
        <w:separator/>
      </w:r>
    </w:p>
  </w:endnote>
  <w:endnote w:type="continuationSeparator" w:id="0">
    <w:p w:rsidR="00371DF6" w:rsidRDefault="003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F6" w:rsidRPr="0027128F" w:rsidRDefault="00371DF6" w:rsidP="00713139">
    <w:pPr>
      <w:widowControl w:val="0"/>
      <w:spacing w:after="60"/>
      <w:ind w:right="15"/>
      <w:jc w:val="center"/>
      <w:rPr>
        <w:rFonts w:ascii="Arial" w:eastAsia="Calibri" w:hAnsi="Arial" w:cs="Arial"/>
        <w:b/>
        <w:bCs/>
        <w:color w:val="FFFFFF"/>
        <w:sz w:val="18"/>
        <w:szCs w:val="18"/>
        <w:lang w:eastAsia="en-US"/>
      </w:rPr>
    </w:pPr>
    <w:r w:rsidRPr="0056721E">
      <w:rPr>
        <w:rFonts w:ascii="Arial" w:hAnsi="Arial" w:cs="Arial"/>
        <w:b/>
        <w:bCs/>
        <w:color w:val="FFFFFF"/>
        <w:sz w:val="18"/>
        <w:szCs w:val="18"/>
      </w:rPr>
      <w:t>2</w:t>
    </w:r>
    <w:r>
      <w:rPr>
        <w:rFonts w:ascii="Arial" w:hAnsi="Arial" w:cs="Arial"/>
        <w:b/>
        <w:bCs/>
        <w:color w:val="FFFFFF"/>
        <w:sz w:val="18"/>
        <w:szCs w:val="18"/>
      </w:rPr>
      <w:t>nd Floor,</w:t>
    </w:r>
  </w:p>
  <w:p w:rsidR="00371DF6" w:rsidRPr="0027128F" w:rsidRDefault="00371DF6" w:rsidP="0027128F">
    <w:pPr>
      <w:widowControl w:val="0"/>
      <w:spacing w:after="60"/>
      <w:ind w:right="15"/>
      <w:jc w:val="center"/>
      <w:rPr>
        <w:rFonts w:ascii="Arial" w:eastAsia="Calibri" w:hAnsi="Arial" w:cs="Arial"/>
        <w:b/>
        <w:bCs/>
        <w:color w:val="FFFFFF"/>
        <w:sz w:val="18"/>
        <w:szCs w:val="18"/>
        <w:lang w:eastAsia="en-US"/>
      </w:rPr>
    </w:pPr>
    <w:r w:rsidRPr="0027128F">
      <w:rPr>
        <w:rFonts w:ascii="Arial" w:eastAsia="Calibri" w:hAnsi="Arial" w:cs="Arial"/>
        <w:b/>
        <w:bCs/>
        <w:color w:val="FFFFFF"/>
        <w:sz w:val="18"/>
        <w:szCs w:val="18"/>
        <w:lang w:eastAsia="en-US"/>
      </w:rPr>
      <w:t>)</w:t>
    </w:r>
  </w:p>
  <w:p w:rsidR="00371DF6" w:rsidRPr="0027128F" w:rsidRDefault="00371DF6" w:rsidP="0027128F">
    <w:pPr>
      <w:spacing w:after="60"/>
      <w:jc w:val="center"/>
      <w:rPr>
        <w:rFonts w:ascii="Arial" w:eastAsia="Calibri" w:hAnsi="Arial" w:cs="Arial"/>
        <w:b/>
        <w:bCs/>
        <w:color w:val="FFFFFF"/>
        <w:sz w:val="16"/>
        <w:szCs w:val="16"/>
        <w:lang w:eastAsia="en-US"/>
      </w:rPr>
    </w:pPr>
    <w:r w:rsidRPr="0027128F">
      <w:rPr>
        <w:rFonts w:ascii="Arial" w:hAnsi="Arial" w:cs="Arial"/>
        <w:b/>
        <w:noProof/>
        <w:color w:val="FFFFFF"/>
        <w:sz w:val="16"/>
        <w:szCs w:val="16"/>
      </w:rPr>
      <w:t xml:space="preserve">QAI endorses the objectives, and promotes the </w:t>
    </w:r>
  </w:p>
  <w:p w:rsidR="00371DF6" w:rsidRPr="0027128F" w:rsidRDefault="00371DF6" w:rsidP="0027128F">
    <w:pPr>
      <w:widowControl w:val="0"/>
      <w:spacing w:after="60" w:line="276" w:lineRule="auto"/>
      <w:ind w:right="15"/>
      <w:jc w:val="center"/>
      <w:rPr>
        <w:rFonts w:ascii="Arial" w:eastAsia="Calibri" w:hAnsi="Arial" w:cs="Arial"/>
        <w:b/>
        <w:color w:val="FFFFFF"/>
        <w:sz w:val="22"/>
        <w:szCs w:val="22"/>
        <w:lang w:eastAsia="en-US"/>
      </w:rPr>
    </w:pPr>
    <w:r w:rsidRPr="0027128F">
      <w:rPr>
        <w:rFonts w:ascii="Arial" w:eastAsia="Calibri" w:hAnsi="Arial" w:cs="Arial"/>
        <w:b/>
        <w:bCs/>
        <w:color w:val="FFFFFF"/>
        <w:sz w:val="16"/>
        <w:szCs w:val="16"/>
        <w:lang w:eastAsia="en-US"/>
      </w:rPr>
      <w:t>Governor of Queensland</w:t>
    </w:r>
  </w:p>
  <w:p w:rsidR="00371DF6" w:rsidRDefault="00371DF6">
    <w:pPr>
      <w:pStyle w:val="Footer"/>
    </w:pPr>
  </w:p>
  <w:p w:rsidR="00371DF6" w:rsidRDefault="00371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F6" w:rsidRDefault="00371DF6">
      <w:r>
        <w:separator/>
      </w:r>
    </w:p>
  </w:footnote>
  <w:footnote w:type="continuationSeparator" w:id="0">
    <w:p w:rsidR="00371DF6" w:rsidRDefault="00371DF6">
      <w:r>
        <w:continuationSeparator/>
      </w:r>
    </w:p>
  </w:footnote>
  <w:footnote w:id="1">
    <w:p w:rsidR="00487F84" w:rsidRPr="00D82088" w:rsidRDefault="00487F84" w:rsidP="00487F84">
      <w:pPr>
        <w:rPr>
          <w:sz w:val="18"/>
          <w:szCs w:val="18"/>
        </w:rPr>
      </w:pPr>
      <w:r w:rsidRPr="00D82088">
        <w:rPr>
          <w:rStyle w:val="FootnoteReference"/>
          <w:sz w:val="18"/>
          <w:szCs w:val="18"/>
        </w:rPr>
        <w:footnoteRef/>
      </w:r>
      <w:r w:rsidRPr="00D82088">
        <w:rPr>
          <w:sz w:val="18"/>
          <w:szCs w:val="18"/>
        </w:rPr>
        <w:t xml:space="preserve"> Physical and Chemical Restrain</w:t>
      </w:r>
      <w:r>
        <w:rPr>
          <w:sz w:val="18"/>
          <w:szCs w:val="18"/>
        </w:rPr>
        <w:t>t, Containment and Seclusion pursuant to the</w:t>
      </w:r>
      <w:r w:rsidRPr="00D82088">
        <w:rPr>
          <w:sz w:val="18"/>
          <w:szCs w:val="18"/>
        </w:rPr>
        <w:t xml:space="preserve"> </w:t>
      </w:r>
      <w:r w:rsidRPr="00D82088">
        <w:rPr>
          <w:i/>
          <w:sz w:val="18"/>
          <w:szCs w:val="18"/>
        </w:rPr>
        <w:t>Guardianship and Administration Act 2000</w:t>
      </w:r>
      <w:r w:rsidRPr="00D82088">
        <w:rPr>
          <w:sz w:val="18"/>
          <w:szCs w:val="18"/>
        </w:rPr>
        <w:t xml:space="preserve"> &amp;  </w:t>
      </w:r>
      <w:r w:rsidRPr="00D82088">
        <w:rPr>
          <w:i/>
          <w:sz w:val="18"/>
          <w:szCs w:val="18"/>
        </w:rPr>
        <w:t>Disability Services Act 2006</w:t>
      </w:r>
      <w:r w:rsidRPr="00D82088">
        <w:rPr>
          <w:sz w:val="18"/>
          <w:szCs w:val="18"/>
        </w:rPr>
        <w:t xml:space="preserve"> Qld</w:t>
      </w:r>
    </w:p>
  </w:footnote>
  <w:footnote w:id="2">
    <w:p w:rsidR="00487F84" w:rsidRPr="00D82088" w:rsidRDefault="00487F84" w:rsidP="00487F84">
      <w:pPr>
        <w:rPr>
          <w:sz w:val="18"/>
          <w:szCs w:val="18"/>
        </w:rPr>
      </w:pPr>
      <w:r w:rsidRPr="00D82088">
        <w:rPr>
          <w:rStyle w:val="FootnoteReference"/>
          <w:sz w:val="18"/>
          <w:szCs w:val="18"/>
        </w:rPr>
        <w:footnoteRef/>
      </w:r>
      <w:r>
        <w:rPr>
          <w:sz w:val="18"/>
          <w:szCs w:val="18"/>
        </w:rPr>
        <w:t xml:space="preserve"> Pursuant to the </w:t>
      </w:r>
      <w:r w:rsidRPr="00D82088">
        <w:rPr>
          <w:i/>
          <w:sz w:val="18"/>
          <w:szCs w:val="18"/>
        </w:rPr>
        <w:t>Public Trustee Act 1978 &amp; Guardianship and Administration Act 2000</w:t>
      </w:r>
    </w:p>
  </w:footnote>
  <w:footnote w:id="3">
    <w:p w:rsidR="00487F84" w:rsidRPr="00D82088" w:rsidRDefault="00487F84" w:rsidP="00487F84">
      <w:pPr>
        <w:rPr>
          <w:sz w:val="18"/>
          <w:szCs w:val="18"/>
        </w:rPr>
      </w:pPr>
      <w:r w:rsidRPr="00D82088">
        <w:rPr>
          <w:rStyle w:val="FootnoteReference"/>
          <w:sz w:val="18"/>
          <w:szCs w:val="18"/>
        </w:rPr>
        <w:footnoteRef/>
      </w:r>
      <w:r>
        <w:rPr>
          <w:sz w:val="18"/>
          <w:szCs w:val="18"/>
        </w:rPr>
        <w:t xml:space="preserve"> Pursuant to the</w:t>
      </w:r>
      <w:r w:rsidRPr="00D82088">
        <w:rPr>
          <w:sz w:val="18"/>
          <w:szCs w:val="18"/>
        </w:rPr>
        <w:t xml:space="preserve">  </w:t>
      </w:r>
      <w:r w:rsidRPr="00D82088">
        <w:rPr>
          <w:i/>
          <w:sz w:val="18"/>
          <w:szCs w:val="18"/>
        </w:rPr>
        <w:t xml:space="preserve">Anti-Discrimination Act 1991 </w:t>
      </w:r>
      <w:r w:rsidRPr="00D82088">
        <w:rPr>
          <w:sz w:val="18"/>
          <w:szCs w:val="18"/>
        </w:rPr>
        <w:t>(Qld)</w:t>
      </w:r>
    </w:p>
  </w:footnote>
  <w:footnote w:id="4">
    <w:p w:rsidR="00487F84" w:rsidRPr="00D82088" w:rsidRDefault="00487F84" w:rsidP="00487F84">
      <w:pPr>
        <w:pStyle w:val="FootnoteText"/>
        <w:rPr>
          <w:sz w:val="18"/>
          <w:szCs w:val="18"/>
        </w:rPr>
      </w:pPr>
      <w:r w:rsidRPr="00D82088">
        <w:rPr>
          <w:rStyle w:val="FootnoteReference"/>
          <w:sz w:val="18"/>
          <w:szCs w:val="18"/>
        </w:rPr>
        <w:footnoteRef/>
      </w:r>
      <w:r>
        <w:rPr>
          <w:sz w:val="18"/>
          <w:szCs w:val="18"/>
        </w:rPr>
        <w:t xml:space="preserve"> Pursuant to the </w:t>
      </w:r>
      <w:r w:rsidRPr="00D82088">
        <w:rPr>
          <w:i/>
          <w:sz w:val="18"/>
          <w:szCs w:val="18"/>
        </w:rPr>
        <w:t>Mental Health Act 2000</w:t>
      </w:r>
      <w:r w:rsidRPr="00D82088">
        <w:rPr>
          <w:sz w:val="18"/>
          <w:szCs w:val="18"/>
        </w:rPr>
        <w:t xml:space="preserve"> (Qld)</w:t>
      </w:r>
      <w:r w:rsidRPr="00D82088">
        <w:rPr>
          <w:b/>
          <w:sz w:val="18"/>
          <w:szCs w:val="18"/>
        </w:rPr>
        <w:t xml:space="preserve">  </w:t>
      </w:r>
      <w:r w:rsidRPr="00D82088">
        <w:rPr>
          <w:i/>
          <w:sz w:val="18"/>
          <w:szCs w:val="18"/>
        </w:rPr>
        <w:t>et al</w:t>
      </w:r>
    </w:p>
  </w:footnote>
  <w:footnote w:id="5">
    <w:p w:rsidR="00BB5093" w:rsidRPr="00BB5093" w:rsidRDefault="00BB5093">
      <w:pPr>
        <w:pStyle w:val="FootnoteText"/>
      </w:pPr>
      <w:r>
        <w:rPr>
          <w:rStyle w:val="FootnoteReference"/>
        </w:rPr>
        <w:footnoteRef/>
      </w:r>
      <w:r>
        <w:t xml:space="preserve"> </w:t>
      </w:r>
      <w:r>
        <w:rPr>
          <w:i/>
        </w:rPr>
        <w:t>Draft Report</w:t>
      </w:r>
      <w:r>
        <w:t xml:space="preserve"> page 16. </w:t>
      </w:r>
    </w:p>
  </w:footnote>
  <w:footnote w:id="6">
    <w:p w:rsidR="00EB75F3" w:rsidRDefault="00EB75F3">
      <w:pPr>
        <w:pStyle w:val="FootnoteText"/>
      </w:pPr>
      <w:r w:rsidRPr="00EB75F3">
        <w:rPr>
          <w:rStyle w:val="FootnoteReference"/>
          <w:sz w:val="18"/>
        </w:rPr>
        <w:footnoteRef/>
      </w:r>
      <w:r w:rsidRPr="00EB75F3">
        <w:rPr>
          <w:sz w:val="16"/>
        </w:rPr>
        <w:t xml:space="preserve"> </w:t>
      </w:r>
      <w:r>
        <w:t xml:space="preserve">Per Article 12 of the </w:t>
      </w:r>
      <w:r w:rsidRPr="00EB75F3">
        <w:rPr>
          <w:i/>
        </w:rPr>
        <w:t>Convention on the Rights of Persons with Disabilities</w:t>
      </w:r>
      <w:r>
        <w:t xml:space="preserve"> </w:t>
      </w:r>
    </w:p>
  </w:footnote>
  <w:footnote w:id="7">
    <w:p w:rsidR="00EB75F3" w:rsidRDefault="00EB75F3">
      <w:pPr>
        <w:pStyle w:val="FootnoteText"/>
      </w:pPr>
      <w:r w:rsidRPr="00EB75F3">
        <w:rPr>
          <w:rStyle w:val="FootnoteReference"/>
          <w:sz w:val="18"/>
        </w:rPr>
        <w:footnoteRef/>
      </w:r>
      <w:r w:rsidRPr="00EB75F3">
        <w:rPr>
          <w:sz w:val="16"/>
        </w:rPr>
        <w:t xml:space="preserve"> </w:t>
      </w:r>
      <w:r>
        <w:t xml:space="preserve">Per Article 13 of the </w:t>
      </w:r>
      <w:r w:rsidRPr="00EB75F3">
        <w:rPr>
          <w:i/>
        </w:rPr>
        <w:t>Convention on the Rights of Persons with Disabilities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F6" w:rsidRDefault="00371DF6">
    <w:pPr>
      <w:pStyle w:val="Header"/>
    </w:pPr>
    <w:r>
      <w:rPr>
        <w:noProof/>
      </w:rPr>
      <mc:AlternateContent>
        <mc:Choice Requires="wps">
          <w:drawing>
            <wp:anchor distT="36576" distB="36576" distL="36576" distR="36576" simplePos="0" relativeHeight="251658240" behindDoc="0" locked="0" layoutInCell="1" allowOverlap="1" wp14:anchorId="7E547720" wp14:editId="096AFE37">
              <wp:simplePos x="0" y="0"/>
              <wp:positionH relativeFrom="column">
                <wp:posOffset>1299845</wp:posOffset>
              </wp:positionH>
              <wp:positionV relativeFrom="paragraph">
                <wp:posOffset>295275</wp:posOffset>
              </wp:positionV>
              <wp:extent cx="4535805" cy="400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40005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71DF6" w:rsidRDefault="00371DF6" w:rsidP="00371DF6">
                          <w:pPr>
                            <w:widowControl w:val="0"/>
                            <w:rPr>
                              <w:rFonts w:ascii="Arial" w:hAnsi="Arial" w:cs="Arial"/>
                              <w:b/>
                              <w:bCs/>
                              <w:sz w:val="40"/>
                              <w:szCs w:val="40"/>
                            </w:rPr>
                          </w:pPr>
                          <w:r>
                            <w:rPr>
                              <w:rFonts w:ascii="Arial" w:hAnsi="Arial" w:cs="Arial"/>
                              <w:b/>
                              <w:bCs/>
                              <w:color w:val="FF0000"/>
                              <w:sz w:val="40"/>
                              <w:szCs w:val="40"/>
                            </w:rPr>
                            <w:t>Q</w:t>
                          </w:r>
                          <w:r>
                            <w:rPr>
                              <w:rFonts w:ascii="Arial" w:hAnsi="Arial" w:cs="Arial"/>
                              <w:b/>
                              <w:bCs/>
                              <w:sz w:val="40"/>
                              <w:szCs w:val="40"/>
                            </w:rPr>
                            <w:t xml:space="preserve">ueensland </w:t>
                          </w:r>
                          <w:r>
                            <w:rPr>
                              <w:rFonts w:ascii="Arial" w:hAnsi="Arial" w:cs="Arial"/>
                              <w:b/>
                              <w:bCs/>
                              <w:color w:val="FF0000"/>
                              <w:sz w:val="40"/>
                              <w:szCs w:val="40"/>
                            </w:rPr>
                            <w:t>A</w:t>
                          </w:r>
                          <w:r>
                            <w:rPr>
                              <w:rFonts w:ascii="Arial" w:hAnsi="Arial" w:cs="Arial"/>
                              <w:b/>
                              <w:bCs/>
                              <w:sz w:val="40"/>
                              <w:szCs w:val="40"/>
                            </w:rPr>
                            <w:t xml:space="preserve">dvocacy </w:t>
                          </w:r>
                          <w:r>
                            <w:rPr>
                              <w:rFonts w:ascii="Arial" w:hAnsi="Arial" w:cs="Arial"/>
                              <w:b/>
                              <w:bCs/>
                              <w:color w:val="FF0000"/>
                              <w:sz w:val="40"/>
                              <w:szCs w:val="40"/>
                            </w:rPr>
                            <w:t>I</w:t>
                          </w:r>
                          <w:r>
                            <w:rPr>
                              <w:rFonts w:ascii="Arial" w:hAnsi="Arial" w:cs="Arial"/>
                              <w:b/>
                              <w:bCs/>
                              <w:sz w:val="40"/>
                              <w:szCs w:val="40"/>
                            </w:rPr>
                            <w:t>ncorporated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2.35pt;margin-top:23.25pt;width:357.15pt;height:3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" stroked="f" insetpen="t">
              <v:shadow color="#ccc"/>
              <v:textbox inset="2.88pt,2.88pt,2.88pt,2.88pt">
                <w:txbxContent>
                  <w:p w:rsidR="00371DF6" w:rsidRDefault="00371DF6" w:rsidP="00371DF6">
                    <w:pPr>
                      <w:widowControl w:val="0"/>
                      <w:rPr>
                        <w:rFonts w:ascii="Arial" w:hAnsi="Arial" w:cs="Arial"/>
                        <w:b/>
                        <w:bCs/>
                        <w:sz w:val="40"/>
                        <w:szCs w:val="40"/>
                      </w:rPr>
                    </w:pPr>
                    <w:r>
                      <w:rPr>
                        <w:rFonts w:ascii="Arial" w:hAnsi="Arial" w:cs="Arial"/>
                        <w:b/>
                        <w:bCs/>
                        <w:color w:val="FF0000"/>
                        <w:sz w:val="40"/>
                        <w:szCs w:val="40"/>
                      </w:rPr>
                      <w:t>Q</w:t>
                    </w:r>
                    <w:r>
                      <w:rPr>
                        <w:rFonts w:ascii="Arial" w:hAnsi="Arial" w:cs="Arial"/>
                        <w:b/>
                        <w:bCs/>
                        <w:sz w:val="40"/>
                        <w:szCs w:val="40"/>
                      </w:rPr>
                      <w:t xml:space="preserve">ueensland </w:t>
                    </w:r>
                    <w:r>
                      <w:rPr>
                        <w:rFonts w:ascii="Arial" w:hAnsi="Arial" w:cs="Arial"/>
                        <w:b/>
                        <w:bCs/>
                        <w:color w:val="FF0000"/>
                        <w:sz w:val="40"/>
                        <w:szCs w:val="40"/>
                      </w:rPr>
                      <w:t>A</w:t>
                    </w:r>
                    <w:r>
                      <w:rPr>
                        <w:rFonts w:ascii="Arial" w:hAnsi="Arial" w:cs="Arial"/>
                        <w:b/>
                        <w:bCs/>
                        <w:sz w:val="40"/>
                        <w:szCs w:val="40"/>
                      </w:rPr>
                      <w:t xml:space="preserve">dvocacy </w:t>
                    </w:r>
                    <w:r>
                      <w:rPr>
                        <w:rFonts w:ascii="Arial" w:hAnsi="Arial" w:cs="Arial"/>
                        <w:b/>
                        <w:bCs/>
                        <w:color w:val="FF0000"/>
                        <w:sz w:val="40"/>
                        <w:szCs w:val="40"/>
                      </w:rPr>
                      <w:t>I</w:t>
                    </w:r>
                    <w:r>
                      <w:rPr>
                        <w:rFonts w:ascii="Arial" w:hAnsi="Arial" w:cs="Arial"/>
                        <w:b/>
                        <w:bCs/>
                        <w:sz w:val="40"/>
                        <w:szCs w:val="40"/>
                      </w:rPr>
                      <w:t>ncorporated</w:t>
                    </w:r>
                  </w:p>
                </w:txbxContent>
              </v:textbox>
            </v:shape>
          </w:pict>
        </mc:Fallback>
      </mc:AlternateContent>
    </w:r>
    <w:r>
      <w:rPr>
        <w:noProof/>
      </w:rPr>
      <w:drawing>
        <wp:inline distT="0" distB="0" distL="0" distR="0" wp14:anchorId="11BC264D">
          <wp:extent cx="76200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pic:spPr>
              </pic:pic>
            </a:graphicData>
          </a:graphic>
        </wp:inline>
      </w:drawing>
    </w:r>
  </w:p>
  <w:p w:rsidR="00371DF6" w:rsidRDefault="00371DF6" w:rsidP="0027128F">
    <w:pPr>
      <w:widowControl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Systems and Legal Advocacy for vulnerable people with Disability</w:t>
    </w:r>
  </w:p>
  <w:p w:rsidR="00371DF6" w:rsidRDefault="00371DF6" w:rsidP="0027128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1F6"/>
    <w:multiLevelType w:val="hybridMultilevel"/>
    <w:tmpl w:val="17FA401A"/>
    <w:lvl w:ilvl="0" w:tplc="3E186C82">
      <w:start w:val="1"/>
      <w:numFmt w:val="bullet"/>
      <w:lvlText w:val=""/>
      <w:lvlJc w:val="left"/>
      <w:pPr>
        <w:tabs>
          <w:tab w:val="num" w:pos="890"/>
        </w:tabs>
        <w:ind w:left="890" w:hanging="170"/>
      </w:pPr>
      <w:rPr>
        <w:rFonts w:ascii="Symbol" w:hAnsi="Symbol" w:hint="default"/>
        <w:sz w:val="18"/>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
    <w:nsid w:val="02157F4D"/>
    <w:multiLevelType w:val="hybridMultilevel"/>
    <w:tmpl w:val="FF864D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2CE2B8C"/>
    <w:multiLevelType w:val="hybridMultilevel"/>
    <w:tmpl w:val="8AE04698"/>
    <w:lvl w:ilvl="0" w:tplc="3E186C82">
      <w:start w:val="1"/>
      <w:numFmt w:val="bullet"/>
      <w:lvlText w:val=""/>
      <w:lvlJc w:val="left"/>
      <w:pPr>
        <w:tabs>
          <w:tab w:val="num" w:pos="890"/>
        </w:tabs>
        <w:ind w:left="890" w:hanging="170"/>
      </w:pPr>
      <w:rPr>
        <w:rFonts w:ascii="Symbol" w:hAnsi="Symbol" w:hint="default"/>
        <w:sz w:val="18"/>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B25CDE"/>
    <w:multiLevelType w:val="singleLevel"/>
    <w:tmpl w:val="3086CA22"/>
    <w:lvl w:ilvl="0">
      <w:start w:val="1"/>
      <w:numFmt w:val="decimal"/>
      <w:lvlText w:val="%1."/>
      <w:legacy w:legacy="1" w:legacySpace="0" w:legacyIndent="340"/>
      <w:lvlJc w:val="left"/>
      <w:pPr>
        <w:ind w:left="340" w:hanging="340"/>
      </w:pPr>
    </w:lvl>
  </w:abstractNum>
  <w:abstractNum w:abstractNumId="9">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1FB48C7"/>
    <w:multiLevelType w:val="hybridMultilevel"/>
    <w:tmpl w:val="6B06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2EE0D55"/>
    <w:multiLevelType w:val="hybridMultilevel"/>
    <w:tmpl w:val="0D48D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A260475"/>
    <w:multiLevelType w:val="hybridMultilevel"/>
    <w:tmpl w:val="0D48D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DF80906"/>
    <w:multiLevelType w:val="hybridMultilevel"/>
    <w:tmpl w:val="A2DC40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BEF4578"/>
    <w:multiLevelType w:val="hybridMultilevel"/>
    <w:tmpl w:val="438490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30"/>
  </w:num>
  <w:num w:numId="2">
    <w:abstractNumId w:val="26"/>
  </w:num>
  <w:num w:numId="3">
    <w:abstractNumId w:val="9"/>
  </w:num>
  <w:num w:numId="4">
    <w:abstractNumId w:val="13"/>
  </w:num>
  <w:num w:numId="5">
    <w:abstractNumId w:val="14"/>
  </w:num>
  <w:num w:numId="6">
    <w:abstractNumId w:val="5"/>
  </w:num>
  <w:num w:numId="7">
    <w:abstractNumId w:val="24"/>
  </w:num>
  <w:num w:numId="8">
    <w:abstractNumId w:val="3"/>
  </w:num>
  <w:num w:numId="9">
    <w:abstractNumId w:val="18"/>
  </w:num>
  <w:num w:numId="10">
    <w:abstractNumId w:val="4"/>
  </w:num>
  <w:num w:numId="11">
    <w:abstractNumId w:val="10"/>
  </w:num>
  <w:num w:numId="12">
    <w:abstractNumId w:val="22"/>
  </w:num>
  <w:num w:numId="13">
    <w:abstractNumId w:val="12"/>
  </w:num>
  <w:num w:numId="14">
    <w:abstractNumId w:val="21"/>
  </w:num>
  <w:num w:numId="15">
    <w:abstractNumId w:val="2"/>
  </w:num>
  <w:num w:numId="16">
    <w:abstractNumId w:val="16"/>
  </w:num>
  <w:num w:numId="17">
    <w:abstractNumId w:val="28"/>
  </w:num>
  <w:num w:numId="18">
    <w:abstractNumId w:val="11"/>
  </w:num>
  <w:num w:numId="19">
    <w:abstractNumId w:val="19"/>
  </w:num>
  <w:num w:numId="20">
    <w:abstractNumId w:val="8"/>
  </w:num>
  <w:num w:numId="21">
    <w:abstractNumId w:val="7"/>
  </w:num>
  <w:num w:numId="22">
    <w:abstractNumId w:val="27"/>
  </w:num>
  <w:num w:numId="23">
    <w:abstractNumId w:val="15"/>
  </w:num>
  <w:num w:numId="24">
    <w:abstractNumId w:val="0"/>
  </w:num>
  <w:num w:numId="25">
    <w:abstractNumId w:val="6"/>
  </w:num>
  <w:num w:numId="26">
    <w:abstractNumId w:val="29"/>
  </w:num>
  <w:num w:numId="27">
    <w:abstractNumId w:val="1"/>
  </w:num>
  <w:num w:numId="28">
    <w:abstractNumId w:val="17"/>
  </w:num>
  <w:num w:numId="29">
    <w:abstractNumId w:val="20"/>
  </w:num>
  <w:num w:numId="30">
    <w:abstractNumId w:val="2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41"/>
    <w:rsid w:val="0003357C"/>
    <w:rsid w:val="000C252A"/>
    <w:rsid w:val="000F670D"/>
    <w:rsid w:val="001005B9"/>
    <w:rsid w:val="00112A70"/>
    <w:rsid w:val="001216F3"/>
    <w:rsid w:val="001639D2"/>
    <w:rsid w:val="0019530F"/>
    <w:rsid w:val="001C5C7C"/>
    <w:rsid w:val="00217CDD"/>
    <w:rsid w:val="00222CCB"/>
    <w:rsid w:val="00234578"/>
    <w:rsid w:val="0027128F"/>
    <w:rsid w:val="002830F3"/>
    <w:rsid w:val="00293103"/>
    <w:rsid w:val="003072F5"/>
    <w:rsid w:val="00371DF6"/>
    <w:rsid w:val="003865DD"/>
    <w:rsid w:val="003B57C1"/>
    <w:rsid w:val="003C5524"/>
    <w:rsid w:val="003C5E3B"/>
    <w:rsid w:val="00411DD2"/>
    <w:rsid w:val="00423861"/>
    <w:rsid w:val="00423BFB"/>
    <w:rsid w:val="00447A52"/>
    <w:rsid w:val="004757CD"/>
    <w:rsid w:val="0048038E"/>
    <w:rsid w:val="00482E08"/>
    <w:rsid w:val="00487F84"/>
    <w:rsid w:val="0049297B"/>
    <w:rsid w:val="004B21E0"/>
    <w:rsid w:val="004B6E74"/>
    <w:rsid w:val="005202F5"/>
    <w:rsid w:val="00617198"/>
    <w:rsid w:val="00626C39"/>
    <w:rsid w:val="00627597"/>
    <w:rsid w:val="006349CF"/>
    <w:rsid w:val="00652910"/>
    <w:rsid w:val="00664D41"/>
    <w:rsid w:val="006B1586"/>
    <w:rsid w:val="006C6C0E"/>
    <w:rsid w:val="006F3819"/>
    <w:rsid w:val="00713139"/>
    <w:rsid w:val="0079071B"/>
    <w:rsid w:val="00796601"/>
    <w:rsid w:val="007C3E81"/>
    <w:rsid w:val="00820633"/>
    <w:rsid w:val="00843256"/>
    <w:rsid w:val="008D21AC"/>
    <w:rsid w:val="009601CF"/>
    <w:rsid w:val="009746D2"/>
    <w:rsid w:val="00975994"/>
    <w:rsid w:val="009A2CF8"/>
    <w:rsid w:val="00A17B13"/>
    <w:rsid w:val="00A241C7"/>
    <w:rsid w:val="00B0354E"/>
    <w:rsid w:val="00B67429"/>
    <w:rsid w:val="00BB5093"/>
    <w:rsid w:val="00BC34CC"/>
    <w:rsid w:val="00BD7097"/>
    <w:rsid w:val="00C25808"/>
    <w:rsid w:val="00C3045E"/>
    <w:rsid w:val="00C40341"/>
    <w:rsid w:val="00C75B46"/>
    <w:rsid w:val="00C97E99"/>
    <w:rsid w:val="00CC043B"/>
    <w:rsid w:val="00CF32F9"/>
    <w:rsid w:val="00D0669A"/>
    <w:rsid w:val="00D17056"/>
    <w:rsid w:val="00D40904"/>
    <w:rsid w:val="00D94904"/>
    <w:rsid w:val="00DB689F"/>
    <w:rsid w:val="00E0213B"/>
    <w:rsid w:val="00E05315"/>
    <w:rsid w:val="00E33CD7"/>
    <w:rsid w:val="00E7598B"/>
    <w:rsid w:val="00EA2580"/>
    <w:rsid w:val="00EA6202"/>
    <w:rsid w:val="00EB75F3"/>
    <w:rsid w:val="00EC4447"/>
    <w:rsid w:val="00F11779"/>
    <w:rsid w:val="00F13A25"/>
    <w:rsid w:val="00F51EC1"/>
    <w:rsid w:val="00FF7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sid w:val="0027128F"/>
  </w:style>
  <w:style w:type="character" w:customStyle="1" w:styleId="FooterChar">
    <w:name w:val="Footer Char"/>
    <w:basedOn w:val="DefaultParagraphFont"/>
    <w:link w:val="Footer"/>
    <w:uiPriority w:val="99"/>
    <w:rsid w:val="0027128F"/>
  </w:style>
  <w:style w:type="paragraph" w:styleId="FootnoteText">
    <w:name w:val="footnote text"/>
    <w:basedOn w:val="Normal"/>
    <w:link w:val="FootnoteTextChar"/>
    <w:rsid w:val="008D21AC"/>
  </w:style>
  <w:style w:type="character" w:customStyle="1" w:styleId="FootnoteTextChar">
    <w:name w:val="Footnote Text Char"/>
    <w:basedOn w:val="DefaultParagraphFont"/>
    <w:link w:val="FootnoteText"/>
    <w:rsid w:val="008D21AC"/>
  </w:style>
  <w:style w:type="character" w:styleId="FootnoteReference">
    <w:name w:val="footnote reference"/>
    <w:basedOn w:val="DefaultParagraphFont"/>
    <w:rsid w:val="008D21AC"/>
    <w:rPr>
      <w:rFonts w:ascii="Times New Roman" w:hAnsi="Times New Roman"/>
      <w:position w:val="6"/>
      <w:sz w:val="22"/>
      <w:vertAlign w:val="baseline"/>
    </w:rPr>
  </w:style>
  <w:style w:type="paragraph" w:customStyle="1" w:styleId="RecTitle">
    <w:name w:val="Rec Title"/>
    <w:basedOn w:val="BodyText"/>
    <w:next w:val="Normal"/>
    <w:rsid w:val="00C25808"/>
    <w:pPr>
      <w:keepNext/>
      <w:keepLines/>
      <w:spacing w:before="240" w:after="0" w:line="320" w:lineRule="atLeast"/>
      <w:jc w:val="both"/>
    </w:pPr>
    <w:rPr>
      <w:caps/>
    </w:rPr>
  </w:style>
  <w:style w:type="paragraph" w:styleId="Quote">
    <w:name w:val="Quote"/>
    <w:basedOn w:val="BodyText"/>
    <w:next w:val="BodyText"/>
    <w:link w:val="QuoteChar"/>
    <w:qFormat/>
    <w:rsid w:val="00C25808"/>
    <w:pPr>
      <w:spacing w:before="120" w:after="0" w:line="280" w:lineRule="exact"/>
      <w:ind w:left="340"/>
      <w:jc w:val="both"/>
    </w:pPr>
    <w:rPr>
      <w:sz w:val="24"/>
    </w:rPr>
  </w:style>
  <w:style w:type="character" w:customStyle="1" w:styleId="QuoteChar">
    <w:name w:val="Quote Char"/>
    <w:basedOn w:val="DefaultParagraphFont"/>
    <w:link w:val="Quote"/>
    <w:rsid w:val="00C25808"/>
    <w:rPr>
      <w:sz w:val="24"/>
    </w:rPr>
  </w:style>
  <w:style w:type="paragraph" w:customStyle="1" w:styleId="Rec">
    <w:name w:val="Rec"/>
    <w:basedOn w:val="BodyText"/>
    <w:link w:val="RecChar"/>
    <w:rsid w:val="00C25808"/>
    <w:pPr>
      <w:keepLines/>
      <w:spacing w:before="180" w:after="0" w:line="320" w:lineRule="atLeast"/>
      <w:jc w:val="both"/>
    </w:pPr>
    <w:rPr>
      <w:b/>
      <w:i/>
      <w:sz w:val="26"/>
    </w:rPr>
  </w:style>
  <w:style w:type="character" w:customStyle="1" w:styleId="RecChar">
    <w:name w:val="Rec Char"/>
    <w:link w:val="Rec"/>
    <w:rsid w:val="00C25808"/>
    <w:rPr>
      <w:b/>
      <w:i/>
      <w:sz w:val="26"/>
    </w:rPr>
  </w:style>
  <w:style w:type="paragraph" w:styleId="ListParagraph">
    <w:name w:val="List Paragraph"/>
    <w:basedOn w:val="Normal"/>
    <w:uiPriority w:val="34"/>
    <w:qFormat/>
    <w:rsid w:val="002830F3"/>
    <w:pPr>
      <w:ind w:left="720"/>
      <w:contextualSpacing/>
    </w:pPr>
  </w:style>
  <w:style w:type="paragraph" w:styleId="NoSpacing">
    <w:name w:val="No Spacing"/>
    <w:uiPriority w:val="1"/>
    <w:qFormat/>
    <w:rsid w:val="002830F3"/>
  </w:style>
  <w:style w:type="paragraph" w:styleId="IntenseQuote">
    <w:name w:val="Intense Quote"/>
    <w:basedOn w:val="Normal"/>
    <w:next w:val="Normal"/>
    <w:link w:val="IntenseQuoteChar"/>
    <w:uiPriority w:val="30"/>
    <w:qFormat/>
    <w:rsid w:val="00BD70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D709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sid w:val="0027128F"/>
  </w:style>
  <w:style w:type="character" w:customStyle="1" w:styleId="FooterChar">
    <w:name w:val="Footer Char"/>
    <w:basedOn w:val="DefaultParagraphFont"/>
    <w:link w:val="Footer"/>
    <w:uiPriority w:val="99"/>
    <w:rsid w:val="0027128F"/>
  </w:style>
  <w:style w:type="paragraph" w:styleId="FootnoteText">
    <w:name w:val="footnote text"/>
    <w:basedOn w:val="Normal"/>
    <w:link w:val="FootnoteTextChar"/>
    <w:rsid w:val="008D21AC"/>
  </w:style>
  <w:style w:type="character" w:customStyle="1" w:styleId="FootnoteTextChar">
    <w:name w:val="Footnote Text Char"/>
    <w:basedOn w:val="DefaultParagraphFont"/>
    <w:link w:val="FootnoteText"/>
    <w:rsid w:val="008D21AC"/>
  </w:style>
  <w:style w:type="character" w:styleId="FootnoteReference">
    <w:name w:val="footnote reference"/>
    <w:basedOn w:val="DefaultParagraphFont"/>
    <w:rsid w:val="008D21AC"/>
    <w:rPr>
      <w:rFonts w:ascii="Times New Roman" w:hAnsi="Times New Roman"/>
      <w:position w:val="6"/>
      <w:sz w:val="22"/>
      <w:vertAlign w:val="baseline"/>
    </w:rPr>
  </w:style>
  <w:style w:type="paragraph" w:customStyle="1" w:styleId="RecTitle">
    <w:name w:val="Rec Title"/>
    <w:basedOn w:val="BodyText"/>
    <w:next w:val="Normal"/>
    <w:rsid w:val="00C25808"/>
    <w:pPr>
      <w:keepNext/>
      <w:keepLines/>
      <w:spacing w:before="240" w:after="0" w:line="320" w:lineRule="atLeast"/>
      <w:jc w:val="both"/>
    </w:pPr>
    <w:rPr>
      <w:caps/>
    </w:rPr>
  </w:style>
  <w:style w:type="paragraph" w:styleId="Quote">
    <w:name w:val="Quote"/>
    <w:basedOn w:val="BodyText"/>
    <w:next w:val="BodyText"/>
    <w:link w:val="QuoteChar"/>
    <w:qFormat/>
    <w:rsid w:val="00C25808"/>
    <w:pPr>
      <w:spacing w:before="120" w:after="0" w:line="280" w:lineRule="exact"/>
      <w:ind w:left="340"/>
      <w:jc w:val="both"/>
    </w:pPr>
    <w:rPr>
      <w:sz w:val="24"/>
    </w:rPr>
  </w:style>
  <w:style w:type="character" w:customStyle="1" w:styleId="QuoteChar">
    <w:name w:val="Quote Char"/>
    <w:basedOn w:val="DefaultParagraphFont"/>
    <w:link w:val="Quote"/>
    <w:rsid w:val="00C25808"/>
    <w:rPr>
      <w:sz w:val="24"/>
    </w:rPr>
  </w:style>
  <w:style w:type="paragraph" w:customStyle="1" w:styleId="Rec">
    <w:name w:val="Rec"/>
    <w:basedOn w:val="BodyText"/>
    <w:link w:val="RecChar"/>
    <w:rsid w:val="00C25808"/>
    <w:pPr>
      <w:keepLines/>
      <w:spacing w:before="180" w:after="0" w:line="320" w:lineRule="atLeast"/>
      <w:jc w:val="both"/>
    </w:pPr>
    <w:rPr>
      <w:b/>
      <w:i/>
      <w:sz w:val="26"/>
    </w:rPr>
  </w:style>
  <w:style w:type="character" w:customStyle="1" w:styleId="RecChar">
    <w:name w:val="Rec Char"/>
    <w:link w:val="Rec"/>
    <w:rsid w:val="00C25808"/>
    <w:rPr>
      <w:b/>
      <w:i/>
      <w:sz w:val="26"/>
    </w:rPr>
  </w:style>
  <w:style w:type="paragraph" w:styleId="ListParagraph">
    <w:name w:val="List Paragraph"/>
    <w:basedOn w:val="Normal"/>
    <w:uiPriority w:val="34"/>
    <w:qFormat/>
    <w:rsid w:val="002830F3"/>
    <w:pPr>
      <w:ind w:left="720"/>
      <w:contextualSpacing/>
    </w:pPr>
  </w:style>
  <w:style w:type="paragraph" w:styleId="NoSpacing">
    <w:name w:val="No Spacing"/>
    <w:uiPriority w:val="1"/>
    <w:qFormat/>
    <w:rsid w:val="002830F3"/>
  </w:style>
  <w:style w:type="paragraph" w:styleId="IntenseQuote">
    <w:name w:val="Intense Quote"/>
    <w:basedOn w:val="Normal"/>
    <w:next w:val="Normal"/>
    <w:link w:val="IntenseQuoteChar"/>
    <w:uiPriority w:val="30"/>
    <w:qFormat/>
    <w:rsid w:val="00BD70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D709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5635">
      <w:bodyDiv w:val="1"/>
      <w:marLeft w:val="0"/>
      <w:marRight w:val="0"/>
      <w:marTop w:val="0"/>
      <w:marBottom w:val="0"/>
      <w:divBdr>
        <w:top w:val="none" w:sz="0" w:space="0" w:color="auto"/>
        <w:left w:val="none" w:sz="0" w:space="0" w:color="auto"/>
        <w:bottom w:val="none" w:sz="0" w:space="0" w:color="auto"/>
        <w:right w:val="none" w:sz="0" w:space="0" w:color="auto"/>
      </w:divBdr>
    </w:div>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893389">
      <w:bodyDiv w:val="1"/>
      <w:marLeft w:val="0"/>
      <w:marRight w:val="0"/>
      <w:marTop w:val="0"/>
      <w:marBottom w:val="0"/>
      <w:divBdr>
        <w:top w:val="none" w:sz="0" w:space="0" w:color="auto"/>
        <w:left w:val="none" w:sz="0" w:space="0" w:color="auto"/>
        <w:bottom w:val="none" w:sz="0" w:space="0" w:color="auto"/>
        <w:right w:val="none" w:sz="0" w:space="0" w:color="auto"/>
      </w:divBdr>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B456-8E49-4D49-B3D6-6651DB65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1789</Words>
  <Characters>10173</Characters>
  <Application>Microsoft Office Word</Application>
  <DocSecurity>0</DocSecurity>
  <Lines>245</Lines>
  <Paragraphs>52</Paragraphs>
  <ScaleCrop>false</ScaleCrop>
  <HeadingPairs>
    <vt:vector size="2" baseType="variant">
      <vt:variant>
        <vt:lpstr>Title</vt:lpstr>
      </vt:variant>
      <vt:variant>
        <vt:i4>1</vt:i4>
      </vt:variant>
    </vt:vector>
  </HeadingPairs>
  <TitlesOfParts>
    <vt:vector size="1" baseType="lpstr">
      <vt:lpstr>Submission DR234 - Queensland Advocacy Incorporated - Access to Justice Arrangements - Public inquiry</vt:lpstr>
    </vt:vector>
  </TitlesOfParts>
  <Company>Queensland Advocacy Incorporated</Company>
  <LinksUpToDate>false</LinksUpToDate>
  <CharactersWithSpaces>12035</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DR234 - Queensland Advocacy Incorporated - Access to Justice Arrangements - Public inquiry</dc:title>
  <dc:creator>Queensland Advocacy Incorporated</dc:creator>
  <cp:lastModifiedBy>Productivity Commission</cp:lastModifiedBy>
  <cp:revision>2</cp:revision>
  <dcterms:created xsi:type="dcterms:W3CDTF">2014-06-05T03:25:00Z</dcterms:created>
  <dcterms:modified xsi:type="dcterms:W3CDTF">2014-06-05T03:25:00Z</dcterms:modified>
</cp:coreProperties>
</file>