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FB251" w14:textId="77777777" w:rsidR="005E6C1B" w:rsidRPr="002E719C" w:rsidRDefault="003F5130" w:rsidP="00095E11">
      <w:pPr>
        <w:spacing w:after="0" w:line="240" w:lineRule="auto"/>
        <w:rPr>
          <w:rFonts w:ascii="Arial" w:hAnsi="Arial" w:cs="Arial"/>
        </w:rPr>
      </w:pPr>
      <w:r>
        <w:rPr>
          <w:rFonts w:ascii="Arial" w:hAnsi="Arial" w:cs="Arial"/>
        </w:rPr>
        <w:t>May 2014</w:t>
      </w:r>
      <w:r w:rsidR="005E6C1B" w:rsidRPr="002E719C">
        <w:rPr>
          <w:rFonts w:ascii="Arial" w:hAnsi="Arial" w:cs="Arial"/>
        </w:rPr>
        <w:br/>
        <w:t xml:space="preserve"> </w:t>
      </w:r>
      <w:r w:rsidR="005E6C1B" w:rsidRPr="002E719C">
        <w:rPr>
          <w:rFonts w:ascii="Arial" w:hAnsi="Arial" w:cs="Arial"/>
        </w:rPr>
        <w:br/>
      </w:r>
      <w:r w:rsidR="00B1676B" w:rsidRPr="002E719C">
        <w:rPr>
          <w:rFonts w:ascii="Arial" w:hAnsi="Arial" w:cs="Arial"/>
        </w:rPr>
        <w:t>Access to Justice</w:t>
      </w:r>
      <w:bookmarkStart w:id="0" w:name="_GoBack"/>
      <w:bookmarkEnd w:id="0"/>
    </w:p>
    <w:p w14:paraId="61C89C79" w14:textId="77777777" w:rsidR="00B1676B" w:rsidRPr="002E719C" w:rsidRDefault="00B1676B" w:rsidP="00095E11">
      <w:pPr>
        <w:spacing w:after="0" w:line="240" w:lineRule="auto"/>
        <w:jc w:val="both"/>
        <w:rPr>
          <w:rFonts w:ascii="Arial" w:hAnsi="Arial" w:cs="Arial"/>
        </w:rPr>
      </w:pPr>
      <w:r w:rsidRPr="002E719C">
        <w:rPr>
          <w:rFonts w:ascii="Arial" w:hAnsi="Arial" w:cs="Arial"/>
        </w:rPr>
        <w:t>Productivity Commission</w:t>
      </w:r>
    </w:p>
    <w:p w14:paraId="6827BFFF" w14:textId="77777777" w:rsidR="00B1676B" w:rsidRPr="002E719C" w:rsidRDefault="00B1676B" w:rsidP="00095E11">
      <w:pPr>
        <w:spacing w:after="0" w:line="240" w:lineRule="auto"/>
        <w:jc w:val="both"/>
        <w:rPr>
          <w:rFonts w:ascii="Arial" w:hAnsi="Arial" w:cs="Arial"/>
        </w:rPr>
      </w:pPr>
      <w:r w:rsidRPr="002E719C">
        <w:rPr>
          <w:rFonts w:ascii="Arial" w:hAnsi="Arial" w:cs="Arial"/>
        </w:rPr>
        <w:t>GPO Box 1428</w:t>
      </w:r>
    </w:p>
    <w:p w14:paraId="57FD8502" w14:textId="77777777" w:rsidR="00B1676B" w:rsidRPr="002E719C" w:rsidRDefault="00B1676B" w:rsidP="00095E11">
      <w:pPr>
        <w:spacing w:after="0" w:line="240" w:lineRule="auto"/>
        <w:jc w:val="both"/>
        <w:rPr>
          <w:rFonts w:ascii="Arial" w:hAnsi="Arial" w:cs="Arial"/>
        </w:rPr>
      </w:pPr>
      <w:r w:rsidRPr="002E719C">
        <w:rPr>
          <w:rFonts w:ascii="Arial" w:hAnsi="Arial" w:cs="Arial"/>
        </w:rPr>
        <w:t>Canberra City ACT 2601</w:t>
      </w:r>
    </w:p>
    <w:p w14:paraId="33E482BB" w14:textId="77777777" w:rsidR="005E6C1B" w:rsidRPr="002E719C" w:rsidRDefault="005E6C1B" w:rsidP="00095E11">
      <w:pPr>
        <w:spacing w:after="0" w:line="240" w:lineRule="auto"/>
        <w:jc w:val="both"/>
        <w:rPr>
          <w:rFonts w:ascii="Arial" w:hAnsi="Arial" w:cs="Arial"/>
        </w:rPr>
      </w:pPr>
      <w:r w:rsidRPr="002E719C">
        <w:rPr>
          <w:rFonts w:ascii="Arial" w:hAnsi="Arial" w:cs="Arial"/>
        </w:rPr>
        <w:br/>
      </w:r>
      <w:r w:rsidR="00B1676B" w:rsidRPr="002E719C">
        <w:rPr>
          <w:rFonts w:ascii="Arial" w:hAnsi="Arial" w:cs="Arial"/>
        </w:rPr>
        <w:t>By email</w:t>
      </w:r>
      <w:r w:rsidRPr="002E719C">
        <w:rPr>
          <w:rFonts w:ascii="Arial" w:hAnsi="Arial" w:cs="Arial"/>
        </w:rPr>
        <w:t xml:space="preserve">: </w:t>
      </w:r>
      <w:hyperlink r:id="rId9" w:history="1">
        <w:proofErr w:type="spellStart"/>
        <w:r w:rsidR="00B1676B" w:rsidRPr="002E719C">
          <w:rPr>
            <w:rStyle w:val="Hyperlink"/>
            <w:rFonts w:ascii="Arial" w:hAnsi="Arial" w:cs="Arial"/>
          </w:rPr>
          <w:t>access.justice@pc.gov.au</w:t>
        </w:r>
        <w:proofErr w:type="spellEnd"/>
      </w:hyperlink>
      <w:r w:rsidR="00B1676B" w:rsidRPr="002E719C">
        <w:rPr>
          <w:rFonts w:ascii="Arial" w:hAnsi="Arial" w:cs="Arial"/>
        </w:rPr>
        <w:tab/>
      </w:r>
      <w:r w:rsidRPr="002E719C">
        <w:rPr>
          <w:rFonts w:ascii="Arial" w:hAnsi="Arial" w:cs="Arial"/>
        </w:rPr>
        <w:tab/>
      </w:r>
    </w:p>
    <w:p w14:paraId="60781414" w14:textId="77777777" w:rsidR="005E6C1B" w:rsidRPr="002E719C" w:rsidRDefault="005E6C1B" w:rsidP="00095E11">
      <w:pPr>
        <w:spacing w:after="0" w:line="240" w:lineRule="auto"/>
        <w:jc w:val="both"/>
        <w:rPr>
          <w:rFonts w:ascii="Arial" w:hAnsi="Arial" w:cs="Arial"/>
        </w:rPr>
      </w:pPr>
      <w:r w:rsidRPr="002E719C">
        <w:rPr>
          <w:rFonts w:ascii="Arial" w:hAnsi="Arial" w:cs="Arial"/>
        </w:rPr>
        <w:t xml:space="preserve"> </w:t>
      </w:r>
    </w:p>
    <w:p w14:paraId="79A71C6D" w14:textId="77777777" w:rsidR="005E6C1B" w:rsidRPr="00AE0314" w:rsidRDefault="005E6C1B" w:rsidP="00095E11">
      <w:pPr>
        <w:spacing w:after="0" w:line="240" w:lineRule="auto"/>
        <w:rPr>
          <w:rFonts w:ascii="Arial" w:hAnsi="Arial" w:cs="Arial"/>
          <w:b/>
        </w:rPr>
      </w:pPr>
      <w:r w:rsidRPr="002E719C">
        <w:rPr>
          <w:rFonts w:ascii="Arial" w:hAnsi="Arial" w:cs="Arial"/>
        </w:rPr>
        <w:t xml:space="preserve">Dear </w:t>
      </w:r>
      <w:r w:rsidR="003F5130">
        <w:rPr>
          <w:rFonts w:ascii="Arial" w:hAnsi="Arial" w:cs="Arial"/>
        </w:rPr>
        <w:t>M</w:t>
      </w:r>
      <w:r w:rsidR="00E116FD" w:rsidRPr="002E719C">
        <w:rPr>
          <w:rFonts w:ascii="Arial" w:hAnsi="Arial" w:cs="Arial"/>
        </w:rPr>
        <w:t xml:space="preserve">adam / </w:t>
      </w:r>
      <w:r w:rsidR="003F5130">
        <w:rPr>
          <w:rFonts w:ascii="Arial" w:hAnsi="Arial" w:cs="Arial"/>
        </w:rPr>
        <w:t>S</w:t>
      </w:r>
      <w:r w:rsidR="00E116FD" w:rsidRPr="002E719C">
        <w:rPr>
          <w:rFonts w:ascii="Arial" w:hAnsi="Arial" w:cs="Arial"/>
        </w:rPr>
        <w:t>ir</w:t>
      </w:r>
      <w:r w:rsidRPr="002E719C">
        <w:rPr>
          <w:rFonts w:ascii="Arial" w:hAnsi="Arial" w:cs="Arial"/>
        </w:rPr>
        <w:t>,</w:t>
      </w:r>
      <w:r w:rsidRPr="002E719C">
        <w:rPr>
          <w:rFonts w:ascii="Arial" w:hAnsi="Arial" w:cs="Arial"/>
        </w:rPr>
        <w:br/>
      </w:r>
    </w:p>
    <w:p w14:paraId="1AFA87A6" w14:textId="77777777" w:rsidR="005E6C1B" w:rsidRPr="00AE0314" w:rsidRDefault="00AA5B25" w:rsidP="00095E11">
      <w:pPr>
        <w:spacing w:after="0" w:line="240" w:lineRule="auto"/>
        <w:jc w:val="both"/>
        <w:rPr>
          <w:rFonts w:ascii="Arial" w:hAnsi="Arial" w:cs="Arial"/>
          <w:b/>
        </w:rPr>
      </w:pPr>
      <w:r w:rsidRPr="00AE0314">
        <w:rPr>
          <w:rFonts w:ascii="Arial" w:hAnsi="Arial" w:cs="Arial"/>
          <w:b/>
        </w:rPr>
        <w:t>Submission on access to justice arrangements inquiry</w:t>
      </w:r>
    </w:p>
    <w:p w14:paraId="18329D22" w14:textId="77777777" w:rsidR="005E6C1B" w:rsidRPr="002E719C" w:rsidRDefault="005E6C1B" w:rsidP="00095E11">
      <w:pPr>
        <w:spacing w:after="0" w:line="240" w:lineRule="auto"/>
        <w:jc w:val="both"/>
        <w:rPr>
          <w:rFonts w:ascii="Arial" w:hAnsi="Arial" w:cs="Arial"/>
        </w:rPr>
      </w:pPr>
    </w:p>
    <w:p w14:paraId="68C2F32C" w14:textId="77777777" w:rsidR="005E6C1B" w:rsidRPr="002E719C" w:rsidRDefault="005E6C1B" w:rsidP="00095E11">
      <w:pPr>
        <w:spacing w:after="0" w:line="240" w:lineRule="auto"/>
        <w:jc w:val="both"/>
        <w:rPr>
          <w:rFonts w:ascii="Arial" w:hAnsi="Arial" w:cs="Arial"/>
        </w:rPr>
      </w:pPr>
      <w:r w:rsidRPr="002E719C">
        <w:rPr>
          <w:rFonts w:ascii="Arial" w:hAnsi="Arial" w:cs="Arial"/>
        </w:rPr>
        <w:t>The Kingsford Legal Centre (</w:t>
      </w:r>
      <w:proofErr w:type="spellStart"/>
      <w:r w:rsidRPr="002E719C">
        <w:rPr>
          <w:rFonts w:ascii="Arial" w:hAnsi="Arial" w:cs="Arial"/>
          <w:b/>
        </w:rPr>
        <w:t>KLC</w:t>
      </w:r>
      <w:proofErr w:type="spellEnd"/>
      <w:r w:rsidRPr="002E719C">
        <w:rPr>
          <w:rFonts w:ascii="Arial" w:hAnsi="Arial" w:cs="Arial"/>
        </w:rPr>
        <w:t xml:space="preserve">) </w:t>
      </w:r>
      <w:r w:rsidR="00667DEC">
        <w:rPr>
          <w:rFonts w:ascii="Arial" w:hAnsi="Arial" w:cs="Arial"/>
        </w:rPr>
        <w:t>appreciates</w:t>
      </w:r>
      <w:r w:rsidRPr="002E719C">
        <w:rPr>
          <w:rFonts w:ascii="Arial" w:hAnsi="Arial" w:cs="Arial"/>
        </w:rPr>
        <w:t xml:space="preserve"> the opportunity to make submissions on </w:t>
      </w:r>
      <w:r w:rsidR="00AA5B25" w:rsidRPr="002E719C">
        <w:rPr>
          <w:rFonts w:ascii="Arial" w:hAnsi="Arial" w:cs="Arial"/>
        </w:rPr>
        <w:t xml:space="preserve">your inquiry into access to justice arrangements. </w:t>
      </w:r>
      <w:r w:rsidRPr="002E719C">
        <w:rPr>
          <w:rFonts w:ascii="Arial" w:hAnsi="Arial" w:cs="Arial"/>
        </w:rPr>
        <w:t xml:space="preserve">Our </w:t>
      </w:r>
      <w:r w:rsidR="00667DEC">
        <w:rPr>
          <w:rFonts w:ascii="Arial" w:hAnsi="Arial" w:cs="Arial"/>
        </w:rPr>
        <w:t>submission</w:t>
      </w:r>
      <w:r w:rsidRPr="002E719C">
        <w:rPr>
          <w:rFonts w:ascii="Arial" w:hAnsi="Arial" w:cs="Arial"/>
        </w:rPr>
        <w:t xml:space="preserve"> is drawn from the experiences of our clients and staff </w:t>
      </w:r>
      <w:r w:rsidR="00667DEC">
        <w:rPr>
          <w:rFonts w:ascii="Arial" w:hAnsi="Arial" w:cs="Arial"/>
        </w:rPr>
        <w:t>in dealing with the law and legal system over a period of 30 years</w:t>
      </w:r>
      <w:r w:rsidRPr="002E719C">
        <w:rPr>
          <w:rFonts w:ascii="Arial" w:hAnsi="Arial" w:cs="Arial"/>
        </w:rPr>
        <w:t>.</w:t>
      </w:r>
      <w:r w:rsidR="00112BEB">
        <w:rPr>
          <w:rFonts w:ascii="Arial" w:hAnsi="Arial" w:cs="Arial"/>
        </w:rPr>
        <w:t xml:space="preserve"> All case studies have been de-identified to protect </w:t>
      </w:r>
      <w:r w:rsidR="00A318CB">
        <w:rPr>
          <w:rFonts w:ascii="Arial" w:hAnsi="Arial" w:cs="Arial"/>
        </w:rPr>
        <w:t>our clients’</w:t>
      </w:r>
      <w:r w:rsidR="00112BEB">
        <w:rPr>
          <w:rFonts w:ascii="Arial" w:hAnsi="Arial" w:cs="Arial"/>
        </w:rPr>
        <w:t xml:space="preserve"> confidentiality.</w:t>
      </w:r>
      <w:r w:rsidRPr="002E719C">
        <w:rPr>
          <w:rFonts w:ascii="Arial" w:hAnsi="Arial" w:cs="Arial"/>
        </w:rPr>
        <w:t xml:space="preserve"> </w:t>
      </w:r>
    </w:p>
    <w:p w14:paraId="19F7C650" w14:textId="77777777" w:rsidR="005E6C1B" w:rsidRPr="002E719C" w:rsidRDefault="005E6C1B" w:rsidP="00095E11">
      <w:pPr>
        <w:spacing w:after="0" w:line="240" w:lineRule="auto"/>
        <w:jc w:val="both"/>
        <w:rPr>
          <w:rFonts w:ascii="Arial" w:hAnsi="Arial" w:cs="Arial"/>
        </w:rPr>
      </w:pPr>
    </w:p>
    <w:p w14:paraId="517FB10B" w14:textId="77777777" w:rsidR="003B3148" w:rsidRDefault="003B3148" w:rsidP="00095E11">
      <w:pPr>
        <w:spacing w:after="0" w:line="240" w:lineRule="auto"/>
        <w:jc w:val="both"/>
        <w:rPr>
          <w:rFonts w:ascii="Arial" w:hAnsi="Arial" w:cs="Arial"/>
          <w:b/>
          <w:u w:val="single"/>
        </w:rPr>
      </w:pPr>
      <w:r w:rsidRPr="003B3148">
        <w:rPr>
          <w:rFonts w:ascii="Arial" w:hAnsi="Arial" w:cs="Arial"/>
          <w:b/>
          <w:u w:val="single"/>
        </w:rPr>
        <w:t>Kin</w:t>
      </w:r>
      <w:r>
        <w:rPr>
          <w:rFonts w:ascii="Arial" w:hAnsi="Arial" w:cs="Arial"/>
          <w:b/>
          <w:u w:val="single"/>
        </w:rPr>
        <w:t>gsford Legal Centre</w:t>
      </w:r>
    </w:p>
    <w:p w14:paraId="2AB7E5DD" w14:textId="77777777" w:rsidR="003B3148" w:rsidRPr="003B3148" w:rsidRDefault="003B3148" w:rsidP="00095E11">
      <w:pPr>
        <w:spacing w:after="0" w:line="240" w:lineRule="auto"/>
        <w:jc w:val="both"/>
        <w:rPr>
          <w:rFonts w:ascii="Arial" w:hAnsi="Arial" w:cs="Arial"/>
          <w:b/>
          <w:u w:val="single"/>
        </w:rPr>
      </w:pPr>
    </w:p>
    <w:p w14:paraId="6BFA1438" w14:textId="77777777" w:rsidR="00AA5B25" w:rsidRPr="002E719C" w:rsidRDefault="005E6C1B" w:rsidP="00095E11">
      <w:pPr>
        <w:spacing w:after="0" w:line="240" w:lineRule="auto"/>
        <w:jc w:val="both"/>
        <w:rPr>
          <w:rFonts w:ascii="Arial" w:hAnsi="Arial" w:cs="Arial"/>
        </w:rPr>
      </w:pPr>
      <w:proofErr w:type="spellStart"/>
      <w:r w:rsidRPr="002E719C">
        <w:rPr>
          <w:rFonts w:ascii="Arial" w:hAnsi="Arial" w:cs="Arial"/>
        </w:rPr>
        <w:t>KLC</w:t>
      </w:r>
      <w:proofErr w:type="spellEnd"/>
      <w:r w:rsidRPr="002E719C">
        <w:rPr>
          <w:rFonts w:ascii="Arial" w:hAnsi="Arial" w:cs="Arial"/>
        </w:rPr>
        <w:t xml:space="preserve"> is a community legal centre (</w:t>
      </w:r>
      <w:proofErr w:type="spellStart"/>
      <w:r w:rsidRPr="002E719C">
        <w:rPr>
          <w:rFonts w:ascii="Arial" w:hAnsi="Arial" w:cs="Arial"/>
          <w:b/>
        </w:rPr>
        <w:t>CLC</w:t>
      </w:r>
      <w:proofErr w:type="spellEnd"/>
      <w:r w:rsidRPr="002E719C">
        <w:rPr>
          <w:rFonts w:ascii="Arial" w:hAnsi="Arial" w:cs="Arial"/>
        </w:rPr>
        <w:t xml:space="preserve">) </w:t>
      </w:r>
      <w:r w:rsidR="00AA5B25" w:rsidRPr="002E719C">
        <w:rPr>
          <w:rFonts w:ascii="Arial" w:hAnsi="Arial" w:cs="Arial"/>
        </w:rPr>
        <w:t>and a member organisation of the National Association of Community Legal Centres (</w:t>
      </w:r>
      <w:proofErr w:type="spellStart"/>
      <w:r w:rsidR="00112BEB">
        <w:rPr>
          <w:rFonts w:ascii="Arial" w:hAnsi="Arial" w:cs="Arial"/>
          <w:b/>
        </w:rPr>
        <w:t>NACLC</w:t>
      </w:r>
      <w:proofErr w:type="spellEnd"/>
      <w:r w:rsidR="00AA5B25" w:rsidRPr="002E719C">
        <w:rPr>
          <w:rFonts w:ascii="Arial" w:hAnsi="Arial" w:cs="Arial"/>
        </w:rPr>
        <w:t xml:space="preserve">).  </w:t>
      </w:r>
    </w:p>
    <w:p w14:paraId="73E68660" w14:textId="77777777" w:rsidR="00AA5B25" w:rsidRPr="002E719C" w:rsidRDefault="00AA5B25" w:rsidP="00095E11">
      <w:pPr>
        <w:spacing w:after="0" w:line="240" w:lineRule="auto"/>
        <w:jc w:val="both"/>
        <w:rPr>
          <w:rFonts w:ascii="Arial" w:hAnsi="Arial" w:cs="Arial"/>
        </w:rPr>
      </w:pPr>
    </w:p>
    <w:p w14:paraId="6DBE0F94" w14:textId="77777777" w:rsidR="005E6C1B" w:rsidRDefault="00AA5B25" w:rsidP="00095E11">
      <w:pPr>
        <w:spacing w:after="0" w:line="240" w:lineRule="auto"/>
        <w:jc w:val="both"/>
        <w:rPr>
          <w:rFonts w:ascii="Arial" w:hAnsi="Arial" w:cs="Arial"/>
        </w:rPr>
      </w:pPr>
      <w:r w:rsidRPr="002E719C">
        <w:rPr>
          <w:rFonts w:ascii="Arial" w:hAnsi="Arial" w:cs="Arial"/>
        </w:rPr>
        <w:t>We</w:t>
      </w:r>
      <w:r w:rsidR="005E6C1B" w:rsidRPr="002E719C">
        <w:rPr>
          <w:rFonts w:ascii="Arial" w:hAnsi="Arial" w:cs="Arial"/>
        </w:rPr>
        <w:t xml:space="preserve"> provide free advice and casework on a wide range of legal matters to people living, working or studying in the Botany and Randwick local government areas. We also provide a specialist discrimination law advice and representation service throughout </w:t>
      </w:r>
      <w:r w:rsidR="00112BEB">
        <w:rPr>
          <w:rFonts w:ascii="Arial" w:hAnsi="Arial" w:cs="Arial"/>
        </w:rPr>
        <w:t>NSW</w:t>
      </w:r>
      <w:r w:rsidR="005E6C1B" w:rsidRPr="002E719C">
        <w:rPr>
          <w:rFonts w:ascii="Arial" w:hAnsi="Arial" w:cs="Arial"/>
        </w:rPr>
        <w:t>.</w:t>
      </w:r>
      <w:r w:rsidRPr="002E719C">
        <w:rPr>
          <w:rFonts w:ascii="Arial" w:hAnsi="Arial" w:cs="Arial"/>
        </w:rPr>
        <w:t xml:space="preserve"> </w:t>
      </w:r>
      <w:r w:rsidR="005E6C1B" w:rsidRPr="002E719C">
        <w:rPr>
          <w:rFonts w:ascii="Arial" w:hAnsi="Arial" w:cs="Arial"/>
        </w:rPr>
        <w:t>We actively participate in law reform and policy projects as well as community legal education.</w:t>
      </w:r>
    </w:p>
    <w:p w14:paraId="2F68809A" w14:textId="77777777" w:rsidR="001F7B68" w:rsidRDefault="001F7B68" w:rsidP="00095E11">
      <w:pPr>
        <w:spacing w:after="0" w:line="240" w:lineRule="auto"/>
        <w:jc w:val="both"/>
        <w:rPr>
          <w:rFonts w:ascii="Arial" w:hAnsi="Arial" w:cs="Arial"/>
        </w:rPr>
      </w:pPr>
    </w:p>
    <w:p w14:paraId="1D22D2F7" w14:textId="25386BAE" w:rsidR="00DF1A8C" w:rsidRDefault="00DF1A8C" w:rsidP="00095E11">
      <w:pPr>
        <w:spacing w:after="0" w:line="240" w:lineRule="auto"/>
        <w:jc w:val="both"/>
        <w:rPr>
          <w:rFonts w:ascii="Arial" w:hAnsi="Arial" w:cs="Arial"/>
          <w:b/>
          <w:i/>
        </w:rPr>
      </w:pPr>
      <w:r>
        <w:rPr>
          <w:rFonts w:ascii="Arial" w:hAnsi="Arial" w:cs="Arial"/>
          <w:b/>
          <w:i/>
        </w:rPr>
        <w:t>Advice and casework</w:t>
      </w:r>
    </w:p>
    <w:p w14:paraId="5C041F7A" w14:textId="77777777" w:rsidR="00DF1A8C" w:rsidRPr="00DF1A8C" w:rsidRDefault="00DF1A8C" w:rsidP="00095E11">
      <w:pPr>
        <w:spacing w:after="0" w:line="240" w:lineRule="auto"/>
        <w:jc w:val="both"/>
        <w:rPr>
          <w:rFonts w:ascii="Arial" w:hAnsi="Arial" w:cs="Arial"/>
          <w:b/>
          <w:i/>
        </w:rPr>
      </w:pPr>
    </w:p>
    <w:p w14:paraId="571A53B5" w14:textId="77777777" w:rsidR="00E010C1" w:rsidRDefault="001F7B68" w:rsidP="00095E11">
      <w:pPr>
        <w:spacing w:after="0" w:line="240" w:lineRule="auto"/>
        <w:jc w:val="both"/>
        <w:rPr>
          <w:rFonts w:ascii="Arial" w:hAnsi="Arial" w:cs="Arial"/>
        </w:rPr>
      </w:pPr>
      <w:r>
        <w:rPr>
          <w:rFonts w:ascii="Arial" w:hAnsi="Arial" w:cs="Arial"/>
        </w:rPr>
        <w:t>In 2013</w:t>
      </w:r>
      <w:r w:rsidR="00D60213">
        <w:rPr>
          <w:rFonts w:ascii="Arial" w:hAnsi="Arial" w:cs="Arial"/>
        </w:rPr>
        <w:t xml:space="preserve"> we provided advice to 1,811 clients. </w:t>
      </w:r>
      <w:r w:rsidR="00E010C1">
        <w:rPr>
          <w:rFonts w:ascii="Arial" w:hAnsi="Arial" w:cs="Arial"/>
        </w:rPr>
        <w:t>Of these clients:</w:t>
      </w:r>
    </w:p>
    <w:p w14:paraId="280A36B3" w14:textId="77777777" w:rsidR="00E010C1" w:rsidRDefault="00E010C1" w:rsidP="00095E11">
      <w:pPr>
        <w:spacing w:after="0" w:line="240" w:lineRule="auto"/>
        <w:jc w:val="both"/>
        <w:rPr>
          <w:rFonts w:ascii="Arial" w:hAnsi="Arial" w:cs="Arial"/>
        </w:rPr>
      </w:pPr>
    </w:p>
    <w:p w14:paraId="2AE132BE" w14:textId="77777777" w:rsidR="00E010C1" w:rsidRDefault="00E010C1" w:rsidP="00095E11">
      <w:pPr>
        <w:pStyle w:val="ListParagraph"/>
        <w:numPr>
          <w:ilvl w:val="0"/>
          <w:numId w:val="32"/>
        </w:numPr>
        <w:spacing w:after="0" w:line="240" w:lineRule="auto"/>
        <w:jc w:val="both"/>
        <w:rPr>
          <w:rFonts w:ascii="Arial" w:hAnsi="Arial" w:cs="Arial"/>
        </w:rPr>
      </w:pPr>
      <w:r>
        <w:rPr>
          <w:rFonts w:ascii="Arial" w:hAnsi="Arial" w:cs="Arial"/>
        </w:rPr>
        <w:t>o</w:t>
      </w:r>
      <w:r w:rsidR="00722881" w:rsidRPr="00E010C1">
        <w:rPr>
          <w:rFonts w:ascii="Arial" w:hAnsi="Arial" w:cs="Arial"/>
        </w:rPr>
        <w:t xml:space="preserve">ver </w:t>
      </w:r>
      <w:r w:rsidR="001F7B68" w:rsidRPr="00E010C1">
        <w:rPr>
          <w:rFonts w:ascii="Arial" w:hAnsi="Arial" w:cs="Arial"/>
        </w:rPr>
        <w:t>1</w:t>
      </w:r>
      <w:r w:rsidR="00722881" w:rsidRPr="00E010C1">
        <w:rPr>
          <w:rFonts w:ascii="Arial" w:hAnsi="Arial" w:cs="Arial"/>
        </w:rPr>
        <w:t>1</w:t>
      </w:r>
      <w:r w:rsidR="001F7B68" w:rsidRPr="00E010C1">
        <w:rPr>
          <w:rFonts w:ascii="Arial" w:hAnsi="Arial" w:cs="Arial"/>
        </w:rPr>
        <w:t>% identified as having no income</w:t>
      </w:r>
      <w:r w:rsidR="00722881" w:rsidRPr="00E010C1">
        <w:rPr>
          <w:rFonts w:ascii="Arial" w:hAnsi="Arial" w:cs="Arial"/>
        </w:rPr>
        <w:t xml:space="preserve"> (170 clients)</w:t>
      </w:r>
      <w:r>
        <w:rPr>
          <w:rFonts w:ascii="Arial" w:hAnsi="Arial" w:cs="Arial"/>
        </w:rPr>
        <w:t>;</w:t>
      </w:r>
    </w:p>
    <w:p w14:paraId="1C6461F7" w14:textId="77777777" w:rsidR="00E010C1" w:rsidRDefault="00722881" w:rsidP="00095E11">
      <w:pPr>
        <w:pStyle w:val="ListParagraph"/>
        <w:numPr>
          <w:ilvl w:val="0"/>
          <w:numId w:val="32"/>
        </w:numPr>
        <w:spacing w:after="0" w:line="240" w:lineRule="auto"/>
        <w:jc w:val="both"/>
        <w:rPr>
          <w:rFonts w:ascii="Arial" w:hAnsi="Arial" w:cs="Arial"/>
        </w:rPr>
      </w:pPr>
      <w:r w:rsidRPr="00E010C1">
        <w:rPr>
          <w:rFonts w:ascii="Arial" w:hAnsi="Arial" w:cs="Arial"/>
        </w:rPr>
        <w:t>almost 50% identified as having a ‘low income’ of less than $</w:t>
      </w:r>
      <w:proofErr w:type="spellStart"/>
      <w:r w:rsidRPr="00E010C1">
        <w:rPr>
          <w:rFonts w:ascii="Arial" w:hAnsi="Arial" w:cs="Arial"/>
        </w:rPr>
        <w:t>40,000pa</w:t>
      </w:r>
      <w:proofErr w:type="spellEnd"/>
      <w:r w:rsidRPr="00E010C1">
        <w:rPr>
          <w:rFonts w:ascii="Arial" w:hAnsi="Arial" w:cs="Arial"/>
        </w:rPr>
        <w:t xml:space="preserve"> (553 clients)</w:t>
      </w:r>
      <w:r w:rsidR="00E010C1">
        <w:rPr>
          <w:rFonts w:ascii="Arial" w:hAnsi="Arial" w:cs="Arial"/>
        </w:rPr>
        <w:t>;</w:t>
      </w:r>
    </w:p>
    <w:p w14:paraId="520F0A62" w14:textId="77777777" w:rsidR="00E010C1" w:rsidRDefault="00722881" w:rsidP="00095E11">
      <w:pPr>
        <w:pStyle w:val="ListParagraph"/>
        <w:numPr>
          <w:ilvl w:val="0"/>
          <w:numId w:val="32"/>
        </w:numPr>
        <w:spacing w:after="0" w:line="240" w:lineRule="auto"/>
        <w:jc w:val="both"/>
        <w:rPr>
          <w:rFonts w:ascii="Arial" w:hAnsi="Arial" w:cs="Arial"/>
        </w:rPr>
      </w:pPr>
      <w:r w:rsidRPr="00E010C1">
        <w:rPr>
          <w:rFonts w:ascii="Arial" w:hAnsi="Arial" w:cs="Arial"/>
        </w:rPr>
        <w:t>almost 20% identified as having a ‘medium income’ of between $</w:t>
      </w:r>
      <w:proofErr w:type="spellStart"/>
      <w:r w:rsidRPr="00E010C1">
        <w:rPr>
          <w:rFonts w:ascii="Arial" w:hAnsi="Arial" w:cs="Arial"/>
        </w:rPr>
        <w:t>40,000</w:t>
      </w:r>
      <w:r w:rsidR="000910AA">
        <w:rPr>
          <w:rFonts w:ascii="Arial" w:hAnsi="Arial" w:cs="Arial"/>
        </w:rPr>
        <w:t>pa</w:t>
      </w:r>
      <w:proofErr w:type="spellEnd"/>
      <w:r w:rsidRPr="00E010C1">
        <w:rPr>
          <w:rFonts w:ascii="Arial" w:hAnsi="Arial" w:cs="Arial"/>
        </w:rPr>
        <w:t xml:space="preserve"> and $</w:t>
      </w:r>
      <w:proofErr w:type="spellStart"/>
      <w:r w:rsidRPr="00E010C1">
        <w:rPr>
          <w:rFonts w:ascii="Arial" w:hAnsi="Arial" w:cs="Arial"/>
        </w:rPr>
        <w:t>60,000pa</w:t>
      </w:r>
      <w:proofErr w:type="spellEnd"/>
      <w:r w:rsidR="00E010C1">
        <w:rPr>
          <w:rFonts w:ascii="Arial" w:hAnsi="Arial" w:cs="Arial"/>
        </w:rPr>
        <w:t>;</w:t>
      </w:r>
      <w:r w:rsidRPr="00E010C1">
        <w:rPr>
          <w:rFonts w:ascii="Arial" w:hAnsi="Arial" w:cs="Arial"/>
        </w:rPr>
        <w:t xml:space="preserve"> and</w:t>
      </w:r>
    </w:p>
    <w:p w14:paraId="260E40A6" w14:textId="77777777" w:rsidR="001F7B68" w:rsidRPr="00E010C1" w:rsidRDefault="00596D51" w:rsidP="00095E11">
      <w:pPr>
        <w:pStyle w:val="ListParagraph"/>
        <w:numPr>
          <w:ilvl w:val="0"/>
          <w:numId w:val="32"/>
        </w:numPr>
        <w:spacing w:after="0" w:line="240" w:lineRule="auto"/>
        <w:jc w:val="both"/>
        <w:rPr>
          <w:rFonts w:ascii="Arial" w:hAnsi="Arial" w:cs="Arial"/>
        </w:rPr>
      </w:pPr>
      <w:r>
        <w:rPr>
          <w:rFonts w:ascii="Arial" w:hAnsi="Arial" w:cs="Arial"/>
        </w:rPr>
        <w:t xml:space="preserve">10% </w:t>
      </w:r>
      <w:r w:rsidR="00722881" w:rsidRPr="00E010C1">
        <w:rPr>
          <w:rFonts w:ascii="Arial" w:hAnsi="Arial" w:cs="Arial"/>
        </w:rPr>
        <w:t>identified as having a ‘high income’ of more than $</w:t>
      </w:r>
      <w:proofErr w:type="spellStart"/>
      <w:r w:rsidR="00722881" w:rsidRPr="00E010C1">
        <w:rPr>
          <w:rFonts w:ascii="Arial" w:hAnsi="Arial" w:cs="Arial"/>
        </w:rPr>
        <w:t>60,000</w:t>
      </w:r>
      <w:r w:rsidR="00D60213" w:rsidRPr="00E010C1">
        <w:rPr>
          <w:rFonts w:ascii="Arial" w:hAnsi="Arial" w:cs="Arial"/>
        </w:rPr>
        <w:t>pa</w:t>
      </w:r>
      <w:proofErr w:type="spellEnd"/>
      <w:r w:rsidR="00722881" w:rsidRPr="00E010C1">
        <w:rPr>
          <w:rFonts w:ascii="Arial" w:hAnsi="Arial" w:cs="Arial"/>
        </w:rPr>
        <w:t>.</w:t>
      </w:r>
    </w:p>
    <w:p w14:paraId="0BD2DB20" w14:textId="77777777" w:rsidR="00D60213" w:rsidRDefault="00D60213" w:rsidP="00095E11">
      <w:pPr>
        <w:spacing w:after="0" w:line="240" w:lineRule="auto"/>
        <w:jc w:val="both"/>
        <w:rPr>
          <w:rFonts w:ascii="Arial" w:hAnsi="Arial" w:cs="Arial"/>
        </w:rPr>
      </w:pPr>
    </w:p>
    <w:p w14:paraId="332D24A8" w14:textId="77777777" w:rsidR="00E010C1" w:rsidRDefault="00D60213" w:rsidP="00095E11">
      <w:pPr>
        <w:spacing w:after="0" w:line="240" w:lineRule="auto"/>
        <w:jc w:val="both"/>
        <w:rPr>
          <w:rFonts w:ascii="Arial" w:hAnsi="Arial" w:cs="Arial"/>
        </w:rPr>
      </w:pPr>
      <w:r>
        <w:rPr>
          <w:rFonts w:ascii="Arial" w:hAnsi="Arial" w:cs="Arial"/>
        </w:rPr>
        <w:t xml:space="preserve">We opened 287 cases for clients in 2013. </w:t>
      </w:r>
      <w:r w:rsidR="00E010C1">
        <w:rPr>
          <w:rFonts w:ascii="Arial" w:hAnsi="Arial" w:cs="Arial"/>
        </w:rPr>
        <w:t>Of the cases we opened:</w:t>
      </w:r>
    </w:p>
    <w:p w14:paraId="65E40630" w14:textId="77777777" w:rsidR="00E010C1" w:rsidRDefault="00E010C1" w:rsidP="00095E11">
      <w:pPr>
        <w:spacing w:after="0" w:line="240" w:lineRule="auto"/>
        <w:jc w:val="both"/>
        <w:rPr>
          <w:rFonts w:ascii="Arial" w:hAnsi="Arial" w:cs="Arial"/>
        </w:rPr>
      </w:pPr>
    </w:p>
    <w:p w14:paraId="77CE5260" w14:textId="77777777" w:rsidR="00E010C1" w:rsidRDefault="00D60213" w:rsidP="00095E11">
      <w:pPr>
        <w:pStyle w:val="ListParagraph"/>
        <w:numPr>
          <w:ilvl w:val="0"/>
          <w:numId w:val="33"/>
        </w:numPr>
        <w:spacing w:after="0" w:line="240" w:lineRule="auto"/>
        <w:jc w:val="both"/>
        <w:rPr>
          <w:rFonts w:ascii="Arial" w:hAnsi="Arial" w:cs="Arial"/>
        </w:rPr>
      </w:pPr>
      <w:r w:rsidRPr="00E010C1">
        <w:rPr>
          <w:rFonts w:ascii="Arial" w:hAnsi="Arial" w:cs="Arial"/>
        </w:rPr>
        <w:t>11% was for clients who identified as having no income (33 cases)</w:t>
      </w:r>
      <w:r w:rsidR="00E010C1">
        <w:rPr>
          <w:rFonts w:ascii="Arial" w:hAnsi="Arial" w:cs="Arial"/>
        </w:rPr>
        <w:t>;</w:t>
      </w:r>
    </w:p>
    <w:p w14:paraId="413B1F24" w14:textId="77777777" w:rsidR="00D60213" w:rsidRDefault="00D60213" w:rsidP="00095E11">
      <w:pPr>
        <w:pStyle w:val="ListParagraph"/>
        <w:numPr>
          <w:ilvl w:val="0"/>
          <w:numId w:val="33"/>
        </w:numPr>
        <w:spacing w:after="0" w:line="240" w:lineRule="auto"/>
        <w:jc w:val="both"/>
        <w:rPr>
          <w:rFonts w:ascii="Arial" w:hAnsi="Arial" w:cs="Arial"/>
        </w:rPr>
      </w:pPr>
      <w:r w:rsidRPr="00E010C1">
        <w:rPr>
          <w:rFonts w:ascii="Arial" w:hAnsi="Arial" w:cs="Arial"/>
        </w:rPr>
        <w:t xml:space="preserve">over 65% was for </w:t>
      </w:r>
      <w:r w:rsidR="00E010C1">
        <w:rPr>
          <w:rFonts w:ascii="Arial" w:hAnsi="Arial" w:cs="Arial"/>
        </w:rPr>
        <w:t>‘</w:t>
      </w:r>
      <w:r w:rsidR="00E010C1" w:rsidRPr="00E010C1">
        <w:rPr>
          <w:rFonts w:ascii="Arial" w:hAnsi="Arial" w:cs="Arial"/>
        </w:rPr>
        <w:t>low income</w:t>
      </w:r>
      <w:r w:rsidR="00E010C1">
        <w:rPr>
          <w:rFonts w:ascii="Arial" w:hAnsi="Arial" w:cs="Arial"/>
        </w:rPr>
        <w:t>’</w:t>
      </w:r>
      <w:r w:rsidR="00E010C1" w:rsidRPr="00E010C1">
        <w:rPr>
          <w:rFonts w:ascii="Arial" w:hAnsi="Arial" w:cs="Arial"/>
        </w:rPr>
        <w:t xml:space="preserve"> clients</w:t>
      </w:r>
      <w:r w:rsidR="00E010C1">
        <w:rPr>
          <w:rFonts w:ascii="Arial" w:hAnsi="Arial" w:cs="Arial"/>
        </w:rPr>
        <w:t xml:space="preserve"> (191 cases);</w:t>
      </w:r>
    </w:p>
    <w:p w14:paraId="14268212" w14:textId="5BA5BCA7" w:rsidR="00E010C1" w:rsidRDefault="00E010C1" w:rsidP="00095E11">
      <w:pPr>
        <w:pStyle w:val="ListParagraph"/>
        <w:numPr>
          <w:ilvl w:val="0"/>
          <w:numId w:val="33"/>
        </w:numPr>
        <w:spacing w:after="0" w:line="240" w:lineRule="auto"/>
        <w:jc w:val="both"/>
        <w:rPr>
          <w:rFonts w:ascii="Arial" w:hAnsi="Arial" w:cs="Arial"/>
        </w:rPr>
      </w:pPr>
      <w:r>
        <w:rPr>
          <w:rFonts w:ascii="Arial" w:hAnsi="Arial" w:cs="Arial"/>
        </w:rPr>
        <w:t>11% was for ‘medium income’ clients (33</w:t>
      </w:r>
      <w:r w:rsidR="007F0579">
        <w:rPr>
          <w:rFonts w:ascii="Arial" w:hAnsi="Arial" w:cs="Arial"/>
        </w:rPr>
        <w:t xml:space="preserve">); </w:t>
      </w:r>
    </w:p>
    <w:p w14:paraId="00433A39" w14:textId="4E0515D8" w:rsidR="007F0579" w:rsidRDefault="007F0579" w:rsidP="00095E11">
      <w:pPr>
        <w:pStyle w:val="ListParagraph"/>
        <w:numPr>
          <w:ilvl w:val="0"/>
          <w:numId w:val="33"/>
        </w:numPr>
        <w:spacing w:after="0" w:line="240" w:lineRule="auto"/>
        <w:jc w:val="both"/>
        <w:rPr>
          <w:rFonts w:ascii="Arial" w:hAnsi="Arial" w:cs="Arial"/>
        </w:rPr>
      </w:pPr>
      <w:r>
        <w:rPr>
          <w:rFonts w:ascii="Arial" w:hAnsi="Arial" w:cs="Arial"/>
        </w:rPr>
        <w:t>the remaining cases statistics are not well recorded</w:t>
      </w:r>
    </w:p>
    <w:p w14:paraId="77DCE12A" w14:textId="77777777" w:rsidR="00881E58" w:rsidRDefault="00881E58" w:rsidP="00095E11">
      <w:pPr>
        <w:spacing w:after="0" w:line="240" w:lineRule="auto"/>
        <w:jc w:val="both"/>
        <w:rPr>
          <w:rFonts w:ascii="Arial" w:hAnsi="Arial" w:cs="Arial"/>
        </w:rPr>
      </w:pPr>
    </w:p>
    <w:p w14:paraId="6FB6FD98" w14:textId="77777777" w:rsidR="00881E58" w:rsidRPr="000910AA" w:rsidRDefault="00881E58" w:rsidP="00095E11">
      <w:pPr>
        <w:spacing w:after="0" w:line="240" w:lineRule="auto"/>
        <w:jc w:val="both"/>
        <w:rPr>
          <w:rFonts w:ascii="Arial" w:hAnsi="Arial" w:cs="Arial"/>
          <w:b/>
          <w:i/>
        </w:rPr>
      </w:pPr>
      <w:r w:rsidRPr="000910AA">
        <w:rPr>
          <w:rFonts w:ascii="Arial" w:hAnsi="Arial" w:cs="Arial"/>
          <w:b/>
          <w:i/>
        </w:rPr>
        <w:t>Collaborative and complementary service provision</w:t>
      </w:r>
    </w:p>
    <w:p w14:paraId="5A2B9B71" w14:textId="77777777" w:rsidR="00E010C1" w:rsidRDefault="00E010C1" w:rsidP="00095E11">
      <w:pPr>
        <w:spacing w:after="0" w:line="240" w:lineRule="auto"/>
        <w:jc w:val="both"/>
        <w:rPr>
          <w:rFonts w:ascii="Arial" w:hAnsi="Arial" w:cs="Arial"/>
        </w:rPr>
      </w:pPr>
    </w:p>
    <w:p w14:paraId="06AEBED4" w14:textId="72503B8D" w:rsidR="000910AA" w:rsidRPr="00DF1A8C" w:rsidRDefault="00881E58" w:rsidP="00095E11">
      <w:pPr>
        <w:spacing w:after="0" w:line="240" w:lineRule="auto"/>
        <w:jc w:val="both"/>
        <w:rPr>
          <w:rFonts w:ascii="Arial" w:hAnsi="Arial" w:cs="Arial"/>
        </w:rPr>
      </w:pPr>
      <w:proofErr w:type="spellStart"/>
      <w:r>
        <w:rPr>
          <w:rFonts w:ascii="Arial" w:hAnsi="Arial" w:cs="Arial"/>
        </w:rPr>
        <w:t>KLC</w:t>
      </w:r>
      <w:proofErr w:type="spellEnd"/>
      <w:r>
        <w:rPr>
          <w:rFonts w:ascii="Arial" w:hAnsi="Arial" w:cs="Arial"/>
        </w:rPr>
        <w:t xml:space="preserve"> has a long history of working in cooperation with other legal service providers.  By working to each of our strengths, we are able to provide a full and thorough service with each service providing e</w:t>
      </w:r>
      <w:r w:rsidR="000910AA">
        <w:rPr>
          <w:rFonts w:ascii="Arial" w:hAnsi="Arial" w:cs="Arial"/>
        </w:rPr>
        <w:t xml:space="preserve">ssential parts of the service. </w:t>
      </w:r>
    </w:p>
    <w:p w14:paraId="78DB8BC1" w14:textId="77777777" w:rsidR="00E010C1" w:rsidRPr="00E010C1" w:rsidRDefault="00E010C1" w:rsidP="00095E11">
      <w:pPr>
        <w:pBdr>
          <w:top w:val="single" w:sz="4" w:space="1" w:color="auto"/>
          <w:left w:val="single" w:sz="4" w:space="0" w:color="auto"/>
          <w:bottom w:val="single" w:sz="4" w:space="1" w:color="auto"/>
          <w:right w:val="single" w:sz="4" w:space="1" w:color="auto"/>
        </w:pBdr>
        <w:spacing w:line="240" w:lineRule="auto"/>
        <w:jc w:val="center"/>
        <w:rPr>
          <w:rFonts w:ascii="Arial" w:hAnsi="Arial" w:cs="Arial"/>
          <w:i/>
          <w:sz w:val="20"/>
          <w:szCs w:val="20"/>
          <w:u w:val="single"/>
        </w:rPr>
      </w:pPr>
      <w:r w:rsidRPr="00E010C1">
        <w:rPr>
          <w:rFonts w:ascii="Arial" w:hAnsi="Arial" w:cs="Arial"/>
          <w:i/>
          <w:sz w:val="20"/>
          <w:szCs w:val="20"/>
          <w:u w:val="single"/>
        </w:rPr>
        <w:lastRenderedPageBreak/>
        <w:t>Visa cancellation clinic</w:t>
      </w:r>
    </w:p>
    <w:p w14:paraId="198D598D" w14:textId="77777777" w:rsidR="00E010C1" w:rsidRPr="00E010C1" w:rsidRDefault="00E010C1" w:rsidP="00095E11">
      <w:pPr>
        <w:pBdr>
          <w:top w:val="single" w:sz="4" w:space="1" w:color="auto"/>
          <w:left w:val="single" w:sz="4" w:space="0" w:color="auto"/>
          <w:bottom w:val="single" w:sz="4" w:space="1" w:color="auto"/>
          <w:right w:val="single" w:sz="4" w:space="1" w:color="auto"/>
        </w:pBdr>
        <w:spacing w:line="240" w:lineRule="auto"/>
        <w:jc w:val="both"/>
        <w:rPr>
          <w:rFonts w:ascii="Arial" w:hAnsi="Arial" w:cs="Arial"/>
          <w:i/>
          <w:sz w:val="20"/>
          <w:szCs w:val="20"/>
        </w:rPr>
      </w:pPr>
      <w:r w:rsidRPr="00E010C1">
        <w:rPr>
          <w:rFonts w:ascii="Arial" w:hAnsi="Arial" w:cs="Arial"/>
          <w:i/>
          <w:sz w:val="20"/>
          <w:szCs w:val="20"/>
        </w:rPr>
        <w:t>In 2011</w:t>
      </w:r>
      <w:r>
        <w:rPr>
          <w:rFonts w:ascii="Arial" w:hAnsi="Arial" w:cs="Arial"/>
          <w:i/>
          <w:sz w:val="20"/>
          <w:szCs w:val="20"/>
        </w:rPr>
        <w:t xml:space="preserve"> </w:t>
      </w:r>
      <w:proofErr w:type="spellStart"/>
      <w:r>
        <w:rPr>
          <w:rFonts w:ascii="Arial" w:hAnsi="Arial" w:cs="Arial"/>
          <w:i/>
          <w:sz w:val="20"/>
          <w:szCs w:val="20"/>
        </w:rPr>
        <w:t>KLC</w:t>
      </w:r>
      <w:proofErr w:type="spellEnd"/>
      <w:r w:rsidRPr="00E010C1">
        <w:rPr>
          <w:rFonts w:ascii="Arial" w:hAnsi="Arial" w:cs="Arial"/>
          <w:i/>
          <w:sz w:val="20"/>
          <w:szCs w:val="20"/>
        </w:rPr>
        <w:t xml:space="preserve"> began talking to Legal Aid NSW about the lack of </w:t>
      </w:r>
      <w:r>
        <w:rPr>
          <w:rFonts w:ascii="Arial" w:hAnsi="Arial" w:cs="Arial"/>
          <w:i/>
          <w:sz w:val="20"/>
          <w:szCs w:val="20"/>
        </w:rPr>
        <w:t>l</w:t>
      </w:r>
      <w:r w:rsidRPr="00E010C1">
        <w:rPr>
          <w:rFonts w:ascii="Arial" w:hAnsi="Arial" w:cs="Arial"/>
          <w:i/>
          <w:sz w:val="20"/>
          <w:szCs w:val="20"/>
        </w:rPr>
        <w:t xml:space="preserve">egal </w:t>
      </w:r>
      <w:r>
        <w:rPr>
          <w:rFonts w:ascii="Arial" w:hAnsi="Arial" w:cs="Arial"/>
          <w:i/>
          <w:sz w:val="20"/>
          <w:szCs w:val="20"/>
        </w:rPr>
        <w:t>s</w:t>
      </w:r>
      <w:r w:rsidRPr="00E010C1">
        <w:rPr>
          <w:rFonts w:ascii="Arial" w:hAnsi="Arial" w:cs="Arial"/>
          <w:i/>
          <w:sz w:val="20"/>
          <w:szCs w:val="20"/>
        </w:rPr>
        <w:t xml:space="preserve">ervices for prisoners who faced the cancellation of their visa. Legal Aid had limited </w:t>
      </w:r>
      <w:r>
        <w:rPr>
          <w:rFonts w:ascii="Arial" w:hAnsi="Arial" w:cs="Arial"/>
          <w:i/>
          <w:sz w:val="20"/>
          <w:szCs w:val="20"/>
        </w:rPr>
        <w:t>ability to assist these clients</w:t>
      </w:r>
      <w:r w:rsidRPr="00E010C1">
        <w:rPr>
          <w:rFonts w:ascii="Arial" w:hAnsi="Arial" w:cs="Arial"/>
          <w:i/>
          <w:sz w:val="20"/>
          <w:szCs w:val="20"/>
        </w:rPr>
        <w:t xml:space="preserve"> and </w:t>
      </w:r>
      <w:proofErr w:type="spellStart"/>
      <w:r w:rsidRPr="00E010C1">
        <w:rPr>
          <w:rFonts w:ascii="Arial" w:hAnsi="Arial" w:cs="Arial"/>
          <w:i/>
          <w:sz w:val="20"/>
          <w:szCs w:val="20"/>
        </w:rPr>
        <w:t>KLC</w:t>
      </w:r>
      <w:proofErr w:type="spellEnd"/>
      <w:r w:rsidRPr="00E010C1">
        <w:rPr>
          <w:rFonts w:ascii="Arial" w:hAnsi="Arial" w:cs="Arial"/>
          <w:i/>
          <w:sz w:val="20"/>
          <w:szCs w:val="20"/>
        </w:rPr>
        <w:t xml:space="preserve"> had more clients coming to us with this problem. As a result of these discussions </w:t>
      </w:r>
      <w:proofErr w:type="spellStart"/>
      <w:r w:rsidRPr="00E010C1">
        <w:rPr>
          <w:rFonts w:ascii="Arial" w:hAnsi="Arial" w:cs="Arial"/>
          <w:i/>
          <w:sz w:val="20"/>
          <w:szCs w:val="20"/>
        </w:rPr>
        <w:t>KLC</w:t>
      </w:r>
      <w:proofErr w:type="spellEnd"/>
      <w:r w:rsidRPr="00E010C1">
        <w:rPr>
          <w:rFonts w:ascii="Arial" w:hAnsi="Arial" w:cs="Arial"/>
          <w:i/>
          <w:sz w:val="20"/>
          <w:szCs w:val="20"/>
        </w:rPr>
        <w:t xml:space="preserve"> developed a proposal in conjunction with Legal Aid and was funded through the Community Legal Centre and Legal Aid Partnership Program. This program took referrals from Legal Aid and from prisoners directly. The aim of the project was to improve the quality of submissions made before visa cancellations decisions</w:t>
      </w:r>
      <w:r w:rsidR="000910AA">
        <w:rPr>
          <w:rFonts w:ascii="Arial" w:hAnsi="Arial" w:cs="Arial"/>
          <w:i/>
          <w:sz w:val="20"/>
          <w:szCs w:val="20"/>
        </w:rPr>
        <w:t>,</w:t>
      </w:r>
      <w:r w:rsidRPr="00E010C1">
        <w:rPr>
          <w:rFonts w:ascii="Arial" w:hAnsi="Arial" w:cs="Arial"/>
          <w:i/>
          <w:sz w:val="20"/>
          <w:szCs w:val="20"/>
        </w:rPr>
        <w:t xml:space="preserve"> which would result in less need for Legal Aid in appeals.</w:t>
      </w:r>
    </w:p>
    <w:p w14:paraId="5EB136E2" w14:textId="77777777" w:rsidR="00E010C1" w:rsidRDefault="00E010C1" w:rsidP="00095E11">
      <w:pPr>
        <w:pBdr>
          <w:top w:val="single" w:sz="4" w:space="1" w:color="auto"/>
          <w:left w:val="single" w:sz="4" w:space="0" w:color="auto"/>
          <w:bottom w:val="single" w:sz="4" w:space="1" w:color="auto"/>
          <w:right w:val="single" w:sz="4" w:space="1" w:color="auto"/>
        </w:pBdr>
        <w:spacing w:line="240" w:lineRule="auto"/>
        <w:jc w:val="both"/>
        <w:rPr>
          <w:rFonts w:ascii="Arial" w:hAnsi="Arial" w:cs="Arial"/>
          <w:i/>
          <w:sz w:val="20"/>
          <w:szCs w:val="20"/>
        </w:rPr>
      </w:pPr>
      <w:r w:rsidRPr="00E010C1">
        <w:rPr>
          <w:rFonts w:ascii="Arial" w:hAnsi="Arial" w:cs="Arial"/>
          <w:i/>
          <w:sz w:val="20"/>
          <w:szCs w:val="20"/>
        </w:rPr>
        <w:t xml:space="preserve">Legal Aid lawyers worked with </w:t>
      </w:r>
      <w:proofErr w:type="spellStart"/>
      <w:r w:rsidRPr="00E010C1">
        <w:rPr>
          <w:rFonts w:ascii="Arial" w:hAnsi="Arial" w:cs="Arial"/>
          <w:i/>
          <w:sz w:val="20"/>
          <w:szCs w:val="20"/>
        </w:rPr>
        <w:t>KLC</w:t>
      </w:r>
      <w:proofErr w:type="spellEnd"/>
      <w:r w:rsidRPr="00E010C1">
        <w:rPr>
          <w:rFonts w:ascii="Arial" w:hAnsi="Arial" w:cs="Arial"/>
          <w:i/>
          <w:sz w:val="20"/>
          <w:szCs w:val="20"/>
        </w:rPr>
        <w:t xml:space="preserve"> lawyers to develop the program. As a result of the collaboration </w:t>
      </w:r>
      <w:proofErr w:type="spellStart"/>
      <w:r w:rsidRPr="00E010C1">
        <w:rPr>
          <w:rFonts w:ascii="Arial" w:hAnsi="Arial" w:cs="Arial"/>
          <w:i/>
          <w:sz w:val="20"/>
          <w:szCs w:val="20"/>
        </w:rPr>
        <w:t>KLC</w:t>
      </w:r>
      <w:proofErr w:type="spellEnd"/>
      <w:r w:rsidRPr="00E010C1">
        <w:rPr>
          <w:rFonts w:ascii="Arial" w:hAnsi="Arial" w:cs="Arial"/>
          <w:i/>
          <w:sz w:val="20"/>
          <w:szCs w:val="20"/>
        </w:rPr>
        <w:t xml:space="preserve"> assisted 67 clients. As a result </w:t>
      </w:r>
      <w:r w:rsidR="00095E11" w:rsidRPr="00E010C1">
        <w:rPr>
          <w:rFonts w:ascii="Arial" w:hAnsi="Arial" w:cs="Arial"/>
          <w:i/>
          <w:sz w:val="20"/>
          <w:szCs w:val="20"/>
        </w:rPr>
        <w:t xml:space="preserve">of </w:t>
      </w:r>
      <w:proofErr w:type="spellStart"/>
      <w:r w:rsidR="00095E11" w:rsidRPr="00E010C1">
        <w:rPr>
          <w:rFonts w:ascii="Arial" w:hAnsi="Arial" w:cs="Arial"/>
          <w:i/>
          <w:sz w:val="20"/>
          <w:szCs w:val="20"/>
        </w:rPr>
        <w:t>KLC’s</w:t>
      </w:r>
      <w:proofErr w:type="spellEnd"/>
      <w:r w:rsidRPr="00E010C1">
        <w:rPr>
          <w:rFonts w:ascii="Arial" w:hAnsi="Arial" w:cs="Arial"/>
          <w:i/>
          <w:sz w:val="20"/>
          <w:szCs w:val="20"/>
        </w:rPr>
        <w:t xml:space="preserve"> work some clients</w:t>
      </w:r>
      <w:r w:rsidR="000910AA">
        <w:rPr>
          <w:rFonts w:ascii="Arial" w:hAnsi="Arial" w:cs="Arial"/>
          <w:i/>
          <w:sz w:val="20"/>
          <w:szCs w:val="20"/>
        </w:rPr>
        <w:t>’</w:t>
      </w:r>
      <w:r w:rsidRPr="00E010C1">
        <w:rPr>
          <w:rFonts w:ascii="Arial" w:hAnsi="Arial" w:cs="Arial"/>
          <w:i/>
          <w:sz w:val="20"/>
          <w:szCs w:val="20"/>
        </w:rPr>
        <w:t xml:space="preserve"> visas weren’t cancelled. When clients needed further advice about appeals </w:t>
      </w:r>
      <w:proofErr w:type="spellStart"/>
      <w:r w:rsidRPr="00E010C1">
        <w:rPr>
          <w:rFonts w:ascii="Arial" w:hAnsi="Arial" w:cs="Arial"/>
          <w:i/>
          <w:sz w:val="20"/>
          <w:szCs w:val="20"/>
        </w:rPr>
        <w:t>KLC</w:t>
      </w:r>
      <w:proofErr w:type="spellEnd"/>
      <w:r w:rsidRPr="00E010C1">
        <w:rPr>
          <w:rFonts w:ascii="Arial" w:hAnsi="Arial" w:cs="Arial"/>
          <w:i/>
          <w:sz w:val="20"/>
          <w:szCs w:val="20"/>
        </w:rPr>
        <w:t xml:space="preserve"> was able to organise this with Legal Aid. At the end of the program </w:t>
      </w:r>
      <w:proofErr w:type="spellStart"/>
      <w:r w:rsidRPr="00E010C1">
        <w:rPr>
          <w:rFonts w:ascii="Arial" w:hAnsi="Arial" w:cs="Arial"/>
          <w:i/>
          <w:sz w:val="20"/>
          <w:szCs w:val="20"/>
        </w:rPr>
        <w:t>KLC</w:t>
      </w:r>
      <w:proofErr w:type="spellEnd"/>
      <w:r w:rsidRPr="00E010C1">
        <w:rPr>
          <w:rFonts w:ascii="Arial" w:hAnsi="Arial" w:cs="Arial"/>
          <w:i/>
          <w:sz w:val="20"/>
          <w:szCs w:val="20"/>
        </w:rPr>
        <w:t xml:space="preserve"> and Legal Aid presented training to </w:t>
      </w:r>
      <w:proofErr w:type="spellStart"/>
      <w:r w:rsidRPr="00E010C1">
        <w:rPr>
          <w:rFonts w:ascii="Arial" w:hAnsi="Arial" w:cs="Arial"/>
          <w:i/>
          <w:sz w:val="20"/>
          <w:szCs w:val="20"/>
        </w:rPr>
        <w:t>CLC</w:t>
      </w:r>
      <w:proofErr w:type="spellEnd"/>
      <w:r w:rsidRPr="00E010C1">
        <w:rPr>
          <w:rFonts w:ascii="Arial" w:hAnsi="Arial" w:cs="Arial"/>
          <w:i/>
          <w:sz w:val="20"/>
          <w:szCs w:val="20"/>
        </w:rPr>
        <w:t xml:space="preserve"> lawyers about how to work with prisoners in this situation. </w:t>
      </w:r>
    </w:p>
    <w:p w14:paraId="4F9372F0" w14:textId="77777777" w:rsidR="002E00D7" w:rsidRPr="000910AA" w:rsidRDefault="002E00D7" w:rsidP="002E00D7">
      <w:pPr>
        <w:pBdr>
          <w:top w:val="single" w:sz="4" w:space="1" w:color="auto"/>
          <w:left w:val="single" w:sz="4" w:space="0" w:color="auto"/>
          <w:bottom w:val="single" w:sz="4" w:space="1" w:color="auto"/>
          <w:right w:val="single" w:sz="4" w:space="1" w:color="auto"/>
        </w:pBdr>
        <w:spacing w:line="240" w:lineRule="auto"/>
        <w:jc w:val="center"/>
        <w:rPr>
          <w:rFonts w:ascii="Arial" w:hAnsi="Arial" w:cs="Arial"/>
          <w:i/>
          <w:sz w:val="20"/>
          <w:szCs w:val="20"/>
          <w:u w:val="single"/>
        </w:rPr>
      </w:pPr>
      <w:r w:rsidRPr="000910AA">
        <w:rPr>
          <w:rFonts w:ascii="Arial" w:hAnsi="Arial" w:cs="Arial"/>
          <w:i/>
          <w:sz w:val="20"/>
          <w:szCs w:val="20"/>
          <w:u w:val="single"/>
        </w:rPr>
        <w:t>Family law early intervention unit outreaches</w:t>
      </w:r>
    </w:p>
    <w:p w14:paraId="66AD3E2C" w14:textId="77777777" w:rsidR="00881E58" w:rsidRDefault="00881E58" w:rsidP="000910AA">
      <w:pPr>
        <w:pBdr>
          <w:top w:val="single" w:sz="4" w:space="1" w:color="auto"/>
          <w:left w:val="single" w:sz="4" w:space="0" w:color="auto"/>
          <w:bottom w:val="single" w:sz="4" w:space="1" w:color="auto"/>
          <w:right w:val="single" w:sz="4" w:space="1" w:color="auto"/>
        </w:pBdr>
        <w:spacing w:line="240" w:lineRule="auto"/>
        <w:jc w:val="both"/>
        <w:rPr>
          <w:rFonts w:ascii="Arial" w:hAnsi="Arial" w:cs="Arial"/>
          <w:i/>
          <w:sz w:val="20"/>
          <w:szCs w:val="20"/>
        </w:rPr>
      </w:pPr>
      <w:r>
        <w:rPr>
          <w:rFonts w:ascii="Arial" w:hAnsi="Arial" w:cs="Arial"/>
          <w:i/>
          <w:sz w:val="20"/>
          <w:szCs w:val="20"/>
        </w:rPr>
        <w:t xml:space="preserve">In early 2013 </w:t>
      </w:r>
      <w:proofErr w:type="spellStart"/>
      <w:r>
        <w:rPr>
          <w:rFonts w:ascii="Arial" w:hAnsi="Arial" w:cs="Arial"/>
          <w:i/>
          <w:sz w:val="20"/>
          <w:szCs w:val="20"/>
        </w:rPr>
        <w:t>KLC</w:t>
      </w:r>
      <w:proofErr w:type="spellEnd"/>
      <w:r>
        <w:rPr>
          <w:rFonts w:ascii="Arial" w:hAnsi="Arial" w:cs="Arial"/>
          <w:i/>
          <w:sz w:val="20"/>
          <w:szCs w:val="20"/>
        </w:rPr>
        <w:t xml:space="preserve"> began disc</w:t>
      </w:r>
      <w:r w:rsidR="000910AA">
        <w:rPr>
          <w:rFonts w:ascii="Arial" w:hAnsi="Arial" w:cs="Arial"/>
          <w:i/>
          <w:sz w:val="20"/>
          <w:szCs w:val="20"/>
        </w:rPr>
        <w:t>ussions with the Legal Aid NSW f</w:t>
      </w:r>
      <w:r>
        <w:rPr>
          <w:rFonts w:ascii="Arial" w:hAnsi="Arial" w:cs="Arial"/>
          <w:i/>
          <w:sz w:val="20"/>
          <w:szCs w:val="20"/>
        </w:rPr>
        <w:t>amily law early intervention unit about the need for family law</w:t>
      </w:r>
      <w:r w:rsidR="000910AA">
        <w:rPr>
          <w:rFonts w:ascii="Arial" w:hAnsi="Arial" w:cs="Arial"/>
          <w:i/>
          <w:sz w:val="20"/>
          <w:szCs w:val="20"/>
        </w:rPr>
        <w:t xml:space="preserve"> outreaches in the local area. </w:t>
      </w:r>
      <w:proofErr w:type="spellStart"/>
      <w:r>
        <w:rPr>
          <w:rFonts w:ascii="Arial" w:hAnsi="Arial" w:cs="Arial"/>
          <w:i/>
          <w:sz w:val="20"/>
          <w:szCs w:val="20"/>
        </w:rPr>
        <w:t>KLC</w:t>
      </w:r>
      <w:proofErr w:type="spellEnd"/>
      <w:r>
        <w:rPr>
          <w:rFonts w:ascii="Arial" w:hAnsi="Arial" w:cs="Arial"/>
          <w:i/>
          <w:sz w:val="20"/>
          <w:szCs w:val="20"/>
        </w:rPr>
        <w:t xml:space="preserve"> had identified a need for women expe</w:t>
      </w:r>
      <w:r w:rsidR="000910AA">
        <w:rPr>
          <w:rFonts w:ascii="Arial" w:hAnsi="Arial" w:cs="Arial"/>
          <w:i/>
          <w:sz w:val="20"/>
          <w:szCs w:val="20"/>
        </w:rPr>
        <w:t xml:space="preserve">riencing domestic violence to have </w:t>
      </w:r>
      <w:r>
        <w:rPr>
          <w:rFonts w:ascii="Arial" w:hAnsi="Arial" w:cs="Arial"/>
          <w:i/>
          <w:sz w:val="20"/>
          <w:szCs w:val="20"/>
        </w:rPr>
        <w:t>specialist family law assistance an</w:t>
      </w:r>
      <w:r w:rsidR="000910AA">
        <w:rPr>
          <w:rFonts w:ascii="Arial" w:hAnsi="Arial" w:cs="Arial"/>
          <w:i/>
          <w:sz w:val="20"/>
          <w:szCs w:val="20"/>
        </w:rPr>
        <w:t>d for Aboriginal clients who don</w:t>
      </w:r>
      <w:r>
        <w:rPr>
          <w:rFonts w:ascii="Arial" w:hAnsi="Arial" w:cs="Arial"/>
          <w:i/>
          <w:sz w:val="20"/>
          <w:szCs w:val="20"/>
        </w:rPr>
        <w:t>’t use the family law system as readily as they could.</w:t>
      </w:r>
    </w:p>
    <w:p w14:paraId="1F3707C9" w14:textId="77777777" w:rsidR="002E00D7" w:rsidRPr="00E010C1" w:rsidRDefault="00881E58" w:rsidP="000910AA">
      <w:pPr>
        <w:pBdr>
          <w:top w:val="single" w:sz="4" w:space="1" w:color="auto"/>
          <w:left w:val="single" w:sz="4" w:space="0" w:color="auto"/>
          <w:bottom w:val="single" w:sz="4" w:space="1" w:color="auto"/>
          <w:right w:val="single" w:sz="4" w:space="1" w:color="auto"/>
        </w:pBdr>
        <w:spacing w:line="240" w:lineRule="auto"/>
        <w:jc w:val="both"/>
        <w:rPr>
          <w:rFonts w:ascii="Arial" w:hAnsi="Arial" w:cs="Arial"/>
          <w:i/>
          <w:sz w:val="20"/>
          <w:szCs w:val="20"/>
        </w:rPr>
      </w:pPr>
      <w:r>
        <w:rPr>
          <w:rFonts w:ascii="Arial" w:hAnsi="Arial" w:cs="Arial"/>
          <w:i/>
          <w:sz w:val="20"/>
          <w:szCs w:val="20"/>
        </w:rPr>
        <w:t xml:space="preserve">In response to this, </w:t>
      </w:r>
      <w:proofErr w:type="spellStart"/>
      <w:r>
        <w:rPr>
          <w:rFonts w:ascii="Arial" w:hAnsi="Arial" w:cs="Arial"/>
          <w:i/>
          <w:sz w:val="20"/>
          <w:szCs w:val="20"/>
        </w:rPr>
        <w:t>KLC</w:t>
      </w:r>
      <w:proofErr w:type="spellEnd"/>
      <w:r>
        <w:rPr>
          <w:rFonts w:ascii="Arial" w:hAnsi="Arial" w:cs="Arial"/>
          <w:i/>
          <w:sz w:val="20"/>
          <w:szCs w:val="20"/>
        </w:rPr>
        <w:t xml:space="preserve"> began negotiati</w:t>
      </w:r>
      <w:r w:rsidR="000910AA">
        <w:rPr>
          <w:rFonts w:ascii="Arial" w:hAnsi="Arial" w:cs="Arial"/>
          <w:i/>
          <w:sz w:val="20"/>
          <w:szCs w:val="20"/>
        </w:rPr>
        <w:t>ons with Legal Aid to commence two</w:t>
      </w:r>
      <w:r>
        <w:rPr>
          <w:rFonts w:ascii="Arial" w:hAnsi="Arial" w:cs="Arial"/>
          <w:i/>
          <w:sz w:val="20"/>
          <w:szCs w:val="20"/>
        </w:rPr>
        <w:t xml:space="preserve"> family law outreaches.  Rather than duplicate existing resources, </w:t>
      </w:r>
      <w:proofErr w:type="spellStart"/>
      <w:r>
        <w:rPr>
          <w:rFonts w:ascii="Arial" w:hAnsi="Arial" w:cs="Arial"/>
          <w:i/>
          <w:sz w:val="20"/>
          <w:szCs w:val="20"/>
        </w:rPr>
        <w:t>KLC</w:t>
      </w:r>
      <w:proofErr w:type="spellEnd"/>
      <w:r>
        <w:rPr>
          <w:rFonts w:ascii="Arial" w:hAnsi="Arial" w:cs="Arial"/>
          <w:i/>
          <w:sz w:val="20"/>
          <w:szCs w:val="20"/>
        </w:rPr>
        <w:t xml:space="preserve"> did not want to develop a family law advice clinic as it has no expertise in this area and Legal Aid </w:t>
      </w:r>
      <w:r w:rsidR="000910AA">
        <w:rPr>
          <w:rFonts w:ascii="Arial" w:hAnsi="Arial" w:cs="Arial"/>
          <w:i/>
          <w:sz w:val="20"/>
          <w:szCs w:val="20"/>
        </w:rPr>
        <w:t xml:space="preserve">NSW has substantial expertise. </w:t>
      </w:r>
      <w:proofErr w:type="spellStart"/>
      <w:r>
        <w:rPr>
          <w:rFonts w:ascii="Arial" w:hAnsi="Arial" w:cs="Arial"/>
          <w:i/>
          <w:sz w:val="20"/>
          <w:szCs w:val="20"/>
        </w:rPr>
        <w:t>KLC</w:t>
      </w:r>
      <w:proofErr w:type="spellEnd"/>
      <w:r>
        <w:rPr>
          <w:rFonts w:ascii="Arial" w:hAnsi="Arial" w:cs="Arial"/>
          <w:i/>
          <w:sz w:val="20"/>
          <w:szCs w:val="20"/>
        </w:rPr>
        <w:t xml:space="preserve"> has strong community connections with</w:t>
      </w:r>
      <w:r w:rsidR="000910AA">
        <w:rPr>
          <w:rFonts w:ascii="Arial" w:hAnsi="Arial" w:cs="Arial"/>
          <w:i/>
          <w:sz w:val="20"/>
          <w:szCs w:val="20"/>
        </w:rPr>
        <w:t xml:space="preserve"> the Deli Women and Children’s C</w:t>
      </w:r>
      <w:r>
        <w:rPr>
          <w:rFonts w:ascii="Arial" w:hAnsi="Arial" w:cs="Arial"/>
          <w:i/>
          <w:sz w:val="20"/>
          <w:szCs w:val="20"/>
        </w:rPr>
        <w:t>entre and with the local Aboriginal community thro</w:t>
      </w:r>
      <w:r w:rsidR="000910AA">
        <w:rPr>
          <w:rFonts w:ascii="Arial" w:hAnsi="Arial" w:cs="Arial"/>
          <w:i/>
          <w:sz w:val="20"/>
          <w:szCs w:val="20"/>
        </w:rPr>
        <w:t>ugh our</w:t>
      </w:r>
      <w:r>
        <w:rPr>
          <w:rFonts w:ascii="Arial" w:hAnsi="Arial" w:cs="Arial"/>
          <w:i/>
          <w:sz w:val="20"/>
          <w:szCs w:val="20"/>
        </w:rPr>
        <w:t xml:space="preserve"> Aboriginal access worker.  As a result of these relatio</w:t>
      </w:r>
      <w:r w:rsidR="000910AA">
        <w:rPr>
          <w:rFonts w:ascii="Arial" w:hAnsi="Arial" w:cs="Arial"/>
          <w:i/>
          <w:sz w:val="20"/>
          <w:szCs w:val="20"/>
        </w:rPr>
        <w:t xml:space="preserve">nships, </w:t>
      </w:r>
      <w:proofErr w:type="spellStart"/>
      <w:r w:rsidR="000910AA">
        <w:rPr>
          <w:rFonts w:ascii="Arial" w:hAnsi="Arial" w:cs="Arial"/>
          <w:i/>
          <w:sz w:val="20"/>
          <w:szCs w:val="20"/>
        </w:rPr>
        <w:t>KLC</w:t>
      </w:r>
      <w:proofErr w:type="spellEnd"/>
      <w:r w:rsidR="000910AA">
        <w:rPr>
          <w:rFonts w:ascii="Arial" w:hAnsi="Arial" w:cs="Arial"/>
          <w:i/>
          <w:sz w:val="20"/>
          <w:szCs w:val="20"/>
        </w:rPr>
        <w:t xml:space="preserve"> was able to broker two</w:t>
      </w:r>
      <w:r>
        <w:rPr>
          <w:rFonts w:ascii="Arial" w:hAnsi="Arial" w:cs="Arial"/>
          <w:i/>
          <w:sz w:val="20"/>
          <w:szCs w:val="20"/>
        </w:rPr>
        <w:t xml:space="preserve"> new family law </w:t>
      </w:r>
      <w:r w:rsidR="000910AA">
        <w:rPr>
          <w:rFonts w:ascii="Arial" w:hAnsi="Arial" w:cs="Arial"/>
          <w:i/>
          <w:sz w:val="20"/>
          <w:szCs w:val="20"/>
        </w:rPr>
        <w:t>early intervention outreaches. These outreaches provide</w:t>
      </w:r>
      <w:r>
        <w:rPr>
          <w:rFonts w:ascii="Arial" w:hAnsi="Arial" w:cs="Arial"/>
          <w:i/>
          <w:sz w:val="20"/>
          <w:szCs w:val="20"/>
        </w:rPr>
        <w:t xml:space="preserve"> much needed services to </w:t>
      </w:r>
      <w:r w:rsidR="000910AA">
        <w:rPr>
          <w:rFonts w:ascii="Arial" w:hAnsi="Arial" w:cs="Arial"/>
          <w:i/>
          <w:sz w:val="20"/>
          <w:szCs w:val="20"/>
        </w:rPr>
        <w:t xml:space="preserve">Aboriginal clients and women experiencing domestic violence, </w:t>
      </w:r>
      <w:r>
        <w:rPr>
          <w:rFonts w:ascii="Arial" w:hAnsi="Arial" w:cs="Arial"/>
          <w:i/>
          <w:sz w:val="20"/>
          <w:szCs w:val="20"/>
        </w:rPr>
        <w:t>who</w:t>
      </w:r>
      <w:r w:rsidR="000910AA">
        <w:rPr>
          <w:rFonts w:ascii="Arial" w:hAnsi="Arial" w:cs="Arial"/>
          <w:i/>
          <w:sz w:val="20"/>
          <w:szCs w:val="20"/>
        </w:rPr>
        <w:t xml:space="preserve"> both</w:t>
      </w:r>
      <w:r>
        <w:rPr>
          <w:rFonts w:ascii="Arial" w:hAnsi="Arial" w:cs="Arial"/>
          <w:i/>
          <w:sz w:val="20"/>
          <w:szCs w:val="20"/>
        </w:rPr>
        <w:t xml:space="preserve"> face significant barriers acc</w:t>
      </w:r>
      <w:r w:rsidR="000910AA">
        <w:rPr>
          <w:rFonts w:ascii="Arial" w:hAnsi="Arial" w:cs="Arial"/>
          <w:i/>
          <w:sz w:val="20"/>
          <w:szCs w:val="20"/>
        </w:rPr>
        <w:t>essing the law and legal system</w:t>
      </w:r>
      <w:r>
        <w:rPr>
          <w:rFonts w:ascii="Arial" w:hAnsi="Arial" w:cs="Arial"/>
          <w:i/>
          <w:sz w:val="20"/>
          <w:szCs w:val="20"/>
        </w:rPr>
        <w:t>.</w:t>
      </w:r>
    </w:p>
    <w:p w14:paraId="1D326FC8" w14:textId="2CB308DC" w:rsidR="00E010C1" w:rsidRPr="00F169E3" w:rsidRDefault="00F169E3" w:rsidP="00095E11">
      <w:pPr>
        <w:spacing w:line="240" w:lineRule="auto"/>
        <w:jc w:val="both"/>
        <w:rPr>
          <w:rFonts w:ascii="Arial" w:hAnsi="Arial" w:cs="Arial"/>
          <w:b/>
          <w:bCs/>
          <w:i/>
        </w:rPr>
      </w:pPr>
      <w:r>
        <w:rPr>
          <w:rFonts w:ascii="Arial" w:hAnsi="Arial" w:cs="Arial"/>
          <w:b/>
          <w:bCs/>
          <w:i/>
        </w:rPr>
        <w:t>R</w:t>
      </w:r>
      <w:r w:rsidR="00095E11" w:rsidRPr="00F169E3">
        <w:rPr>
          <w:rFonts w:ascii="Arial" w:hAnsi="Arial" w:cs="Arial"/>
          <w:b/>
          <w:bCs/>
          <w:i/>
        </w:rPr>
        <w:t>esponding to</w:t>
      </w:r>
      <w:r w:rsidR="0078069B">
        <w:rPr>
          <w:rFonts w:ascii="Arial" w:hAnsi="Arial" w:cs="Arial"/>
          <w:b/>
          <w:bCs/>
          <w:i/>
        </w:rPr>
        <w:t xml:space="preserve"> regional</w:t>
      </w:r>
      <w:r>
        <w:rPr>
          <w:rFonts w:ascii="Arial" w:hAnsi="Arial" w:cs="Arial"/>
          <w:b/>
          <w:bCs/>
          <w:i/>
        </w:rPr>
        <w:t xml:space="preserve"> and local </w:t>
      </w:r>
      <w:r w:rsidR="00095E11" w:rsidRPr="00F169E3">
        <w:rPr>
          <w:rFonts w:ascii="Arial" w:hAnsi="Arial" w:cs="Arial"/>
          <w:b/>
          <w:bCs/>
          <w:i/>
        </w:rPr>
        <w:t>areas of legal need</w:t>
      </w:r>
    </w:p>
    <w:p w14:paraId="32F70341" w14:textId="77777777" w:rsidR="00095E11" w:rsidRPr="00095E11" w:rsidRDefault="00095E11" w:rsidP="00095E11">
      <w:pPr>
        <w:pBdr>
          <w:top w:val="single" w:sz="4" w:space="1" w:color="auto"/>
          <w:left w:val="single" w:sz="4" w:space="4" w:color="auto"/>
          <w:bottom w:val="single" w:sz="4" w:space="1" w:color="auto"/>
          <w:right w:val="single" w:sz="4" w:space="4" w:color="auto"/>
        </w:pBdr>
        <w:spacing w:line="240" w:lineRule="auto"/>
        <w:jc w:val="center"/>
        <w:rPr>
          <w:rFonts w:ascii="Arial" w:hAnsi="Arial" w:cs="Arial"/>
          <w:i/>
          <w:sz w:val="20"/>
          <w:szCs w:val="20"/>
          <w:u w:val="single"/>
        </w:rPr>
      </w:pPr>
      <w:r w:rsidRPr="00095E11">
        <w:rPr>
          <w:rFonts w:ascii="Arial" w:hAnsi="Arial" w:cs="Arial"/>
          <w:i/>
          <w:sz w:val="20"/>
          <w:szCs w:val="20"/>
          <w:u w:val="single"/>
        </w:rPr>
        <w:t>Employment clinic</w:t>
      </w:r>
    </w:p>
    <w:p w14:paraId="4944A5E9" w14:textId="2F5FBC54" w:rsidR="00E010C1" w:rsidRPr="00095E11" w:rsidRDefault="00E010C1" w:rsidP="009B05D3">
      <w:pPr>
        <w:pBdr>
          <w:top w:val="single" w:sz="4" w:space="1" w:color="auto"/>
          <w:left w:val="single" w:sz="4" w:space="4" w:color="auto"/>
          <w:bottom w:val="single" w:sz="4" w:space="1" w:color="auto"/>
          <w:right w:val="single" w:sz="4" w:space="4" w:color="auto"/>
        </w:pBdr>
        <w:spacing w:line="240" w:lineRule="auto"/>
        <w:jc w:val="both"/>
        <w:rPr>
          <w:rFonts w:ascii="Arial" w:hAnsi="Arial" w:cs="Arial"/>
          <w:i/>
          <w:sz w:val="20"/>
          <w:szCs w:val="20"/>
        </w:rPr>
      </w:pPr>
      <w:r w:rsidRPr="00095E11">
        <w:rPr>
          <w:rFonts w:ascii="Arial" w:hAnsi="Arial" w:cs="Arial"/>
          <w:i/>
          <w:sz w:val="20"/>
          <w:szCs w:val="20"/>
        </w:rPr>
        <w:t xml:space="preserve">It has been well documented that in NSW in particular, there is a lack of employment law services. </w:t>
      </w:r>
      <w:proofErr w:type="spellStart"/>
      <w:r w:rsidRPr="00095E11">
        <w:rPr>
          <w:rFonts w:ascii="Arial" w:hAnsi="Arial" w:cs="Arial"/>
          <w:i/>
          <w:sz w:val="20"/>
          <w:szCs w:val="20"/>
        </w:rPr>
        <w:t>KLC</w:t>
      </w:r>
      <w:proofErr w:type="spellEnd"/>
      <w:r w:rsidR="0078069B">
        <w:rPr>
          <w:rFonts w:ascii="Arial" w:hAnsi="Arial" w:cs="Arial"/>
          <w:i/>
          <w:sz w:val="20"/>
          <w:szCs w:val="20"/>
        </w:rPr>
        <w:t xml:space="preserve"> addresses this gap in legal service provision by operating</w:t>
      </w:r>
      <w:r w:rsidRPr="00095E11">
        <w:rPr>
          <w:rFonts w:ascii="Arial" w:hAnsi="Arial" w:cs="Arial"/>
          <w:i/>
          <w:sz w:val="20"/>
          <w:szCs w:val="20"/>
        </w:rPr>
        <w:t xml:space="preserve"> a specialist employment law and discrimination law service. </w:t>
      </w:r>
      <w:r w:rsidR="0078069B">
        <w:rPr>
          <w:rFonts w:ascii="Arial" w:hAnsi="Arial" w:cs="Arial"/>
          <w:i/>
          <w:sz w:val="20"/>
          <w:szCs w:val="20"/>
        </w:rPr>
        <w:t>W</w:t>
      </w:r>
      <w:r w:rsidRPr="00095E11">
        <w:rPr>
          <w:rFonts w:ascii="Arial" w:hAnsi="Arial" w:cs="Arial"/>
          <w:i/>
          <w:sz w:val="20"/>
          <w:szCs w:val="20"/>
        </w:rPr>
        <w:t xml:space="preserve">e </w:t>
      </w:r>
      <w:r w:rsidR="0078069B">
        <w:rPr>
          <w:rFonts w:ascii="Arial" w:hAnsi="Arial" w:cs="Arial"/>
          <w:i/>
          <w:sz w:val="20"/>
          <w:szCs w:val="20"/>
        </w:rPr>
        <w:t>work</w:t>
      </w:r>
      <w:r w:rsidRPr="00095E11">
        <w:rPr>
          <w:rFonts w:ascii="Arial" w:hAnsi="Arial" w:cs="Arial"/>
          <w:i/>
          <w:sz w:val="20"/>
          <w:szCs w:val="20"/>
        </w:rPr>
        <w:t xml:space="preserve"> collaboratively on the NSW Legal Assistance Forum in relation to </w:t>
      </w:r>
      <w:r w:rsidR="00095E11" w:rsidRPr="00095E11">
        <w:rPr>
          <w:rFonts w:ascii="Arial" w:hAnsi="Arial" w:cs="Arial"/>
          <w:i/>
          <w:sz w:val="20"/>
          <w:szCs w:val="20"/>
        </w:rPr>
        <w:t>employment l</w:t>
      </w:r>
      <w:r w:rsidRPr="00095E11">
        <w:rPr>
          <w:rFonts w:ascii="Arial" w:hAnsi="Arial" w:cs="Arial"/>
          <w:i/>
          <w:sz w:val="20"/>
          <w:szCs w:val="20"/>
        </w:rPr>
        <w:t xml:space="preserve">aw. We have also provided extensive training to </w:t>
      </w:r>
      <w:proofErr w:type="spellStart"/>
      <w:r w:rsidR="0078069B">
        <w:rPr>
          <w:rFonts w:ascii="Arial" w:hAnsi="Arial" w:cs="Arial"/>
          <w:i/>
          <w:sz w:val="20"/>
          <w:szCs w:val="20"/>
        </w:rPr>
        <w:t>CLC</w:t>
      </w:r>
      <w:proofErr w:type="spellEnd"/>
      <w:r w:rsidRPr="00095E11">
        <w:rPr>
          <w:rFonts w:ascii="Arial" w:hAnsi="Arial" w:cs="Arial"/>
          <w:i/>
          <w:sz w:val="20"/>
          <w:szCs w:val="20"/>
        </w:rPr>
        <w:t xml:space="preserve"> lawyers on discrimination and employment law to increase the capacity of other legal centres to undertake this work. We have also played a role in convening a group for </w:t>
      </w:r>
      <w:proofErr w:type="spellStart"/>
      <w:r w:rsidRPr="00095E11">
        <w:rPr>
          <w:rFonts w:ascii="Arial" w:hAnsi="Arial" w:cs="Arial"/>
          <w:i/>
          <w:sz w:val="20"/>
          <w:szCs w:val="20"/>
        </w:rPr>
        <w:t>CLC</w:t>
      </w:r>
      <w:proofErr w:type="spellEnd"/>
      <w:r w:rsidRPr="00095E11">
        <w:rPr>
          <w:rFonts w:ascii="Arial" w:hAnsi="Arial" w:cs="Arial"/>
          <w:i/>
          <w:sz w:val="20"/>
          <w:szCs w:val="20"/>
        </w:rPr>
        <w:t xml:space="preserve"> lawyers to share knowledge of employment law and are a Centre that other </w:t>
      </w:r>
      <w:proofErr w:type="spellStart"/>
      <w:r w:rsidRPr="00095E11">
        <w:rPr>
          <w:rFonts w:ascii="Arial" w:hAnsi="Arial" w:cs="Arial"/>
          <w:i/>
          <w:sz w:val="20"/>
          <w:szCs w:val="20"/>
        </w:rPr>
        <w:t>CLC</w:t>
      </w:r>
      <w:proofErr w:type="spellEnd"/>
      <w:r w:rsidRPr="00095E11">
        <w:rPr>
          <w:rFonts w:ascii="Arial" w:hAnsi="Arial" w:cs="Arial"/>
          <w:i/>
          <w:sz w:val="20"/>
          <w:szCs w:val="20"/>
        </w:rPr>
        <w:t xml:space="preserve"> lawyers can call for detailed and expert advice in employment law advice.</w:t>
      </w:r>
    </w:p>
    <w:p w14:paraId="699DB88E" w14:textId="77777777" w:rsidR="009B05D3" w:rsidRDefault="009B05D3" w:rsidP="009B05D3">
      <w:pPr>
        <w:pBdr>
          <w:top w:val="single" w:sz="4" w:space="1" w:color="auto"/>
          <w:left w:val="single" w:sz="4" w:space="4" w:color="auto"/>
          <w:bottom w:val="single" w:sz="4" w:space="1" w:color="auto"/>
          <w:right w:val="single" w:sz="4" w:space="4" w:color="auto"/>
        </w:pBdr>
        <w:spacing w:line="240" w:lineRule="auto"/>
        <w:jc w:val="center"/>
        <w:rPr>
          <w:rFonts w:ascii="Arial" w:hAnsi="Arial" w:cs="Arial"/>
          <w:i/>
          <w:iCs/>
          <w:sz w:val="20"/>
          <w:szCs w:val="20"/>
          <w:u w:val="single"/>
        </w:rPr>
      </w:pPr>
      <w:proofErr w:type="spellStart"/>
      <w:r>
        <w:rPr>
          <w:rFonts w:ascii="Arial" w:hAnsi="Arial" w:cs="Arial"/>
          <w:i/>
          <w:iCs/>
          <w:sz w:val="20"/>
          <w:szCs w:val="20"/>
          <w:u w:val="single"/>
        </w:rPr>
        <w:t>Kooloora</w:t>
      </w:r>
      <w:proofErr w:type="spellEnd"/>
      <w:r>
        <w:rPr>
          <w:rFonts w:ascii="Arial" w:hAnsi="Arial" w:cs="Arial"/>
          <w:i/>
          <w:iCs/>
          <w:sz w:val="20"/>
          <w:szCs w:val="20"/>
          <w:u w:val="single"/>
        </w:rPr>
        <w:t xml:space="preserve"> Community Centre</w:t>
      </w:r>
    </w:p>
    <w:p w14:paraId="62BE026A" w14:textId="77777777" w:rsidR="009B05D3" w:rsidRDefault="009B05D3" w:rsidP="009B05D3">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rPr>
      </w:pPr>
      <w:proofErr w:type="spellStart"/>
      <w:r>
        <w:rPr>
          <w:rFonts w:ascii="Arial" w:hAnsi="Arial" w:cs="Arial"/>
          <w:i/>
          <w:iCs/>
          <w:sz w:val="20"/>
          <w:szCs w:val="20"/>
        </w:rPr>
        <w:t>Kooloora</w:t>
      </w:r>
      <w:proofErr w:type="spellEnd"/>
      <w:r>
        <w:rPr>
          <w:rFonts w:ascii="Arial" w:hAnsi="Arial" w:cs="Arial"/>
          <w:i/>
          <w:iCs/>
          <w:sz w:val="20"/>
          <w:szCs w:val="20"/>
        </w:rPr>
        <w:t xml:space="preserve"> Community Centre is located in an area surrounded by housing public estates. The coordinator of the service has </w:t>
      </w:r>
      <w:r w:rsidR="00E61D28">
        <w:rPr>
          <w:rFonts w:ascii="Arial" w:hAnsi="Arial" w:cs="Arial"/>
          <w:i/>
          <w:iCs/>
          <w:sz w:val="20"/>
          <w:szCs w:val="20"/>
        </w:rPr>
        <w:t xml:space="preserve">very strong </w:t>
      </w:r>
      <w:r>
        <w:rPr>
          <w:rFonts w:ascii="Arial" w:hAnsi="Arial" w:cs="Arial"/>
          <w:i/>
          <w:iCs/>
          <w:sz w:val="20"/>
          <w:szCs w:val="20"/>
        </w:rPr>
        <w:t>relationship</w:t>
      </w:r>
      <w:r w:rsidR="00E61D28">
        <w:rPr>
          <w:rFonts w:ascii="Arial" w:hAnsi="Arial" w:cs="Arial"/>
          <w:i/>
          <w:iCs/>
          <w:sz w:val="20"/>
          <w:szCs w:val="20"/>
        </w:rPr>
        <w:t>s</w:t>
      </w:r>
      <w:r>
        <w:rPr>
          <w:rFonts w:ascii="Arial" w:hAnsi="Arial" w:cs="Arial"/>
          <w:i/>
          <w:iCs/>
          <w:sz w:val="20"/>
          <w:szCs w:val="20"/>
        </w:rPr>
        <w:t xml:space="preserve"> with the local residents, many of whom are elderly and extremely disadvantaged. We invested a lot of time and energy building up a good relationship with the coordinator and local residents.</w:t>
      </w:r>
    </w:p>
    <w:p w14:paraId="2E6F8CC0" w14:textId="77777777" w:rsidR="009B05D3" w:rsidRDefault="009B05D3" w:rsidP="009B05D3">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rPr>
      </w:pPr>
      <w:r>
        <w:rPr>
          <w:rFonts w:ascii="Arial" w:hAnsi="Arial" w:cs="Arial"/>
          <w:i/>
          <w:iCs/>
          <w:sz w:val="20"/>
          <w:szCs w:val="20"/>
        </w:rPr>
        <w:t>The coordinator now refers many community members to our service for legal advice and we also provide an outreach legal service at the centre on a fortnightly basis. The success of our outreach has meant that local tenants groups are now approaching for advice about how to run effective meetings.</w:t>
      </w:r>
    </w:p>
    <w:p w14:paraId="08777F57" w14:textId="5E8FB97D" w:rsidR="009B05D3" w:rsidRDefault="009B05D3" w:rsidP="009B05D3">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sz w:val="20"/>
          <w:szCs w:val="20"/>
        </w:rPr>
      </w:pPr>
      <w:r>
        <w:rPr>
          <w:rFonts w:ascii="Arial" w:hAnsi="Arial" w:cs="Arial"/>
          <w:i/>
          <w:iCs/>
          <w:sz w:val="20"/>
          <w:szCs w:val="20"/>
        </w:rPr>
        <w:t xml:space="preserve">This relationship has meant that we able to provide accessible legal services and other empowering skills to a vulnerable group of people, many of whom would not have had the confidence </w:t>
      </w:r>
      <w:r w:rsidR="0078069B">
        <w:rPr>
          <w:rFonts w:ascii="Arial" w:hAnsi="Arial" w:cs="Arial"/>
          <w:i/>
          <w:iCs/>
          <w:sz w:val="20"/>
          <w:szCs w:val="20"/>
        </w:rPr>
        <w:t xml:space="preserve">approach us </w:t>
      </w:r>
      <w:r>
        <w:rPr>
          <w:rFonts w:ascii="Arial" w:hAnsi="Arial" w:cs="Arial"/>
          <w:i/>
          <w:iCs/>
          <w:sz w:val="20"/>
          <w:szCs w:val="20"/>
        </w:rPr>
        <w:t xml:space="preserve">before. </w:t>
      </w:r>
    </w:p>
    <w:p w14:paraId="6B5CDB0F" w14:textId="4ACBC933" w:rsidR="00E010C1" w:rsidRPr="0078069B" w:rsidRDefault="00095E11" w:rsidP="00095E11">
      <w:pPr>
        <w:spacing w:line="240" w:lineRule="auto"/>
        <w:jc w:val="both"/>
        <w:rPr>
          <w:rFonts w:ascii="Arial" w:hAnsi="Arial" w:cs="Arial"/>
          <w:b/>
          <w:i/>
        </w:rPr>
      </w:pPr>
      <w:r w:rsidRPr="0078069B">
        <w:rPr>
          <w:rFonts w:ascii="Arial" w:hAnsi="Arial" w:cs="Arial"/>
          <w:b/>
          <w:i/>
        </w:rPr>
        <w:t xml:space="preserve">Our flexible service provision allows us to meet the urgent and complex needs of our clients, many of whom do not have any other support networks in the community </w:t>
      </w:r>
    </w:p>
    <w:p w14:paraId="644CBFF7" w14:textId="77777777" w:rsidR="00095E11" w:rsidRPr="00095E11" w:rsidRDefault="00095E11" w:rsidP="00095E11">
      <w:pPr>
        <w:pBdr>
          <w:top w:val="single" w:sz="4" w:space="1" w:color="auto"/>
          <w:left w:val="single" w:sz="4" w:space="4" w:color="auto"/>
          <w:bottom w:val="single" w:sz="4" w:space="1" w:color="auto"/>
          <w:right w:val="single" w:sz="4" w:space="4" w:color="auto"/>
        </w:pBdr>
        <w:spacing w:line="240" w:lineRule="auto"/>
        <w:jc w:val="center"/>
        <w:rPr>
          <w:rFonts w:ascii="Arial" w:hAnsi="Arial" w:cs="Arial"/>
          <w:i/>
          <w:sz w:val="20"/>
          <w:szCs w:val="20"/>
          <w:u w:val="single"/>
        </w:rPr>
      </w:pPr>
      <w:r w:rsidRPr="00095E11">
        <w:rPr>
          <w:rFonts w:ascii="Arial" w:hAnsi="Arial" w:cs="Arial"/>
          <w:i/>
          <w:sz w:val="20"/>
          <w:szCs w:val="20"/>
          <w:u w:val="single"/>
        </w:rPr>
        <w:lastRenderedPageBreak/>
        <w:t>George</w:t>
      </w:r>
    </w:p>
    <w:p w14:paraId="6F6D47C3" w14:textId="1C94F8B1" w:rsidR="00095E11" w:rsidRDefault="00E010C1" w:rsidP="009B05D3">
      <w:pPr>
        <w:pBdr>
          <w:top w:val="single" w:sz="4" w:space="1" w:color="auto"/>
          <w:left w:val="single" w:sz="4" w:space="4" w:color="auto"/>
          <w:bottom w:val="single" w:sz="4" w:space="1" w:color="auto"/>
          <w:right w:val="single" w:sz="4" w:space="4" w:color="auto"/>
        </w:pBdr>
        <w:spacing w:line="240" w:lineRule="auto"/>
        <w:jc w:val="both"/>
        <w:rPr>
          <w:rFonts w:ascii="Arial" w:hAnsi="Arial" w:cs="Arial"/>
          <w:bCs/>
          <w:i/>
          <w:sz w:val="20"/>
          <w:szCs w:val="20"/>
        </w:rPr>
      </w:pPr>
      <w:proofErr w:type="spellStart"/>
      <w:r w:rsidRPr="00095E11">
        <w:rPr>
          <w:rFonts w:ascii="Arial" w:hAnsi="Arial" w:cs="Arial"/>
          <w:i/>
          <w:sz w:val="20"/>
          <w:szCs w:val="20"/>
        </w:rPr>
        <w:t>KLC</w:t>
      </w:r>
      <w:proofErr w:type="spellEnd"/>
      <w:r w:rsidRPr="00095E11">
        <w:rPr>
          <w:rFonts w:ascii="Arial" w:hAnsi="Arial" w:cs="Arial"/>
          <w:i/>
          <w:sz w:val="20"/>
          <w:szCs w:val="20"/>
        </w:rPr>
        <w:t xml:space="preserve"> runs a </w:t>
      </w:r>
      <w:proofErr w:type="spellStart"/>
      <w:r w:rsidR="0078069B">
        <w:rPr>
          <w:rFonts w:ascii="Arial" w:hAnsi="Arial" w:cs="Arial"/>
          <w:i/>
          <w:sz w:val="20"/>
          <w:szCs w:val="20"/>
        </w:rPr>
        <w:t>state-</w:t>
      </w:r>
      <w:r w:rsidRPr="00095E11">
        <w:rPr>
          <w:rFonts w:ascii="Arial" w:hAnsi="Arial" w:cs="Arial"/>
          <w:i/>
          <w:sz w:val="20"/>
          <w:szCs w:val="20"/>
        </w:rPr>
        <w:t>wide</w:t>
      </w:r>
      <w:proofErr w:type="spellEnd"/>
      <w:r w:rsidRPr="00095E11">
        <w:rPr>
          <w:rFonts w:ascii="Arial" w:hAnsi="Arial" w:cs="Arial"/>
          <w:i/>
          <w:sz w:val="20"/>
          <w:szCs w:val="20"/>
        </w:rPr>
        <w:t xml:space="preserve"> discrimination service. We helped an Aboriginal man in the far west of NSW who complained about race discrimination. During the time that he had a case with us </w:t>
      </w:r>
      <w:r w:rsidR="006E1071">
        <w:rPr>
          <w:rFonts w:ascii="Arial" w:hAnsi="Arial" w:cs="Arial"/>
          <w:i/>
          <w:sz w:val="20"/>
          <w:szCs w:val="20"/>
        </w:rPr>
        <w:t>George</w:t>
      </w:r>
      <w:r w:rsidRPr="00095E11">
        <w:rPr>
          <w:rFonts w:ascii="Arial" w:hAnsi="Arial" w:cs="Arial"/>
          <w:i/>
          <w:sz w:val="20"/>
          <w:szCs w:val="20"/>
        </w:rPr>
        <w:t xml:space="preserve"> was homeless, and was moving between towns in far western NSW. </w:t>
      </w:r>
      <w:proofErr w:type="spellStart"/>
      <w:r w:rsidRPr="00095E11">
        <w:rPr>
          <w:rFonts w:ascii="Arial" w:hAnsi="Arial" w:cs="Arial"/>
          <w:i/>
          <w:sz w:val="20"/>
          <w:szCs w:val="20"/>
        </w:rPr>
        <w:t>KLC</w:t>
      </w:r>
      <w:proofErr w:type="spellEnd"/>
      <w:r w:rsidRPr="00095E11">
        <w:rPr>
          <w:rFonts w:ascii="Arial" w:hAnsi="Arial" w:cs="Arial"/>
          <w:i/>
          <w:sz w:val="20"/>
          <w:szCs w:val="20"/>
        </w:rPr>
        <w:t xml:space="preserve"> assisted him with all his legal needs during this time – from problems with Housing</w:t>
      </w:r>
      <w:r w:rsidR="00095E11" w:rsidRPr="00095E11">
        <w:rPr>
          <w:rFonts w:ascii="Arial" w:hAnsi="Arial" w:cs="Arial"/>
          <w:i/>
          <w:sz w:val="20"/>
          <w:szCs w:val="20"/>
        </w:rPr>
        <w:t xml:space="preserve"> NSW</w:t>
      </w:r>
      <w:r w:rsidRPr="00095E11">
        <w:rPr>
          <w:rFonts w:ascii="Arial" w:hAnsi="Arial" w:cs="Arial"/>
          <w:i/>
          <w:sz w:val="20"/>
          <w:szCs w:val="20"/>
        </w:rPr>
        <w:t xml:space="preserve">, issues with access to medical care and one time advice when the town he was in was flooded. </w:t>
      </w:r>
      <w:proofErr w:type="spellStart"/>
      <w:r w:rsidRPr="00095E11">
        <w:rPr>
          <w:rFonts w:ascii="Arial" w:hAnsi="Arial" w:cs="Arial"/>
          <w:i/>
          <w:sz w:val="20"/>
          <w:szCs w:val="20"/>
        </w:rPr>
        <w:t>CLCs</w:t>
      </w:r>
      <w:proofErr w:type="spellEnd"/>
      <w:r w:rsidRPr="00095E11">
        <w:rPr>
          <w:rFonts w:ascii="Arial" w:hAnsi="Arial" w:cs="Arial"/>
          <w:i/>
          <w:sz w:val="20"/>
          <w:szCs w:val="20"/>
        </w:rPr>
        <w:t xml:space="preserve"> take a holistic approach to clients and are able to deal with multiple issues client</w:t>
      </w:r>
      <w:r w:rsidR="0078069B">
        <w:rPr>
          <w:rFonts w:ascii="Arial" w:hAnsi="Arial" w:cs="Arial"/>
          <w:i/>
          <w:sz w:val="20"/>
          <w:szCs w:val="20"/>
        </w:rPr>
        <w:t>s’ face</w:t>
      </w:r>
      <w:r w:rsidRPr="00095E11">
        <w:rPr>
          <w:rFonts w:ascii="Arial" w:hAnsi="Arial" w:cs="Arial"/>
          <w:i/>
          <w:sz w:val="20"/>
          <w:szCs w:val="20"/>
        </w:rPr>
        <w:t xml:space="preserve">. We also referred </w:t>
      </w:r>
      <w:r w:rsidR="0078069B">
        <w:rPr>
          <w:rFonts w:ascii="Arial" w:hAnsi="Arial" w:cs="Arial"/>
          <w:i/>
          <w:sz w:val="20"/>
          <w:szCs w:val="20"/>
        </w:rPr>
        <w:t>George</w:t>
      </w:r>
      <w:r w:rsidRPr="00095E11">
        <w:rPr>
          <w:rFonts w:ascii="Arial" w:hAnsi="Arial" w:cs="Arial"/>
          <w:i/>
          <w:sz w:val="20"/>
          <w:szCs w:val="20"/>
        </w:rPr>
        <w:t xml:space="preserve"> to financial counselling and charity assistance. We won </w:t>
      </w:r>
      <w:r w:rsidR="0078069B">
        <w:rPr>
          <w:rFonts w:ascii="Arial" w:hAnsi="Arial" w:cs="Arial"/>
          <w:i/>
          <w:sz w:val="20"/>
          <w:szCs w:val="20"/>
        </w:rPr>
        <w:t>his race discrimination complaint.</w:t>
      </w:r>
      <w:r w:rsidRPr="00095E11">
        <w:rPr>
          <w:rFonts w:ascii="Arial" w:hAnsi="Arial" w:cs="Arial"/>
          <w:i/>
          <w:sz w:val="20"/>
          <w:szCs w:val="20"/>
        </w:rPr>
        <w:t xml:space="preserve"> From time to time he calls us when he has a problem and we always take his call.</w:t>
      </w:r>
    </w:p>
    <w:p w14:paraId="4E66E64C" w14:textId="776F3BCB" w:rsidR="00E010C1" w:rsidRPr="00095E11" w:rsidRDefault="006E1071" w:rsidP="00095E1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
          <w:sz w:val="20"/>
          <w:szCs w:val="20"/>
          <w:u w:val="single"/>
        </w:rPr>
      </w:pPr>
      <w:r>
        <w:rPr>
          <w:rFonts w:ascii="Arial" w:hAnsi="Arial" w:cs="Arial"/>
          <w:bCs/>
          <w:i/>
          <w:sz w:val="20"/>
          <w:szCs w:val="20"/>
          <w:u w:val="single"/>
        </w:rPr>
        <w:t>Sen</w:t>
      </w:r>
    </w:p>
    <w:p w14:paraId="5C9DBF29" w14:textId="47AC2DD8" w:rsidR="00E010C1" w:rsidRDefault="00E010C1" w:rsidP="009B05D3">
      <w:pPr>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proofErr w:type="spellStart"/>
      <w:r w:rsidRPr="00095E11">
        <w:rPr>
          <w:rFonts w:ascii="Arial" w:hAnsi="Arial" w:cs="Arial"/>
          <w:i/>
          <w:sz w:val="20"/>
          <w:szCs w:val="20"/>
        </w:rPr>
        <w:t>KLC</w:t>
      </w:r>
      <w:proofErr w:type="spellEnd"/>
      <w:r w:rsidRPr="00095E11">
        <w:rPr>
          <w:rFonts w:ascii="Arial" w:hAnsi="Arial" w:cs="Arial"/>
          <w:i/>
          <w:sz w:val="20"/>
          <w:szCs w:val="20"/>
        </w:rPr>
        <w:t xml:space="preserve"> acted for</w:t>
      </w:r>
      <w:r w:rsidR="006E1071">
        <w:rPr>
          <w:rFonts w:ascii="Arial" w:hAnsi="Arial" w:cs="Arial"/>
          <w:i/>
          <w:sz w:val="20"/>
          <w:szCs w:val="20"/>
        </w:rPr>
        <w:t xml:space="preserve"> Sen who was</w:t>
      </w:r>
      <w:r w:rsidRPr="00095E11">
        <w:rPr>
          <w:rFonts w:ascii="Arial" w:hAnsi="Arial" w:cs="Arial"/>
          <w:i/>
          <w:sz w:val="20"/>
          <w:szCs w:val="20"/>
        </w:rPr>
        <w:t xml:space="preserve"> an elderly client who came to us because he was facing eviction from his public housing. He was elderly and in very poor health. He couldn’t read or write and had no family or friends. It emerged that the client had had another person move into his unit and refuse to leave. This younger person was taking his pension money and at times threatening him. </w:t>
      </w:r>
      <w:r w:rsidR="006E1071">
        <w:rPr>
          <w:rFonts w:ascii="Arial" w:hAnsi="Arial" w:cs="Arial"/>
          <w:i/>
          <w:sz w:val="20"/>
          <w:szCs w:val="20"/>
        </w:rPr>
        <w:t>Sen</w:t>
      </w:r>
      <w:r w:rsidRPr="00095E11">
        <w:rPr>
          <w:rFonts w:ascii="Arial" w:hAnsi="Arial" w:cs="Arial"/>
          <w:i/>
          <w:sz w:val="20"/>
          <w:szCs w:val="20"/>
        </w:rPr>
        <w:t xml:space="preserve"> did not have enough money to</w:t>
      </w:r>
      <w:r w:rsidR="0078069B">
        <w:rPr>
          <w:rFonts w:ascii="Arial" w:hAnsi="Arial" w:cs="Arial"/>
          <w:i/>
          <w:sz w:val="20"/>
          <w:szCs w:val="20"/>
        </w:rPr>
        <w:t xml:space="preserve"> buy food and as a result was</w:t>
      </w:r>
      <w:r w:rsidRPr="00095E11">
        <w:rPr>
          <w:rFonts w:ascii="Arial" w:hAnsi="Arial" w:cs="Arial"/>
          <w:i/>
          <w:sz w:val="20"/>
          <w:szCs w:val="20"/>
        </w:rPr>
        <w:t xml:space="preserve"> hospitalised. </w:t>
      </w:r>
      <w:proofErr w:type="spellStart"/>
      <w:r w:rsidRPr="00095E11">
        <w:rPr>
          <w:rFonts w:ascii="Arial" w:hAnsi="Arial" w:cs="Arial"/>
          <w:i/>
          <w:sz w:val="20"/>
          <w:szCs w:val="20"/>
        </w:rPr>
        <w:t>KLC</w:t>
      </w:r>
      <w:proofErr w:type="spellEnd"/>
      <w:r w:rsidRPr="00095E11">
        <w:rPr>
          <w:rFonts w:ascii="Arial" w:hAnsi="Arial" w:cs="Arial"/>
          <w:i/>
          <w:sz w:val="20"/>
          <w:szCs w:val="20"/>
        </w:rPr>
        <w:t xml:space="preserve"> worked with </w:t>
      </w:r>
      <w:r w:rsidR="006E1071">
        <w:rPr>
          <w:rFonts w:ascii="Arial" w:hAnsi="Arial" w:cs="Arial"/>
          <w:i/>
          <w:sz w:val="20"/>
          <w:szCs w:val="20"/>
        </w:rPr>
        <w:t>Sen</w:t>
      </w:r>
      <w:r w:rsidRPr="00095E11">
        <w:rPr>
          <w:rFonts w:ascii="Arial" w:hAnsi="Arial" w:cs="Arial"/>
          <w:i/>
          <w:sz w:val="20"/>
          <w:szCs w:val="20"/>
        </w:rPr>
        <w:t xml:space="preserve"> for a long time to help him identify that he was being financially exploited. We were able to help him access an Aged Care Assessment Team and get independent help managing his finances. </w:t>
      </w:r>
      <w:r w:rsidR="0078069B">
        <w:rPr>
          <w:rFonts w:ascii="Arial" w:hAnsi="Arial" w:cs="Arial"/>
          <w:i/>
          <w:sz w:val="20"/>
          <w:szCs w:val="20"/>
        </w:rPr>
        <w:t xml:space="preserve">We were able to resolve </w:t>
      </w:r>
      <w:r w:rsidRPr="00095E11">
        <w:rPr>
          <w:rFonts w:ascii="Arial" w:hAnsi="Arial" w:cs="Arial"/>
          <w:i/>
          <w:sz w:val="20"/>
          <w:szCs w:val="20"/>
        </w:rPr>
        <w:t xml:space="preserve">his housing </w:t>
      </w:r>
      <w:r w:rsidR="0078069B">
        <w:rPr>
          <w:rFonts w:ascii="Arial" w:hAnsi="Arial" w:cs="Arial"/>
          <w:i/>
          <w:sz w:val="20"/>
          <w:szCs w:val="20"/>
        </w:rPr>
        <w:t>issues</w:t>
      </w:r>
      <w:r w:rsidRPr="00095E11">
        <w:rPr>
          <w:rFonts w:ascii="Arial" w:hAnsi="Arial" w:cs="Arial"/>
          <w:i/>
          <w:sz w:val="20"/>
          <w:szCs w:val="20"/>
        </w:rPr>
        <w:t>. His health improved when we organised Meals on Wheels for him meaning he had regular meals and money to buy his prescriptions.</w:t>
      </w:r>
    </w:p>
    <w:p w14:paraId="2ABB61A9" w14:textId="77777777" w:rsidR="005E393B" w:rsidRPr="005E393B" w:rsidRDefault="005E393B" w:rsidP="005E393B">
      <w:pPr>
        <w:pBdr>
          <w:top w:val="single" w:sz="4" w:space="1" w:color="auto"/>
          <w:left w:val="single" w:sz="4" w:space="4" w:color="auto"/>
          <w:bottom w:val="single" w:sz="4" w:space="1" w:color="auto"/>
          <w:right w:val="single" w:sz="4" w:space="4" w:color="auto"/>
        </w:pBdr>
        <w:spacing w:line="240" w:lineRule="auto"/>
        <w:jc w:val="center"/>
        <w:rPr>
          <w:rFonts w:ascii="Arial" w:hAnsi="Arial" w:cs="Arial"/>
          <w:i/>
          <w:sz w:val="20"/>
          <w:szCs w:val="20"/>
          <w:u w:val="single"/>
        </w:rPr>
      </w:pPr>
      <w:proofErr w:type="spellStart"/>
      <w:r w:rsidRPr="005E393B">
        <w:rPr>
          <w:rFonts w:ascii="Arial" w:hAnsi="Arial" w:cs="Arial"/>
          <w:i/>
          <w:sz w:val="20"/>
          <w:szCs w:val="20"/>
          <w:u w:val="single"/>
        </w:rPr>
        <w:t>Filippo</w:t>
      </w:r>
      <w:proofErr w:type="spellEnd"/>
    </w:p>
    <w:p w14:paraId="719E5B18" w14:textId="363D69A7" w:rsidR="00E010C1" w:rsidRPr="005E393B" w:rsidRDefault="00E010C1" w:rsidP="005E393B">
      <w:pPr>
        <w:pBdr>
          <w:top w:val="single" w:sz="4" w:space="1" w:color="auto"/>
          <w:left w:val="single" w:sz="4" w:space="4" w:color="auto"/>
          <w:bottom w:val="single" w:sz="4" w:space="1" w:color="auto"/>
          <w:right w:val="single" w:sz="4" w:space="4" w:color="auto"/>
        </w:pBdr>
        <w:spacing w:line="240" w:lineRule="auto"/>
        <w:jc w:val="both"/>
        <w:rPr>
          <w:rFonts w:ascii="Arial" w:hAnsi="Arial" w:cs="Arial"/>
          <w:i/>
          <w:sz w:val="20"/>
          <w:szCs w:val="20"/>
        </w:rPr>
      </w:pPr>
      <w:r w:rsidRPr="005E393B">
        <w:rPr>
          <w:rFonts w:ascii="Arial" w:hAnsi="Arial" w:cs="Arial"/>
          <w:i/>
          <w:sz w:val="20"/>
          <w:szCs w:val="20"/>
        </w:rPr>
        <w:t xml:space="preserve">An elderly vision impaired man who had been discharged from hospital with nowhere to live came to </w:t>
      </w:r>
      <w:proofErr w:type="spellStart"/>
      <w:r w:rsidRPr="005E393B">
        <w:rPr>
          <w:rFonts w:ascii="Arial" w:hAnsi="Arial" w:cs="Arial"/>
          <w:i/>
          <w:sz w:val="20"/>
          <w:szCs w:val="20"/>
        </w:rPr>
        <w:t>KLC</w:t>
      </w:r>
      <w:proofErr w:type="spellEnd"/>
      <w:r w:rsidRPr="005E393B">
        <w:rPr>
          <w:rFonts w:ascii="Arial" w:hAnsi="Arial" w:cs="Arial"/>
          <w:i/>
          <w:sz w:val="20"/>
          <w:szCs w:val="20"/>
        </w:rPr>
        <w:t xml:space="preserve"> for our help. He had been sleeping on train stations and in parks after he </w:t>
      </w:r>
      <w:r w:rsidR="002C02A4">
        <w:rPr>
          <w:rFonts w:ascii="Arial" w:hAnsi="Arial" w:cs="Arial"/>
          <w:i/>
          <w:sz w:val="20"/>
          <w:szCs w:val="20"/>
        </w:rPr>
        <w:t xml:space="preserve">had </w:t>
      </w:r>
      <w:r w:rsidRPr="005E393B">
        <w:rPr>
          <w:rFonts w:ascii="Arial" w:hAnsi="Arial" w:cs="Arial"/>
          <w:i/>
          <w:sz w:val="20"/>
          <w:szCs w:val="20"/>
        </w:rPr>
        <w:t xml:space="preserve">been excluded by an </w:t>
      </w:r>
      <w:proofErr w:type="spellStart"/>
      <w:r w:rsidRPr="005E393B">
        <w:rPr>
          <w:rFonts w:ascii="Arial" w:hAnsi="Arial" w:cs="Arial"/>
          <w:i/>
          <w:sz w:val="20"/>
          <w:szCs w:val="20"/>
        </w:rPr>
        <w:t>AVO</w:t>
      </w:r>
      <w:proofErr w:type="spellEnd"/>
      <w:r w:rsidRPr="005E393B">
        <w:rPr>
          <w:rFonts w:ascii="Arial" w:hAnsi="Arial" w:cs="Arial"/>
          <w:i/>
          <w:sz w:val="20"/>
          <w:szCs w:val="20"/>
        </w:rPr>
        <w:t xml:space="preserve"> from his public housing home. A </w:t>
      </w:r>
      <w:proofErr w:type="spellStart"/>
      <w:r w:rsidRPr="005E393B">
        <w:rPr>
          <w:rFonts w:ascii="Arial" w:hAnsi="Arial" w:cs="Arial"/>
          <w:i/>
          <w:sz w:val="20"/>
          <w:szCs w:val="20"/>
        </w:rPr>
        <w:t>KLC</w:t>
      </w:r>
      <w:proofErr w:type="spellEnd"/>
      <w:r w:rsidRPr="005E393B">
        <w:rPr>
          <w:rFonts w:ascii="Arial" w:hAnsi="Arial" w:cs="Arial"/>
          <w:i/>
          <w:sz w:val="20"/>
          <w:szCs w:val="20"/>
        </w:rPr>
        <w:t xml:space="preserve"> solicitor was able to see the </w:t>
      </w:r>
      <w:proofErr w:type="spellStart"/>
      <w:r w:rsidR="006E1071">
        <w:rPr>
          <w:rFonts w:ascii="Arial" w:hAnsi="Arial" w:cs="Arial"/>
          <w:i/>
          <w:sz w:val="20"/>
          <w:szCs w:val="20"/>
        </w:rPr>
        <w:t>Filippo</w:t>
      </w:r>
      <w:proofErr w:type="spellEnd"/>
      <w:r w:rsidR="006E1071">
        <w:rPr>
          <w:rFonts w:ascii="Arial" w:hAnsi="Arial" w:cs="Arial"/>
          <w:i/>
          <w:sz w:val="20"/>
          <w:szCs w:val="20"/>
        </w:rPr>
        <w:t xml:space="preserve"> </w:t>
      </w:r>
      <w:r w:rsidRPr="005E393B">
        <w:rPr>
          <w:rFonts w:ascii="Arial" w:hAnsi="Arial" w:cs="Arial"/>
          <w:i/>
          <w:sz w:val="20"/>
          <w:szCs w:val="20"/>
        </w:rPr>
        <w:t>immediately and worked that day with hospital socia</w:t>
      </w:r>
      <w:r w:rsidR="002C02A4">
        <w:rPr>
          <w:rFonts w:ascii="Arial" w:hAnsi="Arial" w:cs="Arial"/>
          <w:i/>
          <w:sz w:val="20"/>
          <w:szCs w:val="20"/>
        </w:rPr>
        <w:t xml:space="preserve">l workers and the </w:t>
      </w:r>
      <w:r w:rsidRPr="005E393B">
        <w:rPr>
          <w:rFonts w:ascii="Arial" w:hAnsi="Arial" w:cs="Arial"/>
          <w:i/>
          <w:sz w:val="20"/>
          <w:szCs w:val="20"/>
        </w:rPr>
        <w:t>Housing</w:t>
      </w:r>
      <w:r w:rsidR="002C02A4">
        <w:rPr>
          <w:rFonts w:ascii="Arial" w:hAnsi="Arial" w:cs="Arial"/>
          <w:i/>
          <w:sz w:val="20"/>
          <w:szCs w:val="20"/>
        </w:rPr>
        <w:t xml:space="preserve"> NSW</w:t>
      </w:r>
      <w:r w:rsidRPr="005E393B">
        <w:rPr>
          <w:rFonts w:ascii="Arial" w:hAnsi="Arial" w:cs="Arial"/>
          <w:i/>
          <w:sz w:val="20"/>
          <w:szCs w:val="20"/>
        </w:rPr>
        <w:t xml:space="preserve"> to secure emerge</w:t>
      </w:r>
      <w:r w:rsidR="006E1071">
        <w:rPr>
          <w:rFonts w:ascii="Arial" w:hAnsi="Arial" w:cs="Arial"/>
          <w:i/>
          <w:sz w:val="20"/>
          <w:szCs w:val="20"/>
        </w:rPr>
        <w:t>ncy accommodation for him</w:t>
      </w:r>
      <w:r w:rsidRPr="005E393B">
        <w:rPr>
          <w:rFonts w:ascii="Arial" w:hAnsi="Arial" w:cs="Arial"/>
          <w:i/>
          <w:sz w:val="20"/>
          <w:szCs w:val="20"/>
        </w:rPr>
        <w:t>. We were able to secure a new place for the client to live and were able to obtain help from charities to get him a bed and basic furniture. Our sol</w:t>
      </w:r>
      <w:r w:rsidR="002C02A4">
        <w:rPr>
          <w:rFonts w:ascii="Arial" w:hAnsi="Arial" w:cs="Arial"/>
          <w:i/>
          <w:sz w:val="20"/>
          <w:szCs w:val="20"/>
        </w:rPr>
        <w:t xml:space="preserve">icitor </w:t>
      </w:r>
      <w:r w:rsidRPr="005E393B">
        <w:rPr>
          <w:rFonts w:ascii="Arial" w:hAnsi="Arial" w:cs="Arial"/>
          <w:i/>
          <w:sz w:val="20"/>
          <w:szCs w:val="20"/>
        </w:rPr>
        <w:t>call</w:t>
      </w:r>
      <w:r w:rsidR="002C02A4">
        <w:rPr>
          <w:rFonts w:ascii="Arial" w:hAnsi="Arial" w:cs="Arial"/>
          <w:i/>
          <w:sz w:val="20"/>
          <w:szCs w:val="20"/>
        </w:rPr>
        <w:t>ed</w:t>
      </w:r>
      <w:r w:rsidRPr="005E393B">
        <w:rPr>
          <w:rFonts w:ascii="Arial" w:hAnsi="Arial" w:cs="Arial"/>
          <w:i/>
          <w:sz w:val="20"/>
          <w:szCs w:val="20"/>
        </w:rPr>
        <w:t xml:space="preserve"> and wr</w:t>
      </w:r>
      <w:r w:rsidR="002C02A4">
        <w:rPr>
          <w:rFonts w:ascii="Arial" w:hAnsi="Arial" w:cs="Arial"/>
          <w:i/>
          <w:sz w:val="20"/>
          <w:szCs w:val="20"/>
        </w:rPr>
        <w:t>o</w:t>
      </w:r>
      <w:r w:rsidRPr="005E393B">
        <w:rPr>
          <w:rFonts w:ascii="Arial" w:hAnsi="Arial" w:cs="Arial"/>
          <w:i/>
          <w:sz w:val="20"/>
          <w:szCs w:val="20"/>
        </w:rPr>
        <w:t>te to Housing</w:t>
      </w:r>
      <w:r w:rsidR="002C02A4">
        <w:rPr>
          <w:rFonts w:ascii="Arial" w:hAnsi="Arial" w:cs="Arial"/>
          <w:i/>
          <w:sz w:val="20"/>
          <w:szCs w:val="20"/>
        </w:rPr>
        <w:t xml:space="preserve"> NSW</w:t>
      </w:r>
      <w:r w:rsidRPr="005E393B">
        <w:rPr>
          <w:rFonts w:ascii="Arial" w:hAnsi="Arial" w:cs="Arial"/>
          <w:i/>
          <w:sz w:val="20"/>
          <w:szCs w:val="20"/>
        </w:rPr>
        <w:t xml:space="preserve"> every day to ensure that the </w:t>
      </w:r>
      <w:proofErr w:type="spellStart"/>
      <w:r w:rsidR="006E1071">
        <w:rPr>
          <w:rFonts w:ascii="Arial" w:hAnsi="Arial" w:cs="Arial"/>
          <w:i/>
          <w:sz w:val="20"/>
          <w:szCs w:val="20"/>
        </w:rPr>
        <w:t>Filippo</w:t>
      </w:r>
      <w:proofErr w:type="spellEnd"/>
      <w:r w:rsidRPr="005E393B">
        <w:rPr>
          <w:rFonts w:ascii="Arial" w:hAnsi="Arial" w:cs="Arial"/>
          <w:i/>
          <w:sz w:val="20"/>
          <w:szCs w:val="20"/>
        </w:rPr>
        <w:t xml:space="preserve"> had somewhere to sleep that night.</w:t>
      </w:r>
    </w:p>
    <w:p w14:paraId="6319AB97" w14:textId="403EB5AB" w:rsidR="0067537C" w:rsidRPr="002C02A4" w:rsidRDefault="00095E11" w:rsidP="00095E11">
      <w:pPr>
        <w:spacing w:line="240" w:lineRule="auto"/>
        <w:jc w:val="both"/>
        <w:rPr>
          <w:rFonts w:ascii="Arial" w:hAnsi="Arial" w:cs="Arial"/>
          <w:b/>
          <w:bCs/>
          <w:i/>
        </w:rPr>
      </w:pPr>
      <w:proofErr w:type="spellStart"/>
      <w:r w:rsidRPr="002C02A4">
        <w:rPr>
          <w:rFonts w:ascii="Arial" w:hAnsi="Arial" w:cs="Arial"/>
          <w:b/>
          <w:bCs/>
          <w:i/>
        </w:rPr>
        <w:t>CLCs</w:t>
      </w:r>
      <w:proofErr w:type="spellEnd"/>
      <w:r w:rsidRPr="002C02A4">
        <w:rPr>
          <w:rFonts w:ascii="Arial" w:hAnsi="Arial" w:cs="Arial"/>
          <w:b/>
          <w:bCs/>
          <w:i/>
        </w:rPr>
        <w:t xml:space="preserve"> are good value for money </w:t>
      </w:r>
    </w:p>
    <w:p w14:paraId="40CC2947" w14:textId="73585F8F" w:rsidR="002C02A4" w:rsidRPr="002C02A4" w:rsidRDefault="002C02A4" w:rsidP="002C02A4">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
          <w:sz w:val="20"/>
          <w:szCs w:val="20"/>
          <w:u w:val="single"/>
        </w:rPr>
      </w:pPr>
      <w:r>
        <w:rPr>
          <w:rFonts w:ascii="Arial" w:hAnsi="Arial" w:cs="Arial"/>
          <w:bCs/>
          <w:i/>
          <w:sz w:val="20"/>
          <w:szCs w:val="20"/>
          <w:u w:val="single"/>
        </w:rPr>
        <w:t>Volunteer solicitors</w:t>
      </w:r>
    </w:p>
    <w:p w14:paraId="1EAB02FA" w14:textId="77777777" w:rsidR="002C02A4" w:rsidRDefault="0067537C" w:rsidP="002C02A4">
      <w:pPr>
        <w:pBdr>
          <w:top w:val="single" w:sz="4" w:space="1" w:color="auto"/>
          <w:left w:val="single" w:sz="4" w:space="4" w:color="auto"/>
          <w:bottom w:val="single" w:sz="4" w:space="1" w:color="auto"/>
          <w:right w:val="single" w:sz="4" w:space="4" w:color="auto"/>
        </w:pBdr>
        <w:spacing w:line="240" w:lineRule="auto"/>
        <w:jc w:val="both"/>
        <w:rPr>
          <w:rFonts w:ascii="Arial" w:hAnsi="Arial" w:cs="Arial"/>
          <w:bCs/>
          <w:i/>
          <w:sz w:val="20"/>
          <w:szCs w:val="20"/>
        </w:rPr>
      </w:pPr>
      <w:proofErr w:type="spellStart"/>
      <w:r w:rsidRPr="002C02A4">
        <w:rPr>
          <w:rFonts w:ascii="Arial" w:hAnsi="Arial" w:cs="Arial"/>
          <w:bCs/>
          <w:i/>
          <w:sz w:val="20"/>
          <w:szCs w:val="20"/>
        </w:rPr>
        <w:t>KLC</w:t>
      </w:r>
      <w:proofErr w:type="spellEnd"/>
      <w:r w:rsidRPr="002C02A4">
        <w:rPr>
          <w:rFonts w:ascii="Arial" w:hAnsi="Arial" w:cs="Arial"/>
          <w:bCs/>
          <w:i/>
          <w:sz w:val="20"/>
          <w:szCs w:val="20"/>
        </w:rPr>
        <w:t xml:space="preserve"> was founded in 1981 and from its beginning relied on volunteer or pro bono solicitors in order to provide advi</w:t>
      </w:r>
      <w:r w:rsidR="002C02A4">
        <w:rPr>
          <w:rFonts w:ascii="Arial" w:hAnsi="Arial" w:cs="Arial"/>
          <w:bCs/>
          <w:i/>
          <w:sz w:val="20"/>
          <w:szCs w:val="20"/>
        </w:rPr>
        <w:t xml:space="preserve">ce to the community. </w:t>
      </w:r>
      <w:proofErr w:type="spellStart"/>
      <w:r w:rsidR="002C02A4">
        <w:rPr>
          <w:rFonts w:ascii="Arial" w:hAnsi="Arial" w:cs="Arial"/>
          <w:bCs/>
          <w:i/>
          <w:sz w:val="20"/>
          <w:szCs w:val="20"/>
        </w:rPr>
        <w:t>KLC</w:t>
      </w:r>
      <w:proofErr w:type="spellEnd"/>
      <w:r w:rsidR="002C02A4">
        <w:rPr>
          <w:rFonts w:ascii="Arial" w:hAnsi="Arial" w:cs="Arial"/>
          <w:bCs/>
          <w:i/>
          <w:sz w:val="20"/>
          <w:szCs w:val="20"/>
        </w:rPr>
        <w:t xml:space="preserve"> </w:t>
      </w:r>
      <w:r w:rsidRPr="002C02A4">
        <w:rPr>
          <w:rFonts w:ascii="Arial" w:hAnsi="Arial" w:cs="Arial"/>
          <w:bCs/>
          <w:i/>
          <w:sz w:val="20"/>
          <w:szCs w:val="20"/>
        </w:rPr>
        <w:t xml:space="preserve">has always given high levels of quality, culturally appropriate legal advice.  In 2013 we gave over 1800 individual legal advices.  </w:t>
      </w:r>
      <w:proofErr w:type="spellStart"/>
      <w:r w:rsidRPr="002C02A4">
        <w:rPr>
          <w:rFonts w:ascii="Arial" w:hAnsi="Arial" w:cs="Arial"/>
          <w:bCs/>
          <w:i/>
          <w:sz w:val="20"/>
          <w:szCs w:val="20"/>
        </w:rPr>
        <w:t>KLC</w:t>
      </w:r>
      <w:proofErr w:type="spellEnd"/>
      <w:r w:rsidRPr="002C02A4">
        <w:rPr>
          <w:rFonts w:ascii="Arial" w:hAnsi="Arial" w:cs="Arial"/>
          <w:bCs/>
          <w:i/>
          <w:sz w:val="20"/>
          <w:szCs w:val="20"/>
        </w:rPr>
        <w:t xml:space="preserve"> spends time and resources on supporting and developing the pool of volunteer solicitors and barristers who donate their time and expertise to </w:t>
      </w:r>
      <w:proofErr w:type="spellStart"/>
      <w:r w:rsidRPr="002C02A4">
        <w:rPr>
          <w:rFonts w:ascii="Arial" w:hAnsi="Arial" w:cs="Arial"/>
          <w:bCs/>
          <w:i/>
          <w:sz w:val="20"/>
          <w:szCs w:val="20"/>
        </w:rPr>
        <w:t>KLC</w:t>
      </w:r>
      <w:proofErr w:type="spellEnd"/>
      <w:r w:rsidRPr="002C02A4">
        <w:rPr>
          <w:rFonts w:ascii="Arial" w:hAnsi="Arial" w:cs="Arial"/>
          <w:bCs/>
          <w:i/>
          <w:sz w:val="20"/>
          <w:szCs w:val="20"/>
        </w:rPr>
        <w:t xml:space="preserve">.  Currently the Centre operates </w:t>
      </w:r>
      <w:r w:rsidR="002C02A4">
        <w:rPr>
          <w:rFonts w:ascii="Arial" w:hAnsi="Arial" w:cs="Arial"/>
          <w:bCs/>
          <w:i/>
          <w:sz w:val="20"/>
          <w:szCs w:val="20"/>
        </w:rPr>
        <w:t>six</w:t>
      </w:r>
      <w:r w:rsidRPr="002C02A4">
        <w:rPr>
          <w:rFonts w:ascii="Arial" w:hAnsi="Arial" w:cs="Arial"/>
          <w:bCs/>
          <w:i/>
          <w:sz w:val="20"/>
          <w:szCs w:val="20"/>
        </w:rPr>
        <w:t xml:space="preserve"> different advice shifts </w:t>
      </w:r>
      <w:r w:rsidR="002C02A4">
        <w:rPr>
          <w:rFonts w:ascii="Arial" w:hAnsi="Arial" w:cs="Arial"/>
          <w:bCs/>
          <w:i/>
          <w:sz w:val="20"/>
          <w:szCs w:val="20"/>
        </w:rPr>
        <w:t>every fortnight</w:t>
      </w:r>
      <w:r w:rsidRPr="002C02A4">
        <w:rPr>
          <w:rFonts w:ascii="Arial" w:hAnsi="Arial" w:cs="Arial"/>
          <w:bCs/>
          <w:i/>
          <w:sz w:val="20"/>
          <w:szCs w:val="20"/>
        </w:rPr>
        <w:t xml:space="preserve"> with approximately 60 volunteers giving their time.  </w:t>
      </w:r>
    </w:p>
    <w:p w14:paraId="6AD8B411" w14:textId="55D82121" w:rsidR="00A0783F" w:rsidRPr="002C02A4" w:rsidRDefault="0067537C" w:rsidP="002C02A4">
      <w:pPr>
        <w:pBdr>
          <w:top w:val="single" w:sz="4" w:space="1" w:color="auto"/>
          <w:left w:val="single" w:sz="4" w:space="4" w:color="auto"/>
          <w:bottom w:val="single" w:sz="4" w:space="1" w:color="auto"/>
          <w:right w:val="single" w:sz="4" w:space="4" w:color="auto"/>
        </w:pBdr>
        <w:spacing w:line="240" w:lineRule="auto"/>
        <w:jc w:val="both"/>
        <w:rPr>
          <w:rFonts w:ascii="Arial" w:hAnsi="Arial" w:cs="Arial"/>
          <w:bCs/>
          <w:i/>
          <w:sz w:val="20"/>
          <w:szCs w:val="20"/>
        </w:rPr>
      </w:pPr>
      <w:r w:rsidRPr="002C02A4">
        <w:rPr>
          <w:rFonts w:ascii="Arial" w:hAnsi="Arial" w:cs="Arial"/>
          <w:bCs/>
          <w:i/>
          <w:sz w:val="20"/>
          <w:szCs w:val="20"/>
        </w:rPr>
        <w:t xml:space="preserve">In recognition of the commitment and dedication </w:t>
      </w:r>
      <w:r w:rsidR="002C02A4">
        <w:rPr>
          <w:rFonts w:ascii="Arial" w:hAnsi="Arial" w:cs="Arial"/>
          <w:bCs/>
          <w:i/>
          <w:sz w:val="20"/>
          <w:szCs w:val="20"/>
        </w:rPr>
        <w:t xml:space="preserve">of </w:t>
      </w:r>
      <w:proofErr w:type="spellStart"/>
      <w:r w:rsidR="002C02A4">
        <w:rPr>
          <w:rFonts w:ascii="Arial" w:hAnsi="Arial" w:cs="Arial"/>
          <w:bCs/>
          <w:i/>
          <w:sz w:val="20"/>
          <w:szCs w:val="20"/>
        </w:rPr>
        <w:t>KLC’s</w:t>
      </w:r>
      <w:proofErr w:type="spellEnd"/>
      <w:r w:rsidR="002C02A4">
        <w:rPr>
          <w:rFonts w:ascii="Arial" w:hAnsi="Arial" w:cs="Arial"/>
          <w:bCs/>
          <w:i/>
          <w:sz w:val="20"/>
          <w:szCs w:val="20"/>
        </w:rPr>
        <w:t xml:space="preserve"> volunteer solicitors, two</w:t>
      </w:r>
      <w:r w:rsidRPr="002C02A4">
        <w:rPr>
          <w:rFonts w:ascii="Arial" w:hAnsi="Arial" w:cs="Arial"/>
          <w:bCs/>
          <w:i/>
          <w:sz w:val="20"/>
          <w:szCs w:val="20"/>
        </w:rPr>
        <w:t xml:space="preserve"> of them </w:t>
      </w:r>
      <w:r w:rsidR="00A0783F" w:rsidRPr="002C02A4">
        <w:rPr>
          <w:rFonts w:ascii="Arial" w:hAnsi="Arial" w:cs="Arial"/>
          <w:bCs/>
          <w:i/>
          <w:sz w:val="20"/>
          <w:szCs w:val="20"/>
        </w:rPr>
        <w:t xml:space="preserve">separately </w:t>
      </w:r>
      <w:r w:rsidRPr="002C02A4">
        <w:rPr>
          <w:rFonts w:ascii="Arial" w:hAnsi="Arial" w:cs="Arial"/>
          <w:bCs/>
          <w:i/>
          <w:sz w:val="20"/>
          <w:szCs w:val="20"/>
        </w:rPr>
        <w:t xml:space="preserve">won the NSW </w:t>
      </w:r>
      <w:r w:rsidR="00A0783F" w:rsidRPr="002C02A4">
        <w:rPr>
          <w:rFonts w:ascii="Arial" w:hAnsi="Arial" w:cs="Arial"/>
          <w:bCs/>
          <w:i/>
          <w:sz w:val="20"/>
          <w:szCs w:val="20"/>
        </w:rPr>
        <w:t xml:space="preserve">Law and Justice Foundation Justice awards for their service.  Each solicitor, David </w:t>
      </w:r>
      <w:proofErr w:type="spellStart"/>
      <w:r w:rsidR="00A0783F" w:rsidRPr="002C02A4">
        <w:rPr>
          <w:rFonts w:ascii="Arial" w:hAnsi="Arial" w:cs="Arial"/>
          <w:bCs/>
          <w:i/>
          <w:sz w:val="20"/>
          <w:szCs w:val="20"/>
        </w:rPr>
        <w:t>MacMIllian</w:t>
      </w:r>
      <w:proofErr w:type="spellEnd"/>
      <w:r w:rsidR="00A0783F" w:rsidRPr="002C02A4">
        <w:rPr>
          <w:rFonts w:ascii="Arial" w:hAnsi="Arial" w:cs="Arial"/>
          <w:bCs/>
          <w:i/>
          <w:sz w:val="20"/>
          <w:szCs w:val="20"/>
        </w:rPr>
        <w:t xml:space="preserve"> and Michael </w:t>
      </w:r>
      <w:proofErr w:type="spellStart"/>
      <w:r w:rsidR="00A0783F" w:rsidRPr="002C02A4">
        <w:rPr>
          <w:rFonts w:ascii="Arial" w:hAnsi="Arial" w:cs="Arial"/>
          <w:bCs/>
          <w:i/>
          <w:sz w:val="20"/>
          <w:szCs w:val="20"/>
        </w:rPr>
        <w:t>Steinfeld</w:t>
      </w:r>
      <w:proofErr w:type="spellEnd"/>
      <w:r w:rsidR="00A0783F" w:rsidRPr="002C02A4">
        <w:rPr>
          <w:rFonts w:ascii="Arial" w:hAnsi="Arial" w:cs="Arial"/>
          <w:bCs/>
          <w:i/>
          <w:sz w:val="20"/>
          <w:szCs w:val="20"/>
        </w:rPr>
        <w:t xml:space="preserve">, has volunteered at </w:t>
      </w:r>
      <w:proofErr w:type="spellStart"/>
      <w:r w:rsidR="00A0783F" w:rsidRPr="002C02A4">
        <w:rPr>
          <w:rFonts w:ascii="Arial" w:hAnsi="Arial" w:cs="Arial"/>
          <w:bCs/>
          <w:i/>
          <w:sz w:val="20"/>
          <w:szCs w:val="20"/>
        </w:rPr>
        <w:t>KLC</w:t>
      </w:r>
      <w:proofErr w:type="spellEnd"/>
      <w:r w:rsidR="00A0783F" w:rsidRPr="002C02A4">
        <w:rPr>
          <w:rFonts w:ascii="Arial" w:hAnsi="Arial" w:cs="Arial"/>
          <w:bCs/>
          <w:i/>
          <w:sz w:val="20"/>
          <w:szCs w:val="20"/>
        </w:rPr>
        <w:t xml:space="preserve"> for over 30 years.  This means they know </w:t>
      </w:r>
      <w:proofErr w:type="spellStart"/>
      <w:r w:rsidR="00A0783F" w:rsidRPr="002C02A4">
        <w:rPr>
          <w:rFonts w:ascii="Arial" w:hAnsi="Arial" w:cs="Arial"/>
          <w:bCs/>
          <w:i/>
          <w:sz w:val="20"/>
          <w:szCs w:val="20"/>
        </w:rPr>
        <w:t>KLCs</w:t>
      </w:r>
      <w:proofErr w:type="spellEnd"/>
      <w:r w:rsidR="00A0783F" w:rsidRPr="002C02A4">
        <w:rPr>
          <w:rFonts w:ascii="Arial" w:hAnsi="Arial" w:cs="Arial"/>
          <w:bCs/>
          <w:i/>
          <w:sz w:val="20"/>
          <w:szCs w:val="20"/>
        </w:rPr>
        <w:t xml:space="preserve"> client gro</w:t>
      </w:r>
      <w:r w:rsidR="002C02A4">
        <w:rPr>
          <w:rFonts w:ascii="Arial" w:hAnsi="Arial" w:cs="Arial"/>
          <w:bCs/>
          <w:i/>
          <w:sz w:val="20"/>
          <w:szCs w:val="20"/>
        </w:rPr>
        <w:t xml:space="preserve">ups, the areas of law </w:t>
      </w:r>
      <w:proofErr w:type="spellStart"/>
      <w:r w:rsidR="002C02A4">
        <w:rPr>
          <w:rFonts w:ascii="Arial" w:hAnsi="Arial" w:cs="Arial"/>
          <w:bCs/>
          <w:i/>
          <w:sz w:val="20"/>
          <w:szCs w:val="20"/>
        </w:rPr>
        <w:t>KLC</w:t>
      </w:r>
      <w:proofErr w:type="spellEnd"/>
      <w:r w:rsidR="00A0783F" w:rsidRPr="002C02A4">
        <w:rPr>
          <w:rFonts w:ascii="Arial" w:hAnsi="Arial" w:cs="Arial"/>
          <w:bCs/>
          <w:i/>
          <w:sz w:val="20"/>
          <w:szCs w:val="20"/>
        </w:rPr>
        <w:t xml:space="preserve"> specialises in and the ways </w:t>
      </w:r>
      <w:r w:rsidR="002C02A4">
        <w:rPr>
          <w:rFonts w:ascii="Arial" w:hAnsi="Arial" w:cs="Arial"/>
          <w:bCs/>
          <w:i/>
          <w:sz w:val="20"/>
          <w:szCs w:val="20"/>
        </w:rPr>
        <w:t xml:space="preserve">in </w:t>
      </w:r>
      <w:r w:rsidR="00A0783F" w:rsidRPr="002C02A4">
        <w:rPr>
          <w:rFonts w:ascii="Arial" w:hAnsi="Arial" w:cs="Arial"/>
          <w:bCs/>
          <w:i/>
          <w:sz w:val="20"/>
          <w:szCs w:val="20"/>
        </w:rPr>
        <w:t xml:space="preserve">which we work with students.  Not only have they given hundreds of individual legal advices, they have also taught and mentored law students who see </w:t>
      </w:r>
      <w:proofErr w:type="spellStart"/>
      <w:r w:rsidR="00A0783F" w:rsidRPr="002C02A4">
        <w:rPr>
          <w:rFonts w:ascii="Arial" w:hAnsi="Arial" w:cs="Arial"/>
          <w:bCs/>
          <w:i/>
          <w:sz w:val="20"/>
          <w:szCs w:val="20"/>
        </w:rPr>
        <w:t>first hand</w:t>
      </w:r>
      <w:proofErr w:type="spellEnd"/>
      <w:r w:rsidR="00A0783F" w:rsidRPr="002C02A4">
        <w:rPr>
          <w:rFonts w:ascii="Arial" w:hAnsi="Arial" w:cs="Arial"/>
          <w:bCs/>
          <w:i/>
          <w:sz w:val="20"/>
          <w:szCs w:val="20"/>
        </w:rPr>
        <w:t xml:space="preserve"> the example of solicitors giving their time pro bono.</w:t>
      </w:r>
    </w:p>
    <w:p w14:paraId="1680E5D1" w14:textId="5F7BDCD5" w:rsidR="00095E11" w:rsidRPr="002C02A4" w:rsidRDefault="00A0783F" w:rsidP="002C02A4">
      <w:pPr>
        <w:pBdr>
          <w:top w:val="single" w:sz="4" w:space="1" w:color="auto"/>
          <w:left w:val="single" w:sz="4" w:space="4" w:color="auto"/>
          <w:bottom w:val="single" w:sz="4" w:space="1" w:color="auto"/>
          <w:right w:val="single" w:sz="4" w:space="4" w:color="auto"/>
        </w:pBdr>
        <w:spacing w:line="240" w:lineRule="auto"/>
        <w:jc w:val="both"/>
        <w:rPr>
          <w:rFonts w:ascii="Arial" w:hAnsi="Arial" w:cs="Arial"/>
          <w:bCs/>
          <w:i/>
          <w:sz w:val="20"/>
          <w:szCs w:val="20"/>
        </w:rPr>
      </w:pPr>
      <w:r w:rsidRPr="002C02A4">
        <w:rPr>
          <w:rFonts w:ascii="Arial" w:hAnsi="Arial" w:cs="Arial"/>
          <w:bCs/>
          <w:i/>
          <w:sz w:val="20"/>
          <w:szCs w:val="20"/>
        </w:rPr>
        <w:t xml:space="preserve">By relying on highly dedicated and skilled volunteers, </w:t>
      </w:r>
      <w:proofErr w:type="spellStart"/>
      <w:r w:rsidRPr="002C02A4">
        <w:rPr>
          <w:rFonts w:ascii="Arial" w:hAnsi="Arial" w:cs="Arial"/>
          <w:bCs/>
          <w:i/>
          <w:sz w:val="20"/>
          <w:szCs w:val="20"/>
        </w:rPr>
        <w:t>CLCs</w:t>
      </w:r>
      <w:proofErr w:type="spellEnd"/>
      <w:r w:rsidRPr="002C02A4">
        <w:rPr>
          <w:rFonts w:ascii="Arial" w:hAnsi="Arial" w:cs="Arial"/>
          <w:bCs/>
          <w:i/>
          <w:sz w:val="20"/>
          <w:szCs w:val="20"/>
        </w:rPr>
        <w:t xml:space="preserve"> such as </w:t>
      </w:r>
      <w:proofErr w:type="spellStart"/>
      <w:r w:rsidRPr="002C02A4">
        <w:rPr>
          <w:rFonts w:ascii="Arial" w:hAnsi="Arial" w:cs="Arial"/>
          <w:bCs/>
          <w:i/>
          <w:sz w:val="20"/>
          <w:szCs w:val="20"/>
        </w:rPr>
        <w:t>KLC</w:t>
      </w:r>
      <w:proofErr w:type="spellEnd"/>
      <w:r w:rsidRPr="002C02A4">
        <w:rPr>
          <w:rFonts w:ascii="Arial" w:hAnsi="Arial" w:cs="Arial"/>
          <w:bCs/>
          <w:i/>
          <w:sz w:val="20"/>
          <w:szCs w:val="20"/>
        </w:rPr>
        <w:t xml:space="preserve"> </w:t>
      </w:r>
      <w:r w:rsidR="002C02A4">
        <w:rPr>
          <w:rFonts w:ascii="Arial" w:hAnsi="Arial" w:cs="Arial"/>
          <w:bCs/>
          <w:i/>
          <w:sz w:val="20"/>
          <w:szCs w:val="20"/>
        </w:rPr>
        <w:t xml:space="preserve">can increase the services </w:t>
      </w:r>
      <w:r w:rsidRPr="002C02A4">
        <w:rPr>
          <w:rFonts w:ascii="Arial" w:hAnsi="Arial" w:cs="Arial"/>
          <w:bCs/>
          <w:i/>
          <w:sz w:val="20"/>
          <w:szCs w:val="20"/>
        </w:rPr>
        <w:t>we provide to disadvantaged clients and communities.</w:t>
      </w:r>
    </w:p>
    <w:p w14:paraId="69FD3D4B" w14:textId="77777777" w:rsidR="003B3148" w:rsidRPr="003B3148" w:rsidRDefault="00CE7367" w:rsidP="00095E11">
      <w:pPr>
        <w:spacing w:after="0" w:line="240" w:lineRule="auto"/>
        <w:jc w:val="both"/>
        <w:rPr>
          <w:rFonts w:ascii="Arial" w:hAnsi="Arial" w:cs="Arial"/>
          <w:b/>
          <w:u w:val="single"/>
        </w:rPr>
      </w:pPr>
      <w:r>
        <w:rPr>
          <w:rFonts w:ascii="Arial" w:hAnsi="Arial" w:cs="Arial"/>
          <w:b/>
          <w:u w:val="single"/>
        </w:rPr>
        <w:t xml:space="preserve">Chapter 5: </w:t>
      </w:r>
      <w:r w:rsidR="003B3148" w:rsidRPr="003B3148">
        <w:rPr>
          <w:rFonts w:ascii="Arial" w:hAnsi="Arial" w:cs="Arial"/>
          <w:b/>
          <w:u w:val="single"/>
        </w:rPr>
        <w:t>Understanding and navigating the system</w:t>
      </w:r>
    </w:p>
    <w:p w14:paraId="33255331" w14:textId="77777777" w:rsidR="003B3148" w:rsidRDefault="003B3148" w:rsidP="00095E11">
      <w:pPr>
        <w:spacing w:after="0" w:line="240" w:lineRule="auto"/>
        <w:jc w:val="both"/>
        <w:rPr>
          <w:rFonts w:ascii="Arial" w:hAnsi="Arial" w:cs="Arial"/>
          <w:u w:val="single"/>
        </w:rPr>
      </w:pPr>
    </w:p>
    <w:p w14:paraId="39F55CB0" w14:textId="77777777" w:rsidR="00FF571A" w:rsidRPr="003B3148" w:rsidRDefault="00FF571A"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3B3148">
        <w:rPr>
          <w:rFonts w:ascii="Arial" w:hAnsi="Arial" w:cs="Arial"/>
          <w:u w:val="single"/>
        </w:rPr>
        <w:t>Information request 5.3</w:t>
      </w:r>
      <w:r w:rsidRPr="003B3148">
        <w:rPr>
          <w:rFonts w:ascii="Arial" w:hAnsi="Arial" w:cs="Arial"/>
        </w:rPr>
        <w:t>: The Commission seeks feedback on how best to facilitate effective referrals for legal assistance between organisations responsible for human service delivery, and, where appropriate, greater information sharing across departments and agencies.</w:t>
      </w:r>
    </w:p>
    <w:p w14:paraId="14F19645" w14:textId="77777777" w:rsidR="00FF571A" w:rsidRDefault="00FF571A" w:rsidP="00095E11">
      <w:pPr>
        <w:spacing w:after="0" w:line="240" w:lineRule="auto"/>
        <w:jc w:val="both"/>
        <w:rPr>
          <w:rFonts w:ascii="Arial" w:hAnsi="Arial" w:cs="Arial"/>
        </w:rPr>
      </w:pPr>
    </w:p>
    <w:p w14:paraId="131E8FBD" w14:textId="77777777" w:rsidR="00BA6E18" w:rsidRDefault="00BA6E18" w:rsidP="00095E11">
      <w:pPr>
        <w:spacing w:line="240" w:lineRule="auto"/>
        <w:ind w:hanging="11"/>
        <w:jc w:val="both"/>
        <w:rPr>
          <w:rFonts w:ascii="Arial" w:hAnsi="Arial" w:cs="Arial"/>
          <w:szCs w:val="24"/>
          <w:lang w:val="en-GB"/>
        </w:rPr>
      </w:pPr>
      <w:r>
        <w:rPr>
          <w:rFonts w:ascii="Arial" w:hAnsi="Arial" w:cs="Arial"/>
          <w:szCs w:val="24"/>
          <w:lang w:val="en-GB"/>
        </w:rPr>
        <w:lastRenderedPageBreak/>
        <w:t xml:space="preserve">We believe it is important to ensure that systems and services are in place to ensure </w:t>
      </w:r>
      <w:r w:rsidR="00087E17">
        <w:rPr>
          <w:rFonts w:ascii="Arial" w:hAnsi="Arial" w:cs="Arial"/>
          <w:szCs w:val="24"/>
          <w:lang w:val="en-GB"/>
        </w:rPr>
        <w:t xml:space="preserve">people are </w:t>
      </w:r>
      <w:r>
        <w:rPr>
          <w:rFonts w:ascii="Arial" w:hAnsi="Arial" w:cs="Arial"/>
          <w:szCs w:val="24"/>
          <w:lang w:val="en-GB"/>
        </w:rPr>
        <w:t>refer</w:t>
      </w:r>
      <w:r w:rsidR="00087E17">
        <w:rPr>
          <w:rFonts w:ascii="Arial" w:hAnsi="Arial" w:cs="Arial"/>
          <w:szCs w:val="24"/>
          <w:lang w:val="en-GB"/>
        </w:rPr>
        <w:t>red</w:t>
      </w:r>
      <w:r>
        <w:rPr>
          <w:rFonts w:ascii="Arial" w:hAnsi="Arial" w:cs="Arial"/>
          <w:szCs w:val="24"/>
          <w:lang w:val="en-GB"/>
        </w:rPr>
        <w:t xml:space="preserve"> to appropriate services for assistance to resolve their problem. Failure to provide appropriate referrals can result in people getting stuck on the ‘referral roundabout’ and cause them to abandon their efforts to seek help. </w:t>
      </w:r>
    </w:p>
    <w:p w14:paraId="167D01C1" w14:textId="77777777" w:rsidR="009A6B78" w:rsidRDefault="009A6B78" w:rsidP="00095E11">
      <w:pPr>
        <w:spacing w:line="240" w:lineRule="auto"/>
        <w:ind w:hanging="11"/>
        <w:jc w:val="both"/>
        <w:rPr>
          <w:rFonts w:ascii="Arial" w:hAnsi="Arial" w:cs="Arial"/>
          <w:szCs w:val="24"/>
          <w:lang w:val="en-GB"/>
        </w:rPr>
      </w:pPr>
      <w:r>
        <w:rPr>
          <w:rFonts w:ascii="Arial" w:hAnsi="Arial" w:cs="Arial"/>
          <w:szCs w:val="24"/>
          <w:lang w:val="en-GB"/>
        </w:rPr>
        <w:t xml:space="preserve">In our experience, referrals between legal assistance providers are handled efficiently and effectively. For example, we have informal arrangements with Legal Aid and local </w:t>
      </w:r>
      <w:proofErr w:type="spellStart"/>
      <w:r>
        <w:rPr>
          <w:rFonts w:ascii="Arial" w:hAnsi="Arial" w:cs="Arial"/>
          <w:szCs w:val="24"/>
          <w:lang w:val="en-GB"/>
        </w:rPr>
        <w:t>CLCs</w:t>
      </w:r>
      <w:proofErr w:type="spellEnd"/>
      <w:r>
        <w:rPr>
          <w:rFonts w:ascii="Arial" w:hAnsi="Arial" w:cs="Arial"/>
          <w:szCs w:val="24"/>
          <w:lang w:val="en-GB"/>
        </w:rPr>
        <w:t xml:space="preserve"> to advise clients outside each other’s catchment areas where there is a conflict of interest.</w:t>
      </w:r>
      <w:r w:rsidR="00A61DFF">
        <w:rPr>
          <w:rFonts w:ascii="Arial" w:hAnsi="Arial" w:cs="Arial"/>
          <w:szCs w:val="24"/>
          <w:lang w:val="en-GB"/>
        </w:rPr>
        <w:t xml:space="preserve"> In our experience </w:t>
      </w:r>
      <w:proofErr w:type="spellStart"/>
      <w:r w:rsidR="00A61DFF">
        <w:rPr>
          <w:rFonts w:ascii="Arial" w:hAnsi="Arial" w:cs="Arial"/>
          <w:szCs w:val="24"/>
          <w:lang w:val="en-GB"/>
        </w:rPr>
        <w:t>LawAccess</w:t>
      </w:r>
      <w:proofErr w:type="spellEnd"/>
      <w:r w:rsidR="00A61DFF">
        <w:rPr>
          <w:rFonts w:ascii="Arial" w:hAnsi="Arial" w:cs="Arial"/>
          <w:szCs w:val="24"/>
          <w:lang w:val="en-GB"/>
        </w:rPr>
        <w:t xml:space="preserve"> NSW also provides appropriate referrals to people seeking legal advice. </w:t>
      </w:r>
      <w:r>
        <w:rPr>
          <w:rFonts w:ascii="Arial" w:hAnsi="Arial" w:cs="Arial"/>
          <w:szCs w:val="24"/>
          <w:lang w:val="en-GB"/>
        </w:rPr>
        <w:t xml:space="preserve">We therefore do not think it is necessary to increase information sharing across departments and agencies. </w:t>
      </w:r>
    </w:p>
    <w:p w14:paraId="54B91683" w14:textId="6F61FC8E" w:rsidR="00BA6E18" w:rsidRDefault="009A6B78" w:rsidP="00095E11">
      <w:pPr>
        <w:spacing w:line="240" w:lineRule="auto"/>
        <w:ind w:hanging="11"/>
        <w:jc w:val="both"/>
        <w:rPr>
          <w:rFonts w:ascii="Arial" w:hAnsi="Arial" w:cs="Arial"/>
          <w:szCs w:val="24"/>
          <w:lang w:val="en-GB"/>
        </w:rPr>
      </w:pPr>
      <w:r>
        <w:rPr>
          <w:rFonts w:ascii="Arial" w:hAnsi="Arial" w:cs="Arial"/>
          <w:szCs w:val="24"/>
          <w:lang w:val="en-GB"/>
        </w:rPr>
        <w:t>It is our view that if services want to share information, they</w:t>
      </w:r>
      <w:r w:rsidR="00BA6E18" w:rsidRPr="00BA6E18">
        <w:rPr>
          <w:rFonts w:ascii="Arial" w:hAnsi="Arial" w:cs="Arial"/>
          <w:szCs w:val="24"/>
          <w:lang w:val="en-GB"/>
        </w:rPr>
        <w:t xml:space="preserve"> should obtain prior informed consent from a person before sharing any of their personal information. People should have the opportunity </w:t>
      </w:r>
      <w:r w:rsidR="00937121">
        <w:rPr>
          <w:rFonts w:ascii="Arial" w:hAnsi="Arial" w:cs="Arial"/>
          <w:szCs w:val="24"/>
          <w:lang w:val="en-GB"/>
        </w:rPr>
        <w:t xml:space="preserve">to </w:t>
      </w:r>
      <w:r w:rsidR="00BA6E18" w:rsidRPr="00BA6E18">
        <w:rPr>
          <w:rFonts w:ascii="Arial" w:hAnsi="Arial" w:cs="Arial"/>
          <w:szCs w:val="24"/>
          <w:lang w:val="en-GB"/>
        </w:rPr>
        <w:t xml:space="preserve">control what information </w:t>
      </w:r>
      <w:r w:rsidR="00937121">
        <w:rPr>
          <w:rFonts w:ascii="Arial" w:hAnsi="Arial" w:cs="Arial"/>
          <w:szCs w:val="24"/>
          <w:lang w:val="en-GB"/>
        </w:rPr>
        <w:t xml:space="preserve">is </w:t>
      </w:r>
      <w:r w:rsidR="00BA6E18" w:rsidRPr="00BA6E18">
        <w:rPr>
          <w:rFonts w:ascii="Arial" w:hAnsi="Arial" w:cs="Arial"/>
          <w:szCs w:val="24"/>
          <w:lang w:val="en-GB"/>
        </w:rPr>
        <w:t>shared, if any, with whom and for what purpose. People should also have opportunities to review information held by agencies and complete, correct and/or update any information held by agencies.</w:t>
      </w:r>
      <w:r w:rsidR="00BA6E18">
        <w:rPr>
          <w:rFonts w:ascii="Arial" w:hAnsi="Arial" w:cs="Arial"/>
          <w:szCs w:val="24"/>
          <w:lang w:val="en-GB"/>
        </w:rPr>
        <w:t xml:space="preserve"> Sharing information without prior informed consent may result in people feeling they cannot share information and may </w:t>
      </w:r>
      <w:r w:rsidR="00DF1A8C">
        <w:rPr>
          <w:rFonts w:ascii="Arial" w:hAnsi="Arial" w:cs="Arial"/>
          <w:szCs w:val="24"/>
          <w:lang w:val="en-GB"/>
        </w:rPr>
        <w:t>mean that problems</w:t>
      </w:r>
      <w:r w:rsidR="00BA6E18">
        <w:rPr>
          <w:rFonts w:ascii="Arial" w:hAnsi="Arial" w:cs="Arial"/>
          <w:szCs w:val="24"/>
          <w:lang w:val="en-GB"/>
        </w:rPr>
        <w:t xml:space="preserve"> remain unresolved and escalate.</w:t>
      </w:r>
    </w:p>
    <w:p w14:paraId="5BA191C7" w14:textId="77777777" w:rsidR="006A639B" w:rsidRPr="004753EF" w:rsidRDefault="006A639B" w:rsidP="00095E1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hanging="11"/>
        <w:jc w:val="both"/>
        <w:rPr>
          <w:rFonts w:ascii="Arial" w:hAnsi="Arial" w:cs="Arial"/>
          <w:bCs/>
          <w:iCs/>
        </w:rPr>
      </w:pPr>
      <w:r w:rsidRPr="00D60D65">
        <w:rPr>
          <w:rFonts w:ascii="Arial" w:hAnsi="Arial" w:cs="Arial"/>
          <w:b/>
          <w:bCs/>
          <w:iCs/>
        </w:rPr>
        <w:t>Recommendation</w:t>
      </w:r>
      <w:r>
        <w:rPr>
          <w:rFonts w:ascii="Arial" w:hAnsi="Arial" w:cs="Arial"/>
          <w:bCs/>
          <w:iCs/>
        </w:rPr>
        <w:t xml:space="preserve">: </w:t>
      </w:r>
      <w:r w:rsidR="00506BE7">
        <w:rPr>
          <w:rFonts w:ascii="Arial" w:hAnsi="Arial" w:cs="Arial"/>
          <w:bCs/>
          <w:iCs/>
        </w:rPr>
        <w:t xml:space="preserve">Any information provided to agencies and departments should only be shared with the prior informed consent of the person who provided the information. </w:t>
      </w:r>
    </w:p>
    <w:p w14:paraId="6062789A" w14:textId="77777777" w:rsidR="00C45753" w:rsidRPr="00C45753" w:rsidRDefault="00CE7367" w:rsidP="00095E11">
      <w:pPr>
        <w:spacing w:line="240" w:lineRule="auto"/>
        <w:ind w:hanging="11"/>
        <w:jc w:val="both"/>
        <w:rPr>
          <w:rFonts w:ascii="Arial" w:hAnsi="Arial" w:cs="Arial"/>
          <w:b/>
          <w:bCs/>
          <w:iCs/>
          <w:u w:val="single"/>
        </w:rPr>
      </w:pPr>
      <w:r>
        <w:rPr>
          <w:rFonts w:ascii="Arial" w:hAnsi="Arial" w:cs="Arial"/>
          <w:b/>
          <w:bCs/>
          <w:iCs/>
          <w:u w:val="single"/>
        </w:rPr>
        <w:t xml:space="preserve">Chapter 6: </w:t>
      </w:r>
      <w:r w:rsidR="00C45753">
        <w:rPr>
          <w:rFonts w:ascii="Arial" w:hAnsi="Arial" w:cs="Arial"/>
          <w:b/>
          <w:bCs/>
          <w:iCs/>
          <w:u w:val="single"/>
        </w:rPr>
        <w:t>Information and redress for consumers</w:t>
      </w:r>
    </w:p>
    <w:p w14:paraId="3CB988B5" w14:textId="77777777" w:rsidR="004753EF" w:rsidRPr="003B3148" w:rsidRDefault="004753EF" w:rsidP="00095E11">
      <w:pPr>
        <w:pBdr>
          <w:top w:val="single" w:sz="4" w:space="1" w:color="auto"/>
          <w:left w:val="single" w:sz="4" w:space="4" w:color="auto"/>
          <w:bottom w:val="single" w:sz="4" w:space="1" w:color="auto"/>
          <w:right w:val="single" w:sz="4" w:space="4" w:color="auto"/>
        </w:pBdr>
        <w:spacing w:line="240" w:lineRule="auto"/>
        <w:ind w:hanging="11"/>
        <w:jc w:val="both"/>
        <w:rPr>
          <w:rFonts w:ascii="Arial" w:hAnsi="Arial" w:cs="Arial"/>
          <w:bCs/>
          <w:iCs/>
        </w:rPr>
      </w:pPr>
      <w:r w:rsidRPr="003B3148">
        <w:rPr>
          <w:rFonts w:ascii="Arial" w:hAnsi="Arial" w:cs="Arial"/>
          <w:bCs/>
          <w:iCs/>
          <w:u w:val="single"/>
        </w:rPr>
        <w:t>Draft recommendation 6.8</w:t>
      </w:r>
      <w:r w:rsidRPr="003B3148">
        <w:rPr>
          <w:rFonts w:ascii="Arial" w:hAnsi="Arial" w:cs="Arial"/>
          <w:bCs/>
          <w:iCs/>
        </w:rPr>
        <w:t>: The complaints body in each state and territory should be equipped with the same investigatory powers (subject to existing limitations) regardless of the source of a complaint. In particular, the power to compel lawyers to produce information or documents, despite their duty of confidentiality to clients, should be available regardless of whether the complaint came from the client, a third party, or was instigated by the complaints body itself.</w:t>
      </w:r>
    </w:p>
    <w:p w14:paraId="34BE5CA6" w14:textId="77777777" w:rsidR="004753EF" w:rsidRDefault="004753EF" w:rsidP="00095E11">
      <w:pPr>
        <w:spacing w:line="240" w:lineRule="auto"/>
        <w:ind w:hanging="11"/>
        <w:jc w:val="both"/>
        <w:rPr>
          <w:rFonts w:ascii="Arial" w:hAnsi="Arial" w:cs="Arial"/>
          <w:bCs/>
          <w:iCs/>
        </w:rPr>
      </w:pPr>
      <w:r>
        <w:rPr>
          <w:rFonts w:ascii="Arial" w:hAnsi="Arial" w:cs="Arial"/>
          <w:bCs/>
          <w:iCs/>
        </w:rPr>
        <w:t>We agree that there is an information asymmetry between lawyers and consumers, particularly disadvantaged consumers, and we agree with the best practice principles put forward by the NSW Law Reform Commission for handling complaints about lawyers.</w:t>
      </w:r>
      <w:r>
        <w:rPr>
          <w:rStyle w:val="FootnoteReference"/>
          <w:rFonts w:ascii="Arial" w:hAnsi="Arial" w:cs="Arial"/>
          <w:bCs/>
          <w:iCs/>
        </w:rPr>
        <w:footnoteReference w:id="1"/>
      </w:r>
      <w:r>
        <w:rPr>
          <w:rFonts w:ascii="Arial" w:hAnsi="Arial" w:cs="Arial"/>
          <w:bCs/>
          <w:iCs/>
        </w:rPr>
        <w:t xml:space="preserve"> However we disagree with draft recommendation 6.8.</w:t>
      </w:r>
    </w:p>
    <w:p w14:paraId="05F51E6E" w14:textId="3CB5FEC8" w:rsidR="00D60D65" w:rsidRDefault="004753EF" w:rsidP="00095E11">
      <w:pPr>
        <w:spacing w:line="240" w:lineRule="auto"/>
        <w:ind w:hanging="11"/>
        <w:jc w:val="both"/>
        <w:rPr>
          <w:rFonts w:ascii="Arial" w:hAnsi="Arial" w:cs="Arial"/>
          <w:bCs/>
          <w:iCs/>
        </w:rPr>
      </w:pPr>
      <w:r>
        <w:rPr>
          <w:rFonts w:ascii="Arial" w:hAnsi="Arial" w:cs="Arial"/>
          <w:bCs/>
          <w:iCs/>
        </w:rPr>
        <w:t>Confidentiality is a fundamental principle of the lawyer-client relationship. It serves</w:t>
      </w:r>
      <w:r w:rsidR="00D60D65">
        <w:rPr>
          <w:rFonts w:ascii="Arial" w:hAnsi="Arial" w:cs="Arial"/>
          <w:bCs/>
          <w:iCs/>
        </w:rPr>
        <w:t xml:space="preserve"> to</w:t>
      </w:r>
      <w:r>
        <w:rPr>
          <w:rFonts w:ascii="Arial" w:hAnsi="Arial" w:cs="Arial"/>
          <w:bCs/>
          <w:iCs/>
        </w:rPr>
        <w:t xml:space="preserve"> build trust and confidence between lawyers and clients and without it clients may be reluctant to give full and honest instructions, which may result in adverse outcomes for the client. Clients often disclose information a</w:t>
      </w:r>
      <w:r w:rsidR="0009065B">
        <w:rPr>
          <w:rFonts w:ascii="Arial" w:hAnsi="Arial" w:cs="Arial"/>
          <w:bCs/>
          <w:iCs/>
        </w:rPr>
        <w:t>bout themselves to lawyers that</w:t>
      </w:r>
      <w:r>
        <w:rPr>
          <w:rFonts w:ascii="Arial" w:hAnsi="Arial" w:cs="Arial"/>
          <w:bCs/>
          <w:iCs/>
        </w:rPr>
        <w:t xml:space="preserve"> is deeply personal and traumatic, including domestic violence and child sexual abuse. We submit that even if the information obta</w:t>
      </w:r>
      <w:r w:rsidR="00D60D65">
        <w:rPr>
          <w:rFonts w:ascii="Arial" w:hAnsi="Arial" w:cs="Arial"/>
          <w:bCs/>
          <w:iCs/>
        </w:rPr>
        <w:t xml:space="preserve">ined </w:t>
      </w:r>
      <w:r w:rsidR="0009065B">
        <w:rPr>
          <w:rFonts w:ascii="Arial" w:hAnsi="Arial" w:cs="Arial"/>
          <w:bCs/>
          <w:iCs/>
        </w:rPr>
        <w:t>were</w:t>
      </w:r>
      <w:r w:rsidR="00D60D65">
        <w:rPr>
          <w:rFonts w:ascii="Arial" w:hAnsi="Arial" w:cs="Arial"/>
          <w:bCs/>
          <w:iCs/>
        </w:rPr>
        <w:t xml:space="preserve"> used solely for investigating a lawyer’s conduct, many clients would feel very uncomfortable knowing that other people, including investigative bodies, could access their information without their prior informed consent. </w:t>
      </w:r>
    </w:p>
    <w:p w14:paraId="279D1870" w14:textId="77777777" w:rsidR="004753EF" w:rsidRDefault="00D60D65" w:rsidP="00095E11">
      <w:pPr>
        <w:spacing w:line="240" w:lineRule="auto"/>
        <w:ind w:hanging="11"/>
        <w:jc w:val="both"/>
        <w:rPr>
          <w:rFonts w:ascii="Arial" w:hAnsi="Arial" w:cs="Arial"/>
          <w:bCs/>
          <w:iCs/>
        </w:rPr>
      </w:pPr>
      <w:r>
        <w:rPr>
          <w:rFonts w:ascii="Arial" w:hAnsi="Arial" w:cs="Arial"/>
          <w:bCs/>
          <w:iCs/>
        </w:rPr>
        <w:t xml:space="preserve">If draft recommendation 6.8 were implemented lawyers may be put in the position of having to advise clients that their information might be disclosed if they are investigated. This may put some clients off getting legal advice and their problems may escalate and/or remain unresolved.   </w:t>
      </w:r>
    </w:p>
    <w:p w14:paraId="50BF3630" w14:textId="77777777" w:rsidR="00D60D65" w:rsidRPr="004753EF" w:rsidRDefault="00D60D65" w:rsidP="00095E1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hanging="11"/>
        <w:jc w:val="both"/>
        <w:rPr>
          <w:rFonts w:ascii="Arial" w:hAnsi="Arial" w:cs="Arial"/>
          <w:bCs/>
          <w:iCs/>
        </w:rPr>
      </w:pPr>
      <w:r w:rsidRPr="00D60D65">
        <w:rPr>
          <w:rFonts w:ascii="Arial" w:hAnsi="Arial" w:cs="Arial"/>
          <w:b/>
          <w:bCs/>
          <w:iCs/>
        </w:rPr>
        <w:t>Recommendation</w:t>
      </w:r>
      <w:r>
        <w:rPr>
          <w:rFonts w:ascii="Arial" w:hAnsi="Arial" w:cs="Arial"/>
          <w:bCs/>
          <w:iCs/>
        </w:rPr>
        <w:t>: The Commission remove draft recommendation 6.8.</w:t>
      </w:r>
    </w:p>
    <w:p w14:paraId="528E9D70" w14:textId="77777777" w:rsidR="00C45753" w:rsidRDefault="00CE7367" w:rsidP="00095E11">
      <w:pPr>
        <w:pStyle w:val="Rec"/>
        <w:spacing w:before="0" w:after="120" w:line="240" w:lineRule="auto"/>
        <w:contextualSpacing/>
        <w:rPr>
          <w:rFonts w:ascii="Arial" w:hAnsi="Arial" w:cs="Arial"/>
          <w:i w:val="0"/>
          <w:sz w:val="22"/>
          <w:szCs w:val="22"/>
          <w:u w:val="single"/>
        </w:rPr>
      </w:pPr>
      <w:r>
        <w:rPr>
          <w:rFonts w:ascii="Arial" w:hAnsi="Arial" w:cs="Arial"/>
          <w:i w:val="0"/>
          <w:sz w:val="22"/>
          <w:szCs w:val="22"/>
          <w:u w:val="single"/>
        </w:rPr>
        <w:lastRenderedPageBreak/>
        <w:t xml:space="preserve">Chapter 7: </w:t>
      </w:r>
      <w:r w:rsidR="00C45753">
        <w:rPr>
          <w:rFonts w:ascii="Arial" w:hAnsi="Arial" w:cs="Arial"/>
          <w:i w:val="0"/>
          <w:sz w:val="22"/>
          <w:szCs w:val="22"/>
          <w:u w:val="single"/>
        </w:rPr>
        <w:t>A responsive legal profession</w:t>
      </w:r>
    </w:p>
    <w:p w14:paraId="443AAEE6" w14:textId="77777777" w:rsidR="00C45753" w:rsidRPr="00C45753" w:rsidRDefault="00C45753" w:rsidP="00095E11">
      <w:pPr>
        <w:pStyle w:val="Rec"/>
        <w:spacing w:before="0" w:after="120" w:line="240" w:lineRule="auto"/>
        <w:contextualSpacing/>
        <w:rPr>
          <w:rFonts w:ascii="Arial" w:hAnsi="Arial" w:cs="Arial"/>
          <w:i w:val="0"/>
          <w:sz w:val="22"/>
          <w:szCs w:val="22"/>
          <w:u w:val="single"/>
        </w:rPr>
      </w:pPr>
    </w:p>
    <w:p w14:paraId="1A5485E6" w14:textId="77777777" w:rsidR="00FF571A" w:rsidRPr="00C45753" w:rsidRDefault="00FF571A" w:rsidP="00095E11">
      <w:pPr>
        <w:pStyle w:val="Rec"/>
        <w:pBdr>
          <w:top w:val="single" w:sz="4" w:space="1" w:color="auto"/>
          <w:left w:val="single" w:sz="4" w:space="4" w:color="auto"/>
          <w:bottom w:val="single" w:sz="4" w:space="1" w:color="auto"/>
          <w:right w:val="single" w:sz="4" w:space="4" w:color="auto"/>
        </w:pBdr>
        <w:spacing w:before="0" w:after="120" w:line="240" w:lineRule="auto"/>
        <w:contextualSpacing/>
        <w:rPr>
          <w:rFonts w:ascii="Arial" w:hAnsi="Arial" w:cs="Arial"/>
          <w:b w:val="0"/>
          <w:i w:val="0"/>
          <w:sz w:val="22"/>
          <w:szCs w:val="22"/>
        </w:rPr>
      </w:pPr>
      <w:r w:rsidRPr="00C45753">
        <w:rPr>
          <w:rFonts w:ascii="Arial" w:hAnsi="Arial" w:cs="Arial"/>
          <w:b w:val="0"/>
          <w:i w:val="0"/>
          <w:sz w:val="22"/>
          <w:szCs w:val="22"/>
          <w:u w:val="single"/>
        </w:rPr>
        <w:t>Draft recommendation 7.1</w:t>
      </w:r>
      <w:r w:rsidRPr="00C45753">
        <w:rPr>
          <w:rFonts w:ascii="Arial" w:hAnsi="Arial" w:cs="Arial"/>
          <w:b w:val="0"/>
          <w:i w:val="0"/>
          <w:sz w:val="22"/>
          <w:szCs w:val="22"/>
        </w:rPr>
        <w:t>: The Commonwealth Government, in consultation with state and territory governments, jurisdictional legal authorities, universities and the profession, should conduct a holistic review of the current status of the three stages of legal education (university, practical legal training and obtaining a practising certificate). The review should consider:</w:t>
      </w:r>
    </w:p>
    <w:p w14:paraId="37A181F3" w14:textId="77777777" w:rsidR="00FF571A" w:rsidRPr="00C45753" w:rsidRDefault="00FF571A" w:rsidP="00095E11">
      <w:pPr>
        <w:pStyle w:val="RecBullet"/>
        <w:pBdr>
          <w:top w:val="single" w:sz="4" w:space="1" w:color="auto"/>
          <w:left w:val="single" w:sz="4" w:space="4" w:color="auto"/>
          <w:bottom w:val="single" w:sz="4" w:space="1" w:color="auto"/>
          <w:right w:val="single" w:sz="4" w:space="4" w:color="auto"/>
        </w:pBdr>
        <w:tabs>
          <w:tab w:val="clear" w:pos="340"/>
          <w:tab w:val="num" w:pos="567"/>
        </w:tabs>
        <w:spacing w:before="0" w:after="120" w:line="240" w:lineRule="auto"/>
        <w:ind w:left="567" w:hanging="567"/>
        <w:contextualSpacing/>
        <w:rPr>
          <w:rFonts w:ascii="Arial" w:hAnsi="Arial" w:cs="Arial"/>
          <w:b w:val="0"/>
          <w:i w:val="0"/>
          <w:sz w:val="22"/>
          <w:szCs w:val="22"/>
        </w:rPr>
      </w:pPr>
      <w:r w:rsidRPr="00C45753">
        <w:rPr>
          <w:rFonts w:ascii="Arial" w:hAnsi="Arial" w:cs="Arial"/>
          <w:b w:val="0"/>
          <w:i w:val="0"/>
          <w:sz w:val="22"/>
          <w:szCs w:val="22"/>
        </w:rPr>
        <w:t xml:space="preserve">the appropriate role of, and overall balance between, each of the three stages of legal education and training </w:t>
      </w:r>
    </w:p>
    <w:p w14:paraId="4A03265C" w14:textId="77777777" w:rsidR="00FF571A" w:rsidRPr="00C45753" w:rsidRDefault="00FF571A" w:rsidP="00095E11">
      <w:pPr>
        <w:pStyle w:val="RecBullet"/>
        <w:pBdr>
          <w:top w:val="single" w:sz="4" w:space="1" w:color="auto"/>
          <w:left w:val="single" w:sz="4" w:space="4" w:color="auto"/>
          <w:bottom w:val="single" w:sz="4" w:space="1" w:color="auto"/>
          <w:right w:val="single" w:sz="4" w:space="4" w:color="auto"/>
        </w:pBdr>
        <w:tabs>
          <w:tab w:val="clear" w:pos="340"/>
          <w:tab w:val="num" w:pos="567"/>
        </w:tabs>
        <w:spacing w:before="0" w:after="120" w:line="240" w:lineRule="auto"/>
        <w:ind w:left="567" w:hanging="567"/>
        <w:contextualSpacing/>
        <w:rPr>
          <w:rFonts w:ascii="Arial" w:hAnsi="Arial" w:cs="Arial"/>
          <w:b w:val="0"/>
          <w:i w:val="0"/>
          <w:sz w:val="22"/>
          <w:szCs w:val="22"/>
        </w:rPr>
      </w:pPr>
      <w:r w:rsidRPr="00C45753">
        <w:rPr>
          <w:rFonts w:ascii="Arial" w:hAnsi="Arial" w:cs="Arial"/>
          <w:b w:val="0"/>
          <w:i w:val="0"/>
          <w:sz w:val="22"/>
          <w:szCs w:val="22"/>
        </w:rPr>
        <w:t>the ongoing need for the ‘Priestley 11’ core subjects in law degrees</w:t>
      </w:r>
    </w:p>
    <w:p w14:paraId="75E38484" w14:textId="77777777" w:rsidR="00FF571A" w:rsidRPr="00C45753" w:rsidRDefault="00FF571A" w:rsidP="00095E11">
      <w:pPr>
        <w:pStyle w:val="RecBullet"/>
        <w:pBdr>
          <w:top w:val="single" w:sz="4" w:space="1" w:color="auto"/>
          <w:left w:val="single" w:sz="4" w:space="4" w:color="auto"/>
          <w:bottom w:val="single" w:sz="4" w:space="1" w:color="auto"/>
          <w:right w:val="single" w:sz="4" w:space="4" w:color="auto"/>
        </w:pBdr>
        <w:tabs>
          <w:tab w:val="clear" w:pos="340"/>
          <w:tab w:val="num" w:pos="567"/>
        </w:tabs>
        <w:spacing w:before="0" w:after="120" w:line="240" w:lineRule="auto"/>
        <w:ind w:left="567" w:hanging="567"/>
        <w:contextualSpacing/>
        <w:rPr>
          <w:rFonts w:ascii="Arial" w:hAnsi="Arial" w:cs="Arial"/>
          <w:b w:val="0"/>
          <w:i w:val="0"/>
          <w:sz w:val="22"/>
          <w:szCs w:val="22"/>
        </w:rPr>
      </w:pPr>
      <w:r w:rsidRPr="00C45753">
        <w:rPr>
          <w:rFonts w:ascii="Arial" w:hAnsi="Arial" w:cs="Arial"/>
          <w:b w:val="0"/>
          <w:i w:val="0"/>
          <w:sz w:val="22"/>
          <w:szCs w:val="22"/>
        </w:rPr>
        <w:t>the best way to incorporate the full range of legal dispute resolution options, including non</w:t>
      </w:r>
      <w:r w:rsidRPr="00C45753">
        <w:rPr>
          <w:rFonts w:ascii="Arial" w:hAnsi="Arial" w:cs="Arial"/>
          <w:b w:val="0"/>
          <w:i w:val="0"/>
          <w:sz w:val="22"/>
          <w:szCs w:val="22"/>
        </w:rPr>
        <w:noBreakHyphen/>
        <w:t>adversarial and non</w:t>
      </w:r>
      <w:r w:rsidRPr="00C45753">
        <w:rPr>
          <w:rFonts w:ascii="Arial" w:hAnsi="Arial" w:cs="Arial"/>
          <w:b w:val="0"/>
          <w:i w:val="0"/>
          <w:sz w:val="22"/>
          <w:szCs w:val="22"/>
        </w:rPr>
        <w:noBreakHyphen/>
        <w:t xml:space="preserve">court (such as tribunal) options, and the ability to match the most appropriate resolution option to the dispute type and characteristics, into one (or more) of the stages of legal education </w:t>
      </w:r>
    </w:p>
    <w:p w14:paraId="345FA7C7" w14:textId="77777777" w:rsidR="00FF571A" w:rsidRPr="00C45753" w:rsidRDefault="00FF571A" w:rsidP="00095E11">
      <w:pPr>
        <w:pStyle w:val="RecBullet"/>
        <w:pBdr>
          <w:top w:val="single" w:sz="4" w:space="1" w:color="auto"/>
          <w:left w:val="single" w:sz="4" w:space="4" w:color="auto"/>
          <w:bottom w:val="single" w:sz="4" w:space="1" w:color="auto"/>
          <w:right w:val="single" w:sz="4" w:space="4" w:color="auto"/>
        </w:pBdr>
        <w:tabs>
          <w:tab w:val="clear" w:pos="340"/>
          <w:tab w:val="num" w:pos="567"/>
        </w:tabs>
        <w:spacing w:before="0" w:after="120" w:line="240" w:lineRule="auto"/>
        <w:ind w:left="567" w:hanging="567"/>
        <w:contextualSpacing/>
        <w:rPr>
          <w:rFonts w:ascii="Arial" w:hAnsi="Arial" w:cs="Arial"/>
          <w:b w:val="0"/>
          <w:i w:val="0"/>
          <w:sz w:val="22"/>
          <w:szCs w:val="22"/>
        </w:rPr>
      </w:pPr>
      <w:r w:rsidRPr="00C45753">
        <w:rPr>
          <w:rFonts w:ascii="Arial" w:hAnsi="Arial" w:cs="Arial"/>
          <w:b w:val="0"/>
          <w:i w:val="0"/>
          <w:sz w:val="22"/>
          <w:szCs w:val="22"/>
        </w:rPr>
        <w:t>the relative merits of increased clinical legal education at the university or practical training stages of education</w:t>
      </w:r>
    </w:p>
    <w:p w14:paraId="54B43F74" w14:textId="77777777" w:rsidR="00FF571A" w:rsidRPr="00C45753" w:rsidRDefault="00FF571A" w:rsidP="00095E11">
      <w:pPr>
        <w:pStyle w:val="RecBullet"/>
        <w:pBdr>
          <w:top w:val="single" w:sz="4" w:space="1" w:color="auto"/>
          <w:left w:val="single" w:sz="4" w:space="4" w:color="auto"/>
          <w:bottom w:val="single" w:sz="4" w:space="1" w:color="auto"/>
          <w:right w:val="single" w:sz="4" w:space="4" w:color="auto"/>
        </w:pBdr>
        <w:tabs>
          <w:tab w:val="clear" w:pos="340"/>
          <w:tab w:val="num" w:pos="567"/>
        </w:tabs>
        <w:spacing w:before="0" w:after="120" w:line="240" w:lineRule="auto"/>
        <w:ind w:left="567" w:hanging="567"/>
        <w:contextualSpacing/>
        <w:rPr>
          <w:rFonts w:ascii="Arial" w:hAnsi="Arial" w:cs="Arial"/>
          <w:b w:val="0"/>
          <w:i w:val="0"/>
          <w:sz w:val="22"/>
          <w:szCs w:val="22"/>
        </w:rPr>
      </w:pPr>
      <w:r w:rsidRPr="00C45753">
        <w:rPr>
          <w:rFonts w:ascii="Arial" w:hAnsi="Arial" w:cs="Arial"/>
          <w:b w:val="0"/>
          <w:i w:val="0"/>
          <w:sz w:val="22"/>
          <w:szCs w:val="22"/>
        </w:rPr>
        <w:t>the nature of tasks that could appropriately be conducted by individuals who have been admitted to practise but do not hold practising certificates.</w:t>
      </w:r>
    </w:p>
    <w:p w14:paraId="2CFC0D42" w14:textId="77777777" w:rsidR="0009065B" w:rsidRDefault="0009065B" w:rsidP="00095E11">
      <w:pPr>
        <w:pStyle w:val="RecBullet"/>
        <w:numPr>
          <w:ilvl w:val="0"/>
          <w:numId w:val="0"/>
        </w:numPr>
        <w:spacing w:before="0" w:after="120" w:line="240" w:lineRule="auto"/>
        <w:contextualSpacing/>
        <w:rPr>
          <w:rFonts w:ascii="Arial" w:hAnsi="Arial" w:cs="Arial"/>
          <w:b w:val="0"/>
          <w:i w:val="0"/>
          <w:sz w:val="22"/>
          <w:szCs w:val="22"/>
        </w:rPr>
      </w:pPr>
    </w:p>
    <w:p w14:paraId="21F32DE4" w14:textId="1D213609" w:rsidR="00CC407D" w:rsidRDefault="00C45753" w:rsidP="00095E11">
      <w:pPr>
        <w:pStyle w:val="RecBullet"/>
        <w:numPr>
          <w:ilvl w:val="0"/>
          <w:numId w:val="0"/>
        </w:numPr>
        <w:spacing w:before="0" w:after="120" w:line="240" w:lineRule="auto"/>
        <w:contextualSpacing/>
        <w:rPr>
          <w:rFonts w:ascii="Arial" w:hAnsi="Arial" w:cs="Arial"/>
          <w:b w:val="0"/>
          <w:i w:val="0"/>
          <w:sz w:val="22"/>
          <w:szCs w:val="22"/>
        </w:rPr>
      </w:pPr>
      <w:proofErr w:type="spellStart"/>
      <w:r>
        <w:rPr>
          <w:rFonts w:ascii="Arial" w:hAnsi="Arial" w:cs="Arial"/>
          <w:b w:val="0"/>
          <w:i w:val="0"/>
          <w:sz w:val="22"/>
          <w:szCs w:val="22"/>
        </w:rPr>
        <w:t>KLC</w:t>
      </w:r>
      <w:proofErr w:type="spellEnd"/>
      <w:r w:rsidR="00CC407D" w:rsidRPr="00CC407D">
        <w:rPr>
          <w:rFonts w:ascii="Arial" w:hAnsi="Arial" w:cs="Arial"/>
          <w:b w:val="0"/>
          <w:i w:val="0"/>
          <w:sz w:val="22"/>
          <w:szCs w:val="22"/>
        </w:rPr>
        <w:t xml:space="preserve">, as well as being a </w:t>
      </w:r>
      <w:proofErr w:type="spellStart"/>
      <w:r>
        <w:rPr>
          <w:rFonts w:ascii="Arial" w:hAnsi="Arial" w:cs="Arial"/>
          <w:b w:val="0"/>
          <w:i w:val="0"/>
          <w:sz w:val="22"/>
          <w:szCs w:val="22"/>
        </w:rPr>
        <w:t>CLC</w:t>
      </w:r>
      <w:proofErr w:type="spellEnd"/>
      <w:r w:rsidR="00CC407D" w:rsidRPr="00CC407D">
        <w:rPr>
          <w:rFonts w:ascii="Arial" w:hAnsi="Arial" w:cs="Arial"/>
          <w:b w:val="0"/>
          <w:i w:val="0"/>
          <w:sz w:val="22"/>
          <w:szCs w:val="22"/>
        </w:rPr>
        <w:t>, is also part of the Faculty of Law, University of New South Wales (</w:t>
      </w:r>
      <w:proofErr w:type="spellStart"/>
      <w:r w:rsidR="00CC407D" w:rsidRPr="0009065B">
        <w:rPr>
          <w:rFonts w:ascii="Arial" w:hAnsi="Arial" w:cs="Arial"/>
          <w:i w:val="0"/>
          <w:sz w:val="22"/>
          <w:szCs w:val="22"/>
        </w:rPr>
        <w:t>UNSW</w:t>
      </w:r>
      <w:proofErr w:type="spellEnd"/>
      <w:r w:rsidR="00CC407D" w:rsidRPr="00CC407D">
        <w:rPr>
          <w:rFonts w:ascii="Arial" w:hAnsi="Arial" w:cs="Arial"/>
          <w:b w:val="0"/>
          <w:i w:val="0"/>
          <w:sz w:val="22"/>
          <w:szCs w:val="22"/>
        </w:rPr>
        <w:t>).  It delivers a range of clinical legal education courses for the Faculty of Law.  Clinical legal education differs from practical legal education because students gain academic credit for courses they study.</w:t>
      </w:r>
      <w:r>
        <w:rPr>
          <w:rStyle w:val="FootnoteReference"/>
          <w:rFonts w:ascii="Arial" w:hAnsi="Arial" w:cs="Arial"/>
          <w:b w:val="0"/>
          <w:i w:val="0"/>
          <w:sz w:val="22"/>
          <w:szCs w:val="22"/>
        </w:rPr>
        <w:footnoteReference w:id="2"/>
      </w:r>
      <w:r w:rsidR="0009065B">
        <w:rPr>
          <w:rFonts w:ascii="Arial" w:hAnsi="Arial" w:cs="Arial"/>
          <w:b w:val="0"/>
          <w:i w:val="0"/>
          <w:sz w:val="22"/>
          <w:szCs w:val="22"/>
        </w:rPr>
        <w:t xml:space="preserve"> </w:t>
      </w:r>
      <w:r w:rsidR="00CC407D" w:rsidRPr="00CC407D">
        <w:rPr>
          <w:rFonts w:ascii="Arial" w:hAnsi="Arial" w:cs="Arial"/>
          <w:b w:val="0"/>
          <w:i w:val="0"/>
          <w:sz w:val="22"/>
          <w:szCs w:val="22"/>
        </w:rPr>
        <w:t>While students are given responsibility for cases, or community education or law reform projects, their courses also include specific learning object</w:t>
      </w:r>
      <w:r w:rsidR="0009065B">
        <w:rPr>
          <w:rFonts w:ascii="Arial" w:hAnsi="Arial" w:cs="Arial"/>
          <w:b w:val="0"/>
          <w:i w:val="0"/>
          <w:sz w:val="22"/>
          <w:szCs w:val="22"/>
        </w:rPr>
        <w:t>ives and include a weekly class</w:t>
      </w:r>
      <w:r w:rsidR="00CC407D" w:rsidRPr="00CC407D">
        <w:rPr>
          <w:rFonts w:ascii="Arial" w:hAnsi="Arial" w:cs="Arial"/>
          <w:b w:val="0"/>
          <w:i w:val="0"/>
          <w:sz w:val="22"/>
          <w:szCs w:val="22"/>
        </w:rPr>
        <w:t>room component.  Clinical legal education is highly effective as a means for teaching the substantive law, skills and also to develop students’ critical capacity to analyse the legal system, their role as a future lawyer and the place of disadvantaged clients within it.</w:t>
      </w:r>
    </w:p>
    <w:p w14:paraId="09345B20" w14:textId="77777777" w:rsidR="00CC407D" w:rsidRDefault="00CC407D" w:rsidP="00095E11">
      <w:pPr>
        <w:pStyle w:val="RecBullet"/>
        <w:numPr>
          <w:ilvl w:val="0"/>
          <w:numId w:val="0"/>
        </w:numPr>
        <w:spacing w:before="0" w:after="120" w:line="240" w:lineRule="auto"/>
        <w:contextualSpacing/>
        <w:rPr>
          <w:rFonts w:ascii="Arial" w:hAnsi="Arial" w:cs="Arial"/>
          <w:b w:val="0"/>
          <w:i w:val="0"/>
          <w:sz w:val="22"/>
          <w:szCs w:val="22"/>
        </w:rPr>
      </w:pPr>
    </w:p>
    <w:p w14:paraId="4D5446DA" w14:textId="6D0AF758" w:rsidR="00CC407D" w:rsidRDefault="00CC407D" w:rsidP="00095E11">
      <w:pPr>
        <w:pStyle w:val="RecBullet"/>
        <w:numPr>
          <w:ilvl w:val="0"/>
          <w:numId w:val="0"/>
        </w:numPr>
        <w:spacing w:before="0" w:after="120" w:line="240" w:lineRule="auto"/>
        <w:contextualSpacing/>
        <w:rPr>
          <w:rFonts w:ascii="Arial" w:hAnsi="Arial" w:cs="Arial"/>
          <w:b w:val="0"/>
          <w:i w:val="0"/>
          <w:sz w:val="22"/>
          <w:szCs w:val="22"/>
        </w:rPr>
      </w:pPr>
      <w:r>
        <w:rPr>
          <w:rFonts w:ascii="Arial" w:hAnsi="Arial" w:cs="Arial"/>
          <w:b w:val="0"/>
          <w:i w:val="0"/>
          <w:sz w:val="22"/>
          <w:szCs w:val="22"/>
        </w:rPr>
        <w:t xml:space="preserve">Clinical legal education is recognised as being a highly effective methodology for teaching law, however it </w:t>
      </w:r>
      <w:r w:rsidR="00E61D28">
        <w:rPr>
          <w:rFonts w:ascii="Arial" w:hAnsi="Arial" w:cs="Arial"/>
          <w:b w:val="0"/>
          <w:i w:val="0"/>
          <w:sz w:val="22"/>
          <w:szCs w:val="22"/>
        </w:rPr>
        <w:t xml:space="preserve">is </w:t>
      </w:r>
      <w:r>
        <w:rPr>
          <w:rFonts w:ascii="Arial" w:hAnsi="Arial" w:cs="Arial"/>
          <w:b w:val="0"/>
          <w:i w:val="0"/>
          <w:sz w:val="22"/>
          <w:szCs w:val="22"/>
        </w:rPr>
        <w:t xml:space="preserve">also an </w:t>
      </w:r>
      <w:r w:rsidR="002E00D7">
        <w:rPr>
          <w:rFonts w:ascii="Arial" w:hAnsi="Arial" w:cs="Arial"/>
          <w:b w:val="0"/>
          <w:i w:val="0"/>
          <w:sz w:val="22"/>
          <w:szCs w:val="22"/>
        </w:rPr>
        <w:t xml:space="preserve">expensive way of teaching law. </w:t>
      </w:r>
      <w:r>
        <w:rPr>
          <w:rFonts w:ascii="Arial" w:hAnsi="Arial" w:cs="Arial"/>
          <w:b w:val="0"/>
          <w:i w:val="0"/>
          <w:sz w:val="22"/>
          <w:szCs w:val="22"/>
        </w:rPr>
        <w:t xml:space="preserve">Due to </w:t>
      </w:r>
      <w:r w:rsidR="00E61D28">
        <w:rPr>
          <w:rFonts w:ascii="Arial" w:hAnsi="Arial" w:cs="Arial"/>
          <w:b w:val="0"/>
          <w:i w:val="0"/>
          <w:sz w:val="22"/>
          <w:szCs w:val="22"/>
        </w:rPr>
        <w:t xml:space="preserve">its </w:t>
      </w:r>
      <w:r>
        <w:rPr>
          <w:rFonts w:ascii="Arial" w:hAnsi="Arial" w:cs="Arial"/>
          <w:b w:val="0"/>
          <w:i w:val="0"/>
          <w:sz w:val="22"/>
          <w:szCs w:val="22"/>
        </w:rPr>
        <w:t xml:space="preserve">effectiveness we submit it should be used in </w:t>
      </w:r>
      <w:r w:rsidR="0009065B">
        <w:rPr>
          <w:rFonts w:ascii="Arial" w:hAnsi="Arial" w:cs="Arial"/>
          <w:b w:val="0"/>
          <w:i w:val="0"/>
          <w:sz w:val="22"/>
          <w:szCs w:val="22"/>
        </w:rPr>
        <w:t>all</w:t>
      </w:r>
      <w:r>
        <w:rPr>
          <w:rFonts w:ascii="Arial" w:hAnsi="Arial" w:cs="Arial"/>
          <w:b w:val="0"/>
          <w:i w:val="0"/>
          <w:sz w:val="22"/>
          <w:szCs w:val="22"/>
        </w:rPr>
        <w:t xml:space="preserve"> law schools to ensure good learning outcomes for law students.</w:t>
      </w:r>
    </w:p>
    <w:p w14:paraId="40E2E40A" w14:textId="3C56AE48" w:rsidR="0009065B" w:rsidRPr="0009065B" w:rsidRDefault="0009065B" w:rsidP="0009065B">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hanging="11"/>
        <w:jc w:val="both"/>
        <w:rPr>
          <w:rFonts w:ascii="Arial" w:hAnsi="Arial" w:cs="Arial"/>
          <w:bCs/>
          <w:iCs/>
        </w:rPr>
      </w:pPr>
      <w:r w:rsidRPr="00D60D65">
        <w:rPr>
          <w:rFonts w:ascii="Arial" w:hAnsi="Arial" w:cs="Arial"/>
          <w:b/>
          <w:bCs/>
          <w:iCs/>
        </w:rPr>
        <w:t>Recommendation</w:t>
      </w:r>
      <w:r>
        <w:rPr>
          <w:rFonts w:ascii="Arial" w:hAnsi="Arial" w:cs="Arial"/>
          <w:bCs/>
          <w:iCs/>
        </w:rPr>
        <w:t>: Clinical legal education be used in all law schools.</w:t>
      </w:r>
    </w:p>
    <w:p w14:paraId="6468DCEA" w14:textId="032B973D" w:rsidR="0009065B" w:rsidRDefault="002440BE" w:rsidP="00095E11">
      <w:pPr>
        <w:pStyle w:val="RecBullet"/>
        <w:numPr>
          <w:ilvl w:val="0"/>
          <w:numId w:val="0"/>
        </w:numPr>
        <w:spacing w:before="0" w:after="120" w:line="240" w:lineRule="auto"/>
        <w:contextualSpacing/>
        <w:rPr>
          <w:rFonts w:ascii="Arial" w:hAnsi="Arial" w:cs="Arial"/>
          <w:b w:val="0"/>
          <w:i w:val="0"/>
          <w:sz w:val="22"/>
          <w:szCs w:val="22"/>
        </w:rPr>
      </w:pPr>
      <w:r>
        <w:rPr>
          <w:rFonts w:ascii="Arial" w:hAnsi="Arial" w:cs="Arial"/>
          <w:b w:val="0"/>
          <w:i w:val="0"/>
          <w:sz w:val="22"/>
          <w:szCs w:val="22"/>
        </w:rPr>
        <w:t>We support a review to examine the th</w:t>
      </w:r>
      <w:r w:rsidR="0009065B">
        <w:rPr>
          <w:rFonts w:ascii="Arial" w:hAnsi="Arial" w:cs="Arial"/>
          <w:b w:val="0"/>
          <w:i w:val="0"/>
          <w:sz w:val="22"/>
          <w:szCs w:val="22"/>
        </w:rPr>
        <w:t xml:space="preserve">ree stages of legal education. </w:t>
      </w:r>
      <w:r>
        <w:rPr>
          <w:rFonts w:ascii="Arial" w:hAnsi="Arial" w:cs="Arial"/>
          <w:b w:val="0"/>
          <w:i w:val="0"/>
          <w:sz w:val="22"/>
          <w:szCs w:val="22"/>
        </w:rPr>
        <w:t xml:space="preserve">The use of the ‘Priestley 11’ is </w:t>
      </w:r>
      <w:r w:rsidR="0009065B">
        <w:rPr>
          <w:rFonts w:ascii="Arial" w:hAnsi="Arial" w:cs="Arial"/>
          <w:b w:val="0"/>
          <w:i w:val="0"/>
          <w:sz w:val="22"/>
          <w:szCs w:val="22"/>
        </w:rPr>
        <w:t>outdated</w:t>
      </w:r>
      <w:r>
        <w:rPr>
          <w:rFonts w:ascii="Arial" w:hAnsi="Arial" w:cs="Arial"/>
          <w:b w:val="0"/>
          <w:i w:val="0"/>
          <w:sz w:val="22"/>
          <w:szCs w:val="22"/>
        </w:rPr>
        <w:t xml:space="preserve"> and limited in it</w:t>
      </w:r>
      <w:r w:rsidR="0009065B">
        <w:rPr>
          <w:rFonts w:ascii="Arial" w:hAnsi="Arial" w:cs="Arial"/>
          <w:b w:val="0"/>
          <w:i w:val="0"/>
          <w:sz w:val="22"/>
          <w:szCs w:val="22"/>
        </w:rPr>
        <w:t xml:space="preserve">s focus on the content of law. </w:t>
      </w:r>
      <w:r>
        <w:rPr>
          <w:rFonts w:ascii="Arial" w:hAnsi="Arial" w:cs="Arial"/>
          <w:b w:val="0"/>
          <w:i w:val="0"/>
          <w:sz w:val="22"/>
          <w:szCs w:val="22"/>
        </w:rPr>
        <w:t>This is instead of, the skills needed by lawyers such as analytic reasoning, ethical understanding and application, dispute resolution mechanisms.</w:t>
      </w:r>
      <w:r w:rsidR="0009065B">
        <w:rPr>
          <w:rFonts w:ascii="Arial" w:hAnsi="Arial" w:cs="Arial"/>
          <w:b w:val="0"/>
          <w:i w:val="0"/>
          <w:sz w:val="22"/>
          <w:szCs w:val="22"/>
        </w:rPr>
        <w:t xml:space="preserve"> </w:t>
      </w:r>
      <w:r w:rsidR="00FF4054">
        <w:rPr>
          <w:rFonts w:ascii="Arial" w:hAnsi="Arial" w:cs="Arial"/>
          <w:b w:val="0"/>
          <w:i w:val="0"/>
          <w:sz w:val="22"/>
          <w:szCs w:val="22"/>
        </w:rPr>
        <w:t>It has been well recognised in the USA as well as Australia that law schools should integrate “the teaching of knowledge, skills and values and not treat them as separate subjects addressed in separate courses.”</w:t>
      </w:r>
      <w:r w:rsidR="00FF4054">
        <w:rPr>
          <w:rStyle w:val="FootnoteReference"/>
          <w:rFonts w:ascii="Arial" w:hAnsi="Arial" w:cs="Arial"/>
          <w:b w:val="0"/>
          <w:i w:val="0"/>
          <w:sz w:val="22"/>
          <w:szCs w:val="22"/>
        </w:rPr>
        <w:footnoteReference w:id="3"/>
      </w:r>
    </w:p>
    <w:p w14:paraId="2D65C585" w14:textId="41B2CB3C" w:rsidR="0009065B" w:rsidRPr="0009065B" w:rsidRDefault="0009065B" w:rsidP="0009065B">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hanging="11"/>
        <w:jc w:val="both"/>
        <w:rPr>
          <w:rFonts w:ascii="Arial" w:hAnsi="Arial" w:cs="Arial"/>
          <w:bCs/>
          <w:iCs/>
        </w:rPr>
      </w:pPr>
      <w:r w:rsidRPr="00D60D65">
        <w:rPr>
          <w:rFonts w:ascii="Arial" w:hAnsi="Arial" w:cs="Arial"/>
          <w:b/>
          <w:bCs/>
          <w:iCs/>
        </w:rPr>
        <w:t>Recommendation</w:t>
      </w:r>
      <w:r>
        <w:rPr>
          <w:rFonts w:ascii="Arial" w:hAnsi="Arial" w:cs="Arial"/>
          <w:bCs/>
          <w:iCs/>
        </w:rPr>
        <w:t>: All law schools should review the appropriateness of using the ‘Priestley 11’ to teach law students.</w:t>
      </w:r>
    </w:p>
    <w:p w14:paraId="332098B2" w14:textId="77777777" w:rsidR="00FF571A" w:rsidRPr="00C45753" w:rsidRDefault="00FF571A"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C45753">
        <w:rPr>
          <w:rFonts w:ascii="Arial" w:hAnsi="Arial" w:cs="Arial"/>
          <w:u w:val="single"/>
        </w:rPr>
        <w:lastRenderedPageBreak/>
        <w:t>Information request 7.4</w:t>
      </w:r>
      <w:r w:rsidRPr="00C45753">
        <w:rPr>
          <w:rFonts w:ascii="Arial" w:hAnsi="Arial" w:cs="Arial"/>
        </w:rPr>
        <w:t>: How should money from ‘public purposes’ funds be most efficiently used?</w:t>
      </w:r>
    </w:p>
    <w:p w14:paraId="048EAA0D" w14:textId="77777777" w:rsidR="00FF571A" w:rsidRDefault="00FF571A" w:rsidP="00095E11">
      <w:pPr>
        <w:spacing w:after="0" w:line="240" w:lineRule="auto"/>
        <w:jc w:val="both"/>
        <w:rPr>
          <w:rFonts w:ascii="Arial" w:hAnsi="Arial" w:cs="Arial"/>
        </w:rPr>
      </w:pPr>
    </w:p>
    <w:p w14:paraId="701E6FD7" w14:textId="77777777" w:rsidR="0054063B" w:rsidRDefault="009A7FED" w:rsidP="00095E11">
      <w:pPr>
        <w:spacing w:after="0" w:line="240" w:lineRule="auto"/>
        <w:jc w:val="both"/>
        <w:rPr>
          <w:rFonts w:ascii="Arial" w:hAnsi="Arial" w:cs="Arial"/>
        </w:rPr>
      </w:pPr>
      <w:r>
        <w:rPr>
          <w:rFonts w:ascii="Arial" w:hAnsi="Arial" w:cs="Arial"/>
        </w:rPr>
        <w:t xml:space="preserve">The </w:t>
      </w:r>
      <w:r w:rsidR="00997E11">
        <w:rPr>
          <w:rFonts w:ascii="Arial" w:hAnsi="Arial" w:cs="Arial"/>
        </w:rPr>
        <w:t xml:space="preserve">Legal Aid </w:t>
      </w:r>
      <w:r>
        <w:rPr>
          <w:rFonts w:ascii="Arial" w:hAnsi="Arial" w:cs="Arial"/>
        </w:rPr>
        <w:t xml:space="preserve">Commission of </w:t>
      </w:r>
      <w:r w:rsidR="00997E11">
        <w:rPr>
          <w:rFonts w:ascii="Arial" w:hAnsi="Arial" w:cs="Arial"/>
        </w:rPr>
        <w:t xml:space="preserve">NSW </w:t>
      </w:r>
      <w:r>
        <w:rPr>
          <w:rFonts w:ascii="Arial" w:hAnsi="Arial" w:cs="Arial"/>
        </w:rPr>
        <w:t>(</w:t>
      </w:r>
      <w:r w:rsidRPr="00A95CBC">
        <w:rPr>
          <w:rFonts w:ascii="Arial" w:hAnsi="Arial" w:cs="Arial"/>
          <w:b/>
        </w:rPr>
        <w:t>LAC</w:t>
      </w:r>
      <w:r>
        <w:rPr>
          <w:rFonts w:ascii="Arial" w:hAnsi="Arial" w:cs="Arial"/>
        </w:rPr>
        <w:t xml:space="preserve">) </w:t>
      </w:r>
      <w:r w:rsidR="00997E11">
        <w:rPr>
          <w:rFonts w:ascii="Arial" w:hAnsi="Arial" w:cs="Arial"/>
        </w:rPr>
        <w:t xml:space="preserve">administers </w:t>
      </w:r>
      <w:r>
        <w:rPr>
          <w:rFonts w:ascii="Arial" w:hAnsi="Arial" w:cs="Arial"/>
        </w:rPr>
        <w:t xml:space="preserve">the </w:t>
      </w:r>
      <w:r w:rsidR="00997E11">
        <w:rPr>
          <w:rFonts w:ascii="Arial" w:hAnsi="Arial" w:cs="Arial"/>
        </w:rPr>
        <w:t>Public Purpose Fund (</w:t>
      </w:r>
      <w:proofErr w:type="spellStart"/>
      <w:r w:rsidR="00997E11" w:rsidRPr="00A95CBC">
        <w:rPr>
          <w:rFonts w:ascii="Arial" w:hAnsi="Arial" w:cs="Arial"/>
          <w:b/>
        </w:rPr>
        <w:t>PPF</w:t>
      </w:r>
      <w:proofErr w:type="spellEnd"/>
      <w:r w:rsidR="00997E11">
        <w:rPr>
          <w:rFonts w:ascii="Arial" w:hAnsi="Arial" w:cs="Arial"/>
        </w:rPr>
        <w:t xml:space="preserve">) funding to </w:t>
      </w:r>
      <w:hyperlink r:id="rId10" w:history="1">
        <w:r w:rsidR="00997E11" w:rsidRPr="00997E11">
          <w:rPr>
            <w:rStyle w:val="Hyperlink"/>
            <w:rFonts w:ascii="Arial" w:hAnsi="Arial" w:cs="Arial"/>
          </w:rPr>
          <w:t xml:space="preserve">36 </w:t>
        </w:r>
        <w:proofErr w:type="spellStart"/>
        <w:r w:rsidR="00997E11" w:rsidRPr="00997E11">
          <w:rPr>
            <w:rStyle w:val="Hyperlink"/>
            <w:rFonts w:ascii="Arial" w:hAnsi="Arial" w:cs="Arial"/>
          </w:rPr>
          <w:t>CLCs</w:t>
        </w:r>
        <w:proofErr w:type="spellEnd"/>
      </w:hyperlink>
      <w:r w:rsidR="00997E11">
        <w:rPr>
          <w:rFonts w:ascii="Arial" w:hAnsi="Arial" w:cs="Arial"/>
        </w:rPr>
        <w:t xml:space="preserve"> in NSW. On 20 December 2012 the former NSW Attorney General </w:t>
      </w:r>
      <w:hyperlink r:id="rId11" w:history="1">
        <w:r w:rsidR="00997E11" w:rsidRPr="00997E11">
          <w:rPr>
            <w:rStyle w:val="Hyperlink"/>
            <w:rFonts w:ascii="Arial" w:hAnsi="Arial" w:cs="Arial"/>
          </w:rPr>
          <w:t>announced</w:t>
        </w:r>
      </w:hyperlink>
      <w:r w:rsidR="00997E11">
        <w:rPr>
          <w:rFonts w:ascii="Arial" w:hAnsi="Arial" w:cs="Arial"/>
        </w:rPr>
        <w:t xml:space="preserve"> </w:t>
      </w:r>
      <w:r w:rsidR="00997E11" w:rsidRPr="00997E11">
        <w:rPr>
          <w:rFonts w:ascii="Arial" w:hAnsi="Arial" w:cs="Arial"/>
        </w:rPr>
        <w:t xml:space="preserve">new </w:t>
      </w:r>
      <w:hyperlink r:id="rId12" w:history="1">
        <w:r w:rsidR="00997E11" w:rsidRPr="0054063B">
          <w:rPr>
            <w:rStyle w:val="Hyperlink"/>
            <w:rFonts w:ascii="Arial" w:hAnsi="Arial" w:cs="Arial"/>
          </w:rPr>
          <w:t>guidelines and funding principles</w:t>
        </w:r>
      </w:hyperlink>
      <w:r w:rsidR="00997E11">
        <w:rPr>
          <w:rFonts w:ascii="Arial" w:hAnsi="Arial" w:cs="Arial"/>
        </w:rPr>
        <w:t xml:space="preserve"> which prohibit </w:t>
      </w:r>
      <w:proofErr w:type="spellStart"/>
      <w:r w:rsidR="00997E11">
        <w:rPr>
          <w:rFonts w:ascii="Arial" w:hAnsi="Arial" w:cs="Arial"/>
        </w:rPr>
        <w:t>CLCs</w:t>
      </w:r>
      <w:proofErr w:type="spellEnd"/>
      <w:r w:rsidR="00997E11">
        <w:rPr>
          <w:rFonts w:ascii="Arial" w:hAnsi="Arial" w:cs="Arial"/>
        </w:rPr>
        <w:t xml:space="preserve"> from using </w:t>
      </w:r>
      <w:proofErr w:type="spellStart"/>
      <w:r w:rsidR="00997E11">
        <w:rPr>
          <w:rFonts w:ascii="Arial" w:hAnsi="Arial" w:cs="Arial"/>
        </w:rPr>
        <w:t>PPF</w:t>
      </w:r>
      <w:proofErr w:type="spellEnd"/>
      <w:r w:rsidR="00997E11">
        <w:rPr>
          <w:rFonts w:ascii="Arial" w:hAnsi="Arial" w:cs="Arial"/>
        </w:rPr>
        <w:t xml:space="preserve"> funding </w:t>
      </w:r>
      <w:r w:rsidR="0054063B">
        <w:rPr>
          <w:rFonts w:ascii="Arial" w:hAnsi="Arial" w:cs="Arial"/>
        </w:rPr>
        <w:t>for</w:t>
      </w:r>
      <w:r w:rsidR="00997E11">
        <w:rPr>
          <w:rFonts w:ascii="Arial" w:hAnsi="Arial" w:cs="Arial"/>
        </w:rPr>
        <w:t xml:space="preserve"> </w:t>
      </w:r>
      <w:r w:rsidR="0054063B" w:rsidRPr="0054063B">
        <w:rPr>
          <w:rFonts w:ascii="Arial" w:hAnsi="Arial" w:cs="Arial"/>
        </w:rPr>
        <w:t>“</w:t>
      </w:r>
      <w:r w:rsidR="0054063B" w:rsidRPr="0054063B">
        <w:rPr>
          <w:rFonts w:ascii="Arial" w:hAnsi="Arial" w:cs="Arial"/>
          <w:i/>
        </w:rPr>
        <w:t>lobbying activities, public campaigning and providing legal advice to activists and lobby groups</w:t>
      </w:r>
      <w:r w:rsidR="0054063B" w:rsidRPr="0054063B">
        <w:rPr>
          <w:rFonts w:ascii="Arial" w:hAnsi="Arial" w:cs="Arial"/>
        </w:rPr>
        <w:t>”</w:t>
      </w:r>
      <w:r w:rsidR="0054063B">
        <w:rPr>
          <w:rFonts w:ascii="Arial" w:hAnsi="Arial" w:cs="Arial"/>
        </w:rPr>
        <w:t xml:space="preserve"> on the grounds that funding would be better spen</w:t>
      </w:r>
      <w:r>
        <w:rPr>
          <w:rFonts w:ascii="Arial" w:hAnsi="Arial" w:cs="Arial"/>
        </w:rPr>
        <w:t>t</w:t>
      </w:r>
      <w:r w:rsidR="0054063B">
        <w:rPr>
          <w:rFonts w:ascii="Arial" w:hAnsi="Arial" w:cs="Arial"/>
        </w:rPr>
        <w:t xml:space="preserve"> providing direct client services to the most disadvantaged people in the community. We do not agree.</w:t>
      </w:r>
    </w:p>
    <w:p w14:paraId="5AB57102" w14:textId="77777777" w:rsidR="0054063B" w:rsidRDefault="0054063B" w:rsidP="00095E11">
      <w:pPr>
        <w:spacing w:after="0" w:line="240" w:lineRule="auto"/>
        <w:jc w:val="both"/>
        <w:rPr>
          <w:rFonts w:ascii="Arial" w:hAnsi="Arial" w:cs="Arial"/>
        </w:rPr>
      </w:pPr>
    </w:p>
    <w:p w14:paraId="7DBD34C3" w14:textId="77777777" w:rsidR="009A7FED" w:rsidRDefault="0054063B" w:rsidP="00095E11">
      <w:pPr>
        <w:spacing w:after="0" w:line="240" w:lineRule="auto"/>
        <w:jc w:val="both"/>
        <w:rPr>
          <w:rFonts w:ascii="Arial" w:hAnsi="Arial" w:cs="Arial"/>
        </w:rPr>
      </w:pPr>
      <w:r>
        <w:rPr>
          <w:rFonts w:ascii="Arial" w:hAnsi="Arial" w:cs="Arial"/>
        </w:rPr>
        <w:t>We agree with the Commission that</w:t>
      </w:r>
      <w:r w:rsidR="009A7FED">
        <w:rPr>
          <w:rFonts w:ascii="Arial" w:hAnsi="Arial" w:cs="Arial"/>
        </w:rPr>
        <w:t>:</w:t>
      </w:r>
    </w:p>
    <w:p w14:paraId="5E9E1147" w14:textId="77777777" w:rsidR="009A7FED" w:rsidRDefault="009A7FED" w:rsidP="00095E11">
      <w:pPr>
        <w:spacing w:after="0" w:line="240" w:lineRule="auto"/>
        <w:jc w:val="both"/>
        <w:rPr>
          <w:rFonts w:ascii="Arial" w:hAnsi="Arial" w:cs="Arial"/>
        </w:rPr>
      </w:pPr>
    </w:p>
    <w:p w14:paraId="7109B51F" w14:textId="77777777" w:rsidR="009A7FED" w:rsidRDefault="0054063B" w:rsidP="00095E11">
      <w:pPr>
        <w:pStyle w:val="ListParagraph"/>
        <w:numPr>
          <w:ilvl w:val="0"/>
          <w:numId w:val="29"/>
        </w:numPr>
        <w:spacing w:after="0" w:line="240" w:lineRule="auto"/>
        <w:jc w:val="both"/>
        <w:rPr>
          <w:rFonts w:ascii="Arial" w:hAnsi="Arial" w:cs="Arial"/>
        </w:rPr>
      </w:pPr>
      <w:r w:rsidRPr="009A7FED">
        <w:rPr>
          <w:rFonts w:ascii="Arial" w:hAnsi="Arial" w:cs="Arial"/>
        </w:rPr>
        <w:t>“</w:t>
      </w:r>
      <w:r w:rsidRPr="009A7FED">
        <w:rPr>
          <w:rFonts w:ascii="Arial" w:hAnsi="Arial" w:cs="Arial"/>
          <w:i/>
        </w:rPr>
        <w:t>Advocacy can… be an efficient way to use limited taxpayer dollars</w:t>
      </w:r>
      <w:r w:rsidRPr="009A7FED">
        <w:rPr>
          <w:rFonts w:ascii="Arial" w:hAnsi="Arial" w:cs="Arial"/>
        </w:rPr>
        <w:t>”</w:t>
      </w:r>
      <w:r w:rsidR="009A7FED" w:rsidRPr="009A7FED">
        <w:rPr>
          <w:rStyle w:val="FootnoteReference"/>
          <w:rFonts w:ascii="Arial" w:hAnsi="Arial" w:cs="Arial"/>
        </w:rPr>
        <w:footnoteReference w:id="4"/>
      </w:r>
      <w:r w:rsidR="009A7FED" w:rsidRPr="009A7FED">
        <w:rPr>
          <w:rFonts w:ascii="Arial" w:hAnsi="Arial" w:cs="Arial"/>
        </w:rPr>
        <w:t xml:space="preserve">; and </w:t>
      </w:r>
    </w:p>
    <w:p w14:paraId="1C76486C" w14:textId="77777777" w:rsidR="009A7FED" w:rsidRPr="009A7FED" w:rsidRDefault="009A7FED" w:rsidP="00095E11">
      <w:pPr>
        <w:pStyle w:val="ListParagraph"/>
        <w:spacing w:after="0" w:line="240" w:lineRule="auto"/>
        <w:jc w:val="both"/>
        <w:rPr>
          <w:rFonts w:ascii="Arial" w:hAnsi="Arial" w:cs="Arial"/>
        </w:rPr>
      </w:pPr>
    </w:p>
    <w:p w14:paraId="00C508EB" w14:textId="77777777" w:rsidR="009A7FED" w:rsidRDefault="009A7FED" w:rsidP="00095E11">
      <w:pPr>
        <w:pStyle w:val="ListParagraph"/>
        <w:numPr>
          <w:ilvl w:val="0"/>
          <w:numId w:val="29"/>
        </w:numPr>
        <w:spacing w:after="0" w:line="240" w:lineRule="auto"/>
        <w:jc w:val="both"/>
        <w:rPr>
          <w:rFonts w:ascii="Arial" w:hAnsi="Arial" w:cs="Arial"/>
        </w:rPr>
      </w:pPr>
      <w:r w:rsidRPr="009A7FED">
        <w:rPr>
          <w:rFonts w:ascii="Arial" w:hAnsi="Arial" w:cs="Arial"/>
        </w:rPr>
        <w:t>“</w:t>
      </w:r>
      <w:r w:rsidRPr="009A7FED">
        <w:rPr>
          <w:rFonts w:ascii="Arial" w:hAnsi="Arial" w:cs="Arial"/>
          <w:i/>
        </w:rPr>
        <w:t xml:space="preserve">Strategic advocacy can benefit those people affected by a particular systemic issue, but, by clarifying the law, it can also benefit the community more broadly and improve access to justice (known as positive spill-overs or externalities). Advocacy can also be an efficient use of limited resources. It can be an important part of a strategy for maximising the impact of LAC and </w:t>
      </w:r>
      <w:proofErr w:type="spellStart"/>
      <w:r w:rsidRPr="009A7FED">
        <w:rPr>
          <w:rFonts w:ascii="Arial" w:hAnsi="Arial" w:cs="Arial"/>
          <w:i/>
        </w:rPr>
        <w:t>CLC</w:t>
      </w:r>
      <w:proofErr w:type="spellEnd"/>
      <w:r w:rsidRPr="009A7FED">
        <w:rPr>
          <w:rFonts w:ascii="Arial" w:hAnsi="Arial" w:cs="Arial"/>
          <w:i/>
        </w:rPr>
        <w:t xml:space="preserve"> work</w:t>
      </w:r>
      <w:r w:rsidRPr="009A7FED">
        <w:rPr>
          <w:rFonts w:ascii="Arial" w:hAnsi="Arial" w:cs="Arial"/>
        </w:rPr>
        <w:t>”</w:t>
      </w:r>
      <w:r w:rsidRPr="009A7FED">
        <w:rPr>
          <w:rStyle w:val="FootnoteReference"/>
          <w:rFonts w:ascii="Arial" w:hAnsi="Arial" w:cs="Arial"/>
        </w:rPr>
        <w:footnoteReference w:id="5"/>
      </w:r>
      <w:r w:rsidRPr="009A7FED">
        <w:rPr>
          <w:rFonts w:ascii="Arial" w:hAnsi="Arial" w:cs="Arial"/>
        </w:rPr>
        <w:t>; and</w:t>
      </w:r>
    </w:p>
    <w:p w14:paraId="21F3BCE5" w14:textId="77777777" w:rsidR="009A7FED" w:rsidRPr="009A7FED" w:rsidRDefault="009A7FED" w:rsidP="00095E11">
      <w:pPr>
        <w:pStyle w:val="ListParagraph"/>
        <w:spacing w:after="0" w:line="240" w:lineRule="auto"/>
        <w:jc w:val="both"/>
        <w:rPr>
          <w:rFonts w:ascii="Arial" w:hAnsi="Arial" w:cs="Arial"/>
        </w:rPr>
      </w:pPr>
    </w:p>
    <w:p w14:paraId="1EA26666" w14:textId="77777777" w:rsidR="00997E11" w:rsidRPr="009A7FED" w:rsidRDefault="009A7FED" w:rsidP="00095E11">
      <w:pPr>
        <w:pStyle w:val="ListParagraph"/>
        <w:numPr>
          <w:ilvl w:val="0"/>
          <w:numId w:val="29"/>
        </w:numPr>
        <w:spacing w:after="0" w:line="240" w:lineRule="auto"/>
        <w:jc w:val="both"/>
        <w:rPr>
          <w:rFonts w:ascii="Arial" w:hAnsi="Arial" w:cs="Arial"/>
        </w:rPr>
      </w:pPr>
      <w:r w:rsidRPr="009A7FED">
        <w:rPr>
          <w:rFonts w:ascii="Arial" w:hAnsi="Arial" w:cs="Arial"/>
        </w:rPr>
        <w:t>“</w:t>
      </w:r>
      <w:r w:rsidRPr="009A7FED">
        <w:rPr>
          <w:rFonts w:ascii="Arial" w:hAnsi="Arial" w:cs="Arial"/>
          <w:i/>
        </w:rPr>
        <w:t xml:space="preserve">advocacy should be a core activity of </w:t>
      </w:r>
      <w:proofErr w:type="spellStart"/>
      <w:r w:rsidRPr="009A7FED">
        <w:rPr>
          <w:rFonts w:ascii="Arial" w:hAnsi="Arial" w:cs="Arial"/>
          <w:i/>
        </w:rPr>
        <w:t>LACs</w:t>
      </w:r>
      <w:proofErr w:type="spellEnd"/>
      <w:r w:rsidRPr="009A7FED">
        <w:rPr>
          <w:rFonts w:ascii="Arial" w:hAnsi="Arial" w:cs="Arial"/>
          <w:i/>
        </w:rPr>
        <w:t xml:space="preserve"> and </w:t>
      </w:r>
      <w:proofErr w:type="spellStart"/>
      <w:r w:rsidRPr="009A7FED">
        <w:rPr>
          <w:rFonts w:ascii="Arial" w:hAnsi="Arial" w:cs="Arial"/>
          <w:i/>
        </w:rPr>
        <w:t>CLCs</w:t>
      </w:r>
      <w:proofErr w:type="spellEnd"/>
      <w:r w:rsidRPr="009A7FED">
        <w:rPr>
          <w:rFonts w:ascii="Arial" w:hAnsi="Arial" w:cs="Arial"/>
        </w:rPr>
        <w:t>.”</w:t>
      </w:r>
      <w:r w:rsidRPr="009A7FED">
        <w:rPr>
          <w:rStyle w:val="FootnoteReference"/>
          <w:rFonts w:ascii="Arial" w:hAnsi="Arial" w:cs="Arial"/>
        </w:rPr>
        <w:footnoteReference w:id="6"/>
      </w:r>
      <w:r w:rsidR="0054063B" w:rsidRPr="009A7FED">
        <w:rPr>
          <w:rFonts w:ascii="Arial" w:hAnsi="Arial" w:cs="Arial"/>
        </w:rPr>
        <w:t xml:space="preserve">  </w:t>
      </w:r>
    </w:p>
    <w:p w14:paraId="573F27CA" w14:textId="77777777" w:rsidR="0054063B" w:rsidRDefault="0054063B" w:rsidP="00095E11">
      <w:pPr>
        <w:spacing w:after="0" w:line="240" w:lineRule="auto"/>
        <w:jc w:val="both"/>
        <w:rPr>
          <w:rFonts w:ascii="Arial" w:hAnsi="Arial" w:cs="Arial"/>
        </w:rPr>
      </w:pPr>
    </w:p>
    <w:p w14:paraId="2CE65294" w14:textId="77777777" w:rsidR="0054063B" w:rsidRPr="00702972" w:rsidRDefault="009A7FED" w:rsidP="00095E11">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eastAsia="Times New Roman"/>
          <w:sz w:val="22"/>
          <w:szCs w:val="22"/>
        </w:rPr>
      </w:pPr>
      <w:r w:rsidRPr="00702972">
        <w:rPr>
          <w:b/>
          <w:sz w:val="22"/>
          <w:szCs w:val="22"/>
        </w:rPr>
        <w:t>Recommendation</w:t>
      </w:r>
      <w:r w:rsidRPr="00702972">
        <w:rPr>
          <w:sz w:val="22"/>
          <w:szCs w:val="22"/>
        </w:rPr>
        <w:t xml:space="preserve">: </w:t>
      </w:r>
      <w:r w:rsidR="00702972">
        <w:rPr>
          <w:sz w:val="22"/>
          <w:szCs w:val="22"/>
        </w:rPr>
        <w:t>Remove p</w:t>
      </w:r>
      <w:r w:rsidRPr="00702972">
        <w:rPr>
          <w:sz w:val="22"/>
          <w:szCs w:val="22"/>
        </w:rPr>
        <w:t xml:space="preserve">aragraph 3 of the </w:t>
      </w:r>
      <w:hyperlink r:id="rId13" w:history="1">
        <w:r w:rsidRPr="00702972">
          <w:rPr>
            <w:rStyle w:val="Hyperlink"/>
            <w:rFonts w:eastAsia="Times New Roman"/>
            <w:sz w:val="22"/>
            <w:szCs w:val="22"/>
          </w:rPr>
          <w:t>Legal Assistance Services Funding Principles</w:t>
        </w:r>
      </w:hyperlink>
      <w:r w:rsidR="00702972" w:rsidRPr="00702972">
        <w:rPr>
          <w:rFonts w:eastAsia="Times New Roman"/>
          <w:sz w:val="22"/>
          <w:szCs w:val="22"/>
        </w:rPr>
        <w:t>.</w:t>
      </w:r>
    </w:p>
    <w:p w14:paraId="1AFAC000" w14:textId="77777777" w:rsidR="003F6ABB" w:rsidRPr="003F6ABB" w:rsidRDefault="003F6ABB" w:rsidP="00095E11">
      <w:pPr>
        <w:pStyle w:val="Rec"/>
        <w:spacing w:before="0" w:after="120" w:line="240" w:lineRule="auto"/>
        <w:contextualSpacing/>
        <w:rPr>
          <w:rFonts w:ascii="Arial" w:hAnsi="Arial" w:cs="Arial"/>
          <w:b w:val="0"/>
          <w:sz w:val="22"/>
          <w:szCs w:val="22"/>
          <w:highlight w:val="yellow"/>
          <w:u w:val="single"/>
        </w:rPr>
      </w:pPr>
    </w:p>
    <w:p w14:paraId="20A47760" w14:textId="77777777" w:rsidR="00C45753" w:rsidRPr="00C45753" w:rsidRDefault="00CE7367" w:rsidP="00095E11">
      <w:pPr>
        <w:pStyle w:val="Rec"/>
        <w:spacing w:before="0" w:after="120" w:line="240" w:lineRule="auto"/>
        <w:contextualSpacing/>
        <w:rPr>
          <w:rFonts w:ascii="Arial" w:hAnsi="Arial" w:cs="Arial"/>
          <w:i w:val="0"/>
          <w:sz w:val="22"/>
          <w:szCs w:val="22"/>
          <w:u w:val="single"/>
        </w:rPr>
      </w:pPr>
      <w:r>
        <w:rPr>
          <w:rFonts w:ascii="Arial" w:hAnsi="Arial" w:cs="Arial"/>
          <w:i w:val="0"/>
          <w:sz w:val="22"/>
          <w:szCs w:val="22"/>
          <w:u w:val="single"/>
        </w:rPr>
        <w:t xml:space="preserve">Chapter 8: </w:t>
      </w:r>
      <w:r w:rsidR="00C45753" w:rsidRPr="00C45753">
        <w:rPr>
          <w:rFonts w:ascii="Arial" w:hAnsi="Arial" w:cs="Arial"/>
          <w:i w:val="0"/>
          <w:sz w:val="22"/>
          <w:szCs w:val="22"/>
          <w:u w:val="single"/>
        </w:rPr>
        <w:t>Alternative dispute resolution</w:t>
      </w:r>
    </w:p>
    <w:p w14:paraId="60845A44" w14:textId="77777777" w:rsidR="00C45753" w:rsidRPr="00C45753" w:rsidRDefault="00C45753" w:rsidP="00095E11">
      <w:pPr>
        <w:pStyle w:val="Rec"/>
        <w:spacing w:before="0" w:after="120" w:line="240" w:lineRule="auto"/>
        <w:contextualSpacing/>
        <w:rPr>
          <w:rFonts w:ascii="Arial" w:hAnsi="Arial" w:cs="Arial"/>
          <w:i w:val="0"/>
          <w:sz w:val="22"/>
          <w:szCs w:val="22"/>
          <w:highlight w:val="yellow"/>
          <w:u w:val="single"/>
        </w:rPr>
      </w:pPr>
    </w:p>
    <w:p w14:paraId="5087CBFA" w14:textId="77777777" w:rsidR="00FF571A" w:rsidRPr="002E00D7" w:rsidRDefault="00FF571A" w:rsidP="00095E11">
      <w:pPr>
        <w:pStyle w:val="Rec"/>
        <w:pBdr>
          <w:top w:val="single" w:sz="4" w:space="1" w:color="auto"/>
          <w:left w:val="single" w:sz="4" w:space="4" w:color="auto"/>
          <w:bottom w:val="single" w:sz="4" w:space="1" w:color="auto"/>
          <w:right w:val="single" w:sz="4" w:space="4" w:color="auto"/>
        </w:pBdr>
        <w:spacing w:before="0" w:after="120" w:line="240" w:lineRule="auto"/>
        <w:contextualSpacing/>
        <w:rPr>
          <w:rFonts w:ascii="Arial" w:hAnsi="Arial" w:cs="Arial"/>
          <w:b w:val="0"/>
          <w:i w:val="0"/>
          <w:sz w:val="22"/>
          <w:szCs w:val="22"/>
        </w:rPr>
      </w:pPr>
      <w:r w:rsidRPr="002E00D7">
        <w:rPr>
          <w:rFonts w:ascii="Arial" w:hAnsi="Arial" w:cs="Arial"/>
          <w:b w:val="0"/>
          <w:i w:val="0"/>
          <w:sz w:val="22"/>
          <w:szCs w:val="22"/>
          <w:u w:val="single"/>
        </w:rPr>
        <w:t>D</w:t>
      </w:r>
      <w:r w:rsidR="003F5130" w:rsidRPr="002E00D7">
        <w:rPr>
          <w:rFonts w:ascii="Arial" w:hAnsi="Arial" w:cs="Arial"/>
          <w:b w:val="0"/>
          <w:i w:val="0"/>
          <w:sz w:val="22"/>
          <w:szCs w:val="22"/>
          <w:u w:val="single"/>
        </w:rPr>
        <w:t>raft</w:t>
      </w:r>
      <w:r w:rsidRPr="002E00D7">
        <w:rPr>
          <w:rFonts w:ascii="Arial" w:hAnsi="Arial" w:cs="Arial"/>
          <w:b w:val="0"/>
          <w:i w:val="0"/>
          <w:sz w:val="22"/>
          <w:szCs w:val="22"/>
          <w:u w:val="single"/>
        </w:rPr>
        <w:t xml:space="preserve"> </w:t>
      </w:r>
      <w:r w:rsidR="003F5130" w:rsidRPr="002E00D7">
        <w:rPr>
          <w:rFonts w:ascii="Arial" w:hAnsi="Arial" w:cs="Arial"/>
          <w:b w:val="0"/>
          <w:i w:val="0"/>
          <w:sz w:val="22"/>
          <w:szCs w:val="22"/>
          <w:u w:val="single"/>
        </w:rPr>
        <w:t>r</w:t>
      </w:r>
      <w:r w:rsidRPr="002E00D7">
        <w:rPr>
          <w:rFonts w:ascii="Arial" w:hAnsi="Arial" w:cs="Arial"/>
          <w:b w:val="0"/>
          <w:i w:val="0"/>
          <w:sz w:val="22"/>
          <w:szCs w:val="22"/>
          <w:u w:val="single"/>
        </w:rPr>
        <w:t>ecommendation 8.</w:t>
      </w:r>
      <w:r w:rsidRPr="002E00D7">
        <w:rPr>
          <w:rFonts w:ascii="Arial" w:hAnsi="Arial" w:cs="Arial"/>
          <w:b w:val="0"/>
          <w:i w:val="0"/>
          <w:noProof/>
          <w:sz w:val="22"/>
          <w:szCs w:val="22"/>
          <w:u w:val="single"/>
        </w:rPr>
        <w:t>5</w:t>
      </w:r>
      <w:r w:rsidRPr="002E00D7">
        <w:rPr>
          <w:rFonts w:ascii="Arial" w:hAnsi="Arial" w:cs="Arial"/>
          <w:b w:val="0"/>
          <w:i w:val="0"/>
          <w:noProof/>
          <w:sz w:val="22"/>
          <w:szCs w:val="22"/>
        </w:rPr>
        <w:t xml:space="preserve">: </w:t>
      </w:r>
      <w:r w:rsidRPr="002E00D7">
        <w:rPr>
          <w:rFonts w:ascii="Arial" w:hAnsi="Arial" w:cs="Arial"/>
          <w:b w:val="0"/>
          <w:i w:val="0"/>
          <w:sz w:val="22"/>
          <w:szCs w:val="22"/>
        </w:rPr>
        <w:t>Consistent with the Learning and Teaching Academic Standards for a Bachelor of Laws, Australian law schools should ensure that core curricula for law qualifications encompass the full range of legal dispute resolution options, including non</w:t>
      </w:r>
      <w:r w:rsidRPr="002E00D7">
        <w:rPr>
          <w:rFonts w:ascii="Arial" w:hAnsi="Arial" w:cs="Arial"/>
          <w:b w:val="0"/>
          <w:i w:val="0"/>
          <w:sz w:val="22"/>
          <w:szCs w:val="22"/>
        </w:rPr>
        <w:noBreakHyphen/>
        <w:t xml:space="preserve">adversarial options. In particular, education and training is required to ensure that legal professionals can better match the most appropriate resolution option to the dispute type and characteristics. </w:t>
      </w:r>
    </w:p>
    <w:p w14:paraId="04A91788" w14:textId="77777777" w:rsidR="00FF571A" w:rsidRPr="00C45753" w:rsidRDefault="00FF571A"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2E00D7">
        <w:rPr>
          <w:rFonts w:ascii="Arial" w:hAnsi="Arial" w:cs="Arial"/>
        </w:rPr>
        <w:t xml:space="preserve">Consideration should also be given to developing courses that enable tertiary students of </w:t>
      </w:r>
      <w:proofErr w:type="spellStart"/>
      <w:r w:rsidRPr="002E00D7">
        <w:rPr>
          <w:rFonts w:ascii="Arial" w:hAnsi="Arial" w:cs="Arial"/>
        </w:rPr>
        <w:t>non</w:t>
      </w:r>
      <w:r w:rsidRPr="002E00D7">
        <w:rPr>
          <w:rFonts w:ascii="Arial" w:hAnsi="Arial" w:cs="Arial"/>
        </w:rPr>
        <w:noBreakHyphen/>
        <w:t>legal</w:t>
      </w:r>
      <w:proofErr w:type="spellEnd"/>
      <w:r w:rsidRPr="002E00D7">
        <w:rPr>
          <w:rFonts w:ascii="Arial" w:hAnsi="Arial" w:cs="Arial"/>
        </w:rPr>
        <w:t xml:space="preserve"> disciplines and experienced </w:t>
      </w:r>
      <w:proofErr w:type="spellStart"/>
      <w:r w:rsidRPr="002E00D7">
        <w:rPr>
          <w:rFonts w:ascii="Arial" w:hAnsi="Arial" w:cs="Arial"/>
        </w:rPr>
        <w:t>non</w:t>
      </w:r>
      <w:r w:rsidRPr="002E00D7">
        <w:rPr>
          <w:rFonts w:ascii="Arial" w:hAnsi="Arial" w:cs="Arial"/>
        </w:rPr>
        <w:noBreakHyphen/>
        <w:t>legal</w:t>
      </w:r>
      <w:proofErr w:type="spellEnd"/>
      <w:r w:rsidRPr="002E00D7">
        <w:rPr>
          <w:rFonts w:ascii="Arial" w:hAnsi="Arial" w:cs="Arial"/>
        </w:rPr>
        <w:t xml:space="preserve"> professionals to improve their understanding of legal disputes and how and where they might be resolved.</w:t>
      </w:r>
    </w:p>
    <w:p w14:paraId="65F86A7C" w14:textId="77777777" w:rsidR="00FF571A" w:rsidRDefault="00FF571A" w:rsidP="00095E11">
      <w:pPr>
        <w:spacing w:after="0" w:line="240" w:lineRule="auto"/>
        <w:jc w:val="both"/>
        <w:rPr>
          <w:rFonts w:ascii="Arial" w:hAnsi="Arial" w:cs="Arial"/>
          <w:b/>
          <w:i/>
        </w:rPr>
      </w:pPr>
    </w:p>
    <w:p w14:paraId="4F7A96A1" w14:textId="77777777" w:rsidR="007F0579" w:rsidRDefault="007F0579" w:rsidP="007F0579">
      <w:pPr>
        <w:pStyle w:val="RecBullet"/>
        <w:numPr>
          <w:ilvl w:val="0"/>
          <w:numId w:val="0"/>
        </w:numPr>
        <w:spacing w:before="0" w:after="120" w:line="240" w:lineRule="auto"/>
        <w:contextualSpacing/>
        <w:rPr>
          <w:rFonts w:ascii="Arial" w:hAnsi="Arial" w:cs="Arial"/>
          <w:b w:val="0"/>
          <w:i w:val="0"/>
          <w:sz w:val="22"/>
          <w:szCs w:val="22"/>
        </w:rPr>
      </w:pPr>
      <w:r>
        <w:rPr>
          <w:rFonts w:ascii="Arial" w:hAnsi="Arial" w:cs="Arial"/>
          <w:b w:val="0"/>
          <w:i w:val="0"/>
          <w:sz w:val="22"/>
          <w:szCs w:val="22"/>
        </w:rPr>
        <w:t xml:space="preserve">The teaching of the full range of dispute resolution mechanisms is an essential development in the current law curriculum.  </w:t>
      </w:r>
      <w:proofErr w:type="spellStart"/>
      <w:r>
        <w:rPr>
          <w:rFonts w:ascii="Arial" w:hAnsi="Arial" w:cs="Arial"/>
          <w:b w:val="0"/>
          <w:i w:val="0"/>
          <w:sz w:val="22"/>
          <w:szCs w:val="22"/>
        </w:rPr>
        <w:t>UNSW</w:t>
      </w:r>
      <w:proofErr w:type="spellEnd"/>
      <w:r>
        <w:rPr>
          <w:rFonts w:ascii="Arial" w:hAnsi="Arial" w:cs="Arial"/>
          <w:b w:val="0"/>
          <w:i w:val="0"/>
          <w:sz w:val="22"/>
          <w:szCs w:val="22"/>
        </w:rPr>
        <w:t xml:space="preserve"> has led curriculum renewal with the development of “Resolving Civil Disputes” which teaches students the importance of the spectrum of civil dispute resolution, including litigation, but not limited to litigation. As the vast majority of civil disputes are resolved through non-litigation methods, it is essential that law curricula teach law students about these.</w:t>
      </w:r>
    </w:p>
    <w:p w14:paraId="2CF18E35" w14:textId="77777777" w:rsidR="007F0579" w:rsidRDefault="007F0579" w:rsidP="007F0579">
      <w:pPr>
        <w:pStyle w:val="RecBullet"/>
        <w:numPr>
          <w:ilvl w:val="0"/>
          <w:numId w:val="0"/>
        </w:numPr>
        <w:spacing w:before="0" w:after="120" w:line="240" w:lineRule="auto"/>
        <w:contextualSpacing/>
        <w:rPr>
          <w:rFonts w:ascii="Arial" w:hAnsi="Arial" w:cs="Arial"/>
          <w:b w:val="0"/>
          <w:i w:val="0"/>
          <w:sz w:val="22"/>
          <w:szCs w:val="22"/>
        </w:rPr>
      </w:pPr>
    </w:p>
    <w:p w14:paraId="304E7731" w14:textId="49E95A6D" w:rsidR="00A61DFF" w:rsidRDefault="002E00D7" w:rsidP="002E00D7">
      <w:pPr>
        <w:pStyle w:val="RecBullet"/>
        <w:numPr>
          <w:ilvl w:val="0"/>
          <w:numId w:val="0"/>
        </w:numPr>
        <w:spacing w:before="0" w:after="120" w:line="240" w:lineRule="auto"/>
        <w:contextualSpacing/>
        <w:rPr>
          <w:rFonts w:ascii="Arial" w:hAnsi="Arial" w:cs="Arial"/>
          <w:b w:val="0"/>
          <w:i w:val="0"/>
          <w:sz w:val="22"/>
          <w:szCs w:val="22"/>
        </w:rPr>
      </w:pPr>
      <w:r>
        <w:rPr>
          <w:rFonts w:ascii="Arial" w:hAnsi="Arial" w:cs="Arial"/>
          <w:b w:val="0"/>
          <w:i w:val="0"/>
          <w:sz w:val="22"/>
          <w:szCs w:val="22"/>
        </w:rPr>
        <w:t>We submit all law schools should offer similar subjects to their students.</w:t>
      </w:r>
    </w:p>
    <w:p w14:paraId="5A721D68" w14:textId="528EACAF" w:rsidR="0009065B" w:rsidRPr="0009065B" w:rsidRDefault="0009065B" w:rsidP="0009065B">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hanging="11"/>
        <w:jc w:val="both"/>
        <w:rPr>
          <w:rFonts w:ascii="Arial" w:hAnsi="Arial" w:cs="Arial"/>
          <w:bCs/>
          <w:iCs/>
        </w:rPr>
      </w:pPr>
      <w:r w:rsidRPr="00D60D65">
        <w:rPr>
          <w:rFonts w:ascii="Arial" w:hAnsi="Arial" w:cs="Arial"/>
          <w:b/>
          <w:bCs/>
          <w:iCs/>
        </w:rPr>
        <w:lastRenderedPageBreak/>
        <w:t>Recommendation</w:t>
      </w:r>
      <w:r>
        <w:rPr>
          <w:rFonts w:ascii="Arial" w:hAnsi="Arial" w:cs="Arial"/>
          <w:bCs/>
          <w:iCs/>
        </w:rPr>
        <w:t xml:space="preserve">: All law schools should develop subjects </w:t>
      </w:r>
      <w:r w:rsidR="006E1071">
        <w:rPr>
          <w:rFonts w:ascii="Arial" w:hAnsi="Arial" w:cs="Arial"/>
          <w:bCs/>
          <w:iCs/>
        </w:rPr>
        <w:t>that</w:t>
      </w:r>
      <w:r>
        <w:rPr>
          <w:rFonts w:ascii="Arial" w:hAnsi="Arial" w:cs="Arial"/>
          <w:bCs/>
          <w:iCs/>
        </w:rPr>
        <w:t xml:space="preserve"> teach students about the important of the full spectrum of civil dispute resolution.</w:t>
      </w:r>
    </w:p>
    <w:p w14:paraId="4D3F6C6A" w14:textId="77777777" w:rsidR="00A61DFF" w:rsidRPr="003F5130" w:rsidRDefault="00A61DFF" w:rsidP="002E00D7">
      <w:pPr>
        <w:pStyle w:val="RecBullet"/>
        <w:numPr>
          <w:ilvl w:val="0"/>
          <w:numId w:val="0"/>
        </w:numPr>
        <w:spacing w:before="0" w:after="120" w:line="240" w:lineRule="auto"/>
        <w:contextualSpacing/>
        <w:rPr>
          <w:rFonts w:ascii="Arial" w:hAnsi="Arial" w:cs="Arial"/>
          <w:b w:val="0"/>
          <w:i w:val="0"/>
        </w:rPr>
      </w:pPr>
      <w:r>
        <w:rPr>
          <w:rFonts w:ascii="Arial" w:hAnsi="Arial" w:cs="Arial"/>
          <w:b w:val="0"/>
          <w:i w:val="0"/>
          <w:sz w:val="22"/>
          <w:szCs w:val="22"/>
        </w:rPr>
        <w:t>We also develop and deliver community legal education</w:t>
      </w:r>
      <w:r w:rsidR="00D22E2F">
        <w:rPr>
          <w:rFonts w:ascii="Arial" w:hAnsi="Arial" w:cs="Arial"/>
          <w:b w:val="0"/>
          <w:i w:val="0"/>
          <w:sz w:val="22"/>
          <w:szCs w:val="22"/>
        </w:rPr>
        <w:t xml:space="preserve"> (</w:t>
      </w:r>
      <w:r w:rsidR="00D22E2F" w:rsidRPr="00D22E2F">
        <w:rPr>
          <w:rFonts w:ascii="Arial" w:hAnsi="Arial" w:cs="Arial"/>
          <w:i w:val="0"/>
          <w:sz w:val="22"/>
          <w:szCs w:val="22"/>
        </w:rPr>
        <w:t>CLE</w:t>
      </w:r>
      <w:r w:rsidR="00D22E2F">
        <w:rPr>
          <w:rFonts w:ascii="Arial" w:hAnsi="Arial" w:cs="Arial"/>
          <w:b w:val="0"/>
          <w:i w:val="0"/>
          <w:sz w:val="22"/>
          <w:szCs w:val="22"/>
        </w:rPr>
        <w:t xml:space="preserve">) </w:t>
      </w:r>
      <w:r>
        <w:rPr>
          <w:rFonts w:ascii="Arial" w:hAnsi="Arial" w:cs="Arial"/>
          <w:b w:val="0"/>
          <w:i w:val="0"/>
          <w:sz w:val="22"/>
          <w:szCs w:val="22"/>
        </w:rPr>
        <w:t xml:space="preserve">for </w:t>
      </w:r>
      <w:r w:rsidR="00D22E2F">
        <w:rPr>
          <w:rFonts w:ascii="Arial" w:hAnsi="Arial" w:cs="Arial"/>
          <w:b w:val="0"/>
          <w:i w:val="0"/>
          <w:sz w:val="22"/>
          <w:szCs w:val="22"/>
        </w:rPr>
        <w:t xml:space="preserve">community workers, which aims to provide training to </w:t>
      </w:r>
      <w:proofErr w:type="spellStart"/>
      <w:r w:rsidR="00D22E2F">
        <w:rPr>
          <w:rFonts w:ascii="Arial" w:hAnsi="Arial" w:cs="Arial"/>
          <w:b w:val="0"/>
          <w:i w:val="0"/>
          <w:sz w:val="22"/>
          <w:szCs w:val="22"/>
        </w:rPr>
        <w:t>non-legal</w:t>
      </w:r>
      <w:proofErr w:type="spellEnd"/>
      <w:r w:rsidR="00D22E2F">
        <w:rPr>
          <w:rFonts w:ascii="Arial" w:hAnsi="Arial" w:cs="Arial"/>
          <w:b w:val="0"/>
          <w:i w:val="0"/>
          <w:sz w:val="22"/>
          <w:szCs w:val="22"/>
        </w:rPr>
        <w:t xml:space="preserve"> professionals in identifying and understanding legal disputes and how to make effective referrals. </w:t>
      </w:r>
    </w:p>
    <w:p w14:paraId="152F01A4" w14:textId="77777777" w:rsidR="00C45753" w:rsidRDefault="00CE7367" w:rsidP="00095E11">
      <w:pPr>
        <w:spacing w:after="0" w:line="240" w:lineRule="auto"/>
        <w:jc w:val="both"/>
        <w:rPr>
          <w:rFonts w:ascii="Arial" w:hAnsi="Arial" w:cs="Arial"/>
          <w:b/>
          <w:u w:val="single"/>
        </w:rPr>
      </w:pPr>
      <w:r>
        <w:rPr>
          <w:rFonts w:ascii="Arial" w:hAnsi="Arial" w:cs="Arial"/>
          <w:b/>
          <w:u w:val="single"/>
        </w:rPr>
        <w:t xml:space="preserve">Chapter 10: </w:t>
      </w:r>
      <w:r w:rsidR="00C45753">
        <w:rPr>
          <w:rFonts w:ascii="Arial" w:hAnsi="Arial" w:cs="Arial"/>
          <w:b/>
          <w:u w:val="single"/>
        </w:rPr>
        <w:t>Tribunals</w:t>
      </w:r>
    </w:p>
    <w:p w14:paraId="475EAFF8" w14:textId="77777777" w:rsidR="00C45753" w:rsidRPr="00C45753" w:rsidRDefault="00C45753" w:rsidP="00095E11">
      <w:pPr>
        <w:spacing w:after="0" w:line="240" w:lineRule="auto"/>
        <w:jc w:val="both"/>
        <w:rPr>
          <w:rFonts w:ascii="Arial" w:hAnsi="Arial" w:cs="Arial"/>
          <w:b/>
          <w:u w:val="single"/>
        </w:rPr>
      </w:pPr>
    </w:p>
    <w:p w14:paraId="16918A33" w14:textId="77777777" w:rsidR="00FF571A" w:rsidRPr="00C45753" w:rsidRDefault="003F5130"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C45753">
        <w:rPr>
          <w:rFonts w:ascii="Arial" w:hAnsi="Arial" w:cs="Arial"/>
          <w:u w:val="single"/>
        </w:rPr>
        <w:t>D</w:t>
      </w:r>
      <w:r w:rsidR="00FF571A" w:rsidRPr="00C45753">
        <w:rPr>
          <w:rFonts w:ascii="Arial" w:hAnsi="Arial" w:cs="Arial"/>
          <w:u w:val="single"/>
        </w:rPr>
        <w:t xml:space="preserve">raft </w:t>
      </w:r>
      <w:r w:rsidRPr="00C45753">
        <w:rPr>
          <w:rFonts w:ascii="Arial" w:hAnsi="Arial" w:cs="Arial"/>
          <w:u w:val="single"/>
        </w:rPr>
        <w:t>r</w:t>
      </w:r>
      <w:r w:rsidR="00FF571A" w:rsidRPr="00C45753">
        <w:rPr>
          <w:rFonts w:ascii="Arial" w:hAnsi="Arial" w:cs="Arial"/>
          <w:u w:val="single"/>
        </w:rPr>
        <w:t>ecommendation 10.1</w:t>
      </w:r>
      <w:r w:rsidR="00FF571A" w:rsidRPr="00C45753">
        <w:rPr>
          <w:rFonts w:ascii="Arial" w:hAnsi="Arial" w:cs="Arial"/>
        </w:rPr>
        <w:t>: Restrictions on the use of legal representation in tribunals should be more rigorously applied. Guidelines should be developed to ensure that their application is consistent. Tribunals should be required to report on the frequency with which parties are granted leave to have legal representation.</w:t>
      </w:r>
    </w:p>
    <w:p w14:paraId="686F767B" w14:textId="77777777" w:rsidR="003F5130" w:rsidRDefault="003F5130" w:rsidP="00095E11">
      <w:pPr>
        <w:spacing w:after="0" w:line="240" w:lineRule="auto"/>
        <w:jc w:val="both"/>
        <w:rPr>
          <w:rFonts w:ascii="Arial" w:hAnsi="Arial" w:cs="Arial"/>
        </w:rPr>
      </w:pPr>
    </w:p>
    <w:p w14:paraId="1721301E" w14:textId="77777777" w:rsidR="003017B7" w:rsidRDefault="00A86BC6" w:rsidP="00095E11">
      <w:pPr>
        <w:spacing w:after="0" w:line="240" w:lineRule="auto"/>
        <w:jc w:val="both"/>
        <w:rPr>
          <w:rFonts w:ascii="Arial" w:hAnsi="Arial" w:cs="Arial"/>
        </w:rPr>
      </w:pPr>
      <w:r>
        <w:rPr>
          <w:rFonts w:ascii="Arial" w:hAnsi="Arial" w:cs="Arial"/>
        </w:rPr>
        <w:t>We believe that it is important that tribunals remain as user-friendly and as informal as possibl</w:t>
      </w:r>
      <w:r w:rsidR="00297989">
        <w:rPr>
          <w:rFonts w:ascii="Arial" w:hAnsi="Arial" w:cs="Arial"/>
        </w:rPr>
        <w:t xml:space="preserve">e. However we also believe </w:t>
      </w:r>
      <w:r>
        <w:rPr>
          <w:rFonts w:ascii="Arial" w:hAnsi="Arial" w:cs="Arial"/>
        </w:rPr>
        <w:t>it is important that applications to leave seek to have legal representation should be determined on a case-by-case basis, particularly taking into account the imbalance of power between the parties.</w:t>
      </w:r>
      <w:r w:rsidR="003017B7">
        <w:rPr>
          <w:rFonts w:ascii="Arial" w:hAnsi="Arial" w:cs="Arial"/>
        </w:rPr>
        <w:t xml:space="preserve"> There is also often a lot at stake for parties before tribunals, for example tenancy tribunals may be deciding whether or not to terminate a party’s residential tenancy agreement.</w:t>
      </w:r>
      <w:r>
        <w:rPr>
          <w:rFonts w:ascii="Arial" w:hAnsi="Arial" w:cs="Arial"/>
        </w:rPr>
        <w:t xml:space="preserve"> </w:t>
      </w:r>
    </w:p>
    <w:p w14:paraId="6F3FA3CC" w14:textId="77777777" w:rsidR="003017B7" w:rsidRDefault="003017B7" w:rsidP="00095E11">
      <w:pPr>
        <w:spacing w:after="0" w:line="240" w:lineRule="auto"/>
        <w:jc w:val="both"/>
        <w:rPr>
          <w:rFonts w:ascii="Arial" w:hAnsi="Arial" w:cs="Arial"/>
        </w:rPr>
      </w:pPr>
    </w:p>
    <w:p w14:paraId="777BAC16" w14:textId="77777777" w:rsidR="003017B7" w:rsidRPr="00384376" w:rsidRDefault="003017B7" w:rsidP="00095E1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u w:val="single"/>
        </w:rPr>
      </w:pPr>
      <w:proofErr w:type="spellStart"/>
      <w:r w:rsidRPr="00384376">
        <w:rPr>
          <w:rFonts w:ascii="Arial" w:hAnsi="Arial" w:cs="Arial"/>
          <w:i/>
          <w:sz w:val="20"/>
          <w:szCs w:val="20"/>
          <w:u w:val="single"/>
        </w:rPr>
        <w:t>Zeynup</w:t>
      </w:r>
      <w:proofErr w:type="spellEnd"/>
    </w:p>
    <w:p w14:paraId="5E85C63F" w14:textId="77777777" w:rsidR="003017B7" w:rsidRPr="00384376" w:rsidRDefault="003017B7"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14:paraId="4D133B46" w14:textId="77777777" w:rsidR="003017B7" w:rsidRPr="00384376" w:rsidRDefault="003017B7"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roofErr w:type="spellStart"/>
      <w:r w:rsidRPr="00384376">
        <w:rPr>
          <w:rFonts w:ascii="Arial" w:hAnsi="Arial" w:cs="Arial"/>
          <w:i/>
          <w:sz w:val="20"/>
          <w:szCs w:val="20"/>
        </w:rPr>
        <w:t>Zeynup</w:t>
      </w:r>
      <w:proofErr w:type="spellEnd"/>
      <w:r w:rsidRPr="00384376">
        <w:rPr>
          <w:rFonts w:ascii="Arial" w:hAnsi="Arial" w:cs="Arial"/>
          <w:i/>
          <w:sz w:val="20"/>
          <w:szCs w:val="20"/>
        </w:rPr>
        <w:t xml:space="preserve"> is an elderly Iranian-speaking woman living in public housing for 23 years. She had been a good tenant. However, Housing NSW sought to terminate her tenancy after the Police found a very small quantity of illegal steroids in her </w:t>
      </w:r>
      <w:r w:rsidR="00D22E2F">
        <w:rPr>
          <w:rFonts w:ascii="Arial" w:hAnsi="Arial" w:cs="Arial"/>
          <w:i/>
          <w:sz w:val="20"/>
          <w:szCs w:val="20"/>
        </w:rPr>
        <w:t xml:space="preserve">adult son’s room in her </w:t>
      </w:r>
      <w:r w:rsidRPr="00384376">
        <w:rPr>
          <w:rFonts w:ascii="Arial" w:hAnsi="Arial" w:cs="Arial"/>
          <w:i/>
          <w:sz w:val="20"/>
          <w:szCs w:val="20"/>
        </w:rPr>
        <w:t xml:space="preserve">property. We represented </w:t>
      </w:r>
      <w:proofErr w:type="spellStart"/>
      <w:r w:rsidRPr="00384376">
        <w:rPr>
          <w:rFonts w:ascii="Arial" w:hAnsi="Arial" w:cs="Arial"/>
          <w:i/>
          <w:sz w:val="20"/>
          <w:szCs w:val="20"/>
        </w:rPr>
        <w:t>Zeynup</w:t>
      </w:r>
      <w:proofErr w:type="spellEnd"/>
      <w:r w:rsidRPr="00384376">
        <w:rPr>
          <w:rFonts w:ascii="Arial" w:hAnsi="Arial" w:cs="Arial"/>
          <w:i/>
          <w:sz w:val="20"/>
          <w:szCs w:val="20"/>
        </w:rPr>
        <w:t xml:space="preserve"> </w:t>
      </w:r>
      <w:r w:rsidR="00D22E2F">
        <w:rPr>
          <w:rFonts w:ascii="Arial" w:hAnsi="Arial" w:cs="Arial"/>
          <w:i/>
          <w:sz w:val="20"/>
          <w:szCs w:val="20"/>
        </w:rPr>
        <w:t>in her hearing, presenting relevant case law and making legal submissions.</w:t>
      </w:r>
      <w:r w:rsidRPr="00384376">
        <w:rPr>
          <w:rFonts w:ascii="Arial" w:hAnsi="Arial" w:cs="Arial"/>
          <w:i/>
          <w:sz w:val="20"/>
          <w:szCs w:val="20"/>
        </w:rPr>
        <w:t xml:space="preserve"> </w:t>
      </w:r>
      <w:r w:rsidR="00D22E2F">
        <w:rPr>
          <w:rFonts w:ascii="Arial" w:hAnsi="Arial" w:cs="Arial"/>
          <w:i/>
          <w:sz w:val="20"/>
          <w:szCs w:val="20"/>
        </w:rPr>
        <w:t xml:space="preserve">Housing NSW was represented by a barrister. </w:t>
      </w:r>
      <w:r w:rsidRPr="00384376">
        <w:rPr>
          <w:rFonts w:ascii="Arial" w:hAnsi="Arial" w:cs="Arial"/>
          <w:i/>
          <w:sz w:val="20"/>
          <w:szCs w:val="20"/>
        </w:rPr>
        <w:t>Housing NSW’s application was dismissed.</w:t>
      </w:r>
    </w:p>
    <w:p w14:paraId="75D5C4D8" w14:textId="77777777" w:rsidR="003017B7" w:rsidRPr="00384376" w:rsidRDefault="003017B7"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14:paraId="24ED7933" w14:textId="77777777" w:rsidR="003017B7" w:rsidRPr="00384376" w:rsidRDefault="003017B7"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384376">
        <w:rPr>
          <w:rFonts w:ascii="Arial" w:hAnsi="Arial" w:cs="Arial"/>
          <w:i/>
          <w:sz w:val="20"/>
          <w:szCs w:val="20"/>
        </w:rPr>
        <w:t xml:space="preserve">If we were denied leave to represent, </w:t>
      </w:r>
      <w:proofErr w:type="spellStart"/>
      <w:r w:rsidRPr="00384376">
        <w:rPr>
          <w:rFonts w:ascii="Arial" w:hAnsi="Arial" w:cs="Arial"/>
          <w:i/>
          <w:sz w:val="20"/>
          <w:szCs w:val="20"/>
        </w:rPr>
        <w:t>Zeynup</w:t>
      </w:r>
      <w:proofErr w:type="spellEnd"/>
      <w:r w:rsidRPr="00384376">
        <w:rPr>
          <w:rFonts w:ascii="Arial" w:hAnsi="Arial" w:cs="Arial"/>
          <w:i/>
          <w:sz w:val="20"/>
          <w:szCs w:val="20"/>
        </w:rPr>
        <w:t xml:space="preserve"> likely would have felt pressured to agree to leave her property and would have struggled to find alternative accommodation.</w:t>
      </w:r>
      <w:r>
        <w:rPr>
          <w:rFonts w:ascii="Arial" w:hAnsi="Arial" w:cs="Arial"/>
          <w:i/>
          <w:sz w:val="20"/>
          <w:szCs w:val="20"/>
        </w:rPr>
        <w:t xml:space="preserve"> We also felt it was inappropriate for Housing NSW to use public funds to employ a barrister to represent i</w:t>
      </w:r>
      <w:r w:rsidR="00D22E2F">
        <w:rPr>
          <w:rFonts w:ascii="Arial" w:hAnsi="Arial" w:cs="Arial"/>
          <w:i/>
          <w:sz w:val="20"/>
          <w:szCs w:val="20"/>
        </w:rPr>
        <w:t xml:space="preserve">t in </w:t>
      </w:r>
      <w:r>
        <w:rPr>
          <w:rFonts w:ascii="Arial" w:hAnsi="Arial" w:cs="Arial"/>
          <w:i/>
          <w:sz w:val="20"/>
          <w:szCs w:val="20"/>
        </w:rPr>
        <w:t>what is an informal arena.</w:t>
      </w:r>
    </w:p>
    <w:p w14:paraId="454F4E34" w14:textId="77777777" w:rsidR="003017B7" w:rsidRDefault="003017B7" w:rsidP="00095E11">
      <w:pPr>
        <w:spacing w:after="0" w:line="240" w:lineRule="auto"/>
        <w:jc w:val="both"/>
        <w:rPr>
          <w:rFonts w:ascii="Arial" w:hAnsi="Arial" w:cs="Arial"/>
        </w:rPr>
      </w:pPr>
    </w:p>
    <w:p w14:paraId="0E77EEF8" w14:textId="76D1B98B" w:rsidR="00A86BC6" w:rsidRDefault="00AE0857" w:rsidP="00095E11">
      <w:pPr>
        <w:spacing w:after="0" w:line="240" w:lineRule="auto"/>
        <w:jc w:val="both"/>
        <w:rPr>
          <w:rFonts w:ascii="Arial" w:hAnsi="Arial" w:cs="Arial"/>
        </w:rPr>
      </w:pPr>
      <w:r>
        <w:rPr>
          <w:rFonts w:ascii="Arial" w:hAnsi="Arial" w:cs="Arial"/>
        </w:rPr>
        <w:t>While we support the requirement to seek leave to have legal representation</w:t>
      </w:r>
      <w:r w:rsidR="00384376">
        <w:rPr>
          <w:rFonts w:ascii="Arial" w:hAnsi="Arial" w:cs="Arial"/>
        </w:rPr>
        <w:t xml:space="preserve"> </w:t>
      </w:r>
      <w:r w:rsidR="009203B2">
        <w:rPr>
          <w:rFonts w:ascii="Arial" w:hAnsi="Arial" w:cs="Arial"/>
        </w:rPr>
        <w:t>in most tribunals</w:t>
      </w:r>
      <w:r>
        <w:rPr>
          <w:rFonts w:ascii="Arial" w:hAnsi="Arial" w:cs="Arial"/>
        </w:rPr>
        <w:t>, overly s</w:t>
      </w:r>
      <w:r w:rsidR="00A86BC6">
        <w:rPr>
          <w:rFonts w:ascii="Arial" w:hAnsi="Arial" w:cs="Arial"/>
        </w:rPr>
        <w:t>trict and narrow guidelines determining leave to have legal representation may</w:t>
      </w:r>
      <w:r>
        <w:rPr>
          <w:rFonts w:ascii="Arial" w:hAnsi="Arial" w:cs="Arial"/>
        </w:rPr>
        <w:t xml:space="preserve"> result in unfair or unjust outcomes for socioeconomically disadvantaged clients.</w:t>
      </w:r>
      <w:r w:rsidR="00D22E2F">
        <w:rPr>
          <w:rFonts w:ascii="Arial" w:hAnsi="Arial" w:cs="Arial"/>
        </w:rPr>
        <w:t xml:space="preserve"> It is very difficult for people who do not read or write English fluently to prepare their own case at a Tribunal, even with the assistance of an interpreter at Tribunal appearances. It is also very difficult for people who have a mental illness, intellectual disability or brain injury to prepare and present their own case at a Tribunal. </w:t>
      </w:r>
      <w:r w:rsidR="00D91D0C">
        <w:rPr>
          <w:rFonts w:ascii="Arial" w:hAnsi="Arial" w:cs="Arial"/>
        </w:rPr>
        <w:t xml:space="preserve">The risk of increased formality at tribunals, which may </w:t>
      </w:r>
      <w:r w:rsidR="00297989">
        <w:rPr>
          <w:rFonts w:ascii="Arial" w:hAnsi="Arial" w:cs="Arial"/>
        </w:rPr>
        <w:t>be a consequence of</w:t>
      </w:r>
      <w:r w:rsidR="00D91D0C">
        <w:rPr>
          <w:rFonts w:ascii="Arial" w:hAnsi="Arial" w:cs="Arial"/>
        </w:rPr>
        <w:t xml:space="preserve"> having legal representation, should not come at the cost of justice and fairness to the parties.</w:t>
      </w:r>
    </w:p>
    <w:p w14:paraId="66C7F850" w14:textId="77777777" w:rsidR="00A9645E" w:rsidRDefault="00A9645E" w:rsidP="00095E11">
      <w:pPr>
        <w:spacing w:after="0" w:line="240" w:lineRule="auto"/>
        <w:jc w:val="both"/>
        <w:rPr>
          <w:rFonts w:ascii="Arial" w:hAnsi="Arial" w:cs="Arial"/>
        </w:rPr>
      </w:pPr>
    </w:p>
    <w:p w14:paraId="5D7A87DD" w14:textId="77777777" w:rsidR="003017B7" w:rsidRDefault="009203B2" w:rsidP="00095E11">
      <w:pPr>
        <w:spacing w:after="0" w:line="240" w:lineRule="auto"/>
        <w:jc w:val="both"/>
        <w:rPr>
          <w:rFonts w:ascii="Arial" w:hAnsi="Arial" w:cs="Arial"/>
        </w:rPr>
      </w:pPr>
      <w:r>
        <w:rPr>
          <w:rFonts w:ascii="Arial" w:hAnsi="Arial" w:cs="Arial"/>
        </w:rPr>
        <w:t xml:space="preserve">We also believe that the frequency with which parties are granted leave to have legal representation </w:t>
      </w:r>
      <w:r w:rsidR="000D1279">
        <w:rPr>
          <w:rFonts w:ascii="Arial" w:hAnsi="Arial" w:cs="Arial"/>
        </w:rPr>
        <w:t xml:space="preserve">does not </w:t>
      </w:r>
      <w:r>
        <w:rPr>
          <w:rFonts w:ascii="Arial" w:hAnsi="Arial" w:cs="Arial"/>
        </w:rPr>
        <w:t>necessarily reflect whether or not tribunals are operating fairly</w:t>
      </w:r>
      <w:r w:rsidR="00297989">
        <w:rPr>
          <w:rFonts w:ascii="Arial" w:hAnsi="Arial" w:cs="Arial"/>
        </w:rPr>
        <w:t xml:space="preserve">. For </w:t>
      </w:r>
      <w:r w:rsidR="00D91D0C">
        <w:rPr>
          <w:rFonts w:ascii="Arial" w:hAnsi="Arial" w:cs="Arial"/>
        </w:rPr>
        <w:t xml:space="preserve">example increased approved legal representation applications </w:t>
      </w:r>
      <w:r>
        <w:rPr>
          <w:rFonts w:ascii="Arial" w:hAnsi="Arial" w:cs="Arial"/>
        </w:rPr>
        <w:t>may mean that matters are being determined more efficiently</w:t>
      </w:r>
      <w:r w:rsidR="008C3182">
        <w:rPr>
          <w:rFonts w:ascii="Arial" w:hAnsi="Arial" w:cs="Arial"/>
        </w:rPr>
        <w:t xml:space="preserve">, with </w:t>
      </w:r>
      <w:r w:rsidR="00D91D0C">
        <w:rPr>
          <w:rFonts w:ascii="Arial" w:hAnsi="Arial" w:cs="Arial"/>
        </w:rPr>
        <w:t>better</w:t>
      </w:r>
      <w:r w:rsidR="008C3182">
        <w:rPr>
          <w:rFonts w:ascii="Arial" w:hAnsi="Arial" w:cs="Arial"/>
        </w:rPr>
        <w:t xml:space="preserve"> outcomes for the parties.</w:t>
      </w:r>
      <w:r>
        <w:rPr>
          <w:rFonts w:ascii="Arial" w:hAnsi="Arial" w:cs="Arial"/>
        </w:rPr>
        <w:t xml:space="preserve"> </w:t>
      </w:r>
      <w:r w:rsidR="00384376">
        <w:rPr>
          <w:rFonts w:ascii="Arial" w:hAnsi="Arial" w:cs="Arial"/>
        </w:rPr>
        <w:t xml:space="preserve"> </w:t>
      </w:r>
      <w:r w:rsidR="00AE0857">
        <w:rPr>
          <w:rFonts w:ascii="Arial" w:hAnsi="Arial" w:cs="Arial"/>
        </w:rPr>
        <w:t xml:space="preserve"> </w:t>
      </w:r>
    </w:p>
    <w:p w14:paraId="40BB096B" w14:textId="77777777" w:rsidR="003017B7" w:rsidRDefault="003017B7" w:rsidP="00095E11">
      <w:pPr>
        <w:spacing w:after="0" w:line="240" w:lineRule="auto"/>
        <w:jc w:val="both"/>
        <w:rPr>
          <w:rFonts w:ascii="Arial" w:hAnsi="Arial" w:cs="Arial"/>
        </w:rPr>
      </w:pPr>
    </w:p>
    <w:p w14:paraId="6265296F" w14:textId="77777777" w:rsidR="003017B7" w:rsidRPr="00702972" w:rsidRDefault="003017B7" w:rsidP="00095E11">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eastAsia="Times New Roman"/>
          <w:sz w:val="22"/>
          <w:szCs w:val="22"/>
        </w:rPr>
      </w:pPr>
      <w:r w:rsidRPr="00702972">
        <w:rPr>
          <w:b/>
          <w:sz w:val="22"/>
          <w:szCs w:val="22"/>
        </w:rPr>
        <w:t>Recommendation</w:t>
      </w:r>
      <w:r w:rsidRPr="00702972">
        <w:rPr>
          <w:sz w:val="22"/>
          <w:szCs w:val="22"/>
        </w:rPr>
        <w:t xml:space="preserve">: </w:t>
      </w:r>
      <w:r>
        <w:rPr>
          <w:sz w:val="22"/>
          <w:szCs w:val="22"/>
        </w:rPr>
        <w:t>Tribunals should</w:t>
      </w:r>
      <w:r w:rsidR="00D91D0C">
        <w:rPr>
          <w:sz w:val="22"/>
          <w:szCs w:val="22"/>
        </w:rPr>
        <w:t xml:space="preserve"> continue to</w:t>
      </w:r>
      <w:r>
        <w:rPr>
          <w:sz w:val="22"/>
          <w:szCs w:val="22"/>
        </w:rPr>
        <w:t xml:space="preserve"> consider applications for leave to have legal representation</w:t>
      </w:r>
      <w:r w:rsidR="00D91D0C">
        <w:rPr>
          <w:sz w:val="22"/>
          <w:szCs w:val="22"/>
        </w:rPr>
        <w:t xml:space="preserve"> on a case-by-case basis, particularly taking into account the (</w:t>
      </w:r>
      <w:proofErr w:type="spellStart"/>
      <w:r w:rsidR="00D91D0C">
        <w:rPr>
          <w:sz w:val="22"/>
          <w:szCs w:val="22"/>
        </w:rPr>
        <w:t>i</w:t>
      </w:r>
      <w:r w:rsidR="00D22E2F">
        <w:rPr>
          <w:sz w:val="22"/>
          <w:szCs w:val="22"/>
        </w:rPr>
        <w:t>m</w:t>
      </w:r>
      <w:proofErr w:type="spellEnd"/>
      <w:r w:rsidR="00D91D0C">
        <w:rPr>
          <w:sz w:val="22"/>
          <w:szCs w:val="22"/>
        </w:rPr>
        <w:t xml:space="preserve">)balance of power between the parties. </w:t>
      </w:r>
      <w:r>
        <w:rPr>
          <w:sz w:val="22"/>
          <w:szCs w:val="22"/>
        </w:rPr>
        <w:t xml:space="preserve"> </w:t>
      </w:r>
    </w:p>
    <w:p w14:paraId="5DF35FD0" w14:textId="77777777" w:rsidR="00C45753" w:rsidRPr="00C45753" w:rsidRDefault="00CE7367" w:rsidP="00095E11">
      <w:pPr>
        <w:pStyle w:val="Rec"/>
        <w:spacing w:line="240" w:lineRule="auto"/>
        <w:rPr>
          <w:rFonts w:ascii="Arial" w:hAnsi="Arial" w:cs="Arial"/>
          <w:i w:val="0"/>
          <w:sz w:val="22"/>
          <w:szCs w:val="22"/>
          <w:u w:val="single"/>
        </w:rPr>
      </w:pPr>
      <w:r>
        <w:rPr>
          <w:rFonts w:ascii="Arial" w:hAnsi="Arial" w:cs="Arial"/>
          <w:i w:val="0"/>
          <w:sz w:val="22"/>
          <w:szCs w:val="22"/>
          <w:u w:val="single"/>
        </w:rPr>
        <w:t xml:space="preserve">Chapter 13: </w:t>
      </w:r>
      <w:r w:rsidR="00C45753">
        <w:rPr>
          <w:rFonts w:ascii="Arial" w:hAnsi="Arial" w:cs="Arial"/>
          <w:i w:val="0"/>
          <w:sz w:val="22"/>
          <w:szCs w:val="22"/>
          <w:u w:val="single"/>
        </w:rPr>
        <w:t>Costs awards</w:t>
      </w:r>
    </w:p>
    <w:p w14:paraId="5CAF9C42" w14:textId="77777777" w:rsidR="004E471F" w:rsidRPr="00C45753" w:rsidRDefault="004E471F" w:rsidP="00095E11">
      <w:pPr>
        <w:pStyle w:val="Rec"/>
        <w:pBdr>
          <w:top w:val="single" w:sz="4" w:space="1" w:color="auto"/>
          <w:left w:val="single" w:sz="4" w:space="4" w:color="auto"/>
          <w:bottom w:val="single" w:sz="4" w:space="1" w:color="auto"/>
          <w:right w:val="single" w:sz="4" w:space="4" w:color="auto"/>
        </w:pBdr>
        <w:spacing w:line="240" w:lineRule="auto"/>
        <w:rPr>
          <w:rFonts w:ascii="Arial" w:hAnsi="Arial" w:cs="Arial"/>
          <w:b w:val="0"/>
          <w:i w:val="0"/>
          <w:sz w:val="22"/>
          <w:szCs w:val="22"/>
        </w:rPr>
      </w:pPr>
      <w:r w:rsidRPr="00C45753">
        <w:rPr>
          <w:rFonts w:ascii="Arial" w:hAnsi="Arial" w:cs="Arial"/>
          <w:b w:val="0"/>
          <w:i w:val="0"/>
          <w:sz w:val="22"/>
          <w:szCs w:val="22"/>
          <w:u w:val="single"/>
        </w:rPr>
        <w:lastRenderedPageBreak/>
        <w:t>Information request 13.1</w:t>
      </w:r>
      <w:r w:rsidRPr="00C45753">
        <w:rPr>
          <w:rFonts w:ascii="Arial" w:hAnsi="Arial" w:cs="Arial"/>
          <w:b w:val="0"/>
          <w:i w:val="0"/>
          <w:sz w:val="22"/>
          <w:szCs w:val="22"/>
        </w:rPr>
        <w:t>: The Commission seeks feedback on the most appropriate means of distributing costs awarded to pro bono parties. Options to consider may include allocating the awarded costs from a case to:</w:t>
      </w:r>
    </w:p>
    <w:p w14:paraId="580A66D1" w14:textId="77777777" w:rsidR="004E471F" w:rsidRPr="00C45753" w:rsidRDefault="004E471F" w:rsidP="00095E11">
      <w:pPr>
        <w:pStyle w:val="Rec"/>
        <w:numPr>
          <w:ilvl w:val="0"/>
          <w:numId w:val="24"/>
        </w:numPr>
        <w:pBdr>
          <w:top w:val="single" w:sz="4" w:space="1" w:color="auto"/>
          <w:left w:val="single" w:sz="4" w:space="4" w:color="auto"/>
          <w:bottom w:val="single" w:sz="4" w:space="1" w:color="auto"/>
          <w:right w:val="single" w:sz="4" w:space="4" w:color="auto"/>
        </w:pBdr>
        <w:spacing w:line="240" w:lineRule="auto"/>
        <w:ind w:hanging="720"/>
        <w:rPr>
          <w:rFonts w:ascii="Arial" w:hAnsi="Arial" w:cs="Arial"/>
          <w:b w:val="0"/>
          <w:i w:val="0"/>
          <w:sz w:val="22"/>
          <w:szCs w:val="22"/>
        </w:rPr>
      </w:pPr>
      <w:r w:rsidRPr="00C45753">
        <w:rPr>
          <w:rFonts w:ascii="Arial" w:hAnsi="Arial" w:cs="Arial"/>
          <w:b w:val="0"/>
          <w:i w:val="0"/>
          <w:sz w:val="22"/>
          <w:szCs w:val="22"/>
        </w:rPr>
        <w:t>the legal professional providing pro bono representation;</w:t>
      </w:r>
    </w:p>
    <w:p w14:paraId="22174DC6" w14:textId="77777777" w:rsidR="004E471F" w:rsidRPr="00C45753" w:rsidRDefault="004E471F" w:rsidP="00095E11">
      <w:pPr>
        <w:pStyle w:val="Rec"/>
        <w:numPr>
          <w:ilvl w:val="0"/>
          <w:numId w:val="24"/>
        </w:numPr>
        <w:pBdr>
          <w:top w:val="single" w:sz="4" w:space="1" w:color="auto"/>
          <w:left w:val="single" w:sz="4" w:space="4" w:color="auto"/>
          <w:bottom w:val="single" w:sz="4" w:space="1" w:color="auto"/>
          <w:right w:val="single" w:sz="4" w:space="4" w:color="auto"/>
        </w:pBdr>
        <w:spacing w:line="240" w:lineRule="auto"/>
        <w:ind w:hanging="720"/>
        <w:rPr>
          <w:rFonts w:ascii="Arial" w:hAnsi="Arial" w:cs="Arial"/>
          <w:b w:val="0"/>
          <w:i w:val="0"/>
          <w:sz w:val="22"/>
          <w:szCs w:val="22"/>
        </w:rPr>
      </w:pPr>
      <w:r w:rsidRPr="00C45753">
        <w:rPr>
          <w:rFonts w:ascii="Arial" w:hAnsi="Arial" w:cs="Arial"/>
          <w:b w:val="0"/>
          <w:i w:val="0"/>
          <w:sz w:val="22"/>
          <w:szCs w:val="22"/>
        </w:rPr>
        <w:t>the non-for-profit body providing or coordinating the pro bono service;</w:t>
      </w:r>
    </w:p>
    <w:p w14:paraId="730F6358" w14:textId="77777777" w:rsidR="004E471F" w:rsidRPr="00C45753" w:rsidRDefault="004E471F" w:rsidP="00095E11">
      <w:pPr>
        <w:pStyle w:val="Rec"/>
        <w:numPr>
          <w:ilvl w:val="0"/>
          <w:numId w:val="24"/>
        </w:numPr>
        <w:pBdr>
          <w:top w:val="single" w:sz="4" w:space="1" w:color="auto"/>
          <w:left w:val="single" w:sz="4" w:space="4" w:color="auto"/>
          <w:bottom w:val="single" w:sz="4" w:space="1" w:color="auto"/>
          <w:right w:val="single" w:sz="4" w:space="4" w:color="auto"/>
        </w:pBdr>
        <w:spacing w:line="240" w:lineRule="auto"/>
        <w:ind w:hanging="720"/>
        <w:rPr>
          <w:rFonts w:ascii="Arial" w:hAnsi="Arial" w:cs="Arial"/>
          <w:b w:val="0"/>
          <w:i w:val="0"/>
          <w:sz w:val="22"/>
          <w:szCs w:val="22"/>
        </w:rPr>
      </w:pPr>
      <w:r w:rsidRPr="00C45753">
        <w:rPr>
          <w:rFonts w:ascii="Arial" w:hAnsi="Arial" w:cs="Arial"/>
          <w:b w:val="0"/>
          <w:i w:val="0"/>
          <w:sz w:val="22"/>
          <w:szCs w:val="22"/>
        </w:rPr>
        <w:t>a general fund to support pro bono services.</w:t>
      </w:r>
    </w:p>
    <w:p w14:paraId="30630C93" w14:textId="77777777" w:rsidR="004E471F" w:rsidRPr="00C45753" w:rsidRDefault="004E471F" w:rsidP="00095E11">
      <w:pPr>
        <w:pStyle w:val="Rec"/>
        <w:pBdr>
          <w:top w:val="single" w:sz="4" w:space="1" w:color="auto"/>
          <w:left w:val="single" w:sz="4" w:space="4" w:color="auto"/>
          <w:bottom w:val="single" w:sz="4" w:space="1" w:color="auto"/>
          <w:right w:val="single" w:sz="4" w:space="4" w:color="auto"/>
        </w:pBdr>
        <w:spacing w:line="240" w:lineRule="auto"/>
        <w:rPr>
          <w:rFonts w:ascii="Arial" w:hAnsi="Arial" w:cs="Arial"/>
          <w:b w:val="0"/>
          <w:i w:val="0"/>
          <w:sz w:val="22"/>
          <w:szCs w:val="22"/>
        </w:rPr>
      </w:pPr>
      <w:r w:rsidRPr="00C45753">
        <w:rPr>
          <w:rFonts w:ascii="Arial" w:hAnsi="Arial" w:cs="Arial"/>
          <w:b w:val="0"/>
          <w:i w:val="0"/>
          <w:sz w:val="22"/>
          <w:szCs w:val="22"/>
        </w:rPr>
        <w:t>The Commission is interested in any other options that could be examined.</w:t>
      </w:r>
    </w:p>
    <w:p w14:paraId="62E62291" w14:textId="77777777" w:rsidR="003D5753" w:rsidRPr="00F618DF" w:rsidRDefault="00285E42" w:rsidP="00095E11">
      <w:pPr>
        <w:pStyle w:val="Rec"/>
        <w:spacing w:line="240" w:lineRule="auto"/>
        <w:rPr>
          <w:rFonts w:ascii="Arial" w:hAnsi="Arial" w:cs="Arial"/>
          <w:b w:val="0"/>
          <w:i w:val="0"/>
          <w:sz w:val="22"/>
          <w:szCs w:val="22"/>
        </w:rPr>
      </w:pPr>
      <w:r>
        <w:rPr>
          <w:rFonts w:ascii="Arial" w:hAnsi="Arial" w:cs="Arial"/>
          <w:b w:val="0"/>
          <w:i w:val="0"/>
          <w:sz w:val="22"/>
          <w:szCs w:val="22"/>
        </w:rPr>
        <w:t>We agree with the Commission that people considering litigation, particularly disadvantaged people, are more concerned about possible losses than possible gains and often decide not to pursue meritorious claims to avoid the risk of having to pay</w:t>
      </w:r>
      <w:r w:rsidR="00BA2E37">
        <w:rPr>
          <w:rFonts w:ascii="Arial" w:hAnsi="Arial" w:cs="Arial"/>
          <w:b w:val="0"/>
          <w:i w:val="0"/>
          <w:sz w:val="22"/>
          <w:szCs w:val="22"/>
        </w:rPr>
        <w:t xml:space="preserve"> the unknown </w:t>
      </w:r>
      <w:r>
        <w:rPr>
          <w:rFonts w:ascii="Arial" w:hAnsi="Arial" w:cs="Arial"/>
          <w:b w:val="0"/>
          <w:i w:val="0"/>
          <w:sz w:val="22"/>
          <w:szCs w:val="22"/>
        </w:rPr>
        <w:t>costs</w:t>
      </w:r>
      <w:r w:rsidR="00BA2E37">
        <w:rPr>
          <w:rFonts w:ascii="Arial" w:hAnsi="Arial" w:cs="Arial"/>
          <w:b w:val="0"/>
          <w:i w:val="0"/>
          <w:sz w:val="22"/>
          <w:szCs w:val="22"/>
        </w:rPr>
        <w:t xml:space="preserve"> of the other party</w:t>
      </w:r>
      <w:r>
        <w:rPr>
          <w:rFonts w:ascii="Arial" w:hAnsi="Arial" w:cs="Arial"/>
          <w:b w:val="0"/>
          <w:i w:val="0"/>
          <w:sz w:val="22"/>
          <w:szCs w:val="22"/>
        </w:rPr>
        <w:t>.</w:t>
      </w:r>
      <w:r>
        <w:rPr>
          <w:rStyle w:val="FootnoteReference"/>
          <w:rFonts w:ascii="Arial" w:hAnsi="Arial" w:cs="Arial"/>
          <w:b w:val="0"/>
          <w:i w:val="0"/>
          <w:sz w:val="22"/>
          <w:szCs w:val="22"/>
        </w:rPr>
        <w:footnoteReference w:id="7"/>
      </w:r>
      <w:r w:rsidR="00BA2E37">
        <w:rPr>
          <w:rFonts w:ascii="Arial" w:hAnsi="Arial" w:cs="Arial"/>
          <w:b w:val="0"/>
          <w:i w:val="0"/>
          <w:sz w:val="22"/>
          <w:szCs w:val="22"/>
        </w:rPr>
        <w:t xml:space="preserve"> While reforming the structure of the costs system may improve access to justi</w:t>
      </w:r>
      <w:r w:rsidR="00297989">
        <w:rPr>
          <w:rFonts w:ascii="Arial" w:hAnsi="Arial" w:cs="Arial"/>
          <w:b w:val="0"/>
          <w:i w:val="0"/>
          <w:sz w:val="22"/>
          <w:szCs w:val="22"/>
        </w:rPr>
        <w:t>ce for some potential litigants</w:t>
      </w:r>
      <w:r w:rsidR="00BA2E37">
        <w:rPr>
          <w:rFonts w:ascii="Arial" w:hAnsi="Arial" w:cs="Arial"/>
          <w:b w:val="0"/>
          <w:i w:val="0"/>
          <w:sz w:val="22"/>
          <w:szCs w:val="22"/>
        </w:rPr>
        <w:t xml:space="preserve"> by providing greater certainty regarding costs they may have to pay if they lose, we do not believe that reforming the structure of costs awards will improve access justice for disadvantaged people. Disadvantaged people would still be put off litigating if they th</w:t>
      </w:r>
      <w:r w:rsidR="00297989">
        <w:rPr>
          <w:rFonts w:ascii="Arial" w:hAnsi="Arial" w:cs="Arial"/>
          <w:b w:val="0"/>
          <w:i w:val="0"/>
          <w:sz w:val="22"/>
          <w:szCs w:val="22"/>
        </w:rPr>
        <w:t>ink</w:t>
      </w:r>
      <w:r w:rsidR="00BA2E37">
        <w:rPr>
          <w:rFonts w:ascii="Arial" w:hAnsi="Arial" w:cs="Arial"/>
          <w:b w:val="0"/>
          <w:i w:val="0"/>
          <w:sz w:val="22"/>
          <w:szCs w:val="22"/>
        </w:rPr>
        <w:t xml:space="preserve"> they might have to pay the other pa</w:t>
      </w:r>
      <w:r w:rsidR="00BA2E37" w:rsidRPr="00F618DF">
        <w:rPr>
          <w:rFonts w:ascii="Arial" w:hAnsi="Arial" w:cs="Arial"/>
          <w:b w:val="0"/>
          <w:i w:val="0"/>
          <w:sz w:val="22"/>
          <w:szCs w:val="22"/>
        </w:rPr>
        <w:t>rty’s costs if they lose.</w:t>
      </w:r>
    </w:p>
    <w:p w14:paraId="31C8F33D" w14:textId="77777777" w:rsidR="00F618DF" w:rsidRPr="00F618DF" w:rsidRDefault="00F618DF" w:rsidP="00095E11">
      <w:pPr>
        <w:pStyle w:val="Default"/>
        <w:jc w:val="both"/>
        <w:rPr>
          <w:b/>
          <w:i/>
          <w:sz w:val="22"/>
          <w:szCs w:val="22"/>
        </w:rPr>
      </w:pPr>
    </w:p>
    <w:p w14:paraId="0528277B" w14:textId="77777777" w:rsidR="00F618DF" w:rsidRDefault="00F618DF" w:rsidP="00095E11">
      <w:pPr>
        <w:spacing w:line="240" w:lineRule="auto"/>
        <w:jc w:val="both"/>
        <w:rPr>
          <w:rFonts w:ascii="Arial" w:hAnsi="Arial" w:cs="Arial"/>
        </w:rPr>
      </w:pPr>
      <w:r w:rsidRPr="00584EB5">
        <w:rPr>
          <w:rFonts w:ascii="Arial" w:eastAsia="Times New Roman" w:hAnsi="Arial" w:cs="Arial"/>
          <w:color w:val="000000"/>
          <w:lang w:eastAsia="en-AU"/>
        </w:rPr>
        <w:t xml:space="preserve">The current federal framework for discrimination is complex and creates significant barriers to access to justice. In </w:t>
      </w:r>
      <w:r w:rsidRPr="00584EB5">
        <w:rPr>
          <w:rFonts w:ascii="Arial" w:eastAsia="Times New Roman" w:hAnsi="Arial" w:cs="Arial"/>
        </w:rPr>
        <w:t>our ex</w:t>
      </w:r>
      <w:r w:rsidRPr="00584EB5">
        <w:rPr>
          <w:rFonts w:ascii="Arial" w:eastAsia="Times New Roman" w:hAnsi="Arial" w:cs="Arial"/>
          <w:color w:val="000000"/>
          <w:lang w:eastAsia="en-AU"/>
        </w:rPr>
        <w:t>perience, the most significant</w:t>
      </w:r>
      <w:r w:rsidRPr="00F618DF">
        <w:rPr>
          <w:rFonts w:ascii="Arial" w:eastAsia="Times New Roman" w:hAnsi="Arial" w:cs="Arial"/>
          <w:color w:val="000000"/>
          <w:lang w:eastAsia="en-AU"/>
        </w:rPr>
        <w:t xml:space="preserve"> barrier for </w:t>
      </w:r>
      <w:r w:rsidRPr="00F618DF">
        <w:rPr>
          <w:rFonts w:ascii="Arial" w:hAnsi="Arial" w:cs="Arial"/>
          <w:color w:val="000000"/>
        </w:rPr>
        <w:t>people experiencing discrimination is the risk of adverse costs orders in the Federal Court system.</w:t>
      </w:r>
      <w:r>
        <w:t xml:space="preserve"> </w:t>
      </w:r>
      <w:r w:rsidR="005146B6">
        <w:rPr>
          <w:rFonts w:ascii="Arial" w:hAnsi="Arial" w:cs="Arial"/>
        </w:rPr>
        <w:t xml:space="preserve">Federal anti-discrimination laws reflect Australia’s international human rights obligations to protect people from discrimination. It is widely understood that discrimination and vilification can cause serious psychological harm. </w:t>
      </w:r>
      <w:r>
        <w:rPr>
          <w:rFonts w:ascii="Arial" w:hAnsi="Arial" w:cs="Arial"/>
        </w:rPr>
        <w:t xml:space="preserve">In </w:t>
      </w:r>
      <w:proofErr w:type="spellStart"/>
      <w:r>
        <w:rPr>
          <w:rFonts w:ascii="Arial" w:hAnsi="Arial" w:cs="Arial"/>
          <w:i/>
        </w:rPr>
        <w:t>Rugema</w:t>
      </w:r>
      <w:proofErr w:type="spellEnd"/>
      <w:r>
        <w:rPr>
          <w:rFonts w:ascii="Arial" w:hAnsi="Arial" w:cs="Arial"/>
          <w:i/>
        </w:rPr>
        <w:t xml:space="preserve"> v </w:t>
      </w:r>
      <w:proofErr w:type="spellStart"/>
      <w:r>
        <w:rPr>
          <w:rFonts w:ascii="Arial" w:hAnsi="Arial" w:cs="Arial"/>
          <w:i/>
        </w:rPr>
        <w:t>Gadsten</w:t>
      </w:r>
      <w:proofErr w:type="spellEnd"/>
      <w:r>
        <w:rPr>
          <w:rFonts w:ascii="Arial" w:hAnsi="Arial" w:cs="Arial"/>
          <w:i/>
        </w:rPr>
        <w:t xml:space="preserve"> Pty Ltd &amp; </w:t>
      </w:r>
      <w:proofErr w:type="spellStart"/>
      <w:r>
        <w:rPr>
          <w:rFonts w:ascii="Arial" w:hAnsi="Arial" w:cs="Arial"/>
          <w:i/>
        </w:rPr>
        <w:t>Derkes</w:t>
      </w:r>
      <w:proofErr w:type="spellEnd"/>
      <w:r>
        <w:rPr>
          <w:rFonts w:ascii="Arial" w:hAnsi="Arial" w:cs="Arial"/>
        </w:rPr>
        <w:t xml:space="preserve"> [1997] </w:t>
      </w:r>
      <w:proofErr w:type="spellStart"/>
      <w:r>
        <w:rPr>
          <w:rFonts w:ascii="Arial" w:hAnsi="Arial" w:cs="Arial"/>
        </w:rPr>
        <w:t>HREOCA</w:t>
      </w:r>
      <w:proofErr w:type="spellEnd"/>
      <w:r>
        <w:rPr>
          <w:rFonts w:ascii="Arial" w:hAnsi="Arial" w:cs="Arial"/>
        </w:rPr>
        <w:t xml:space="preserve"> 34, Commissioner Webster was satisfied that the applicant:</w:t>
      </w:r>
    </w:p>
    <w:p w14:paraId="707F55A0" w14:textId="77777777" w:rsidR="00F618DF" w:rsidRPr="00BA6B6B" w:rsidRDefault="00F618DF" w:rsidP="00095E11">
      <w:pPr>
        <w:spacing w:line="240" w:lineRule="auto"/>
        <w:jc w:val="both"/>
        <w:rPr>
          <w:rFonts w:ascii="Arial" w:hAnsi="Arial" w:cs="Arial"/>
        </w:rPr>
      </w:pPr>
      <w:r w:rsidRPr="00BA6B6B">
        <w:rPr>
          <w:rFonts w:ascii="Arial" w:hAnsi="Arial" w:cs="Arial"/>
          <w:i/>
          <w:sz w:val="20"/>
        </w:rPr>
        <w:t xml:space="preserve">“suffered a severe major depressive disorder with significant pain and suffering and loss of enjoyment of life as the result of racial abuse. </w:t>
      </w:r>
      <w:r w:rsidRPr="00BA6B6B">
        <w:rPr>
          <w:rFonts w:ascii="Arial" w:hAnsi="Arial" w:cs="Arial"/>
          <w:i/>
          <w:color w:val="000000"/>
          <w:sz w:val="20"/>
        </w:rPr>
        <w:t xml:space="preserve">He has suffered constant fatigue, has been suicidal, has problems sleeping with recurrent nightmares of racial abuse. He suffers sweating, heart palpitations, fear of going outside, he is now withdrawn socially, he is unable to concentrate, and as a result of the medication he is using he suffers impotence. </w:t>
      </w:r>
      <w:r w:rsidRPr="00BA6B6B">
        <w:rPr>
          <w:rFonts w:ascii="Arial" w:hAnsi="Arial" w:cs="Arial"/>
          <w:i/>
          <w:color w:val="000000"/>
          <w:sz w:val="20"/>
          <w:lang w:eastAsia="en-AU"/>
        </w:rPr>
        <w:t xml:space="preserve">Mr </w:t>
      </w:r>
      <w:proofErr w:type="spellStart"/>
      <w:r w:rsidRPr="00BA6B6B">
        <w:rPr>
          <w:rFonts w:ascii="Arial" w:hAnsi="Arial" w:cs="Arial"/>
          <w:bCs/>
          <w:i/>
          <w:color w:val="000000"/>
          <w:sz w:val="20"/>
          <w:lang w:eastAsia="en-AU"/>
        </w:rPr>
        <w:t>Rugem</w:t>
      </w:r>
      <w:r w:rsidRPr="00BA6B6B">
        <w:rPr>
          <w:rFonts w:ascii="Arial" w:hAnsi="Arial" w:cs="Arial"/>
          <w:bCs/>
          <w:i/>
          <w:color w:val="000000"/>
          <w:sz w:val="20"/>
        </w:rPr>
        <w:t>a</w:t>
      </w:r>
      <w:r>
        <w:rPr>
          <w:rFonts w:ascii="Arial" w:hAnsi="Arial" w:cs="Arial"/>
          <w:i/>
          <w:color w:val="000000"/>
          <w:sz w:val="20"/>
        </w:rPr>
        <w:t>’</w:t>
      </w:r>
      <w:r w:rsidRPr="00BA6B6B">
        <w:rPr>
          <w:rFonts w:ascii="Arial" w:hAnsi="Arial" w:cs="Arial"/>
          <w:i/>
          <w:color w:val="000000"/>
          <w:sz w:val="20"/>
          <w:lang w:eastAsia="en-AU"/>
        </w:rPr>
        <w:t>s</w:t>
      </w:r>
      <w:proofErr w:type="spellEnd"/>
      <w:r w:rsidRPr="00BA6B6B">
        <w:rPr>
          <w:rFonts w:ascii="Arial" w:hAnsi="Arial" w:cs="Arial"/>
          <w:i/>
          <w:color w:val="000000"/>
          <w:sz w:val="20"/>
          <w:lang w:eastAsia="en-AU"/>
        </w:rPr>
        <w:t xml:space="preserve"> confidence and general feelings of </w:t>
      </w:r>
      <w:proofErr w:type="spellStart"/>
      <w:r w:rsidRPr="00BA6B6B">
        <w:rPr>
          <w:rFonts w:ascii="Arial" w:hAnsi="Arial" w:cs="Arial"/>
          <w:i/>
          <w:color w:val="000000"/>
          <w:sz w:val="20"/>
          <w:lang w:eastAsia="en-AU"/>
        </w:rPr>
        <w:t>self worth</w:t>
      </w:r>
      <w:proofErr w:type="spellEnd"/>
      <w:r w:rsidRPr="00BA6B6B">
        <w:rPr>
          <w:rFonts w:ascii="Arial" w:hAnsi="Arial" w:cs="Arial"/>
          <w:i/>
          <w:color w:val="000000"/>
          <w:sz w:val="20"/>
          <w:lang w:eastAsia="en-AU"/>
        </w:rPr>
        <w:t xml:space="preserve"> have been diminished.</w:t>
      </w:r>
      <w:r w:rsidRPr="00BA6B6B">
        <w:rPr>
          <w:rFonts w:ascii="Arial" w:hAnsi="Arial" w:cs="Arial"/>
          <w:i/>
          <w:color w:val="000000"/>
          <w:sz w:val="20"/>
        </w:rPr>
        <w:t>”</w:t>
      </w:r>
      <w:r w:rsidRPr="00BA6B6B">
        <w:rPr>
          <w:rFonts w:ascii="Arial" w:hAnsi="Arial" w:cs="Arial"/>
          <w:i/>
          <w:color w:val="000000"/>
          <w:sz w:val="20"/>
          <w:lang w:eastAsia="en-AU"/>
        </w:rPr>
        <w:t xml:space="preserve"> </w:t>
      </w:r>
    </w:p>
    <w:p w14:paraId="6004C0F3" w14:textId="1D2251D4" w:rsidR="00F618DF" w:rsidRPr="00BA6B6B" w:rsidRDefault="00F618DF" w:rsidP="00095E11">
      <w:pPr>
        <w:autoSpaceDE w:val="0"/>
        <w:autoSpaceDN w:val="0"/>
        <w:adjustRightInd w:val="0"/>
        <w:spacing w:line="240" w:lineRule="auto"/>
        <w:jc w:val="both"/>
        <w:rPr>
          <w:rFonts w:ascii="Arial" w:hAnsi="Arial" w:cs="Arial"/>
        </w:rPr>
      </w:pPr>
      <w:r w:rsidRPr="00BA6B6B">
        <w:rPr>
          <w:rFonts w:ascii="Arial" w:hAnsi="Arial" w:cs="Arial"/>
        </w:rPr>
        <w:t xml:space="preserve">Stephan </w:t>
      </w:r>
      <w:proofErr w:type="spellStart"/>
      <w:r w:rsidRPr="00BA6B6B">
        <w:rPr>
          <w:rFonts w:ascii="Arial" w:hAnsi="Arial" w:cs="Arial"/>
        </w:rPr>
        <w:t>Kerkyasharian</w:t>
      </w:r>
      <w:proofErr w:type="spellEnd"/>
      <w:r w:rsidRPr="00BA6B6B">
        <w:rPr>
          <w:rFonts w:ascii="Arial" w:hAnsi="Arial" w:cs="Arial"/>
        </w:rPr>
        <w:t>, President of the Anti-Discrimination Board of NSW, told</w:t>
      </w:r>
      <w:r w:rsidR="008D03CD">
        <w:rPr>
          <w:rFonts w:ascii="Arial" w:hAnsi="Arial" w:cs="Arial"/>
        </w:rPr>
        <w:t xml:space="preserve"> the Committee of the NSW parliamentary i</w:t>
      </w:r>
      <w:r w:rsidRPr="00BA6B6B">
        <w:rPr>
          <w:rFonts w:ascii="Arial" w:hAnsi="Arial" w:cs="Arial"/>
        </w:rPr>
        <w:t>nquiry</w:t>
      </w:r>
      <w:r w:rsidR="008D03CD">
        <w:rPr>
          <w:rFonts w:ascii="Arial" w:hAnsi="Arial" w:cs="Arial"/>
        </w:rPr>
        <w:t xml:space="preserve"> into racial vilification laws</w:t>
      </w:r>
      <w:r w:rsidRPr="00BA6B6B">
        <w:rPr>
          <w:rFonts w:ascii="Arial" w:hAnsi="Arial" w:cs="Arial"/>
        </w:rPr>
        <w:t xml:space="preserve"> that race-hate speech can cause psychological and social harm: </w:t>
      </w:r>
    </w:p>
    <w:p w14:paraId="316B24C9" w14:textId="77777777" w:rsidR="005146B6" w:rsidRDefault="00F618DF" w:rsidP="00095E11">
      <w:pPr>
        <w:autoSpaceDE w:val="0"/>
        <w:autoSpaceDN w:val="0"/>
        <w:adjustRightInd w:val="0"/>
        <w:spacing w:line="240" w:lineRule="auto"/>
        <w:jc w:val="both"/>
        <w:rPr>
          <w:rFonts w:ascii="Arial" w:hAnsi="Arial" w:cs="Arial"/>
          <w:sz w:val="20"/>
        </w:rPr>
      </w:pPr>
      <w:r w:rsidRPr="00BA6B6B">
        <w:rPr>
          <w:rFonts w:ascii="Arial" w:hAnsi="Arial" w:cs="Arial"/>
          <w:sz w:val="20"/>
        </w:rPr>
        <w:t>“</w:t>
      </w:r>
      <w:r w:rsidRPr="00BA6B6B">
        <w:rPr>
          <w:rFonts w:ascii="Arial" w:hAnsi="Arial" w:cs="Arial"/>
          <w:i/>
          <w:sz w:val="20"/>
        </w:rPr>
        <w:t>it is important to recognise that vilification has the potential to cause real harm. It is widely accepted that speech promoting prejudice and hatred can cause significant psychological and social harm to individuals from targeted groups. Indeed, the person who lodges a complaint is not the only person affected by the vilification, because hate speech does not just have one victim.</w:t>
      </w:r>
      <w:r w:rsidRPr="00BA6B6B">
        <w:rPr>
          <w:rFonts w:ascii="Arial" w:hAnsi="Arial" w:cs="Arial"/>
          <w:sz w:val="20"/>
        </w:rPr>
        <w:t>”</w:t>
      </w:r>
      <w:r w:rsidRPr="00BA6B6B">
        <w:rPr>
          <w:rStyle w:val="FootnoteReference"/>
          <w:rFonts w:ascii="Arial" w:hAnsi="Arial" w:cs="Arial"/>
          <w:sz w:val="20"/>
        </w:rPr>
        <w:footnoteReference w:id="8"/>
      </w:r>
    </w:p>
    <w:p w14:paraId="766F0C2E" w14:textId="77777777" w:rsidR="00F618DF" w:rsidRDefault="00F618DF" w:rsidP="00095E11">
      <w:pPr>
        <w:autoSpaceDE w:val="0"/>
        <w:autoSpaceDN w:val="0"/>
        <w:adjustRightInd w:val="0"/>
        <w:spacing w:line="240" w:lineRule="auto"/>
        <w:jc w:val="both"/>
        <w:rPr>
          <w:rFonts w:ascii="Arial" w:hAnsi="Arial" w:cs="Arial"/>
        </w:rPr>
      </w:pPr>
      <w:r w:rsidRPr="00B619C5">
        <w:rPr>
          <w:rFonts w:ascii="Arial" w:hAnsi="Arial" w:cs="Arial"/>
        </w:rPr>
        <w:t xml:space="preserve">According to the 2011 </w:t>
      </w:r>
      <w:proofErr w:type="spellStart"/>
      <w:r w:rsidRPr="00B619C5">
        <w:rPr>
          <w:rFonts w:ascii="Arial" w:hAnsi="Arial" w:cs="Arial"/>
        </w:rPr>
        <w:t>Lowitja</w:t>
      </w:r>
      <w:proofErr w:type="spellEnd"/>
      <w:r w:rsidRPr="00B619C5">
        <w:rPr>
          <w:rFonts w:ascii="Arial" w:hAnsi="Arial" w:cs="Arial"/>
        </w:rPr>
        <w:t xml:space="preserve"> survey about racism, 50% of all participants and 65% of participants exposed to 12 or more incidents of racism reported experiencing high or very high levels of psychological distress.</w:t>
      </w:r>
      <w:r w:rsidRPr="00B619C5">
        <w:rPr>
          <w:rStyle w:val="FootnoteReference"/>
          <w:rFonts w:ascii="Arial" w:hAnsi="Arial" w:cs="Arial"/>
        </w:rPr>
        <w:footnoteReference w:id="9"/>
      </w:r>
      <w:r w:rsidR="005146B6">
        <w:rPr>
          <w:rFonts w:ascii="Arial" w:hAnsi="Arial" w:cs="Arial"/>
        </w:rPr>
        <w:t xml:space="preserve"> </w:t>
      </w:r>
      <w:r w:rsidRPr="00B619C5">
        <w:rPr>
          <w:rFonts w:ascii="Arial" w:hAnsi="Arial" w:cs="Arial"/>
        </w:rPr>
        <w:t xml:space="preserve">According to the 2008 </w:t>
      </w:r>
      <w:proofErr w:type="spellStart"/>
      <w:r w:rsidRPr="00B619C5">
        <w:rPr>
          <w:rFonts w:ascii="Arial" w:hAnsi="Arial" w:cs="Arial"/>
        </w:rPr>
        <w:t>NATSISS</w:t>
      </w:r>
      <w:proofErr w:type="spellEnd"/>
      <w:r w:rsidRPr="00B619C5">
        <w:rPr>
          <w:rFonts w:ascii="Arial" w:hAnsi="Arial" w:cs="Arial"/>
        </w:rPr>
        <w:t xml:space="preserve">, Aboriginal and Torres Strait Islander people who had experienced discrimination were more likely than </w:t>
      </w:r>
      <w:r w:rsidRPr="00B619C5">
        <w:rPr>
          <w:rFonts w:ascii="Arial" w:hAnsi="Arial" w:cs="Arial"/>
        </w:rPr>
        <w:lastRenderedPageBreak/>
        <w:t>those who had not experienced discrimination to report high or very high levels of psychological distress (44% compared to 26%).</w:t>
      </w:r>
      <w:r w:rsidRPr="00B619C5">
        <w:rPr>
          <w:rStyle w:val="FootnoteReference"/>
          <w:rFonts w:ascii="Arial" w:hAnsi="Arial" w:cs="Arial"/>
        </w:rPr>
        <w:footnoteReference w:id="10"/>
      </w:r>
      <w:r w:rsidRPr="00B619C5">
        <w:rPr>
          <w:rFonts w:ascii="Arial" w:hAnsi="Arial" w:cs="Arial"/>
        </w:rPr>
        <w:t xml:space="preserve"> </w:t>
      </w:r>
    </w:p>
    <w:p w14:paraId="1D3346C3" w14:textId="77777777" w:rsidR="005146B6" w:rsidRPr="00B619C5" w:rsidRDefault="005146B6" w:rsidP="00095E11">
      <w:pPr>
        <w:autoSpaceDE w:val="0"/>
        <w:autoSpaceDN w:val="0"/>
        <w:adjustRightInd w:val="0"/>
        <w:spacing w:line="240" w:lineRule="auto"/>
        <w:jc w:val="both"/>
        <w:rPr>
          <w:rFonts w:ascii="Arial" w:hAnsi="Arial" w:cs="Arial"/>
        </w:rPr>
      </w:pPr>
      <w:r>
        <w:rPr>
          <w:rFonts w:ascii="Arial" w:hAnsi="Arial" w:cs="Arial"/>
        </w:rPr>
        <w:t>Given the individual and social harm discrimination and vilification causes, it is important that victims have access to courts to remedy the harm caused. Litigation may also serve to prevent</w:t>
      </w:r>
      <w:r w:rsidR="000D1279">
        <w:rPr>
          <w:rFonts w:ascii="Arial" w:hAnsi="Arial" w:cs="Arial"/>
        </w:rPr>
        <w:t xml:space="preserve"> further</w:t>
      </w:r>
      <w:r>
        <w:rPr>
          <w:rFonts w:ascii="Arial" w:hAnsi="Arial" w:cs="Arial"/>
        </w:rPr>
        <w:t xml:space="preserve"> discrimination and vilification in the community. </w:t>
      </w:r>
    </w:p>
    <w:p w14:paraId="532E58AB" w14:textId="77777777" w:rsidR="003D5753" w:rsidRDefault="00BA2E37" w:rsidP="00095E11">
      <w:pPr>
        <w:pStyle w:val="Rec"/>
        <w:spacing w:line="240" w:lineRule="auto"/>
        <w:rPr>
          <w:rFonts w:ascii="Arial" w:hAnsi="Arial" w:cs="Arial"/>
          <w:b w:val="0"/>
          <w:i w:val="0"/>
          <w:sz w:val="22"/>
          <w:szCs w:val="22"/>
        </w:rPr>
      </w:pPr>
      <w:r>
        <w:rPr>
          <w:rFonts w:ascii="Arial" w:hAnsi="Arial" w:cs="Arial"/>
          <w:b w:val="0"/>
          <w:i w:val="0"/>
          <w:sz w:val="22"/>
          <w:szCs w:val="22"/>
        </w:rPr>
        <w:t xml:space="preserve">Not all the divisions of the federal court system require the losing party to pay the winning party’s costs. </w:t>
      </w:r>
      <w:r w:rsidR="003D5753">
        <w:rPr>
          <w:rFonts w:ascii="Arial" w:hAnsi="Arial" w:cs="Arial"/>
          <w:b w:val="0"/>
          <w:i w:val="0"/>
          <w:sz w:val="22"/>
          <w:szCs w:val="22"/>
        </w:rPr>
        <w:t xml:space="preserve">Costs are not recoverable in proceedings arising under the </w:t>
      </w:r>
      <w:r w:rsidR="00F618DF" w:rsidRPr="003D5753">
        <w:rPr>
          <w:rFonts w:ascii="Arial" w:hAnsi="Arial" w:cs="Arial"/>
          <w:b w:val="0"/>
          <w:sz w:val="22"/>
          <w:szCs w:val="22"/>
        </w:rPr>
        <w:t>Fair Work Act 2009 (</w:t>
      </w:r>
      <w:proofErr w:type="spellStart"/>
      <w:r w:rsidR="00F618DF" w:rsidRPr="003D5753">
        <w:rPr>
          <w:rFonts w:ascii="Arial" w:hAnsi="Arial" w:cs="Arial"/>
          <w:b w:val="0"/>
          <w:sz w:val="22"/>
          <w:szCs w:val="22"/>
        </w:rPr>
        <w:t>Cth</w:t>
      </w:r>
      <w:proofErr w:type="spellEnd"/>
      <w:r w:rsidR="00F618DF" w:rsidRPr="003D5753">
        <w:rPr>
          <w:rFonts w:ascii="Arial" w:hAnsi="Arial" w:cs="Arial"/>
          <w:b w:val="0"/>
          <w:sz w:val="22"/>
          <w:szCs w:val="22"/>
        </w:rPr>
        <w:t>)</w:t>
      </w:r>
      <w:r w:rsidR="00F618DF">
        <w:rPr>
          <w:rFonts w:ascii="Arial" w:hAnsi="Arial" w:cs="Arial"/>
          <w:b w:val="0"/>
          <w:i w:val="0"/>
          <w:sz w:val="22"/>
          <w:szCs w:val="22"/>
        </w:rPr>
        <w:t xml:space="preserve"> (</w:t>
      </w:r>
      <w:proofErr w:type="spellStart"/>
      <w:r w:rsidR="00F618DF" w:rsidRPr="00A95CBC">
        <w:rPr>
          <w:rFonts w:ascii="Arial" w:hAnsi="Arial" w:cs="Arial"/>
          <w:i w:val="0"/>
          <w:sz w:val="22"/>
          <w:szCs w:val="22"/>
        </w:rPr>
        <w:t>FWA</w:t>
      </w:r>
      <w:proofErr w:type="spellEnd"/>
      <w:r w:rsidR="00F618DF">
        <w:rPr>
          <w:rFonts w:ascii="Arial" w:hAnsi="Arial" w:cs="Arial"/>
          <w:b w:val="0"/>
          <w:i w:val="0"/>
          <w:sz w:val="22"/>
          <w:szCs w:val="22"/>
        </w:rPr>
        <w:t xml:space="preserve">) </w:t>
      </w:r>
      <w:r w:rsidR="003D5753" w:rsidRPr="003D5753">
        <w:rPr>
          <w:rFonts w:ascii="Arial" w:hAnsi="Arial" w:cs="Arial"/>
          <w:b w:val="0"/>
          <w:i w:val="0"/>
          <w:sz w:val="22"/>
          <w:szCs w:val="22"/>
        </w:rPr>
        <w:t>if</w:t>
      </w:r>
      <w:r w:rsidR="003D5753">
        <w:rPr>
          <w:rFonts w:ascii="Arial" w:hAnsi="Arial" w:cs="Arial"/>
          <w:b w:val="0"/>
          <w:i w:val="0"/>
          <w:sz w:val="22"/>
          <w:szCs w:val="22"/>
        </w:rPr>
        <w:t>:</w:t>
      </w:r>
    </w:p>
    <w:p w14:paraId="340C69F2" w14:textId="77777777" w:rsidR="003D5753" w:rsidRPr="00F618DF" w:rsidRDefault="003D5753" w:rsidP="00095E11">
      <w:pPr>
        <w:pStyle w:val="Rec"/>
        <w:numPr>
          <w:ilvl w:val="0"/>
          <w:numId w:val="25"/>
        </w:numPr>
        <w:spacing w:line="240" w:lineRule="auto"/>
        <w:rPr>
          <w:rFonts w:ascii="Arial" w:hAnsi="Arial" w:cs="Arial"/>
          <w:b w:val="0"/>
          <w:sz w:val="20"/>
        </w:rPr>
      </w:pPr>
      <w:r w:rsidRPr="00F618DF">
        <w:rPr>
          <w:rFonts w:ascii="Arial" w:hAnsi="Arial" w:cs="Arial"/>
          <w:b w:val="0"/>
          <w:sz w:val="20"/>
        </w:rPr>
        <w:t xml:space="preserve">the court is satisfied that the party instituted the proceedings vexatiously or without reasonable cause; or </w:t>
      </w:r>
    </w:p>
    <w:p w14:paraId="5B4929E0" w14:textId="77777777" w:rsidR="003D5753" w:rsidRPr="00F618DF" w:rsidRDefault="003D5753" w:rsidP="00095E11">
      <w:pPr>
        <w:pStyle w:val="Rec"/>
        <w:numPr>
          <w:ilvl w:val="0"/>
          <w:numId w:val="25"/>
        </w:numPr>
        <w:spacing w:line="240" w:lineRule="auto"/>
        <w:rPr>
          <w:rFonts w:ascii="Arial" w:hAnsi="Arial" w:cs="Arial"/>
          <w:b w:val="0"/>
          <w:sz w:val="20"/>
        </w:rPr>
      </w:pPr>
      <w:r w:rsidRPr="00F618DF">
        <w:rPr>
          <w:rFonts w:ascii="Arial" w:hAnsi="Arial" w:cs="Arial"/>
          <w:b w:val="0"/>
          <w:sz w:val="20"/>
        </w:rPr>
        <w:t xml:space="preserve">the court is satisfied that the party's unreasonable act or omission caused the other party to incur the costs; or </w:t>
      </w:r>
    </w:p>
    <w:p w14:paraId="20D862B9" w14:textId="77777777" w:rsidR="003D5753" w:rsidRPr="00F618DF" w:rsidRDefault="003D5753" w:rsidP="00095E11">
      <w:pPr>
        <w:pStyle w:val="Rec"/>
        <w:numPr>
          <w:ilvl w:val="0"/>
          <w:numId w:val="25"/>
        </w:numPr>
        <w:spacing w:line="240" w:lineRule="auto"/>
        <w:rPr>
          <w:sz w:val="20"/>
        </w:rPr>
      </w:pPr>
      <w:r w:rsidRPr="00F618DF">
        <w:rPr>
          <w:rFonts w:ascii="Arial" w:hAnsi="Arial" w:cs="Arial"/>
          <w:b w:val="0"/>
          <w:sz w:val="20"/>
        </w:rPr>
        <w:t xml:space="preserve">the court is satisfied that the party unreasonably refused to participate in a matter before the </w:t>
      </w:r>
      <w:proofErr w:type="spellStart"/>
      <w:r w:rsidRPr="00F618DF">
        <w:rPr>
          <w:rFonts w:ascii="Arial" w:hAnsi="Arial" w:cs="Arial"/>
          <w:b w:val="0"/>
          <w:sz w:val="20"/>
        </w:rPr>
        <w:t>FWC</w:t>
      </w:r>
      <w:proofErr w:type="spellEnd"/>
      <w:r w:rsidRPr="00F618DF">
        <w:rPr>
          <w:rFonts w:ascii="Arial" w:hAnsi="Arial" w:cs="Arial"/>
          <w:b w:val="0"/>
          <w:sz w:val="20"/>
        </w:rPr>
        <w:t xml:space="preserve"> and the matter arose from the same facts as the proceedings.</w:t>
      </w:r>
      <w:r w:rsidRPr="00F618DF">
        <w:rPr>
          <w:rStyle w:val="FootnoteReference"/>
          <w:rFonts w:ascii="Arial" w:hAnsi="Arial" w:cs="Arial"/>
          <w:b w:val="0"/>
          <w:sz w:val="20"/>
        </w:rPr>
        <w:footnoteReference w:id="11"/>
      </w:r>
      <w:r w:rsidRPr="00F618DF">
        <w:rPr>
          <w:sz w:val="20"/>
        </w:rPr>
        <w:t xml:space="preserve"> </w:t>
      </w:r>
    </w:p>
    <w:p w14:paraId="28501FB6" w14:textId="77777777" w:rsidR="006C4103" w:rsidRDefault="005146B6" w:rsidP="00095E11">
      <w:pPr>
        <w:pStyle w:val="Rec"/>
        <w:spacing w:line="240" w:lineRule="auto"/>
        <w:rPr>
          <w:rFonts w:ascii="Arial" w:hAnsi="Arial" w:cs="Arial"/>
          <w:b w:val="0"/>
          <w:i w:val="0"/>
          <w:sz w:val="22"/>
          <w:szCs w:val="22"/>
        </w:rPr>
      </w:pPr>
      <w:r w:rsidRPr="006C4103">
        <w:rPr>
          <w:rFonts w:ascii="Arial" w:hAnsi="Arial" w:cs="Arial"/>
          <w:b w:val="0"/>
          <w:i w:val="0"/>
          <w:sz w:val="22"/>
          <w:szCs w:val="22"/>
        </w:rPr>
        <w:t xml:space="preserve">For the purpose of discrimination complaints, the Federal Court and Federal Magistrates Court should become a no-costs jurisdiction. An exemption should allow for costs in vexatious or frivolous proceedings, or for unreasonable conduct during proceedings, in line with state and territory discrimination tribunals. A no-costs jurisdiction would also ensure consistency with adverse action claims under the </w:t>
      </w:r>
      <w:proofErr w:type="spellStart"/>
      <w:r w:rsidRPr="006C4103">
        <w:rPr>
          <w:rFonts w:ascii="Arial" w:hAnsi="Arial" w:cs="Arial"/>
          <w:b w:val="0"/>
          <w:i w:val="0"/>
          <w:sz w:val="22"/>
          <w:szCs w:val="22"/>
        </w:rPr>
        <w:t>FWA</w:t>
      </w:r>
      <w:proofErr w:type="spellEnd"/>
      <w:r w:rsidRPr="006C4103">
        <w:rPr>
          <w:rFonts w:ascii="Arial" w:hAnsi="Arial" w:cs="Arial"/>
          <w:b w:val="0"/>
          <w:i w:val="0"/>
          <w:sz w:val="22"/>
          <w:szCs w:val="22"/>
        </w:rPr>
        <w:t xml:space="preserve">. This is significant as many discrimination claims relate to employment matters, and so could be brought under the </w:t>
      </w:r>
      <w:proofErr w:type="spellStart"/>
      <w:r w:rsidRPr="006C4103">
        <w:rPr>
          <w:rFonts w:ascii="Arial" w:hAnsi="Arial" w:cs="Arial"/>
          <w:b w:val="0"/>
          <w:i w:val="0"/>
          <w:sz w:val="22"/>
          <w:szCs w:val="22"/>
        </w:rPr>
        <w:t>FWA</w:t>
      </w:r>
      <w:proofErr w:type="spellEnd"/>
      <w:r w:rsidRPr="006C4103">
        <w:rPr>
          <w:rFonts w:ascii="Arial" w:hAnsi="Arial" w:cs="Arial"/>
          <w:b w:val="0"/>
          <w:i w:val="0"/>
          <w:sz w:val="22"/>
          <w:szCs w:val="22"/>
        </w:rPr>
        <w:t>. Therefore it is important to ensure that in relation to costs, the legislative schemes are consistent.</w:t>
      </w:r>
      <w:r w:rsidR="006C4103">
        <w:rPr>
          <w:rFonts w:ascii="Arial" w:hAnsi="Arial" w:cs="Arial"/>
          <w:b w:val="0"/>
          <w:i w:val="0"/>
          <w:sz w:val="22"/>
          <w:szCs w:val="22"/>
        </w:rPr>
        <w:t xml:space="preserve"> </w:t>
      </w:r>
    </w:p>
    <w:p w14:paraId="24DD4E0E" w14:textId="77777777" w:rsidR="006C4103" w:rsidRDefault="006C4103" w:rsidP="00095E11">
      <w:pPr>
        <w:pStyle w:val="Rec"/>
        <w:spacing w:line="240" w:lineRule="auto"/>
        <w:rPr>
          <w:rFonts w:ascii="Arial" w:hAnsi="Arial" w:cs="Arial"/>
          <w:b w:val="0"/>
          <w:i w:val="0"/>
          <w:sz w:val="22"/>
          <w:szCs w:val="22"/>
        </w:rPr>
      </w:pPr>
      <w:r>
        <w:rPr>
          <w:rFonts w:ascii="Arial" w:hAnsi="Arial" w:cs="Arial"/>
          <w:b w:val="0"/>
          <w:i w:val="0"/>
          <w:sz w:val="22"/>
          <w:szCs w:val="22"/>
        </w:rPr>
        <w:t xml:space="preserve">A no-costs jurisdiction would also provide certainty as to costs for risk adverse litigants and encourage respondents to settle so to minimise their costs. The majority of disadvantaged clients cannot afford to litigate and rely on legal aid commissions, </w:t>
      </w:r>
      <w:proofErr w:type="spellStart"/>
      <w:r>
        <w:rPr>
          <w:rFonts w:ascii="Arial" w:hAnsi="Arial" w:cs="Arial"/>
          <w:b w:val="0"/>
          <w:i w:val="0"/>
          <w:sz w:val="22"/>
          <w:szCs w:val="22"/>
        </w:rPr>
        <w:t>CLCs</w:t>
      </w:r>
      <w:proofErr w:type="spellEnd"/>
      <w:r>
        <w:rPr>
          <w:rFonts w:ascii="Arial" w:hAnsi="Arial" w:cs="Arial"/>
          <w:b w:val="0"/>
          <w:i w:val="0"/>
          <w:sz w:val="22"/>
          <w:szCs w:val="22"/>
        </w:rPr>
        <w:t xml:space="preserve"> or pro bono schemes to represent them in discrimination proceedings. As litigants </w:t>
      </w:r>
      <w:r w:rsidR="00117BBC">
        <w:rPr>
          <w:rFonts w:ascii="Arial" w:hAnsi="Arial" w:cs="Arial"/>
          <w:b w:val="0"/>
          <w:i w:val="0"/>
          <w:sz w:val="22"/>
          <w:szCs w:val="22"/>
        </w:rPr>
        <w:t>would</w:t>
      </w:r>
      <w:r>
        <w:rPr>
          <w:rFonts w:ascii="Arial" w:hAnsi="Arial" w:cs="Arial"/>
          <w:b w:val="0"/>
          <w:i w:val="0"/>
          <w:sz w:val="22"/>
          <w:szCs w:val="22"/>
        </w:rPr>
        <w:t xml:space="preserve"> not incur costs</w:t>
      </w:r>
      <w:r w:rsidR="00117BBC">
        <w:rPr>
          <w:rFonts w:ascii="Arial" w:hAnsi="Arial" w:cs="Arial"/>
          <w:b w:val="0"/>
          <w:i w:val="0"/>
          <w:sz w:val="22"/>
          <w:szCs w:val="22"/>
        </w:rPr>
        <w:t xml:space="preserve"> in these circumstances,</w:t>
      </w:r>
      <w:r>
        <w:rPr>
          <w:rFonts w:ascii="Arial" w:hAnsi="Arial" w:cs="Arial"/>
          <w:b w:val="0"/>
          <w:i w:val="0"/>
          <w:sz w:val="22"/>
          <w:szCs w:val="22"/>
        </w:rPr>
        <w:t xml:space="preserve"> there is no need to indemnify them if they win.</w:t>
      </w:r>
    </w:p>
    <w:p w14:paraId="590826C2" w14:textId="77777777" w:rsidR="00F55A8F" w:rsidRDefault="00F55A8F" w:rsidP="00095E11">
      <w:pPr>
        <w:autoSpaceDE w:val="0"/>
        <w:autoSpaceDN w:val="0"/>
        <w:adjustRightInd w:val="0"/>
        <w:spacing w:after="0" w:line="240" w:lineRule="auto"/>
        <w:jc w:val="both"/>
        <w:rPr>
          <w:rFonts w:ascii="Arial" w:eastAsia="Times New Roman" w:hAnsi="Arial" w:cs="Arial"/>
          <w:b/>
          <w:bCs/>
          <w:color w:val="000000"/>
          <w:lang w:eastAsia="en-AU"/>
        </w:rPr>
      </w:pPr>
    </w:p>
    <w:p w14:paraId="28C3B8BE" w14:textId="77777777" w:rsidR="00F55A8F" w:rsidRPr="006C4103" w:rsidRDefault="00F55A8F" w:rsidP="00095E1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Arial" w:eastAsia="Times New Roman" w:hAnsi="Arial" w:cs="Arial"/>
          <w:b/>
          <w:color w:val="000000"/>
          <w:lang w:eastAsia="en-AU"/>
        </w:rPr>
      </w:pPr>
      <w:r w:rsidRPr="006C4103">
        <w:rPr>
          <w:rFonts w:ascii="Arial" w:eastAsia="Times New Roman" w:hAnsi="Arial" w:cs="Arial"/>
          <w:b/>
          <w:bCs/>
          <w:color w:val="000000"/>
          <w:lang w:eastAsia="en-AU"/>
        </w:rPr>
        <w:t>R</w:t>
      </w:r>
      <w:r>
        <w:rPr>
          <w:rFonts w:ascii="Arial" w:eastAsia="Times New Roman" w:hAnsi="Arial" w:cs="Arial"/>
          <w:b/>
          <w:bCs/>
          <w:color w:val="000000"/>
          <w:lang w:eastAsia="en-AU"/>
        </w:rPr>
        <w:t>ecommendation</w:t>
      </w:r>
      <w:r w:rsidRPr="006C4103">
        <w:rPr>
          <w:rFonts w:ascii="Arial" w:eastAsia="Times New Roman" w:hAnsi="Arial" w:cs="Arial"/>
          <w:bCs/>
          <w:color w:val="000000"/>
          <w:lang w:eastAsia="en-AU"/>
        </w:rPr>
        <w:t>:</w:t>
      </w:r>
      <w:r w:rsidRPr="006C4103">
        <w:rPr>
          <w:rFonts w:ascii="Arial" w:eastAsia="Times New Roman" w:hAnsi="Arial" w:cs="Arial"/>
          <w:b/>
          <w:bCs/>
          <w:color w:val="000000"/>
          <w:lang w:eastAsia="en-AU"/>
        </w:rPr>
        <w:t xml:space="preserve"> </w:t>
      </w:r>
      <w:r w:rsidRPr="006C4103">
        <w:rPr>
          <w:rFonts w:ascii="Arial" w:eastAsia="Times New Roman" w:hAnsi="Arial" w:cs="Arial"/>
          <w:color w:val="000000"/>
          <w:lang w:eastAsia="en-AU"/>
        </w:rPr>
        <w:t>The Federal Court and the Federal Magistrates Court should become no costs jurisdictions in discrimination matters, except for vexatious or frivolous proceedings.</w:t>
      </w:r>
      <w:r w:rsidRPr="006C4103">
        <w:rPr>
          <w:rFonts w:ascii="Arial" w:eastAsia="Times New Roman" w:hAnsi="Arial" w:cs="Arial"/>
          <w:b/>
          <w:color w:val="000000"/>
          <w:lang w:eastAsia="en-AU"/>
        </w:rPr>
        <w:t xml:space="preserve"> </w:t>
      </w:r>
    </w:p>
    <w:p w14:paraId="779329CF" w14:textId="77777777" w:rsidR="006C4103" w:rsidRDefault="006C4103" w:rsidP="00095E11">
      <w:pPr>
        <w:autoSpaceDE w:val="0"/>
        <w:autoSpaceDN w:val="0"/>
        <w:adjustRightInd w:val="0"/>
        <w:spacing w:after="0" w:line="240" w:lineRule="auto"/>
        <w:jc w:val="both"/>
        <w:rPr>
          <w:rFonts w:ascii="Arial" w:eastAsia="Times New Roman" w:hAnsi="Arial" w:cs="Arial"/>
          <w:b/>
          <w:bCs/>
          <w:color w:val="000000"/>
          <w:sz w:val="20"/>
          <w:szCs w:val="20"/>
          <w:lang w:eastAsia="en-AU"/>
        </w:rPr>
      </w:pPr>
    </w:p>
    <w:p w14:paraId="63B7F3C4" w14:textId="77777777" w:rsidR="00C02EC5" w:rsidRDefault="00C02EC5" w:rsidP="00095E11">
      <w:pPr>
        <w:autoSpaceDE w:val="0"/>
        <w:autoSpaceDN w:val="0"/>
        <w:adjustRightInd w:val="0"/>
        <w:spacing w:after="0" w:line="240" w:lineRule="auto"/>
        <w:jc w:val="both"/>
        <w:rPr>
          <w:rFonts w:ascii="Arial" w:eastAsia="Times New Roman" w:hAnsi="Arial" w:cs="Arial"/>
          <w:bCs/>
          <w:color w:val="000000"/>
          <w:lang w:eastAsia="en-AU"/>
        </w:rPr>
      </w:pPr>
      <w:r>
        <w:rPr>
          <w:rFonts w:ascii="Arial" w:eastAsia="Times New Roman" w:hAnsi="Arial" w:cs="Arial"/>
          <w:bCs/>
          <w:color w:val="000000"/>
          <w:lang w:eastAsia="en-AU"/>
        </w:rPr>
        <w:t xml:space="preserve">In circumstances where costs are awarded to pro bono parties, </w:t>
      </w:r>
      <w:r w:rsidR="00847B03">
        <w:rPr>
          <w:rFonts w:ascii="Arial" w:eastAsia="Times New Roman" w:hAnsi="Arial" w:cs="Arial"/>
          <w:bCs/>
          <w:color w:val="000000"/>
          <w:lang w:eastAsia="en-AU"/>
        </w:rPr>
        <w:t xml:space="preserve">we believe that costs should be awarded to </w:t>
      </w:r>
      <w:r w:rsidR="00D22E2F">
        <w:rPr>
          <w:rFonts w:ascii="Arial" w:eastAsia="Times New Roman" w:hAnsi="Arial" w:cs="Arial"/>
          <w:bCs/>
          <w:color w:val="000000"/>
          <w:lang w:eastAsia="en-AU"/>
        </w:rPr>
        <w:t xml:space="preserve">the </w:t>
      </w:r>
      <w:r w:rsidR="00847B03">
        <w:rPr>
          <w:rFonts w:ascii="Arial" w:eastAsia="Times New Roman" w:hAnsi="Arial" w:cs="Arial"/>
          <w:bCs/>
          <w:color w:val="000000"/>
          <w:lang w:eastAsia="en-AU"/>
        </w:rPr>
        <w:t xml:space="preserve">not-for-profit body providing or coordinating the pro bono service. This would provide another stream of funding for </w:t>
      </w:r>
      <w:r w:rsidR="00D22E2F">
        <w:rPr>
          <w:rFonts w:ascii="Arial" w:eastAsia="Times New Roman" w:hAnsi="Arial" w:cs="Arial"/>
          <w:bCs/>
          <w:color w:val="000000"/>
          <w:lang w:eastAsia="en-AU"/>
        </w:rPr>
        <w:t xml:space="preserve">these </w:t>
      </w:r>
      <w:r w:rsidR="00847B03">
        <w:rPr>
          <w:rFonts w:ascii="Arial" w:eastAsia="Times New Roman" w:hAnsi="Arial" w:cs="Arial"/>
          <w:bCs/>
          <w:color w:val="000000"/>
          <w:lang w:eastAsia="en-AU"/>
        </w:rPr>
        <w:t xml:space="preserve">services, which are typically under-resourced and heavily reliant on government funding. Awarding costs to not-for-profits would avoid the costs of setting up and administering a separate fund to support pro bono services. </w:t>
      </w:r>
    </w:p>
    <w:p w14:paraId="230F92ED" w14:textId="77777777" w:rsidR="00226364" w:rsidRDefault="00226364" w:rsidP="00095E11">
      <w:pPr>
        <w:autoSpaceDE w:val="0"/>
        <w:autoSpaceDN w:val="0"/>
        <w:adjustRightInd w:val="0"/>
        <w:spacing w:after="0" w:line="240" w:lineRule="auto"/>
        <w:jc w:val="both"/>
        <w:rPr>
          <w:rFonts w:ascii="Arial" w:eastAsia="Times New Roman" w:hAnsi="Arial" w:cs="Arial"/>
          <w:bCs/>
          <w:color w:val="000000"/>
          <w:lang w:eastAsia="en-AU"/>
        </w:rPr>
      </w:pPr>
    </w:p>
    <w:p w14:paraId="27845714" w14:textId="77777777" w:rsidR="00226364" w:rsidRDefault="00226364" w:rsidP="00095E11">
      <w:pPr>
        <w:autoSpaceDE w:val="0"/>
        <w:autoSpaceDN w:val="0"/>
        <w:adjustRightInd w:val="0"/>
        <w:spacing w:after="0" w:line="240" w:lineRule="auto"/>
        <w:jc w:val="both"/>
        <w:rPr>
          <w:rFonts w:ascii="Arial" w:eastAsia="Times New Roman" w:hAnsi="Arial" w:cs="Arial"/>
          <w:bCs/>
          <w:color w:val="000000"/>
          <w:lang w:eastAsia="en-AU"/>
        </w:rPr>
      </w:pPr>
      <w:r>
        <w:rPr>
          <w:rFonts w:ascii="Arial" w:eastAsia="Times New Roman" w:hAnsi="Arial" w:cs="Arial"/>
          <w:bCs/>
          <w:color w:val="000000"/>
          <w:lang w:eastAsia="en-AU"/>
        </w:rPr>
        <w:t xml:space="preserve">While pro bono services are important, they are not the main way of providing access to justice and providing </w:t>
      </w:r>
      <w:r w:rsidR="00D22E2F">
        <w:rPr>
          <w:rFonts w:ascii="Arial" w:eastAsia="Times New Roman" w:hAnsi="Arial" w:cs="Arial"/>
          <w:bCs/>
          <w:color w:val="000000"/>
          <w:lang w:eastAsia="en-AU"/>
        </w:rPr>
        <w:t xml:space="preserve">for </w:t>
      </w:r>
      <w:r>
        <w:rPr>
          <w:rFonts w:ascii="Arial" w:eastAsia="Times New Roman" w:hAnsi="Arial" w:cs="Arial"/>
          <w:bCs/>
          <w:color w:val="000000"/>
          <w:lang w:eastAsia="en-AU"/>
        </w:rPr>
        <w:t xml:space="preserve">costs </w:t>
      </w:r>
      <w:r w:rsidR="00D22E2F">
        <w:rPr>
          <w:rFonts w:ascii="Arial" w:eastAsia="Times New Roman" w:hAnsi="Arial" w:cs="Arial"/>
          <w:bCs/>
          <w:color w:val="000000"/>
          <w:lang w:eastAsia="en-AU"/>
        </w:rPr>
        <w:t xml:space="preserve">awards </w:t>
      </w:r>
      <w:r>
        <w:rPr>
          <w:rFonts w:ascii="Arial" w:eastAsia="Times New Roman" w:hAnsi="Arial" w:cs="Arial"/>
          <w:bCs/>
          <w:color w:val="000000"/>
          <w:lang w:eastAsia="en-AU"/>
        </w:rPr>
        <w:t xml:space="preserve">to pro bono services will not necessarily </w:t>
      </w:r>
      <w:r w:rsidR="00D22E2F">
        <w:rPr>
          <w:rFonts w:ascii="Arial" w:eastAsia="Times New Roman" w:hAnsi="Arial" w:cs="Arial"/>
          <w:bCs/>
          <w:color w:val="000000"/>
          <w:lang w:eastAsia="en-AU"/>
        </w:rPr>
        <w:t>increase</w:t>
      </w:r>
      <w:r w:rsidR="0067537C">
        <w:rPr>
          <w:rFonts w:ascii="Arial" w:eastAsia="Times New Roman" w:hAnsi="Arial" w:cs="Arial"/>
          <w:bCs/>
          <w:color w:val="000000"/>
          <w:lang w:eastAsia="en-AU"/>
        </w:rPr>
        <w:t xml:space="preserve"> </w:t>
      </w:r>
      <w:r>
        <w:rPr>
          <w:rFonts w:ascii="Arial" w:eastAsia="Times New Roman" w:hAnsi="Arial" w:cs="Arial"/>
          <w:bCs/>
          <w:color w:val="000000"/>
          <w:lang w:eastAsia="en-AU"/>
        </w:rPr>
        <w:t xml:space="preserve">pro bono services. </w:t>
      </w:r>
    </w:p>
    <w:p w14:paraId="1B0D70F6" w14:textId="77777777" w:rsidR="00847B03" w:rsidRDefault="00847B03" w:rsidP="00095E11">
      <w:pPr>
        <w:autoSpaceDE w:val="0"/>
        <w:autoSpaceDN w:val="0"/>
        <w:adjustRightInd w:val="0"/>
        <w:spacing w:after="0" w:line="240" w:lineRule="auto"/>
        <w:jc w:val="both"/>
        <w:rPr>
          <w:rFonts w:ascii="Arial" w:eastAsia="Times New Roman" w:hAnsi="Arial" w:cs="Arial"/>
          <w:bCs/>
          <w:color w:val="000000"/>
          <w:lang w:eastAsia="en-AU"/>
        </w:rPr>
      </w:pPr>
    </w:p>
    <w:p w14:paraId="6DB346E9" w14:textId="77777777" w:rsidR="00F55A8F" w:rsidRPr="00F55A8F" w:rsidRDefault="00F55A8F" w:rsidP="00095E1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Arial" w:eastAsia="Times New Roman" w:hAnsi="Arial" w:cs="Arial"/>
          <w:color w:val="000000"/>
          <w:lang w:eastAsia="en-AU"/>
        </w:rPr>
      </w:pPr>
      <w:r w:rsidRPr="006C4103">
        <w:rPr>
          <w:rFonts w:ascii="Arial" w:eastAsia="Times New Roman" w:hAnsi="Arial" w:cs="Arial"/>
          <w:b/>
          <w:bCs/>
          <w:color w:val="000000"/>
          <w:lang w:eastAsia="en-AU"/>
        </w:rPr>
        <w:t>R</w:t>
      </w:r>
      <w:r>
        <w:rPr>
          <w:rFonts w:ascii="Arial" w:eastAsia="Times New Roman" w:hAnsi="Arial" w:cs="Arial"/>
          <w:b/>
          <w:bCs/>
          <w:color w:val="000000"/>
          <w:lang w:eastAsia="en-AU"/>
        </w:rPr>
        <w:t>ecommendation</w:t>
      </w:r>
      <w:r w:rsidRPr="006C4103">
        <w:rPr>
          <w:rFonts w:ascii="Arial" w:eastAsia="Times New Roman" w:hAnsi="Arial" w:cs="Arial"/>
          <w:bCs/>
          <w:color w:val="000000"/>
          <w:lang w:eastAsia="en-AU"/>
        </w:rPr>
        <w:t>:</w:t>
      </w:r>
      <w:r w:rsidRPr="006C4103">
        <w:rPr>
          <w:rFonts w:ascii="Arial" w:eastAsia="Times New Roman" w:hAnsi="Arial" w:cs="Arial"/>
          <w:b/>
          <w:bCs/>
          <w:color w:val="000000"/>
          <w:lang w:eastAsia="en-AU"/>
        </w:rPr>
        <w:t xml:space="preserve"> </w:t>
      </w:r>
      <w:r w:rsidRPr="00F55A8F">
        <w:rPr>
          <w:rFonts w:ascii="Arial" w:eastAsia="Times New Roman" w:hAnsi="Arial" w:cs="Arial"/>
          <w:bCs/>
          <w:color w:val="000000"/>
          <w:lang w:eastAsia="en-AU"/>
        </w:rPr>
        <w:t>Costs awarded to pro bono parties should be awarded to the not-for-profit body providing or coordinating the pro bono service.</w:t>
      </w:r>
      <w:r w:rsidRPr="006C4103">
        <w:rPr>
          <w:rFonts w:ascii="Arial" w:eastAsia="Times New Roman" w:hAnsi="Arial" w:cs="Arial"/>
          <w:color w:val="000000"/>
          <w:lang w:eastAsia="en-AU"/>
        </w:rPr>
        <w:t xml:space="preserve"> </w:t>
      </w:r>
    </w:p>
    <w:p w14:paraId="11B445AB" w14:textId="77777777" w:rsidR="00C45753" w:rsidRDefault="00CE7367" w:rsidP="00095E11">
      <w:pPr>
        <w:pStyle w:val="Rec"/>
        <w:spacing w:line="240" w:lineRule="auto"/>
        <w:rPr>
          <w:rFonts w:ascii="Arial" w:hAnsi="Arial" w:cs="Arial"/>
          <w:i w:val="0"/>
          <w:sz w:val="22"/>
          <w:szCs w:val="22"/>
          <w:u w:val="single"/>
        </w:rPr>
      </w:pPr>
      <w:r>
        <w:rPr>
          <w:rFonts w:ascii="Arial" w:hAnsi="Arial" w:cs="Arial"/>
          <w:i w:val="0"/>
          <w:sz w:val="22"/>
          <w:szCs w:val="22"/>
          <w:u w:val="single"/>
        </w:rPr>
        <w:t xml:space="preserve">Chapter 16: </w:t>
      </w:r>
      <w:r w:rsidR="00C45753">
        <w:rPr>
          <w:rFonts w:ascii="Arial" w:hAnsi="Arial" w:cs="Arial"/>
          <w:i w:val="0"/>
          <w:sz w:val="22"/>
          <w:szCs w:val="22"/>
          <w:u w:val="single"/>
        </w:rPr>
        <w:t>Court and tribunal fees</w:t>
      </w:r>
    </w:p>
    <w:p w14:paraId="4BE16FB0" w14:textId="77777777" w:rsidR="00EE5132" w:rsidRPr="00C45753" w:rsidRDefault="00EE5132" w:rsidP="00095E11">
      <w:pPr>
        <w:pStyle w:val="Rec"/>
        <w:pBdr>
          <w:top w:val="single" w:sz="4" w:space="1" w:color="auto"/>
          <w:left w:val="single" w:sz="4" w:space="4" w:color="auto"/>
          <w:bottom w:val="single" w:sz="4" w:space="1" w:color="auto"/>
          <w:right w:val="single" w:sz="4" w:space="4" w:color="auto"/>
        </w:pBdr>
        <w:spacing w:line="240" w:lineRule="auto"/>
        <w:rPr>
          <w:rFonts w:ascii="Arial" w:hAnsi="Arial" w:cs="Arial"/>
          <w:b w:val="0"/>
          <w:i w:val="0"/>
          <w:sz w:val="22"/>
          <w:szCs w:val="22"/>
        </w:rPr>
      </w:pPr>
      <w:r w:rsidRPr="00C45753">
        <w:rPr>
          <w:rFonts w:ascii="Arial" w:hAnsi="Arial" w:cs="Arial"/>
          <w:b w:val="0"/>
          <w:i w:val="0"/>
          <w:sz w:val="22"/>
          <w:szCs w:val="22"/>
          <w:u w:val="single"/>
        </w:rPr>
        <w:lastRenderedPageBreak/>
        <w:t>Information request 16.2</w:t>
      </w:r>
      <w:r w:rsidRPr="00C45753">
        <w:rPr>
          <w:rFonts w:ascii="Arial" w:hAnsi="Arial" w:cs="Arial"/>
          <w:b w:val="0"/>
          <w:i w:val="0"/>
          <w:sz w:val="22"/>
          <w:szCs w:val="22"/>
        </w:rPr>
        <w:t>: The Commission invites comment on the relative merits and costs of automatically exempting parties from paying court fees based on:</w:t>
      </w:r>
    </w:p>
    <w:p w14:paraId="2286801E" w14:textId="77777777" w:rsidR="009F08CF" w:rsidRPr="00C45753" w:rsidRDefault="009F08CF" w:rsidP="00095E11">
      <w:pPr>
        <w:pStyle w:val="InformationRequestBullet"/>
        <w:pBdr>
          <w:top w:val="single" w:sz="4" w:space="1" w:color="auto"/>
          <w:left w:val="single" w:sz="4" w:space="4" w:color="auto"/>
          <w:bottom w:val="single" w:sz="4" w:space="1" w:color="auto"/>
          <w:right w:val="single" w:sz="4" w:space="4" w:color="auto"/>
        </w:pBdr>
        <w:spacing w:before="0" w:after="120" w:line="240" w:lineRule="auto"/>
        <w:contextualSpacing/>
        <w:rPr>
          <w:rFonts w:cs="Arial"/>
          <w:i w:val="0"/>
          <w:sz w:val="22"/>
          <w:szCs w:val="22"/>
        </w:rPr>
      </w:pPr>
    </w:p>
    <w:p w14:paraId="1CEDB5D3" w14:textId="77777777" w:rsidR="00EE5132" w:rsidRPr="00C45753" w:rsidRDefault="00EE5132" w:rsidP="00095E11">
      <w:pPr>
        <w:pStyle w:val="InformationRequestBullet"/>
        <w:numPr>
          <w:ilvl w:val="0"/>
          <w:numId w:val="22"/>
        </w:numPr>
        <w:pBdr>
          <w:top w:val="single" w:sz="4" w:space="1" w:color="auto"/>
          <w:left w:val="single" w:sz="4" w:space="4" w:color="auto"/>
          <w:bottom w:val="single" w:sz="4" w:space="1" w:color="auto"/>
          <w:right w:val="single" w:sz="4" w:space="4" w:color="auto"/>
        </w:pBdr>
        <w:spacing w:before="0" w:after="120" w:line="240" w:lineRule="auto"/>
        <w:ind w:hanging="720"/>
        <w:contextualSpacing/>
        <w:rPr>
          <w:rFonts w:cs="Arial"/>
          <w:i w:val="0"/>
          <w:sz w:val="22"/>
          <w:szCs w:val="22"/>
        </w:rPr>
      </w:pPr>
      <w:r w:rsidRPr="00C45753">
        <w:rPr>
          <w:rFonts w:cs="Arial"/>
          <w:i w:val="0"/>
          <w:sz w:val="22"/>
          <w:szCs w:val="22"/>
        </w:rPr>
        <w:t>the possession of a Commonwealth concession or health card, with the exception of a Commonwealth Seniors Health Card</w:t>
      </w:r>
      <w:r w:rsidR="009F08CF" w:rsidRPr="00C45753">
        <w:rPr>
          <w:rFonts w:cs="Arial"/>
          <w:i w:val="0"/>
          <w:sz w:val="22"/>
          <w:szCs w:val="22"/>
        </w:rPr>
        <w:t>;</w:t>
      </w:r>
    </w:p>
    <w:p w14:paraId="66651899" w14:textId="77777777" w:rsidR="00EE5132" w:rsidRPr="00C45753" w:rsidRDefault="00EE5132" w:rsidP="00095E11">
      <w:pPr>
        <w:pStyle w:val="InformationRequestBullet"/>
        <w:numPr>
          <w:ilvl w:val="0"/>
          <w:numId w:val="22"/>
        </w:numPr>
        <w:pBdr>
          <w:top w:val="single" w:sz="4" w:space="1" w:color="auto"/>
          <w:left w:val="single" w:sz="4" w:space="4" w:color="auto"/>
          <w:bottom w:val="single" w:sz="4" w:space="1" w:color="auto"/>
          <w:right w:val="single" w:sz="4" w:space="4" w:color="auto"/>
        </w:pBdr>
        <w:spacing w:before="0" w:after="120" w:line="240" w:lineRule="auto"/>
        <w:ind w:hanging="720"/>
        <w:contextualSpacing/>
        <w:rPr>
          <w:rFonts w:cs="Arial"/>
          <w:i w:val="0"/>
          <w:sz w:val="22"/>
          <w:szCs w:val="22"/>
        </w:rPr>
      </w:pPr>
      <w:r w:rsidRPr="00C45753">
        <w:rPr>
          <w:rFonts w:cs="Arial"/>
          <w:i w:val="0"/>
          <w:sz w:val="22"/>
          <w:szCs w:val="22"/>
        </w:rPr>
        <w:t>passing an asset test in addition to possessing a concession or health card</w:t>
      </w:r>
      <w:r w:rsidR="009F08CF" w:rsidRPr="00C45753">
        <w:rPr>
          <w:rFonts w:cs="Arial"/>
          <w:i w:val="0"/>
          <w:sz w:val="22"/>
          <w:szCs w:val="22"/>
        </w:rPr>
        <w:t>;</w:t>
      </w:r>
    </w:p>
    <w:p w14:paraId="4F6D8138" w14:textId="77777777" w:rsidR="00EE5132" w:rsidRPr="00C45753" w:rsidRDefault="00EE5132" w:rsidP="00095E11">
      <w:pPr>
        <w:pStyle w:val="InformationRequestBullet"/>
        <w:numPr>
          <w:ilvl w:val="0"/>
          <w:numId w:val="22"/>
        </w:numPr>
        <w:pBdr>
          <w:top w:val="single" w:sz="4" w:space="1" w:color="auto"/>
          <w:left w:val="single" w:sz="4" w:space="4" w:color="auto"/>
          <w:bottom w:val="single" w:sz="4" w:space="1" w:color="auto"/>
          <w:right w:val="single" w:sz="4" w:space="4" w:color="auto"/>
        </w:pBdr>
        <w:spacing w:before="0" w:after="120" w:line="240" w:lineRule="auto"/>
        <w:ind w:hanging="720"/>
        <w:contextualSpacing/>
        <w:rPr>
          <w:rFonts w:cs="Arial"/>
          <w:i w:val="0"/>
          <w:sz w:val="22"/>
          <w:szCs w:val="22"/>
        </w:rPr>
      </w:pPr>
      <w:r w:rsidRPr="00C45753">
        <w:rPr>
          <w:rFonts w:cs="Arial"/>
          <w:i w:val="0"/>
          <w:sz w:val="22"/>
          <w:szCs w:val="22"/>
        </w:rPr>
        <w:t>the receipt of a full rate government pension or allowance.</w:t>
      </w:r>
    </w:p>
    <w:p w14:paraId="370320CE" w14:textId="77777777" w:rsidR="00EE5132" w:rsidRPr="00C45753" w:rsidRDefault="00EE5132"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C45753">
        <w:rPr>
          <w:rFonts w:ascii="Arial" w:hAnsi="Arial" w:cs="Arial"/>
        </w:rPr>
        <w:t>The Commission also seeks feedback on the most appropriate means of structuring a system of partial fee relief in Australian courts, including feedback on the costs associated with administering and collecting partial fees.</w:t>
      </w:r>
    </w:p>
    <w:p w14:paraId="0E0E420D" w14:textId="77777777" w:rsidR="009203B2" w:rsidRDefault="009203B2" w:rsidP="00095E11">
      <w:pPr>
        <w:pStyle w:val="Rec"/>
        <w:spacing w:before="0" w:after="120" w:line="240" w:lineRule="auto"/>
        <w:contextualSpacing/>
        <w:rPr>
          <w:rFonts w:ascii="Arial" w:hAnsi="Arial" w:cs="Arial"/>
          <w:b w:val="0"/>
          <w:i w:val="0"/>
          <w:sz w:val="22"/>
          <w:szCs w:val="22"/>
          <w:u w:val="single"/>
        </w:rPr>
      </w:pPr>
    </w:p>
    <w:p w14:paraId="54089D93" w14:textId="77777777" w:rsidR="00D91D0C" w:rsidRDefault="009F08CF" w:rsidP="00095E11">
      <w:pPr>
        <w:pStyle w:val="Rec"/>
        <w:spacing w:before="0" w:after="120" w:line="240" w:lineRule="auto"/>
        <w:contextualSpacing/>
        <w:rPr>
          <w:rFonts w:ascii="Arial" w:hAnsi="Arial" w:cs="Arial"/>
          <w:b w:val="0"/>
          <w:i w:val="0"/>
          <w:sz w:val="22"/>
          <w:szCs w:val="22"/>
        </w:rPr>
      </w:pPr>
      <w:r>
        <w:rPr>
          <w:rFonts w:ascii="Arial" w:hAnsi="Arial" w:cs="Arial"/>
          <w:b w:val="0"/>
          <w:i w:val="0"/>
          <w:sz w:val="22"/>
          <w:szCs w:val="22"/>
        </w:rPr>
        <w:t xml:space="preserve">We believe that anyone in possession of a Commonwealth concession or health </w:t>
      </w:r>
      <w:r w:rsidR="00506BE7">
        <w:rPr>
          <w:rFonts w:ascii="Arial" w:hAnsi="Arial" w:cs="Arial"/>
          <w:b w:val="0"/>
          <w:i w:val="0"/>
          <w:sz w:val="22"/>
          <w:szCs w:val="22"/>
        </w:rPr>
        <w:t xml:space="preserve">care </w:t>
      </w:r>
      <w:r>
        <w:rPr>
          <w:rFonts w:ascii="Arial" w:hAnsi="Arial" w:cs="Arial"/>
          <w:b w:val="0"/>
          <w:i w:val="0"/>
          <w:sz w:val="22"/>
          <w:szCs w:val="22"/>
        </w:rPr>
        <w:t>card should be automatically exempt from paying court fees. We acknowledge that not all Commonwealth concession or health card holders are subject to an asset test</w:t>
      </w:r>
      <w:r w:rsidR="009D4081">
        <w:rPr>
          <w:rFonts w:ascii="Arial" w:hAnsi="Arial" w:cs="Arial"/>
          <w:b w:val="0"/>
          <w:i w:val="0"/>
          <w:sz w:val="22"/>
          <w:szCs w:val="22"/>
        </w:rPr>
        <w:t>.</w:t>
      </w:r>
      <w:r>
        <w:rPr>
          <w:rFonts w:ascii="Arial" w:hAnsi="Arial" w:cs="Arial"/>
          <w:b w:val="0"/>
          <w:i w:val="0"/>
          <w:sz w:val="22"/>
          <w:szCs w:val="22"/>
        </w:rPr>
        <w:t xml:space="preserve"> </w:t>
      </w:r>
      <w:r w:rsidR="009D4081">
        <w:rPr>
          <w:rFonts w:ascii="Arial" w:hAnsi="Arial" w:cs="Arial"/>
          <w:b w:val="0"/>
          <w:i w:val="0"/>
          <w:sz w:val="22"/>
          <w:szCs w:val="22"/>
        </w:rPr>
        <w:t>H</w:t>
      </w:r>
      <w:r>
        <w:rPr>
          <w:rFonts w:ascii="Arial" w:hAnsi="Arial" w:cs="Arial"/>
          <w:b w:val="0"/>
          <w:i w:val="0"/>
          <w:sz w:val="22"/>
          <w:szCs w:val="22"/>
        </w:rPr>
        <w:t>owever</w:t>
      </w:r>
      <w:r w:rsidR="009D4081">
        <w:rPr>
          <w:rFonts w:ascii="Arial" w:hAnsi="Arial" w:cs="Arial"/>
          <w:b w:val="0"/>
          <w:i w:val="0"/>
          <w:sz w:val="22"/>
          <w:szCs w:val="22"/>
        </w:rPr>
        <w:t>,</w:t>
      </w:r>
      <w:r w:rsidR="00D91D0C">
        <w:rPr>
          <w:rFonts w:ascii="Arial" w:hAnsi="Arial" w:cs="Arial"/>
          <w:b w:val="0"/>
          <w:i w:val="0"/>
          <w:sz w:val="22"/>
          <w:szCs w:val="22"/>
        </w:rPr>
        <w:t xml:space="preserve"> they are assessed as having</w:t>
      </w:r>
      <w:r>
        <w:rPr>
          <w:rFonts w:ascii="Arial" w:hAnsi="Arial" w:cs="Arial"/>
          <w:b w:val="0"/>
          <w:i w:val="0"/>
          <w:sz w:val="22"/>
          <w:szCs w:val="22"/>
        </w:rPr>
        <w:t xml:space="preserve"> </w:t>
      </w:r>
      <w:r w:rsidR="00D91D0C">
        <w:rPr>
          <w:rFonts w:ascii="Arial" w:hAnsi="Arial" w:cs="Arial"/>
          <w:b w:val="0"/>
          <w:i w:val="0"/>
          <w:sz w:val="22"/>
          <w:szCs w:val="22"/>
        </w:rPr>
        <w:t xml:space="preserve">a </w:t>
      </w:r>
      <w:r>
        <w:rPr>
          <w:rFonts w:ascii="Arial" w:hAnsi="Arial" w:cs="Arial"/>
          <w:b w:val="0"/>
          <w:i w:val="0"/>
          <w:sz w:val="22"/>
          <w:szCs w:val="22"/>
        </w:rPr>
        <w:t>low income</w:t>
      </w:r>
      <w:r w:rsidR="009D4081">
        <w:rPr>
          <w:rFonts w:ascii="Arial" w:hAnsi="Arial" w:cs="Arial"/>
          <w:b w:val="0"/>
          <w:i w:val="0"/>
          <w:sz w:val="22"/>
          <w:szCs w:val="22"/>
        </w:rPr>
        <w:t xml:space="preserve"> and </w:t>
      </w:r>
      <w:r w:rsidR="00D91D0C">
        <w:rPr>
          <w:rFonts w:ascii="Arial" w:hAnsi="Arial" w:cs="Arial"/>
          <w:b w:val="0"/>
          <w:i w:val="0"/>
          <w:sz w:val="22"/>
          <w:szCs w:val="22"/>
        </w:rPr>
        <w:t>will likely</w:t>
      </w:r>
      <w:r w:rsidR="007046A0">
        <w:rPr>
          <w:rFonts w:ascii="Arial" w:hAnsi="Arial" w:cs="Arial"/>
          <w:b w:val="0"/>
          <w:i w:val="0"/>
          <w:sz w:val="22"/>
          <w:szCs w:val="22"/>
        </w:rPr>
        <w:t xml:space="preserve"> </w:t>
      </w:r>
      <w:r w:rsidR="009D4081">
        <w:rPr>
          <w:rFonts w:ascii="Arial" w:hAnsi="Arial" w:cs="Arial"/>
          <w:b w:val="0"/>
          <w:i w:val="0"/>
          <w:sz w:val="22"/>
          <w:szCs w:val="22"/>
        </w:rPr>
        <w:t xml:space="preserve">be liable </w:t>
      </w:r>
      <w:r w:rsidR="00D91D0C">
        <w:rPr>
          <w:rFonts w:ascii="Arial" w:hAnsi="Arial" w:cs="Arial"/>
          <w:b w:val="0"/>
          <w:i w:val="0"/>
          <w:sz w:val="22"/>
          <w:szCs w:val="22"/>
        </w:rPr>
        <w:t xml:space="preserve">to pay </w:t>
      </w:r>
      <w:r w:rsidR="009D4081">
        <w:rPr>
          <w:rFonts w:ascii="Arial" w:hAnsi="Arial" w:cs="Arial"/>
          <w:b w:val="0"/>
          <w:i w:val="0"/>
          <w:sz w:val="22"/>
          <w:szCs w:val="22"/>
        </w:rPr>
        <w:t>other</w:t>
      </w:r>
      <w:r w:rsidR="00D91D0C">
        <w:rPr>
          <w:rFonts w:ascii="Arial" w:hAnsi="Arial" w:cs="Arial"/>
          <w:b w:val="0"/>
          <w:i w:val="0"/>
          <w:sz w:val="22"/>
          <w:szCs w:val="22"/>
        </w:rPr>
        <w:t xml:space="preserve"> significant</w:t>
      </w:r>
      <w:r w:rsidR="009D4081">
        <w:rPr>
          <w:rFonts w:ascii="Arial" w:hAnsi="Arial" w:cs="Arial"/>
          <w:b w:val="0"/>
          <w:i w:val="0"/>
          <w:sz w:val="22"/>
          <w:szCs w:val="22"/>
        </w:rPr>
        <w:t xml:space="preserve"> costs associated with litigation. </w:t>
      </w:r>
    </w:p>
    <w:p w14:paraId="6991FAB9" w14:textId="77777777" w:rsidR="00226364" w:rsidRDefault="00226364" w:rsidP="00095E11">
      <w:pPr>
        <w:pStyle w:val="Rec"/>
        <w:spacing w:before="0" w:after="120" w:line="240" w:lineRule="auto"/>
        <w:contextualSpacing/>
        <w:rPr>
          <w:rFonts w:ascii="Arial" w:hAnsi="Arial" w:cs="Arial"/>
          <w:b w:val="0"/>
          <w:i w:val="0"/>
          <w:sz w:val="22"/>
          <w:szCs w:val="22"/>
        </w:rPr>
      </w:pPr>
    </w:p>
    <w:p w14:paraId="204C81BF" w14:textId="77777777" w:rsidR="009D4081" w:rsidRDefault="00D91D0C" w:rsidP="00095E11">
      <w:pPr>
        <w:pStyle w:val="Rec"/>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120" w:line="240" w:lineRule="auto"/>
        <w:contextualSpacing/>
        <w:rPr>
          <w:rFonts w:ascii="Arial" w:hAnsi="Arial" w:cs="Arial"/>
          <w:b w:val="0"/>
          <w:i w:val="0"/>
          <w:sz w:val="22"/>
          <w:szCs w:val="22"/>
        </w:rPr>
      </w:pPr>
      <w:r w:rsidRPr="00D91D0C">
        <w:rPr>
          <w:rFonts w:ascii="Arial" w:hAnsi="Arial" w:cs="Arial"/>
          <w:i w:val="0"/>
          <w:sz w:val="22"/>
          <w:szCs w:val="22"/>
        </w:rPr>
        <w:t>Recommendation</w:t>
      </w:r>
      <w:r>
        <w:rPr>
          <w:rFonts w:ascii="Arial" w:hAnsi="Arial" w:cs="Arial"/>
          <w:b w:val="0"/>
          <w:i w:val="0"/>
          <w:sz w:val="22"/>
          <w:szCs w:val="22"/>
        </w:rPr>
        <w:t>: People</w:t>
      </w:r>
      <w:r w:rsidR="009D4081">
        <w:rPr>
          <w:rFonts w:ascii="Arial" w:hAnsi="Arial" w:cs="Arial"/>
          <w:b w:val="0"/>
          <w:i w:val="0"/>
          <w:sz w:val="22"/>
          <w:szCs w:val="22"/>
        </w:rPr>
        <w:t xml:space="preserve"> in possession of a Commonwealth concession or health </w:t>
      </w:r>
      <w:r w:rsidR="00506BE7">
        <w:rPr>
          <w:rFonts w:ascii="Arial" w:hAnsi="Arial" w:cs="Arial"/>
          <w:b w:val="0"/>
          <w:i w:val="0"/>
          <w:sz w:val="22"/>
          <w:szCs w:val="22"/>
        </w:rPr>
        <w:t xml:space="preserve">care </w:t>
      </w:r>
      <w:r w:rsidR="009D4081">
        <w:rPr>
          <w:rFonts w:ascii="Arial" w:hAnsi="Arial" w:cs="Arial"/>
          <w:b w:val="0"/>
          <w:i w:val="0"/>
          <w:sz w:val="22"/>
          <w:szCs w:val="22"/>
        </w:rPr>
        <w:t>card should be automatically exempt from paying court fees.</w:t>
      </w:r>
    </w:p>
    <w:p w14:paraId="321A3D80" w14:textId="77777777" w:rsidR="009D4081" w:rsidRDefault="009D4081" w:rsidP="00095E11">
      <w:pPr>
        <w:pStyle w:val="Rec"/>
        <w:spacing w:before="0" w:after="120" w:line="240" w:lineRule="auto"/>
        <w:contextualSpacing/>
        <w:rPr>
          <w:rFonts w:ascii="Arial" w:hAnsi="Arial" w:cs="Arial"/>
          <w:b w:val="0"/>
          <w:i w:val="0"/>
          <w:sz w:val="22"/>
          <w:szCs w:val="22"/>
        </w:rPr>
      </w:pPr>
    </w:p>
    <w:p w14:paraId="33B62B6C" w14:textId="77777777" w:rsidR="009F08CF" w:rsidRDefault="00075310" w:rsidP="00095E11">
      <w:pPr>
        <w:pStyle w:val="Rec"/>
        <w:spacing w:before="0" w:after="120" w:line="240" w:lineRule="auto"/>
        <w:contextualSpacing/>
        <w:rPr>
          <w:rFonts w:ascii="Arial" w:hAnsi="Arial" w:cs="Arial"/>
          <w:b w:val="0"/>
          <w:i w:val="0"/>
          <w:sz w:val="22"/>
          <w:szCs w:val="22"/>
        </w:rPr>
      </w:pPr>
      <w:r>
        <w:rPr>
          <w:rFonts w:ascii="Arial" w:hAnsi="Arial" w:cs="Arial"/>
          <w:b w:val="0"/>
          <w:i w:val="0"/>
          <w:sz w:val="22"/>
          <w:szCs w:val="22"/>
        </w:rPr>
        <w:t xml:space="preserve">We believe that partial fee relief would increase access to civil courts for low to medium income earners. We </w:t>
      </w:r>
      <w:r w:rsidR="009D4081">
        <w:rPr>
          <w:rFonts w:ascii="Arial" w:hAnsi="Arial" w:cs="Arial"/>
          <w:b w:val="0"/>
          <w:i w:val="0"/>
          <w:sz w:val="22"/>
          <w:szCs w:val="22"/>
        </w:rPr>
        <w:t>support a</w:t>
      </w:r>
      <w:r>
        <w:rPr>
          <w:rFonts w:ascii="Arial" w:hAnsi="Arial" w:cs="Arial"/>
          <w:b w:val="0"/>
          <w:i w:val="0"/>
          <w:sz w:val="22"/>
          <w:szCs w:val="22"/>
        </w:rPr>
        <w:t xml:space="preserve"> sliding scale of fees</w:t>
      </w:r>
      <w:r w:rsidR="009D4081">
        <w:rPr>
          <w:rFonts w:ascii="Arial" w:hAnsi="Arial" w:cs="Arial"/>
          <w:b w:val="0"/>
          <w:i w:val="0"/>
          <w:sz w:val="22"/>
          <w:szCs w:val="22"/>
        </w:rPr>
        <w:t xml:space="preserve"> </w:t>
      </w:r>
      <w:r w:rsidR="00794EFD">
        <w:rPr>
          <w:rFonts w:ascii="Arial" w:hAnsi="Arial" w:cs="Arial"/>
          <w:b w:val="0"/>
          <w:i w:val="0"/>
          <w:sz w:val="22"/>
          <w:szCs w:val="22"/>
        </w:rPr>
        <w:t xml:space="preserve">based </w:t>
      </w:r>
      <w:r w:rsidR="009D4081">
        <w:rPr>
          <w:rFonts w:ascii="Arial" w:hAnsi="Arial" w:cs="Arial"/>
          <w:b w:val="0"/>
          <w:i w:val="0"/>
          <w:sz w:val="22"/>
          <w:szCs w:val="22"/>
        </w:rPr>
        <w:t>on the litigant’s income</w:t>
      </w:r>
      <w:r>
        <w:rPr>
          <w:rFonts w:ascii="Arial" w:hAnsi="Arial" w:cs="Arial"/>
          <w:b w:val="0"/>
          <w:i w:val="0"/>
          <w:sz w:val="22"/>
          <w:szCs w:val="22"/>
        </w:rPr>
        <w:t xml:space="preserve"> with the opti</w:t>
      </w:r>
      <w:r w:rsidR="009D4081">
        <w:rPr>
          <w:rFonts w:ascii="Arial" w:hAnsi="Arial" w:cs="Arial"/>
          <w:b w:val="0"/>
          <w:i w:val="0"/>
          <w:sz w:val="22"/>
          <w:szCs w:val="22"/>
        </w:rPr>
        <w:t xml:space="preserve">on </w:t>
      </w:r>
      <w:r>
        <w:rPr>
          <w:rFonts w:ascii="Arial" w:hAnsi="Arial" w:cs="Arial"/>
          <w:b w:val="0"/>
          <w:i w:val="0"/>
          <w:sz w:val="22"/>
          <w:szCs w:val="22"/>
        </w:rPr>
        <w:t>of</w:t>
      </w:r>
      <w:r w:rsidR="009D4081">
        <w:rPr>
          <w:rFonts w:ascii="Arial" w:hAnsi="Arial" w:cs="Arial"/>
          <w:b w:val="0"/>
          <w:i w:val="0"/>
          <w:sz w:val="22"/>
          <w:szCs w:val="22"/>
        </w:rPr>
        <w:t xml:space="preserve"> postpon</w:t>
      </w:r>
      <w:r>
        <w:rPr>
          <w:rFonts w:ascii="Arial" w:hAnsi="Arial" w:cs="Arial"/>
          <w:b w:val="0"/>
          <w:i w:val="0"/>
          <w:sz w:val="22"/>
          <w:szCs w:val="22"/>
        </w:rPr>
        <w:t>ing</w:t>
      </w:r>
      <w:r w:rsidR="009D4081">
        <w:rPr>
          <w:rFonts w:ascii="Arial" w:hAnsi="Arial" w:cs="Arial"/>
          <w:b w:val="0"/>
          <w:i w:val="0"/>
          <w:sz w:val="22"/>
          <w:szCs w:val="22"/>
        </w:rPr>
        <w:t xml:space="preserve"> the payment of fees until </w:t>
      </w:r>
      <w:r w:rsidR="006D0039">
        <w:rPr>
          <w:rFonts w:ascii="Arial" w:hAnsi="Arial" w:cs="Arial"/>
          <w:b w:val="0"/>
          <w:i w:val="0"/>
          <w:sz w:val="22"/>
          <w:szCs w:val="22"/>
        </w:rPr>
        <w:t>the matter has been finalised.</w:t>
      </w:r>
      <w:r w:rsidR="00D91D0C">
        <w:rPr>
          <w:rFonts w:ascii="Arial" w:hAnsi="Arial" w:cs="Arial"/>
          <w:b w:val="0"/>
          <w:i w:val="0"/>
          <w:sz w:val="22"/>
          <w:szCs w:val="22"/>
        </w:rPr>
        <w:t xml:space="preserve"> The percentage of the full fee</w:t>
      </w:r>
      <w:r w:rsidR="002A0742">
        <w:rPr>
          <w:rFonts w:ascii="Arial" w:hAnsi="Arial" w:cs="Arial"/>
          <w:b w:val="0"/>
          <w:i w:val="0"/>
          <w:sz w:val="22"/>
          <w:szCs w:val="22"/>
        </w:rPr>
        <w:t xml:space="preserve"> each income bracket should </w:t>
      </w:r>
      <w:r w:rsidR="00EC172C">
        <w:rPr>
          <w:rFonts w:ascii="Arial" w:hAnsi="Arial" w:cs="Arial"/>
          <w:b w:val="0"/>
          <w:i w:val="0"/>
          <w:sz w:val="22"/>
          <w:szCs w:val="22"/>
        </w:rPr>
        <w:t>pay</w:t>
      </w:r>
      <w:r w:rsidR="002A0742">
        <w:rPr>
          <w:rFonts w:ascii="Arial" w:hAnsi="Arial" w:cs="Arial"/>
          <w:b w:val="0"/>
          <w:i w:val="0"/>
          <w:sz w:val="22"/>
          <w:szCs w:val="22"/>
        </w:rPr>
        <w:t xml:space="preserve"> would depend on what the amount of the court fee.</w:t>
      </w:r>
    </w:p>
    <w:p w14:paraId="6EAC927E" w14:textId="77777777" w:rsidR="00D91D0C" w:rsidRDefault="00D91D0C" w:rsidP="00095E11">
      <w:pPr>
        <w:pStyle w:val="Rec"/>
        <w:spacing w:before="0" w:after="120" w:line="240" w:lineRule="auto"/>
        <w:contextualSpacing/>
        <w:rPr>
          <w:rFonts w:ascii="Arial" w:hAnsi="Arial" w:cs="Arial"/>
          <w:b w:val="0"/>
          <w:i w:val="0"/>
          <w:sz w:val="22"/>
          <w:szCs w:val="22"/>
        </w:rPr>
      </w:pPr>
    </w:p>
    <w:p w14:paraId="6D7CD7D1" w14:textId="77777777" w:rsidR="00D91D0C" w:rsidRPr="009F08CF" w:rsidRDefault="00D91D0C" w:rsidP="00095E11">
      <w:pPr>
        <w:pStyle w:val="Rec"/>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120" w:line="240" w:lineRule="auto"/>
        <w:contextualSpacing/>
        <w:rPr>
          <w:rFonts w:ascii="Arial" w:hAnsi="Arial" w:cs="Arial"/>
          <w:b w:val="0"/>
          <w:i w:val="0"/>
          <w:sz w:val="22"/>
          <w:szCs w:val="22"/>
        </w:rPr>
      </w:pPr>
      <w:r w:rsidRPr="0014446F">
        <w:rPr>
          <w:rFonts w:ascii="Arial" w:hAnsi="Arial" w:cs="Arial"/>
          <w:i w:val="0"/>
          <w:sz w:val="22"/>
          <w:szCs w:val="22"/>
        </w:rPr>
        <w:t>Recommendation</w:t>
      </w:r>
      <w:r>
        <w:rPr>
          <w:rFonts w:ascii="Arial" w:hAnsi="Arial" w:cs="Arial"/>
          <w:b w:val="0"/>
          <w:i w:val="0"/>
          <w:sz w:val="22"/>
          <w:szCs w:val="22"/>
        </w:rPr>
        <w:t xml:space="preserve">: </w:t>
      </w:r>
      <w:r w:rsidR="0014446F">
        <w:rPr>
          <w:rFonts w:ascii="Arial" w:hAnsi="Arial" w:cs="Arial"/>
          <w:b w:val="0"/>
          <w:i w:val="0"/>
          <w:sz w:val="22"/>
          <w:szCs w:val="22"/>
        </w:rPr>
        <w:t>Courts should implement partial fee relief in the form of a sliding scale of fees based on the litigants’ income. Litigants should have the option of postponing the payment of court fees until their matter is finalised.</w:t>
      </w:r>
    </w:p>
    <w:p w14:paraId="69706A6E" w14:textId="77777777" w:rsidR="009F08CF" w:rsidRPr="009203B2" w:rsidRDefault="009F08CF" w:rsidP="00095E11">
      <w:pPr>
        <w:pStyle w:val="Rec"/>
        <w:spacing w:before="0" w:after="120" w:line="240" w:lineRule="auto"/>
        <w:contextualSpacing/>
        <w:rPr>
          <w:rFonts w:ascii="Arial" w:hAnsi="Arial" w:cs="Arial"/>
          <w:b w:val="0"/>
          <w:i w:val="0"/>
          <w:sz w:val="22"/>
          <w:szCs w:val="22"/>
          <w:u w:val="single"/>
        </w:rPr>
      </w:pPr>
    </w:p>
    <w:p w14:paraId="18AFE165" w14:textId="77777777" w:rsidR="003F5130" w:rsidRPr="00C45753" w:rsidRDefault="003F5130" w:rsidP="00095E11">
      <w:pPr>
        <w:pStyle w:val="Rec"/>
        <w:pBdr>
          <w:top w:val="single" w:sz="4" w:space="1" w:color="auto"/>
          <w:left w:val="single" w:sz="4" w:space="4" w:color="auto"/>
          <w:bottom w:val="single" w:sz="4" w:space="1" w:color="auto"/>
          <w:right w:val="single" w:sz="4" w:space="4" w:color="auto"/>
        </w:pBdr>
        <w:spacing w:before="0" w:after="120" w:line="240" w:lineRule="auto"/>
        <w:contextualSpacing/>
        <w:rPr>
          <w:rFonts w:ascii="Arial" w:hAnsi="Arial" w:cs="Arial"/>
          <w:b w:val="0"/>
          <w:i w:val="0"/>
          <w:sz w:val="22"/>
          <w:szCs w:val="22"/>
        </w:rPr>
      </w:pPr>
      <w:r w:rsidRPr="00C45753">
        <w:rPr>
          <w:rFonts w:ascii="Arial" w:hAnsi="Arial" w:cs="Arial"/>
          <w:b w:val="0"/>
          <w:i w:val="0"/>
          <w:sz w:val="22"/>
          <w:szCs w:val="22"/>
          <w:u w:val="single"/>
        </w:rPr>
        <w:t>Draft recommendation 16.4</w:t>
      </w:r>
      <w:r w:rsidRPr="00C45753">
        <w:rPr>
          <w:rFonts w:ascii="Arial" w:hAnsi="Arial" w:cs="Arial"/>
          <w:b w:val="0"/>
          <w:i w:val="0"/>
          <w:sz w:val="22"/>
          <w:szCs w:val="22"/>
        </w:rPr>
        <w:t>: The Commonwealth and state and territory governments should establish and publish formal criteria to determine eligibility for a waiver, reduction or postponement of fees in courts and tribunals on the basis of financial hardship. Such criteria should not preclude courts and tribunals granting fee relief on a discretionary basis in exceptional circumstances.</w:t>
      </w:r>
    </w:p>
    <w:p w14:paraId="2E669498" w14:textId="77777777" w:rsidR="003F5130" w:rsidRPr="00C45753" w:rsidRDefault="003F5130" w:rsidP="00095E11">
      <w:pPr>
        <w:pStyle w:val="Rec"/>
        <w:pBdr>
          <w:top w:val="single" w:sz="4" w:space="1" w:color="auto"/>
          <w:left w:val="single" w:sz="4" w:space="4" w:color="auto"/>
          <w:bottom w:val="single" w:sz="4" w:space="1" w:color="auto"/>
          <w:right w:val="single" w:sz="4" w:space="4" w:color="auto"/>
        </w:pBdr>
        <w:spacing w:before="0" w:after="120" w:line="240" w:lineRule="auto"/>
        <w:contextualSpacing/>
        <w:rPr>
          <w:rFonts w:ascii="Arial" w:hAnsi="Arial" w:cs="Arial"/>
          <w:b w:val="0"/>
          <w:i w:val="0"/>
          <w:sz w:val="22"/>
          <w:szCs w:val="22"/>
        </w:rPr>
      </w:pPr>
    </w:p>
    <w:p w14:paraId="305F47D6" w14:textId="77777777" w:rsidR="003F5130" w:rsidRPr="00C45753" w:rsidRDefault="003F5130" w:rsidP="00095E11">
      <w:pPr>
        <w:pStyle w:val="Rec"/>
        <w:pBdr>
          <w:top w:val="single" w:sz="4" w:space="1" w:color="auto"/>
          <w:left w:val="single" w:sz="4" w:space="4" w:color="auto"/>
          <w:bottom w:val="single" w:sz="4" w:space="1" w:color="auto"/>
          <w:right w:val="single" w:sz="4" w:space="4" w:color="auto"/>
        </w:pBdr>
        <w:spacing w:before="0" w:after="120" w:line="240" w:lineRule="auto"/>
        <w:contextualSpacing/>
        <w:rPr>
          <w:rFonts w:ascii="Arial" w:hAnsi="Arial" w:cs="Arial"/>
          <w:b w:val="0"/>
          <w:i w:val="0"/>
          <w:sz w:val="22"/>
          <w:szCs w:val="22"/>
        </w:rPr>
      </w:pPr>
      <w:r w:rsidRPr="00C45753">
        <w:rPr>
          <w:rFonts w:ascii="Arial" w:hAnsi="Arial" w:cs="Arial"/>
          <w:b w:val="0"/>
          <w:i w:val="0"/>
          <w:sz w:val="22"/>
          <w:szCs w:val="22"/>
        </w:rPr>
        <w:t>Fee guidelines should ensure that courts and tribunals use fee postponements — rather than waivers — as a means of fee relief if an eligible party is successful in recovering costs or damages in a case.</w:t>
      </w:r>
    </w:p>
    <w:p w14:paraId="5253B48F" w14:textId="77777777" w:rsidR="003F5130" w:rsidRPr="00C45753" w:rsidRDefault="003F5130" w:rsidP="00095E11">
      <w:pPr>
        <w:pStyle w:val="Rec"/>
        <w:pBdr>
          <w:top w:val="single" w:sz="4" w:space="1" w:color="auto"/>
          <w:left w:val="single" w:sz="4" w:space="4" w:color="auto"/>
          <w:bottom w:val="single" w:sz="4" w:space="1" w:color="auto"/>
          <w:right w:val="single" w:sz="4" w:space="4" w:color="auto"/>
        </w:pBdr>
        <w:spacing w:before="0" w:after="120" w:line="240" w:lineRule="auto"/>
        <w:contextualSpacing/>
        <w:rPr>
          <w:rFonts w:ascii="Arial" w:hAnsi="Arial" w:cs="Arial"/>
          <w:b w:val="0"/>
          <w:i w:val="0"/>
          <w:sz w:val="22"/>
          <w:szCs w:val="22"/>
        </w:rPr>
      </w:pPr>
    </w:p>
    <w:p w14:paraId="7042A74A" w14:textId="77777777" w:rsidR="003F5130" w:rsidRPr="00C45753" w:rsidRDefault="003F5130" w:rsidP="00095E11">
      <w:pPr>
        <w:pStyle w:val="Rec"/>
        <w:pBdr>
          <w:top w:val="single" w:sz="4" w:space="1" w:color="auto"/>
          <w:left w:val="single" w:sz="4" w:space="4" w:color="auto"/>
          <w:bottom w:val="single" w:sz="4" w:space="1" w:color="auto"/>
          <w:right w:val="single" w:sz="4" w:space="4" w:color="auto"/>
        </w:pBdr>
        <w:spacing w:before="0" w:after="120" w:line="240" w:lineRule="auto"/>
        <w:contextualSpacing/>
        <w:rPr>
          <w:rFonts w:ascii="Arial" w:hAnsi="Arial" w:cs="Arial"/>
          <w:b w:val="0"/>
          <w:i w:val="0"/>
          <w:sz w:val="22"/>
          <w:szCs w:val="22"/>
        </w:rPr>
      </w:pPr>
      <w:r w:rsidRPr="00C45753">
        <w:rPr>
          <w:rFonts w:ascii="Arial" w:hAnsi="Arial" w:cs="Arial"/>
          <w:b w:val="0"/>
          <w:i w:val="0"/>
          <w:sz w:val="22"/>
          <w:szCs w:val="22"/>
        </w:rPr>
        <w:t>Fee guidelines in courts and tribunals should also grant automatic fee relief to:</w:t>
      </w:r>
    </w:p>
    <w:p w14:paraId="4818BDD0" w14:textId="77777777" w:rsidR="003F5130" w:rsidRPr="00C45753" w:rsidRDefault="003F5130" w:rsidP="00095E11">
      <w:pPr>
        <w:pStyle w:val="RecBullet"/>
        <w:keepLines w:val="0"/>
        <w:pBdr>
          <w:top w:val="single" w:sz="4" w:space="1" w:color="auto"/>
          <w:left w:val="single" w:sz="4" w:space="4" w:color="auto"/>
          <w:bottom w:val="single" w:sz="4" w:space="1" w:color="auto"/>
          <w:right w:val="single" w:sz="4" w:space="4" w:color="auto"/>
        </w:pBdr>
        <w:tabs>
          <w:tab w:val="clear" w:pos="340"/>
          <w:tab w:val="num" w:pos="709"/>
        </w:tabs>
        <w:spacing w:before="0" w:after="120" w:line="240" w:lineRule="auto"/>
        <w:ind w:left="709" w:hanging="709"/>
        <w:contextualSpacing/>
        <w:rPr>
          <w:rFonts w:ascii="Arial" w:hAnsi="Arial" w:cs="Arial"/>
          <w:b w:val="0"/>
          <w:i w:val="0"/>
          <w:sz w:val="22"/>
          <w:szCs w:val="22"/>
        </w:rPr>
      </w:pPr>
      <w:r w:rsidRPr="00C45753">
        <w:rPr>
          <w:rFonts w:ascii="Arial" w:hAnsi="Arial" w:cs="Arial"/>
          <w:b w:val="0"/>
          <w:i w:val="0"/>
          <w:sz w:val="22"/>
          <w:szCs w:val="22"/>
        </w:rPr>
        <w:t>parties represented by a state or territory legal aid commission</w:t>
      </w:r>
    </w:p>
    <w:p w14:paraId="7836BF2F" w14:textId="77777777" w:rsidR="003F5130" w:rsidRPr="00C45753" w:rsidRDefault="003F5130" w:rsidP="00095E11">
      <w:pPr>
        <w:pStyle w:val="RecBullet"/>
        <w:keepLines w:val="0"/>
        <w:pBdr>
          <w:top w:val="single" w:sz="4" w:space="1" w:color="auto"/>
          <w:left w:val="single" w:sz="4" w:space="4" w:color="auto"/>
          <w:bottom w:val="single" w:sz="4" w:space="1" w:color="auto"/>
          <w:right w:val="single" w:sz="4" w:space="4" w:color="auto"/>
        </w:pBdr>
        <w:tabs>
          <w:tab w:val="clear" w:pos="340"/>
          <w:tab w:val="num" w:pos="709"/>
        </w:tabs>
        <w:spacing w:before="0" w:after="120" w:line="240" w:lineRule="auto"/>
        <w:ind w:left="709" w:hanging="709"/>
        <w:contextualSpacing/>
        <w:rPr>
          <w:rFonts w:ascii="Arial" w:hAnsi="Arial" w:cs="Arial"/>
          <w:b w:val="0"/>
          <w:i w:val="0"/>
          <w:sz w:val="22"/>
          <w:szCs w:val="22"/>
        </w:rPr>
      </w:pPr>
      <w:r w:rsidRPr="00C45753">
        <w:rPr>
          <w:rFonts w:ascii="Arial" w:hAnsi="Arial" w:cs="Arial"/>
          <w:b w:val="0"/>
          <w:i w:val="0"/>
          <w:sz w:val="22"/>
          <w:szCs w:val="22"/>
        </w:rPr>
        <w:t>clients of approved community legal centres and pro bono schemes that adopt financial hardship criteria commensurate with those used to grant fee relief.</w:t>
      </w:r>
    </w:p>
    <w:p w14:paraId="67515A1E" w14:textId="77777777" w:rsidR="003F5130" w:rsidRPr="00C45753" w:rsidRDefault="003F5130"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C45753">
        <w:rPr>
          <w:rFonts w:ascii="Arial" w:hAnsi="Arial" w:cs="Arial"/>
        </w:rPr>
        <w:t>Governments should ensure that courts which adopt fully cost</w:t>
      </w:r>
      <w:r w:rsidRPr="00C45753">
        <w:rPr>
          <w:rFonts w:ascii="Arial" w:hAnsi="Arial" w:cs="Arial"/>
        </w:rPr>
        <w:noBreakHyphen/>
        <w:t>reflective fees should provide partial fee waivers for parties with lower incomes who are not eligible for a full waiver. Maximum fee contributions should be set for litigants based on their income and assets, similar to arrangements in England and Wales.</w:t>
      </w:r>
    </w:p>
    <w:p w14:paraId="36FB2E67" w14:textId="77777777" w:rsidR="003F5130" w:rsidRDefault="003F5130" w:rsidP="00095E11">
      <w:pPr>
        <w:spacing w:after="0" w:line="240" w:lineRule="auto"/>
        <w:jc w:val="both"/>
        <w:rPr>
          <w:rFonts w:ascii="Arial" w:hAnsi="Arial" w:cs="Arial"/>
          <w:b/>
          <w:i/>
          <w:u w:val="single"/>
        </w:rPr>
      </w:pPr>
    </w:p>
    <w:p w14:paraId="5D3008C5" w14:textId="77777777" w:rsidR="00B11CD6" w:rsidRDefault="002A0742" w:rsidP="00095E11">
      <w:pPr>
        <w:spacing w:after="0" w:line="240" w:lineRule="auto"/>
        <w:jc w:val="both"/>
        <w:rPr>
          <w:rFonts w:ascii="Arial" w:hAnsi="Arial" w:cs="Arial"/>
        </w:rPr>
      </w:pPr>
      <w:r>
        <w:rPr>
          <w:rFonts w:ascii="Arial" w:hAnsi="Arial" w:cs="Arial"/>
        </w:rPr>
        <w:t xml:space="preserve">We agree that the Commonwealth and state and territory governments should establish and publish formal criteria to determine eligibility for </w:t>
      </w:r>
      <w:r w:rsidR="00E9757B">
        <w:rPr>
          <w:rFonts w:ascii="Arial" w:hAnsi="Arial" w:cs="Arial"/>
        </w:rPr>
        <w:t>waiver, reduction or postponement of fees. We believe that the criteria should be consistent across jurisdictions.</w:t>
      </w:r>
    </w:p>
    <w:p w14:paraId="16CD683A" w14:textId="77777777" w:rsidR="00B11CD6" w:rsidRDefault="00B11CD6" w:rsidP="00095E11">
      <w:pPr>
        <w:spacing w:after="0" w:line="240" w:lineRule="auto"/>
        <w:jc w:val="both"/>
        <w:rPr>
          <w:rFonts w:ascii="Arial" w:hAnsi="Arial" w:cs="Arial"/>
        </w:rPr>
      </w:pPr>
    </w:p>
    <w:p w14:paraId="612439CF" w14:textId="77777777" w:rsidR="00C90017" w:rsidRDefault="00E9757B" w:rsidP="00095E11">
      <w:pPr>
        <w:spacing w:after="0" w:line="240" w:lineRule="auto"/>
        <w:jc w:val="both"/>
        <w:rPr>
          <w:rFonts w:ascii="Arial" w:hAnsi="Arial" w:cs="Arial"/>
        </w:rPr>
      </w:pPr>
      <w:r w:rsidRPr="00B11CD6">
        <w:rPr>
          <w:rFonts w:ascii="Arial" w:hAnsi="Arial" w:cs="Arial"/>
        </w:rPr>
        <w:t xml:space="preserve">We agree that parties represented by a state or territory legal aid commission, </w:t>
      </w:r>
      <w:proofErr w:type="spellStart"/>
      <w:r w:rsidRPr="00B11CD6">
        <w:rPr>
          <w:rFonts w:ascii="Arial" w:hAnsi="Arial" w:cs="Arial"/>
        </w:rPr>
        <w:t>CLCs</w:t>
      </w:r>
      <w:proofErr w:type="spellEnd"/>
      <w:r w:rsidRPr="00B11CD6">
        <w:rPr>
          <w:rFonts w:ascii="Arial" w:hAnsi="Arial" w:cs="Arial"/>
        </w:rPr>
        <w:t xml:space="preserve"> and pro bono scheme should be</w:t>
      </w:r>
      <w:r w:rsidR="002F0C6F" w:rsidRPr="00B11CD6">
        <w:rPr>
          <w:rFonts w:ascii="Arial" w:hAnsi="Arial" w:cs="Arial"/>
        </w:rPr>
        <w:t xml:space="preserve"> granted automatic fee relief. </w:t>
      </w:r>
      <w:r w:rsidR="007046A0">
        <w:rPr>
          <w:rFonts w:ascii="Arial" w:hAnsi="Arial" w:cs="Arial"/>
        </w:rPr>
        <w:t>Firstly, m</w:t>
      </w:r>
      <w:r w:rsidR="00B11CD6" w:rsidRPr="00B11CD6">
        <w:rPr>
          <w:rFonts w:ascii="Arial" w:hAnsi="Arial" w:cs="Arial"/>
        </w:rPr>
        <w:t xml:space="preserve">ost </w:t>
      </w:r>
      <w:proofErr w:type="spellStart"/>
      <w:r w:rsidR="00B11CD6" w:rsidRPr="00B11CD6">
        <w:rPr>
          <w:rFonts w:ascii="Arial" w:hAnsi="Arial" w:cs="Arial"/>
        </w:rPr>
        <w:t>CLCs</w:t>
      </w:r>
      <w:proofErr w:type="spellEnd"/>
      <w:r w:rsidR="00B11CD6" w:rsidRPr="00B11CD6">
        <w:rPr>
          <w:rFonts w:ascii="Arial" w:hAnsi="Arial" w:cs="Arial"/>
        </w:rPr>
        <w:t xml:space="preserve"> do not have the administrative and technological resources to administer strict means and asset testing. </w:t>
      </w:r>
      <w:r w:rsidR="007046A0">
        <w:rPr>
          <w:rFonts w:ascii="Arial" w:hAnsi="Arial" w:cs="Arial"/>
        </w:rPr>
        <w:t xml:space="preserve">Secondly, </w:t>
      </w:r>
      <w:proofErr w:type="spellStart"/>
      <w:r w:rsidR="00B11CD6" w:rsidRPr="00B11CD6">
        <w:rPr>
          <w:rFonts w:ascii="Arial" w:hAnsi="Arial" w:cs="Arial"/>
        </w:rPr>
        <w:t>CLCs</w:t>
      </w:r>
      <w:proofErr w:type="spellEnd"/>
      <w:r w:rsidR="00B11CD6" w:rsidRPr="00B11CD6">
        <w:rPr>
          <w:rFonts w:ascii="Arial" w:hAnsi="Arial" w:cs="Arial"/>
        </w:rPr>
        <w:t xml:space="preserve"> have traditionally “filled the gaps” in situations where legal aid is not available and private legal representation is not possible. While</w:t>
      </w:r>
      <w:r w:rsidR="002F0C6F" w:rsidRPr="00B11CD6">
        <w:rPr>
          <w:rFonts w:ascii="Arial" w:hAnsi="Arial" w:cs="Arial"/>
        </w:rPr>
        <w:t xml:space="preserve"> </w:t>
      </w:r>
      <w:proofErr w:type="spellStart"/>
      <w:r w:rsidR="002F0C6F" w:rsidRPr="00B11CD6">
        <w:rPr>
          <w:rFonts w:ascii="Arial" w:hAnsi="Arial" w:cs="Arial"/>
        </w:rPr>
        <w:t>CLCs</w:t>
      </w:r>
      <w:proofErr w:type="spellEnd"/>
      <w:r w:rsidR="002F0C6F" w:rsidRPr="00B11CD6">
        <w:rPr>
          <w:rFonts w:ascii="Arial" w:hAnsi="Arial" w:cs="Arial"/>
        </w:rPr>
        <w:t xml:space="preserve"> do not have formal</w:t>
      </w:r>
      <w:r w:rsidR="00F56618" w:rsidRPr="00B11CD6">
        <w:rPr>
          <w:rFonts w:ascii="Arial" w:hAnsi="Arial" w:cs="Arial"/>
        </w:rPr>
        <w:t xml:space="preserve"> financial hardship criteria, </w:t>
      </w:r>
      <w:proofErr w:type="spellStart"/>
      <w:r w:rsidR="00F56618" w:rsidRPr="00B11CD6">
        <w:rPr>
          <w:rFonts w:ascii="Arial" w:hAnsi="Arial" w:cs="Arial"/>
        </w:rPr>
        <w:t>CLCs</w:t>
      </w:r>
      <w:proofErr w:type="spellEnd"/>
      <w:r w:rsidR="00F56618" w:rsidRPr="00B11CD6">
        <w:rPr>
          <w:rFonts w:ascii="Arial" w:hAnsi="Arial" w:cs="Arial"/>
        </w:rPr>
        <w:t xml:space="preserve"> generally only provide representation in litigation to </w:t>
      </w:r>
      <w:r w:rsidR="00C90017" w:rsidRPr="00B11CD6">
        <w:rPr>
          <w:rFonts w:ascii="Arial" w:hAnsi="Arial" w:cs="Arial"/>
        </w:rPr>
        <w:t xml:space="preserve">low income </w:t>
      </w:r>
      <w:r w:rsidR="00F56618" w:rsidRPr="00B11CD6">
        <w:rPr>
          <w:rFonts w:ascii="Arial" w:hAnsi="Arial" w:cs="Arial"/>
        </w:rPr>
        <w:t>clients, who without our help, would not be able to pursue litigation and would suffer a significant injustice</w:t>
      </w:r>
      <w:r w:rsidR="0075458A" w:rsidRPr="00B11CD6">
        <w:rPr>
          <w:rFonts w:ascii="Arial" w:hAnsi="Arial" w:cs="Arial"/>
        </w:rPr>
        <w:t xml:space="preserve"> as a result and/or there</w:t>
      </w:r>
      <w:r w:rsidR="00223868" w:rsidRPr="00B11CD6">
        <w:rPr>
          <w:rFonts w:ascii="Arial" w:hAnsi="Arial" w:cs="Arial"/>
        </w:rPr>
        <w:t xml:space="preserve"> is a public interest element to clients</w:t>
      </w:r>
      <w:r w:rsidR="0075458A" w:rsidRPr="00B11CD6">
        <w:rPr>
          <w:rFonts w:ascii="Arial" w:hAnsi="Arial" w:cs="Arial"/>
        </w:rPr>
        <w:t>’</w:t>
      </w:r>
      <w:r w:rsidR="00223868" w:rsidRPr="00B11CD6">
        <w:rPr>
          <w:rFonts w:ascii="Arial" w:hAnsi="Arial" w:cs="Arial"/>
        </w:rPr>
        <w:t xml:space="preserve"> case. </w:t>
      </w:r>
      <w:r w:rsidR="00D339A4" w:rsidRPr="00B11CD6">
        <w:rPr>
          <w:rFonts w:ascii="Arial" w:hAnsi="Arial" w:cs="Arial"/>
        </w:rPr>
        <w:t xml:space="preserve">Applying for a fee waiver in these circumstances can be very difficult for clients and time consuming for </w:t>
      </w:r>
      <w:proofErr w:type="spellStart"/>
      <w:r w:rsidR="00C90017" w:rsidRPr="00B11CD6">
        <w:rPr>
          <w:rFonts w:ascii="Arial" w:hAnsi="Arial" w:cs="Arial"/>
        </w:rPr>
        <w:t>CLCs</w:t>
      </w:r>
      <w:proofErr w:type="spellEnd"/>
      <w:r w:rsidR="00C90017" w:rsidRPr="00B11CD6">
        <w:rPr>
          <w:rFonts w:ascii="Arial" w:hAnsi="Arial" w:cs="Arial"/>
        </w:rPr>
        <w:t xml:space="preserve">. </w:t>
      </w:r>
      <w:r w:rsidR="00B11CD6">
        <w:rPr>
          <w:rFonts w:ascii="Arial" w:hAnsi="Arial" w:cs="Arial"/>
        </w:rPr>
        <w:t xml:space="preserve">Granting automatic fee relief to litigants represented by </w:t>
      </w:r>
      <w:proofErr w:type="spellStart"/>
      <w:r w:rsidR="00B11CD6">
        <w:rPr>
          <w:rFonts w:ascii="Arial" w:hAnsi="Arial" w:cs="Arial"/>
        </w:rPr>
        <w:t>CLCs</w:t>
      </w:r>
      <w:proofErr w:type="spellEnd"/>
      <w:r w:rsidR="00B11CD6">
        <w:rPr>
          <w:rFonts w:ascii="Arial" w:hAnsi="Arial" w:cs="Arial"/>
        </w:rPr>
        <w:t xml:space="preserve"> and pro bono schemes would improve access to justice for clients who do not meet the strict eligibility requirements of legal aid commissions, but who would still experience significant hardship paying a court fee.</w:t>
      </w:r>
    </w:p>
    <w:p w14:paraId="45CA91A4" w14:textId="77777777" w:rsidR="00B11CD6" w:rsidRDefault="00B11CD6" w:rsidP="00095E11">
      <w:pPr>
        <w:spacing w:after="0" w:line="240" w:lineRule="auto"/>
        <w:jc w:val="both"/>
        <w:rPr>
          <w:rFonts w:ascii="Arial" w:hAnsi="Arial" w:cs="Arial"/>
        </w:rPr>
      </w:pPr>
    </w:p>
    <w:p w14:paraId="07421972" w14:textId="77777777" w:rsidR="00B11CD6" w:rsidRPr="00B11CD6" w:rsidRDefault="00B11CD6" w:rsidP="00095E11">
      <w:pPr>
        <w:spacing w:after="0" w:line="240" w:lineRule="auto"/>
        <w:jc w:val="both"/>
        <w:rPr>
          <w:rFonts w:ascii="Arial" w:hAnsi="Arial" w:cs="Arial"/>
        </w:rPr>
      </w:pPr>
      <w:r>
        <w:rPr>
          <w:rFonts w:ascii="Arial" w:hAnsi="Arial" w:cs="Arial"/>
        </w:rPr>
        <w:t xml:space="preserve">Alternatively, clients represented by </w:t>
      </w:r>
      <w:proofErr w:type="spellStart"/>
      <w:r>
        <w:rPr>
          <w:rFonts w:ascii="Arial" w:hAnsi="Arial" w:cs="Arial"/>
        </w:rPr>
        <w:t>CLCs</w:t>
      </w:r>
      <w:proofErr w:type="spellEnd"/>
      <w:r>
        <w:rPr>
          <w:rFonts w:ascii="Arial" w:hAnsi="Arial" w:cs="Arial"/>
        </w:rPr>
        <w:t xml:space="preserve"> and pro bon</w:t>
      </w:r>
      <w:r w:rsidR="00793C00">
        <w:rPr>
          <w:rFonts w:ascii="Arial" w:hAnsi="Arial" w:cs="Arial"/>
        </w:rPr>
        <w:t>o</w:t>
      </w:r>
      <w:r>
        <w:rPr>
          <w:rFonts w:ascii="Arial" w:hAnsi="Arial" w:cs="Arial"/>
        </w:rPr>
        <w:t xml:space="preserve"> schemes should at le</w:t>
      </w:r>
      <w:r w:rsidR="00793C00">
        <w:rPr>
          <w:rFonts w:ascii="Arial" w:hAnsi="Arial" w:cs="Arial"/>
        </w:rPr>
        <w:t xml:space="preserve">ast be automatically entitled to postpone the determination of their court fee until the matter has been finalised. A </w:t>
      </w:r>
      <w:r w:rsidR="00793C00" w:rsidRPr="00793C00">
        <w:rPr>
          <w:rFonts w:ascii="Arial" w:hAnsi="Arial" w:cs="Arial"/>
        </w:rPr>
        <w:t>sliding scale of fees based</w:t>
      </w:r>
      <w:r w:rsidR="00793C00">
        <w:rPr>
          <w:rFonts w:ascii="Arial" w:hAnsi="Arial" w:cs="Arial"/>
          <w:b/>
          <w:i/>
        </w:rPr>
        <w:t xml:space="preserve"> </w:t>
      </w:r>
      <w:r w:rsidR="00793C00">
        <w:rPr>
          <w:rFonts w:ascii="Arial" w:hAnsi="Arial" w:cs="Arial"/>
        </w:rPr>
        <w:t>on the litigant’s income could be applied at the conclusion of the matter, if they are awarded compensation.</w:t>
      </w:r>
    </w:p>
    <w:p w14:paraId="0DD6EE3A" w14:textId="77777777" w:rsidR="00C90017" w:rsidRDefault="00C90017" w:rsidP="00095E11">
      <w:pPr>
        <w:spacing w:after="0" w:line="240" w:lineRule="auto"/>
        <w:jc w:val="both"/>
        <w:rPr>
          <w:rFonts w:ascii="Arial" w:hAnsi="Arial" w:cs="Arial"/>
        </w:rPr>
      </w:pPr>
    </w:p>
    <w:p w14:paraId="097DE950" w14:textId="77777777" w:rsidR="00EC172C" w:rsidRPr="00EC172C" w:rsidRDefault="00EC172C" w:rsidP="00095E11">
      <w:pPr>
        <w:pStyle w:val="Rec"/>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120" w:line="240" w:lineRule="auto"/>
        <w:contextualSpacing/>
        <w:rPr>
          <w:rFonts w:ascii="Arial" w:hAnsi="Arial" w:cs="Arial"/>
          <w:sz w:val="22"/>
          <w:szCs w:val="22"/>
        </w:rPr>
      </w:pPr>
      <w:r w:rsidRPr="00EC172C">
        <w:rPr>
          <w:rFonts w:ascii="Arial" w:hAnsi="Arial" w:cs="Arial"/>
          <w:i w:val="0"/>
          <w:sz w:val="22"/>
          <w:szCs w:val="22"/>
        </w:rPr>
        <w:t>Recommendation:</w:t>
      </w:r>
      <w:r>
        <w:rPr>
          <w:rFonts w:ascii="Arial" w:hAnsi="Arial" w:cs="Arial"/>
          <w:sz w:val="22"/>
          <w:szCs w:val="22"/>
        </w:rPr>
        <w:t xml:space="preserve"> </w:t>
      </w:r>
      <w:r w:rsidRPr="00EC172C">
        <w:rPr>
          <w:rFonts w:ascii="Arial" w:hAnsi="Arial" w:cs="Arial"/>
          <w:b w:val="0"/>
          <w:i w:val="0"/>
          <w:sz w:val="22"/>
          <w:szCs w:val="22"/>
        </w:rPr>
        <w:t>Fee guidelines in courts and tribunals should grant automatic fee relief to clients of approved community legal centres and pro bono schemes.</w:t>
      </w:r>
    </w:p>
    <w:p w14:paraId="3E6C450E" w14:textId="77777777" w:rsidR="00C45753" w:rsidRDefault="002E00D7" w:rsidP="00095E11">
      <w:pPr>
        <w:spacing w:after="0" w:line="240" w:lineRule="auto"/>
        <w:jc w:val="both"/>
        <w:rPr>
          <w:rFonts w:ascii="Arial" w:hAnsi="Arial" w:cs="Arial"/>
          <w:b/>
          <w:u w:val="single"/>
        </w:rPr>
      </w:pPr>
      <w:r>
        <w:rPr>
          <w:rFonts w:ascii="Arial" w:hAnsi="Arial" w:cs="Arial"/>
          <w:b/>
          <w:u w:val="single"/>
        </w:rPr>
        <w:t xml:space="preserve">Chapter 21: </w:t>
      </w:r>
      <w:r w:rsidR="008B6E30">
        <w:rPr>
          <w:rFonts w:ascii="Arial" w:hAnsi="Arial" w:cs="Arial"/>
          <w:b/>
          <w:u w:val="single"/>
        </w:rPr>
        <w:t>Reforming legal assistance services</w:t>
      </w:r>
    </w:p>
    <w:p w14:paraId="5AA1FD41" w14:textId="77777777" w:rsidR="008B6E30" w:rsidRDefault="008B6E30" w:rsidP="00095E11">
      <w:pPr>
        <w:spacing w:after="0" w:line="240" w:lineRule="auto"/>
        <w:jc w:val="both"/>
        <w:rPr>
          <w:rFonts w:ascii="Arial" w:hAnsi="Arial" w:cs="Arial"/>
          <w:b/>
          <w:u w:val="single"/>
        </w:rPr>
      </w:pPr>
    </w:p>
    <w:p w14:paraId="137D9848" w14:textId="77777777" w:rsidR="008B6E30" w:rsidRPr="008B6E30" w:rsidRDefault="008B6E30"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8B6E30">
        <w:rPr>
          <w:rFonts w:ascii="Arial" w:hAnsi="Arial" w:cs="Arial"/>
          <w:bCs/>
          <w:iCs/>
          <w:u w:val="single"/>
        </w:rPr>
        <w:t>Draft recommendation 21.1</w:t>
      </w:r>
      <w:r w:rsidRPr="008B6E30">
        <w:rPr>
          <w:rFonts w:ascii="Arial" w:hAnsi="Arial" w:cs="Arial"/>
          <w:bCs/>
          <w:iCs/>
        </w:rPr>
        <w:t>: Commonwealth and state and territory government legal assistance funding for civil law matters should be determined and managed separately from the funding for criminal law matters to ensure that demand for criminal assistance does not affect the availability of funding for civil matters.</w:t>
      </w:r>
    </w:p>
    <w:p w14:paraId="5447CAB0" w14:textId="77777777" w:rsidR="008B6E30" w:rsidRDefault="008B6E30" w:rsidP="00095E11">
      <w:pPr>
        <w:spacing w:after="0" w:line="240" w:lineRule="auto"/>
        <w:jc w:val="both"/>
        <w:rPr>
          <w:rFonts w:ascii="Arial" w:hAnsi="Arial" w:cs="Arial"/>
          <w:b/>
          <w:u w:val="single"/>
        </w:rPr>
      </w:pPr>
    </w:p>
    <w:p w14:paraId="330F4F3F" w14:textId="405284FB" w:rsidR="008D03CD" w:rsidRDefault="001F7B68" w:rsidP="00095E11">
      <w:pPr>
        <w:spacing w:after="0" w:line="240" w:lineRule="auto"/>
        <w:jc w:val="both"/>
        <w:rPr>
          <w:rFonts w:ascii="Arial" w:hAnsi="Arial" w:cs="Arial"/>
        </w:rPr>
      </w:pPr>
      <w:r>
        <w:rPr>
          <w:rFonts w:ascii="Arial" w:hAnsi="Arial" w:cs="Arial"/>
        </w:rPr>
        <w:t xml:space="preserve">We support the Commission’s draft recommendation to manage </w:t>
      </w:r>
      <w:r w:rsidR="008D03CD">
        <w:rPr>
          <w:rFonts w:ascii="Arial" w:hAnsi="Arial" w:cs="Arial"/>
        </w:rPr>
        <w:t xml:space="preserve">funding for criminal law matters separately from the funding for civil law matters. We submit that any funding for civil law matters, should be in addition to, not drawn from, funding for criminal law matters. </w:t>
      </w:r>
    </w:p>
    <w:p w14:paraId="38C4713E" w14:textId="77777777" w:rsidR="006E1071" w:rsidRDefault="006E1071" w:rsidP="00095E11">
      <w:pPr>
        <w:spacing w:after="0" w:line="240" w:lineRule="auto"/>
        <w:jc w:val="both"/>
        <w:rPr>
          <w:rFonts w:ascii="Arial" w:hAnsi="Arial" w:cs="Arial"/>
        </w:rPr>
      </w:pPr>
    </w:p>
    <w:p w14:paraId="15380E81" w14:textId="468390B0" w:rsidR="008D03CD" w:rsidRPr="006E1071" w:rsidRDefault="008D03CD" w:rsidP="006E107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hanging="11"/>
        <w:jc w:val="both"/>
        <w:rPr>
          <w:rFonts w:ascii="Arial" w:hAnsi="Arial" w:cs="Arial"/>
          <w:bCs/>
          <w:iCs/>
        </w:rPr>
      </w:pPr>
      <w:r w:rsidRPr="00D60D65">
        <w:rPr>
          <w:rFonts w:ascii="Arial" w:hAnsi="Arial" w:cs="Arial"/>
          <w:b/>
          <w:bCs/>
          <w:iCs/>
        </w:rPr>
        <w:t>Recommendation</w:t>
      </w:r>
      <w:r>
        <w:rPr>
          <w:rFonts w:ascii="Arial" w:hAnsi="Arial" w:cs="Arial"/>
          <w:bCs/>
          <w:iCs/>
        </w:rPr>
        <w:t>: Funding for civil law matters should be in addition to funding for criminal law matters.</w:t>
      </w:r>
    </w:p>
    <w:p w14:paraId="6CC460BD" w14:textId="77777777" w:rsidR="00D626C5" w:rsidRPr="008B6E30" w:rsidRDefault="00D8578F" w:rsidP="00095E1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8B6E30">
        <w:rPr>
          <w:rFonts w:ascii="Arial" w:hAnsi="Arial" w:cs="Arial"/>
          <w:u w:val="single"/>
        </w:rPr>
        <w:t>Draft recommendation 21.3</w:t>
      </w:r>
      <w:r w:rsidRPr="008B6E30">
        <w:rPr>
          <w:rFonts w:ascii="Arial" w:hAnsi="Arial" w:cs="Arial"/>
        </w:rPr>
        <w:t>: The Commonwealth and state and territory governments should use the National Partnership Agreement on Legal Assistance Services to align eligibility criteria for civil law cases for legal aid commissions and community legal centres. The financial eligibility test for grants of legal aid should be linked to some established measure of disadvantage.</w:t>
      </w:r>
    </w:p>
    <w:p w14:paraId="44C02CA5" w14:textId="77777777" w:rsidR="00D626C5" w:rsidRDefault="00D626C5" w:rsidP="00095E11">
      <w:pPr>
        <w:spacing w:after="0" w:line="240" w:lineRule="auto"/>
        <w:jc w:val="both"/>
        <w:rPr>
          <w:rFonts w:ascii="Arial" w:hAnsi="Arial" w:cs="Arial"/>
          <w:b/>
          <w:i/>
        </w:rPr>
      </w:pPr>
    </w:p>
    <w:p w14:paraId="1B7D84B2" w14:textId="63392C1E" w:rsidR="00D22E2F" w:rsidRDefault="008D03CD" w:rsidP="00D22E2F">
      <w:pPr>
        <w:spacing w:after="0" w:line="240" w:lineRule="auto"/>
        <w:jc w:val="both"/>
        <w:rPr>
          <w:rFonts w:ascii="Arial" w:hAnsi="Arial" w:cs="Arial"/>
        </w:rPr>
      </w:pPr>
      <w:r>
        <w:rPr>
          <w:rFonts w:ascii="Arial" w:hAnsi="Arial" w:cs="Arial"/>
        </w:rPr>
        <w:t>We disagree wit</w:t>
      </w:r>
      <w:r w:rsidR="006E1071">
        <w:rPr>
          <w:rFonts w:ascii="Arial" w:hAnsi="Arial" w:cs="Arial"/>
        </w:rPr>
        <w:t>h</w:t>
      </w:r>
      <w:r>
        <w:rPr>
          <w:rFonts w:ascii="Arial" w:hAnsi="Arial" w:cs="Arial"/>
        </w:rPr>
        <w:t xml:space="preserve"> draft recommendation 21.3. </w:t>
      </w:r>
      <w:proofErr w:type="spellStart"/>
      <w:r w:rsidR="00D22E2F">
        <w:rPr>
          <w:rFonts w:ascii="Arial" w:hAnsi="Arial" w:cs="Arial"/>
        </w:rPr>
        <w:t>LACs</w:t>
      </w:r>
      <w:proofErr w:type="spellEnd"/>
      <w:r w:rsidR="00D22E2F">
        <w:rPr>
          <w:rFonts w:ascii="Arial" w:hAnsi="Arial" w:cs="Arial"/>
        </w:rPr>
        <w:t xml:space="preserve"> have to have eligibility criteria that a</w:t>
      </w:r>
      <w:r w:rsidR="0067537C">
        <w:rPr>
          <w:rFonts w:ascii="Arial" w:hAnsi="Arial" w:cs="Arial"/>
        </w:rPr>
        <w:t>pply to all people across NSW w</w:t>
      </w:r>
      <w:r w:rsidR="00D22E2F">
        <w:rPr>
          <w:rFonts w:ascii="Arial" w:hAnsi="Arial" w:cs="Arial"/>
        </w:rPr>
        <w:t xml:space="preserve">hereas </w:t>
      </w:r>
      <w:proofErr w:type="spellStart"/>
      <w:r w:rsidR="00D22E2F">
        <w:rPr>
          <w:rFonts w:ascii="Arial" w:hAnsi="Arial" w:cs="Arial"/>
        </w:rPr>
        <w:t>CLCs</w:t>
      </w:r>
      <w:proofErr w:type="spellEnd"/>
      <w:r w:rsidR="00D22E2F">
        <w:rPr>
          <w:rFonts w:ascii="Arial" w:hAnsi="Arial" w:cs="Arial"/>
        </w:rPr>
        <w:t xml:space="preserve"> can assist people who are disadvantaged but do not meet LAC eligibility criteria. If eligibility criteria were aligned, unless LAC criteria were significantly broadened, some disadvantaged people would miss out on assistance. </w:t>
      </w:r>
      <w:proofErr w:type="spellStart"/>
      <w:r w:rsidR="00D22E2F">
        <w:rPr>
          <w:rFonts w:ascii="Arial" w:hAnsi="Arial" w:cs="Arial"/>
        </w:rPr>
        <w:t>CLCs</w:t>
      </w:r>
      <w:proofErr w:type="spellEnd"/>
      <w:r w:rsidR="00D22E2F">
        <w:rPr>
          <w:rFonts w:ascii="Arial" w:hAnsi="Arial" w:cs="Arial"/>
        </w:rPr>
        <w:t xml:space="preserve"> can also target their casework to the needs of their local community. For example a </w:t>
      </w:r>
      <w:proofErr w:type="spellStart"/>
      <w:r w:rsidR="00D22E2F">
        <w:rPr>
          <w:rFonts w:ascii="Arial" w:hAnsi="Arial" w:cs="Arial"/>
        </w:rPr>
        <w:t>CLC</w:t>
      </w:r>
      <w:proofErr w:type="spellEnd"/>
      <w:r w:rsidR="00D22E2F">
        <w:rPr>
          <w:rFonts w:ascii="Arial" w:hAnsi="Arial" w:cs="Arial"/>
        </w:rPr>
        <w:t xml:space="preserve"> may do housing casework in areas with a high concentr</w:t>
      </w:r>
      <w:r>
        <w:rPr>
          <w:rFonts w:ascii="Arial" w:hAnsi="Arial" w:cs="Arial"/>
        </w:rPr>
        <w:t>ation of public housing tenants or</w:t>
      </w:r>
      <w:r w:rsidR="00D22E2F">
        <w:rPr>
          <w:rFonts w:ascii="Arial" w:hAnsi="Arial" w:cs="Arial"/>
        </w:rPr>
        <w:t xml:space="preserve"> debt casework in areas with high rates of mortgage defaults, ban</w:t>
      </w:r>
      <w:r>
        <w:rPr>
          <w:rFonts w:ascii="Arial" w:hAnsi="Arial" w:cs="Arial"/>
        </w:rPr>
        <w:t>kruptcy and/or credit card debt.</w:t>
      </w:r>
    </w:p>
    <w:p w14:paraId="39585078" w14:textId="77777777" w:rsidR="00D22E2F" w:rsidRDefault="00D22E2F" w:rsidP="00D22E2F">
      <w:pPr>
        <w:spacing w:after="0" w:line="240" w:lineRule="auto"/>
        <w:jc w:val="both"/>
        <w:rPr>
          <w:rFonts w:ascii="Arial" w:hAnsi="Arial" w:cs="Arial"/>
        </w:rPr>
      </w:pPr>
    </w:p>
    <w:p w14:paraId="0C13E117" w14:textId="4E84D8C1" w:rsidR="003C65E9" w:rsidRDefault="003C65E9" w:rsidP="00095E11">
      <w:pPr>
        <w:spacing w:after="0" w:line="240" w:lineRule="auto"/>
        <w:jc w:val="both"/>
        <w:rPr>
          <w:rFonts w:ascii="Arial" w:hAnsi="Arial" w:cs="Arial"/>
        </w:rPr>
      </w:pPr>
      <w:r>
        <w:rPr>
          <w:rFonts w:ascii="Arial" w:hAnsi="Arial" w:cs="Arial"/>
        </w:rPr>
        <w:t xml:space="preserve">Requiring </w:t>
      </w:r>
      <w:proofErr w:type="spellStart"/>
      <w:r>
        <w:rPr>
          <w:rFonts w:ascii="Arial" w:hAnsi="Arial" w:cs="Arial"/>
        </w:rPr>
        <w:t>CLCs</w:t>
      </w:r>
      <w:proofErr w:type="spellEnd"/>
      <w:r>
        <w:rPr>
          <w:rFonts w:ascii="Arial" w:hAnsi="Arial" w:cs="Arial"/>
        </w:rPr>
        <w:t xml:space="preserve"> to apply formal eligibility criteria for the provision of our services would limit our ability to respond quickly and appropriately to local community needs. It would also limit our ability to consider the unique circumstances of each client, which is important in </w:t>
      </w:r>
      <w:r>
        <w:rPr>
          <w:rFonts w:ascii="Arial" w:hAnsi="Arial" w:cs="Arial"/>
        </w:rPr>
        <w:lastRenderedPageBreak/>
        <w:t>determining whether they are able to pursue and achieve just outco</w:t>
      </w:r>
      <w:r w:rsidR="008D03CD">
        <w:rPr>
          <w:rFonts w:ascii="Arial" w:hAnsi="Arial" w:cs="Arial"/>
        </w:rPr>
        <w:t xml:space="preserve">mes. </w:t>
      </w:r>
      <w:r w:rsidR="0067537C">
        <w:rPr>
          <w:rFonts w:ascii="Arial" w:hAnsi="Arial" w:cs="Arial"/>
        </w:rPr>
        <w:t xml:space="preserve">See the case studies above as examples of the ways in which </w:t>
      </w:r>
      <w:proofErr w:type="spellStart"/>
      <w:r w:rsidR="0067537C">
        <w:rPr>
          <w:rFonts w:ascii="Arial" w:hAnsi="Arial" w:cs="Arial"/>
        </w:rPr>
        <w:t>KLC</w:t>
      </w:r>
      <w:proofErr w:type="spellEnd"/>
      <w:r w:rsidR="0067537C">
        <w:rPr>
          <w:rFonts w:ascii="Arial" w:hAnsi="Arial" w:cs="Arial"/>
        </w:rPr>
        <w:t xml:space="preserve"> has responded to community need.</w:t>
      </w:r>
    </w:p>
    <w:p w14:paraId="597C3F00" w14:textId="77777777" w:rsidR="008D03CD" w:rsidRDefault="008D03CD" w:rsidP="00095E11">
      <w:pPr>
        <w:spacing w:after="0" w:line="240" w:lineRule="auto"/>
        <w:jc w:val="both"/>
        <w:rPr>
          <w:rFonts w:ascii="Arial" w:hAnsi="Arial" w:cs="Arial"/>
        </w:rPr>
      </w:pPr>
    </w:p>
    <w:p w14:paraId="71AEEC7F" w14:textId="3631D73D" w:rsidR="00D22E2F" w:rsidRPr="008D03CD" w:rsidRDefault="008D03CD" w:rsidP="008D03CD">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hanging="11"/>
        <w:jc w:val="both"/>
        <w:rPr>
          <w:rFonts w:ascii="Arial" w:hAnsi="Arial" w:cs="Arial"/>
          <w:bCs/>
          <w:iCs/>
        </w:rPr>
      </w:pPr>
      <w:r w:rsidRPr="00D60D65">
        <w:rPr>
          <w:rFonts w:ascii="Arial" w:hAnsi="Arial" w:cs="Arial"/>
          <w:b/>
          <w:bCs/>
          <w:iCs/>
        </w:rPr>
        <w:t>Recommendation</w:t>
      </w:r>
      <w:r>
        <w:rPr>
          <w:rFonts w:ascii="Arial" w:hAnsi="Arial" w:cs="Arial"/>
          <w:bCs/>
          <w:iCs/>
        </w:rPr>
        <w:t>: The Commission remove draft recommendation 21.3.</w:t>
      </w:r>
    </w:p>
    <w:p w14:paraId="5EB3A65E" w14:textId="77777777" w:rsidR="00D8578F" w:rsidRPr="008B6E30" w:rsidRDefault="00D8578F" w:rsidP="00AE269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8B6E30">
        <w:rPr>
          <w:rFonts w:ascii="Arial" w:hAnsi="Arial" w:cs="Arial"/>
          <w:u w:val="single"/>
        </w:rPr>
        <w:t>Information request 21.3</w:t>
      </w:r>
      <w:r w:rsidRPr="008B6E30">
        <w:rPr>
          <w:rFonts w:ascii="Arial" w:hAnsi="Arial" w:cs="Arial"/>
        </w:rPr>
        <w:t>: The Commission seeks feedback on how Community Legal Centre (</w:t>
      </w:r>
      <w:proofErr w:type="spellStart"/>
      <w:r w:rsidRPr="008B6E30">
        <w:rPr>
          <w:rFonts w:ascii="Arial" w:hAnsi="Arial" w:cs="Arial"/>
        </w:rPr>
        <w:t>CLC</w:t>
      </w:r>
      <w:proofErr w:type="spellEnd"/>
      <w:r w:rsidRPr="008B6E30">
        <w:rPr>
          <w:rFonts w:ascii="Arial" w:hAnsi="Arial" w:cs="Arial"/>
        </w:rPr>
        <w:t xml:space="preserve">) funds should be distributed across providers while at the same time ensuring providers are of sufficient scale and the benefits of the historic community support of </w:t>
      </w:r>
      <w:proofErr w:type="spellStart"/>
      <w:r w:rsidRPr="008B6E30">
        <w:rPr>
          <w:rFonts w:ascii="Arial" w:hAnsi="Arial" w:cs="Arial"/>
        </w:rPr>
        <w:t>CLCs</w:t>
      </w:r>
      <w:proofErr w:type="spellEnd"/>
      <w:r w:rsidRPr="008B6E30">
        <w:rPr>
          <w:rFonts w:ascii="Arial" w:hAnsi="Arial" w:cs="Arial"/>
        </w:rPr>
        <w:t xml:space="preserve"> are not lost. Competitive tendering might be one possible method for allocating funds. The Commission seeks feedback on the costs and benefits of such a process and how they compare with the costs and benefits of alternative methods of allocating </w:t>
      </w:r>
      <w:proofErr w:type="spellStart"/>
      <w:r w:rsidRPr="008B6E30">
        <w:rPr>
          <w:rFonts w:ascii="Arial" w:hAnsi="Arial" w:cs="Arial"/>
        </w:rPr>
        <w:t>CLC</w:t>
      </w:r>
      <w:proofErr w:type="spellEnd"/>
      <w:r w:rsidRPr="008B6E30">
        <w:rPr>
          <w:rFonts w:ascii="Arial" w:hAnsi="Arial" w:cs="Arial"/>
        </w:rPr>
        <w:t xml:space="preserve"> funding.</w:t>
      </w:r>
    </w:p>
    <w:p w14:paraId="2D024316" w14:textId="77777777" w:rsidR="008B6E30" w:rsidRDefault="008B6E30" w:rsidP="00AE269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p>
    <w:p w14:paraId="4AD45BCA" w14:textId="77777777" w:rsidR="00110797" w:rsidRPr="008B6E30" w:rsidRDefault="00110797" w:rsidP="00AE269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8B6E30">
        <w:rPr>
          <w:rFonts w:ascii="Arial" w:hAnsi="Arial" w:cs="Arial"/>
          <w:u w:val="single"/>
        </w:rPr>
        <w:t>Draft recommendation 21.4</w:t>
      </w:r>
      <w:r w:rsidRPr="008B6E30">
        <w:rPr>
          <w:rFonts w:ascii="Arial" w:hAnsi="Arial" w:cs="Arial"/>
        </w:rPr>
        <w:t>: The Commonwealth Government should:</w:t>
      </w:r>
    </w:p>
    <w:p w14:paraId="4FD22215" w14:textId="77777777" w:rsidR="003F5130" w:rsidRPr="003F5130" w:rsidRDefault="003F5130" w:rsidP="00AE269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rPr>
      </w:pPr>
    </w:p>
    <w:p w14:paraId="4B726754" w14:textId="77777777" w:rsidR="00110797" w:rsidRPr="008B6E30" w:rsidRDefault="00110797" w:rsidP="00AE2692">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ind w:hanging="720"/>
        <w:jc w:val="both"/>
        <w:rPr>
          <w:rFonts w:ascii="Arial" w:hAnsi="Arial" w:cs="Arial"/>
        </w:rPr>
      </w:pPr>
      <w:r w:rsidRPr="008B6E30">
        <w:rPr>
          <w:rFonts w:ascii="Arial" w:hAnsi="Arial" w:cs="Arial"/>
        </w:rPr>
        <w:t>discontinue the current historically-based Community Legal Services Program (</w:t>
      </w:r>
      <w:proofErr w:type="spellStart"/>
      <w:r w:rsidRPr="008B6E30">
        <w:rPr>
          <w:rFonts w:ascii="Arial" w:hAnsi="Arial" w:cs="Arial"/>
        </w:rPr>
        <w:t>CLSP</w:t>
      </w:r>
      <w:proofErr w:type="spellEnd"/>
      <w:r w:rsidRPr="008B6E30">
        <w:rPr>
          <w:rFonts w:ascii="Arial" w:hAnsi="Arial" w:cs="Arial"/>
        </w:rPr>
        <w:t>) funding model;</w:t>
      </w:r>
    </w:p>
    <w:p w14:paraId="7EF2EA56" w14:textId="77777777" w:rsidR="00110797" w:rsidRPr="008B6E30" w:rsidRDefault="00110797" w:rsidP="00AE2692">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ind w:hanging="720"/>
        <w:jc w:val="both"/>
        <w:rPr>
          <w:rFonts w:ascii="Arial" w:hAnsi="Arial" w:cs="Arial"/>
        </w:rPr>
      </w:pPr>
      <w:r w:rsidRPr="008B6E30">
        <w:rPr>
          <w:rFonts w:ascii="Arial" w:hAnsi="Arial" w:cs="Arial"/>
        </w:rPr>
        <w:t xml:space="preserve">employ the same model used to allocate legal aid commissions funds to allocate funding for the </w:t>
      </w:r>
      <w:proofErr w:type="spellStart"/>
      <w:r w:rsidRPr="008B6E30">
        <w:rPr>
          <w:rFonts w:ascii="Arial" w:hAnsi="Arial" w:cs="Arial"/>
        </w:rPr>
        <w:t>CLSP</w:t>
      </w:r>
      <w:proofErr w:type="spellEnd"/>
      <w:r w:rsidRPr="008B6E30">
        <w:rPr>
          <w:rFonts w:ascii="Arial" w:hAnsi="Arial" w:cs="Arial"/>
        </w:rPr>
        <w:t xml:space="preserve"> to state and territory jurisdictions;</w:t>
      </w:r>
    </w:p>
    <w:p w14:paraId="655CB09B" w14:textId="330C1EB6" w:rsidR="00AE2692" w:rsidRPr="008D03CD" w:rsidRDefault="008E00D1" w:rsidP="00AE2692">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ind w:hanging="720"/>
        <w:jc w:val="both"/>
        <w:rPr>
          <w:rFonts w:ascii="Arial" w:hAnsi="Arial" w:cs="Arial"/>
        </w:rPr>
      </w:pPr>
      <w:r w:rsidRPr="008B6E30">
        <w:rPr>
          <w:rFonts w:ascii="Arial" w:hAnsi="Arial" w:cs="Arial"/>
        </w:rPr>
        <w:t xml:space="preserve">divert the Commonwealth’s </w:t>
      </w:r>
      <w:proofErr w:type="spellStart"/>
      <w:r w:rsidRPr="008B6E30">
        <w:rPr>
          <w:rFonts w:ascii="Arial" w:hAnsi="Arial" w:cs="Arial"/>
        </w:rPr>
        <w:t>CLSP</w:t>
      </w:r>
      <w:proofErr w:type="spellEnd"/>
      <w:r w:rsidRPr="008B6E30">
        <w:rPr>
          <w:rFonts w:ascii="Arial" w:hAnsi="Arial" w:cs="Arial"/>
        </w:rPr>
        <w:t xml:space="preserve"> funding contribution into the National Partnership Agreement on Legal Assistance Services and require state and territory governments to transparently allocate </w:t>
      </w:r>
      <w:proofErr w:type="spellStart"/>
      <w:r w:rsidRPr="008B6E30">
        <w:rPr>
          <w:rFonts w:ascii="Arial" w:hAnsi="Arial" w:cs="Arial"/>
        </w:rPr>
        <w:t>CLSP</w:t>
      </w:r>
      <w:proofErr w:type="spellEnd"/>
      <w:r w:rsidRPr="008B6E30">
        <w:rPr>
          <w:rFonts w:ascii="Arial" w:hAnsi="Arial" w:cs="Arial"/>
        </w:rPr>
        <w:t xml:space="preserve"> funds to identified areas of ‘highest need’ within their jurisdictions. Measures of need should be based on regular and systematic analyses in conjunction with consultation at the local level.</w:t>
      </w:r>
    </w:p>
    <w:p w14:paraId="2FF004AC" w14:textId="77777777" w:rsidR="00AE2692" w:rsidRPr="00AE2692" w:rsidRDefault="00AE2692" w:rsidP="00AE2692">
      <w:pPr>
        <w:pStyle w:val="Rec"/>
        <w:pBdr>
          <w:top w:val="single" w:sz="4" w:space="1" w:color="auto"/>
          <w:left w:val="single" w:sz="4" w:space="4" w:color="auto"/>
          <w:bottom w:val="single" w:sz="4" w:space="1" w:color="auto"/>
          <w:right w:val="single" w:sz="4" w:space="4" w:color="auto"/>
        </w:pBdr>
        <w:spacing w:line="240" w:lineRule="auto"/>
        <w:rPr>
          <w:rFonts w:ascii="Arial" w:hAnsi="Arial" w:cs="Arial"/>
          <w:b w:val="0"/>
          <w:i w:val="0"/>
          <w:sz w:val="22"/>
          <w:szCs w:val="22"/>
        </w:rPr>
      </w:pPr>
      <w:r w:rsidRPr="00AE2692">
        <w:rPr>
          <w:rFonts w:ascii="Arial" w:hAnsi="Arial" w:cs="Arial"/>
          <w:b w:val="0"/>
          <w:i w:val="0"/>
          <w:sz w:val="22"/>
          <w:szCs w:val="22"/>
          <w:u w:val="single"/>
        </w:rPr>
        <w:t>Draft recommendation 21.5</w:t>
      </w:r>
      <w:r w:rsidRPr="00AE2692">
        <w:rPr>
          <w:rFonts w:ascii="Arial" w:hAnsi="Arial" w:cs="Arial"/>
          <w:b w:val="0"/>
          <w:i w:val="0"/>
          <w:sz w:val="22"/>
          <w:szCs w:val="22"/>
        </w:rPr>
        <w:t xml:space="preserve">: The Commonwealth and the state and territory governments should renegotiate the National Partnership Agreement on Legal Assistance Services (following the current one expiring) and seek agreement on national core priorities, priority clients, and aligned eligibility tests across legal assistance providers. </w:t>
      </w:r>
    </w:p>
    <w:p w14:paraId="25F01693" w14:textId="77777777" w:rsidR="00AE2692" w:rsidRPr="00AE2692" w:rsidRDefault="00AE2692" w:rsidP="00AE2692">
      <w:pPr>
        <w:spacing w:after="0" w:line="240" w:lineRule="auto"/>
        <w:jc w:val="both"/>
        <w:rPr>
          <w:rFonts w:ascii="Arial" w:hAnsi="Arial" w:cs="Arial"/>
        </w:rPr>
      </w:pPr>
    </w:p>
    <w:p w14:paraId="069EC1F3" w14:textId="77777777" w:rsidR="00B95364" w:rsidRDefault="00B95364" w:rsidP="00095E11">
      <w:pPr>
        <w:spacing w:line="240" w:lineRule="auto"/>
        <w:jc w:val="both"/>
        <w:rPr>
          <w:rFonts w:ascii="Arial" w:hAnsi="Arial" w:cs="Arial"/>
        </w:rPr>
      </w:pPr>
      <w:proofErr w:type="spellStart"/>
      <w:r w:rsidRPr="001146F5">
        <w:rPr>
          <w:rFonts w:ascii="Arial" w:hAnsi="Arial" w:cs="Arial"/>
        </w:rPr>
        <w:t>KLC</w:t>
      </w:r>
      <w:proofErr w:type="spellEnd"/>
      <w:r w:rsidRPr="001146F5">
        <w:rPr>
          <w:rFonts w:ascii="Arial" w:hAnsi="Arial" w:cs="Arial"/>
        </w:rPr>
        <w:t xml:space="preserve"> believes it is important to address the overall inequity in relation to legal services and supports </w:t>
      </w:r>
      <w:proofErr w:type="spellStart"/>
      <w:r w:rsidRPr="001146F5">
        <w:rPr>
          <w:rFonts w:ascii="Arial" w:hAnsi="Arial" w:cs="Arial"/>
        </w:rPr>
        <w:t>NACLC’s</w:t>
      </w:r>
      <w:proofErr w:type="spellEnd"/>
      <w:r w:rsidRPr="001146F5">
        <w:rPr>
          <w:rFonts w:ascii="Arial" w:hAnsi="Arial" w:cs="Arial"/>
        </w:rPr>
        <w:t xml:space="preserve"> position in relation to any future funding model. </w:t>
      </w:r>
      <w:r w:rsidR="007F0752">
        <w:rPr>
          <w:rFonts w:ascii="Arial" w:hAnsi="Arial" w:cs="Arial"/>
        </w:rPr>
        <w:t>W</w:t>
      </w:r>
      <w:r>
        <w:rPr>
          <w:rFonts w:ascii="Arial" w:hAnsi="Arial" w:cs="Arial"/>
        </w:rPr>
        <w:t>e would like to make the following comments on t</w:t>
      </w:r>
      <w:r w:rsidRPr="00B95364">
        <w:rPr>
          <w:rFonts w:ascii="Arial" w:hAnsi="Arial" w:cs="Arial"/>
        </w:rPr>
        <w:t xml:space="preserve">he </w:t>
      </w:r>
      <w:r w:rsidRPr="00B95364">
        <w:rPr>
          <w:rFonts w:ascii="Arial" w:hAnsi="Arial" w:cs="Arial"/>
          <w:bCs/>
        </w:rPr>
        <w:t xml:space="preserve">‘historic’ funding of </w:t>
      </w:r>
      <w:proofErr w:type="spellStart"/>
      <w:r w:rsidRPr="00B95364">
        <w:rPr>
          <w:rFonts w:ascii="Arial" w:hAnsi="Arial" w:cs="Arial"/>
          <w:bCs/>
        </w:rPr>
        <w:t>CLCs</w:t>
      </w:r>
      <w:proofErr w:type="spellEnd"/>
      <w:r w:rsidRPr="00B95364">
        <w:rPr>
          <w:rFonts w:ascii="Arial" w:hAnsi="Arial" w:cs="Arial"/>
          <w:bCs/>
        </w:rPr>
        <w:t>.</w:t>
      </w:r>
    </w:p>
    <w:p w14:paraId="3C72282E" w14:textId="58A135C6" w:rsidR="008D03CD" w:rsidRDefault="008D03CD" w:rsidP="00095E11">
      <w:pPr>
        <w:spacing w:after="0" w:line="240" w:lineRule="auto"/>
        <w:jc w:val="both"/>
        <w:rPr>
          <w:rFonts w:ascii="Arial" w:hAnsi="Arial" w:cs="Arial"/>
          <w:b/>
          <w:i/>
        </w:rPr>
      </w:pPr>
      <w:r>
        <w:rPr>
          <w:rFonts w:ascii="Arial" w:hAnsi="Arial" w:cs="Arial"/>
          <w:b/>
          <w:i/>
        </w:rPr>
        <w:t xml:space="preserve">‘Historic’ funding of </w:t>
      </w:r>
      <w:proofErr w:type="spellStart"/>
      <w:r>
        <w:rPr>
          <w:rFonts w:ascii="Arial" w:hAnsi="Arial" w:cs="Arial"/>
          <w:b/>
          <w:i/>
        </w:rPr>
        <w:t>CLCs</w:t>
      </w:r>
      <w:proofErr w:type="spellEnd"/>
    </w:p>
    <w:p w14:paraId="27B4A817" w14:textId="77777777" w:rsidR="008D03CD" w:rsidRPr="008D03CD" w:rsidRDefault="008D03CD" w:rsidP="00095E11">
      <w:pPr>
        <w:spacing w:after="0" w:line="240" w:lineRule="auto"/>
        <w:jc w:val="both"/>
        <w:rPr>
          <w:rFonts w:ascii="Arial" w:hAnsi="Arial" w:cs="Arial"/>
          <w:b/>
          <w:i/>
        </w:rPr>
      </w:pPr>
    </w:p>
    <w:p w14:paraId="138331C4" w14:textId="77777777" w:rsidR="001146F5" w:rsidRDefault="001146F5" w:rsidP="00095E11">
      <w:pPr>
        <w:spacing w:after="0" w:line="240" w:lineRule="auto"/>
        <w:jc w:val="both"/>
        <w:rPr>
          <w:rFonts w:ascii="Arial" w:hAnsi="Arial" w:cs="Arial"/>
          <w:b/>
          <w:i/>
        </w:rPr>
      </w:pPr>
      <w:proofErr w:type="spellStart"/>
      <w:r w:rsidRPr="001146F5">
        <w:rPr>
          <w:rFonts w:ascii="Arial" w:hAnsi="Arial" w:cs="Arial"/>
        </w:rPr>
        <w:t>KLC</w:t>
      </w:r>
      <w:proofErr w:type="spellEnd"/>
      <w:r w:rsidRPr="001146F5">
        <w:rPr>
          <w:rFonts w:ascii="Arial" w:hAnsi="Arial" w:cs="Arial"/>
        </w:rPr>
        <w:t xml:space="preserve"> was established in 1981 and is one of the older </w:t>
      </w:r>
      <w:proofErr w:type="spellStart"/>
      <w:r w:rsidRPr="001146F5">
        <w:rPr>
          <w:rFonts w:ascii="Arial" w:hAnsi="Arial" w:cs="Arial"/>
        </w:rPr>
        <w:t>CLCs</w:t>
      </w:r>
      <w:proofErr w:type="spellEnd"/>
      <w:r w:rsidRPr="001146F5">
        <w:rPr>
          <w:rFonts w:ascii="Arial" w:hAnsi="Arial" w:cs="Arial"/>
        </w:rPr>
        <w:t xml:space="preserve"> in NSW. While we recognise that the current the </w:t>
      </w:r>
      <w:proofErr w:type="spellStart"/>
      <w:r w:rsidRPr="001146F5">
        <w:rPr>
          <w:rFonts w:ascii="Arial" w:hAnsi="Arial" w:cs="Arial"/>
        </w:rPr>
        <w:t>CLSP</w:t>
      </w:r>
      <w:proofErr w:type="spellEnd"/>
      <w:r w:rsidRPr="001146F5">
        <w:rPr>
          <w:rFonts w:ascii="Arial" w:hAnsi="Arial" w:cs="Arial"/>
        </w:rPr>
        <w:t xml:space="preserve"> funding model could address legal need differently, we would like to stress the importance of maintaining stable funding for </w:t>
      </w:r>
      <w:proofErr w:type="spellStart"/>
      <w:r w:rsidRPr="001146F5">
        <w:rPr>
          <w:rFonts w:ascii="Arial" w:hAnsi="Arial" w:cs="Arial"/>
        </w:rPr>
        <w:t>CLCs</w:t>
      </w:r>
      <w:proofErr w:type="spellEnd"/>
      <w:r w:rsidRPr="001146F5">
        <w:rPr>
          <w:rFonts w:ascii="Arial" w:hAnsi="Arial" w:cs="Arial"/>
        </w:rPr>
        <w:t xml:space="preserve"> so that they can work effectively with their local communities and flourish. It is </w:t>
      </w:r>
      <w:proofErr w:type="spellStart"/>
      <w:r w:rsidRPr="001146F5">
        <w:rPr>
          <w:rFonts w:ascii="Arial" w:hAnsi="Arial" w:cs="Arial"/>
        </w:rPr>
        <w:t>KLC’s</w:t>
      </w:r>
      <w:proofErr w:type="spellEnd"/>
      <w:r w:rsidRPr="001146F5">
        <w:rPr>
          <w:rFonts w:ascii="Arial" w:hAnsi="Arial" w:cs="Arial"/>
        </w:rPr>
        <w:t xml:space="preserve"> very longevity and history that we think makes it effective in terms of our work. We have been around long enough to see other smaller </w:t>
      </w:r>
      <w:proofErr w:type="spellStart"/>
      <w:r w:rsidRPr="001146F5">
        <w:rPr>
          <w:rFonts w:ascii="Arial" w:hAnsi="Arial" w:cs="Arial"/>
        </w:rPr>
        <w:t>CLCs</w:t>
      </w:r>
      <w:proofErr w:type="spellEnd"/>
      <w:r w:rsidRPr="001146F5">
        <w:rPr>
          <w:rFonts w:ascii="Arial" w:hAnsi="Arial" w:cs="Arial"/>
        </w:rPr>
        <w:t xml:space="preserve"> struggle without effective long term funding. In order to get maximum productivity from a </w:t>
      </w:r>
      <w:proofErr w:type="spellStart"/>
      <w:r w:rsidRPr="001146F5">
        <w:rPr>
          <w:rFonts w:ascii="Arial" w:hAnsi="Arial" w:cs="Arial"/>
        </w:rPr>
        <w:t>CLC</w:t>
      </w:r>
      <w:proofErr w:type="spellEnd"/>
      <w:r w:rsidRPr="001146F5">
        <w:rPr>
          <w:rFonts w:ascii="Arial" w:hAnsi="Arial" w:cs="Arial"/>
        </w:rPr>
        <w:t xml:space="preserve"> and achieve access to justice for clients, a stable and predictable base of core funding must be maintained. </w:t>
      </w:r>
    </w:p>
    <w:p w14:paraId="2B18DF4E" w14:textId="77777777" w:rsidR="001146F5" w:rsidRDefault="001146F5" w:rsidP="00095E11">
      <w:pPr>
        <w:spacing w:after="0" w:line="240" w:lineRule="auto"/>
        <w:jc w:val="both"/>
        <w:rPr>
          <w:rFonts w:ascii="Arial" w:hAnsi="Arial" w:cs="Arial"/>
          <w:b/>
          <w:i/>
        </w:rPr>
      </w:pPr>
    </w:p>
    <w:p w14:paraId="743B8887" w14:textId="44B21213" w:rsidR="007F0752" w:rsidRDefault="001146F5" w:rsidP="00095E11">
      <w:pPr>
        <w:spacing w:after="0" w:line="240" w:lineRule="auto"/>
        <w:jc w:val="both"/>
        <w:rPr>
          <w:rFonts w:ascii="Arial" w:hAnsi="Arial" w:cs="Arial"/>
          <w:b/>
          <w:i/>
        </w:rPr>
      </w:pPr>
      <w:r w:rsidRPr="001146F5">
        <w:rPr>
          <w:rFonts w:ascii="Arial" w:hAnsi="Arial" w:cs="Arial"/>
        </w:rPr>
        <w:t xml:space="preserve">The Commission notes the relative effectiveness of </w:t>
      </w:r>
      <w:proofErr w:type="spellStart"/>
      <w:r w:rsidRPr="001146F5">
        <w:rPr>
          <w:rFonts w:ascii="Arial" w:hAnsi="Arial" w:cs="Arial"/>
        </w:rPr>
        <w:t>LAC’s</w:t>
      </w:r>
      <w:proofErr w:type="spellEnd"/>
      <w:r w:rsidRPr="001146F5">
        <w:rPr>
          <w:rFonts w:ascii="Arial" w:hAnsi="Arial" w:cs="Arial"/>
        </w:rPr>
        <w:t xml:space="preserve"> compared to </w:t>
      </w:r>
      <w:proofErr w:type="spellStart"/>
      <w:r w:rsidRPr="001146F5">
        <w:rPr>
          <w:rFonts w:ascii="Arial" w:hAnsi="Arial" w:cs="Arial"/>
        </w:rPr>
        <w:t>CLC’s</w:t>
      </w:r>
      <w:proofErr w:type="spellEnd"/>
      <w:r w:rsidRPr="001146F5">
        <w:rPr>
          <w:rFonts w:ascii="Arial" w:hAnsi="Arial" w:cs="Arial"/>
        </w:rPr>
        <w:t xml:space="preserve"> based on caseloads. In part, this is due to the administrative and other burden carried by </w:t>
      </w:r>
      <w:proofErr w:type="spellStart"/>
      <w:r w:rsidRPr="001146F5">
        <w:rPr>
          <w:rFonts w:ascii="Arial" w:hAnsi="Arial" w:cs="Arial"/>
        </w:rPr>
        <w:t>CLC</w:t>
      </w:r>
      <w:proofErr w:type="spellEnd"/>
      <w:r w:rsidRPr="001146F5">
        <w:rPr>
          <w:rFonts w:ascii="Arial" w:hAnsi="Arial" w:cs="Arial"/>
        </w:rPr>
        <w:t xml:space="preserve"> lawyers. In our experience, the longer the </w:t>
      </w:r>
      <w:proofErr w:type="spellStart"/>
      <w:r w:rsidRPr="001146F5">
        <w:rPr>
          <w:rFonts w:ascii="Arial" w:hAnsi="Arial" w:cs="Arial"/>
        </w:rPr>
        <w:t>CLC</w:t>
      </w:r>
      <w:proofErr w:type="spellEnd"/>
      <w:r w:rsidRPr="001146F5">
        <w:rPr>
          <w:rFonts w:ascii="Arial" w:hAnsi="Arial" w:cs="Arial"/>
        </w:rPr>
        <w:t xml:space="preserve"> has been working in an area the more efficient processes and procedures become and the institutional knowledge of the </w:t>
      </w:r>
      <w:proofErr w:type="spellStart"/>
      <w:r w:rsidRPr="001146F5">
        <w:rPr>
          <w:rFonts w:ascii="Arial" w:hAnsi="Arial" w:cs="Arial"/>
        </w:rPr>
        <w:t>CLC</w:t>
      </w:r>
      <w:proofErr w:type="spellEnd"/>
      <w:r w:rsidRPr="001146F5">
        <w:rPr>
          <w:rFonts w:ascii="Arial" w:hAnsi="Arial" w:cs="Arial"/>
        </w:rPr>
        <w:t xml:space="preserve"> can be built on. </w:t>
      </w:r>
      <w:proofErr w:type="spellStart"/>
      <w:r w:rsidRPr="001146F5">
        <w:rPr>
          <w:rFonts w:ascii="Arial" w:hAnsi="Arial" w:cs="Arial"/>
        </w:rPr>
        <w:t>KLC</w:t>
      </w:r>
      <w:proofErr w:type="spellEnd"/>
      <w:r w:rsidRPr="001146F5">
        <w:rPr>
          <w:rFonts w:ascii="Arial" w:hAnsi="Arial" w:cs="Arial"/>
        </w:rPr>
        <w:t xml:space="preserve"> runs efficiently in part because we have procedures honed and refined over years of service delivery. Our work is also properly administratively resourced and we have maintained areas of expertise and core focus. In times of unpredictable funding, most </w:t>
      </w:r>
      <w:proofErr w:type="spellStart"/>
      <w:r w:rsidRPr="001146F5">
        <w:rPr>
          <w:rFonts w:ascii="Arial" w:hAnsi="Arial" w:cs="Arial"/>
        </w:rPr>
        <w:t>CLCs</w:t>
      </w:r>
      <w:proofErr w:type="spellEnd"/>
      <w:r w:rsidRPr="001146F5">
        <w:rPr>
          <w:rFonts w:ascii="Arial" w:hAnsi="Arial" w:cs="Arial"/>
        </w:rPr>
        <w:t xml:space="preserve"> are not able to do this and must seek new ways of keeping the door to the </w:t>
      </w:r>
      <w:proofErr w:type="spellStart"/>
      <w:r w:rsidRPr="001146F5">
        <w:rPr>
          <w:rFonts w:ascii="Arial" w:hAnsi="Arial" w:cs="Arial"/>
        </w:rPr>
        <w:t>CLC</w:t>
      </w:r>
      <w:proofErr w:type="spellEnd"/>
      <w:r w:rsidRPr="001146F5">
        <w:rPr>
          <w:rFonts w:ascii="Arial" w:hAnsi="Arial" w:cs="Arial"/>
        </w:rPr>
        <w:t xml:space="preserve"> open. This inevitably leads to </w:t>
      </w:r>
      <w:proofErr w:type="spellStart"/>
      <w:r w:rsidRPr="001146F5">
        <w:rPr>
          <w:rFonts w:ascii="Arial" w:hAnsi="Arial" w:cs="Arial"/>
        </w:rPr>
        <w:t>CLCs</w:t>
      </w:r>
      <w:proofErr w:type="spellEnd"/>
      <w:r w:rsidRPr="001146F5">
        <w:rPr>
          <w:rFonts w:ascii="Arial" w:hAnsi="Arial" w:cs="Arial"/>
        </w:rPr>
        <w:t xml:space="preserve"> being stretched thin in im</w:t>
      </w:r>
      <w:r w:rsidR="008D03CD">
        <w:rPr>
          <w:rFonts w:ascii="Arial" w:hAnsi="Arial" w:cs="Arial"/>
        </w:rPr>
        <w:t>plementing new programs. </w:t>
      </w:r>
      <w:r w:rsidRPr="001146F5">
        <w:rPr>
          <w:rFonts w:ascii="Arial" w:hAnsi="Arial" w:cs="Arial"/>
        </w:rPr>
        <w:t xml:space="preserve">This is problematic when the funding obtained is not ongoing. The </w:t>
      </w:r>
      <w:proofErr w:type="spellStart"/>
      <w:r w:rsidRPr="001146F5">
        <w:rPr>
          <w:rFonts w:ascii="Arial" w:hAnsi="Arial" w:cs="Arial"/>
        </w:rPr>
        <w:t>CLC</w:t>
      </w:r>
      <w:proofErr w:type="spellEnd"/>
      <w:r w:rsidRPr="001146F5">
        <w:rPr>
          <w:rFonts w:ascii="Arial" w:hAnsi="Arial" w:cs="Arial"/>
        </w:rPr>
        <w:t xml:space="preserve"> may become expert and </w:t>
      </w:r>
      <w:r w:rsidRPr="001146F5">
        <w:rPr>
          <w:rFonts w:ascii="Arial" w:hAnsi="Arial" w:cs="Arial"/>
        </w:rPr>
        <w:lastRenderedPageBreak/>
        <w:t>efficient at the end of a funding cycle</w:t>
      </w:r>
      <w:r w:rsidR="008D03CD">
        <w:rPr>
          <w:rFonts w:ascii="Arial" w:hAnsi="Arial" w:cs="Arial"/>
        </w:rPr>
        <w:t>,</w:t>
      </w:r>
      <w:r w:rsidRPr="001146F5">
        <w:rPr>
          <w:rFonts w:ascii="Arial" w:hAnsi="Arial" w:cs="Arial"/>
        </w:rPr>
        <w:t xml:space="preserve"> which is not then renewed, sparking another search for more funding. </w:t>
      </w:r>
    </w:p>
    <w:p w14:paraId="2AF1910A" w14:textId="77777777" w:rsidR="007F0752" w:rsidRDefault="007F0752" w:rsidP="00095E11">
      <w:pPr>
        <w:spacing w:after="0" w:line="240" w:lineRule="auto"/>
        <w:jc w:val="both"/>
        <w:rPr>
          <w:rFonts w:ascii="Arial" w:hAnsi="Arial" w:cs="Arial"/>
          <w:b/>
          <w:i/>
        </w:rPr>
      </w:pPr>
    </w:p>
    <w:p w14:paraId="1055F8FD" w14:textId="1A68AAEE" w:rsidR="007F0752" w:rsidRDefault="001146F5" w:rsidP="00095E11">
      <w:pPr>
        <w:spacing w:after="0" w:line="240" w:lineRule="auto"/>
        <w:jc w:val="both"/>
        <w:rPr>
          <w:rFonts w:ascii="Arial" w:hAnsi="Arial" w:cs="Arial"/>
        </w:rPr>
      </w:pPr>
      <w:r w:rsidRPr="001146F5">
        <w:rPr>
          <w:rFonts w:ascii="Arial" w:hAnsi="Arial" w:cs="Arial"/>
        </w:rPr>
        <w:t xml:space="preserve">We agree that </w:t>
      </w:r>
      <w:proofErr w:type="spellStart"/>
      <w:r w:rsidRPr="001146F5">
        <w:rPr>
          <w:rFonts w:ascii="Arial" w:hAnsi="Arial" w:cs="Arial"/>
        </w:rPr>
        <w:t>CLCs</w:t>
      </w:r>
      <w:proofErr w:type="spellEnd"/>
      <w:r w:rsidRPr="001146F5">
        <w:rPr>
          <w:rFonts w:ascii="Arial" w:hAnsi="Arial" w:cs="Arial"/>
        </w:rPr>
        <w:t xml:space="preserve"> should be responsive to community legal need but in our experience the </w:t>
      </w:r>
      <w:proofErr w:type="spellStart"/>
      <w:r w:rsidRPr="001146F5">
        <w:rPr>
          <w:rFonts w:ascii="Arial" w:hAnsi="Arial" w:cs="Arial"/>
        </w:rPr>
        <w:t>CLC</w:t>
      </w:r>
      <w:proofErr w:type="spellEnd"/>
      <w:r w:rsidRPr="001146F5">
        <w:rPr>
          <w:rFonts w:ascii="Arial" w:hAnsi="Arial" w:cs="Arial"/>
        </w:rPr>
        <w:t xml:space="preserve"> model of service delivery is incredibly responsive to </w:t>
      </w:r>
      <w:r w:rsidR="008D03CD">
        <w:rPr>
          <w:rFonts w:ascii="Arial" w:hAnsi="Arial" w:cs="Arial"/>
        </w:rPr>
        <w:t>the community in which it works (see case studies above)</w:t>
      </w:r>
      <w:r w:rsidRPr="001146F5">
        <w:rPr>
          <w:rFonts w:ascii="Arial" w:hAnsi="Arial" w:cs="Arial"/>
        </w:rPr>
        <w:t xml:space="preserve"> but in order for this to work effectively </w:t>
      </w:r>
      <w:proofErr w:type="spellStart"/>
      <w:r w:rsidRPr="001146F5">
        <w:rPr>
          <w:rFonts w:ascii="Arial" w:hAnsi="Arial" w:cs="Arial"/>
        </w:rPr>
        <w:t>CLCs</w:t>
      </w:r>
      <w:proofErr w:type="spellEnd"/>
      <w:r w:rsidRPr="001146F5">
        <w:rPr>
          <w:rFonts w:ascii="Arial" w:hAnsi="Arial" w:cs="Arial"/>
        </w:rPr>
        <w:t xml:space="preserve"> must have core ongoing funding which allows for proper engagement with the local community and building of local knowledge and expertise</w:t>
      </w:r>
      <w:r w:rsidR="007F0752">
        <w:rPr>
          <w:rFonts w:ascii="Arial" w:hAnsi="Arial" w:cs="Arial"/>
        </w:rPr>
        <w:t>.</w:t>
      </w:r>
    </w:p>
    <w:p w14:paraId="4D3DB8E8" w14:textId="77777777" w:rsidR="007F0752" w:rsidRDefault="007F0752" w:rsidP="00095E11">
      <w:pPr>
        <w:spacing w:after="0" w:line="240" w:lineRule="auto"/>
        <w:jc w:val="both"/>
        <w:rPr>
          <w:rFonts w:ascii="Arial" w:hAnsi="Arial" w:cs="Arial"/>
        </w:rPr>
      </w:pPr>
    </w:p>
    <w:p w14:paraId="1D49BE42" w14:textId="7E5F4304" w:rsidR="00986F49" w:rsidRDefault="00986F49" w:rsidP="00095E11">
      <w:pPr>
        <w:spacing w:after="0" w:line="240" w:lineRule="auto"/>
        <w:jc w:val="both"/>
        <w:rPr>
          <w:rFonts w:ascii="Arial" w:hAnsi="Arial" w:cs="Arial"/>
          <w:b/>
          <w:i/>
        </w:rPr>
      </w:pPr>
      <w:r>
        <w:rPr>
          <w:rFonts w:ascii="Arial" w:hAnsi="Arial" w:cs="Arial"/>
          <w:b/>
          <w:i/>
        </w:rPr>
        <w:t>Responding to legal need</w:t>
      </w:r>
    </w:p>
    <w:p w14:paraId="311499DB" w14:textId="77777777" w:rsidR="00986F49" w:rsidRPr="00986F49" w:rsidRDefault="00986F49" w:rsidP="00095E11">
      <w:pPr>
        <w:spacing w:after="0" w:line="240" w:lineRule="auto"/>
        <w:jc w:val="both"/>
        <w:rPr>
          <w:rFonts w:ascii="Arial" w:hAnsi="Arial" w:cs="Arial"/>
          <w:b/>
          <w:i/>
        </w:rPr>
      </w:pPr>
    </w:p>
    <w:p w14:paraId="53EB828F" w14:textId="279AF634" w:rsidR="00BD4141" w:rsidRDefault="00BD4141" w:rsidP="00095E11">
      <w:pPr>
        <w:spacing w:line="240" w:lineRule="auto"/>
        <w:jc w:val="both"/>
        <w:rPr>
          <w:color w:val="1F497D"/>
        </w:rPr>
      </w:pPr>
      <w:proofErr w:type="spellStart"/>
      <w:r>
        <w:rPr>
          <w:rFonts w:ascii="Arial" w:hAnsi="Arial" w:cs="Arial"/>
        </w:rPr>
        <w:t>CLCs</w:t>
      </w:r>
      <w:proofErr w:type="spellEnd"/>
      <w:r>
        <w:rPr>
          <w:rFonts w:ascii="Arial" w:hAnsi="Arial" w:cs="Arial"/>
        </w:rPr>
        <w:t xml:space="preserve"> have improved access to justice for some of the most vulnerable, disadvantaged and marginalised people in the community by developing strong relationships with local communities. The value of these relationships should not be underestimated.</w:t>
      </w:r>
      <w:r>
        <w:rPr>
          <w:color w:val="1F497D"/>
        </w:rPr>
        <w:t xml:space="preserve"> </w:t>
      </w:r>
      <w:r w:rsidRPr="00A87E14">
        <w:rPr>
          <w:rFonts w:ascii="Arial" w:hAnsi="Arial" w:cs="Arial"/>
        </w:rPr>
        <w:t xml:space="preserve">Building trust and relationships with people and services in </w:t>
      </w:r>
      <w:r w:rsidRPr="00986F49">
        <w:rPr>
          <w:rFonts w:ascii="Arial" w:hAnsi="Arial" w:cs="Arial"/>
        </w:rPr>
        <w:t xml:space="preserve">communities takes time and a lot investment and is key to providing accessible legal services to the most vulnerable people. </w:t>
      </w:r>
      <w:r w:rsidR="0067537C" w:rsidRPr="00986F49">
        <w:rPr>
          <w:rFonts w:ascii="Arial" w:hAnsi="Arial" w:cs="Arial"/>
        </w:rPr>
        <w:t>See the case studies discussed above for examples of our strong community relationships</w:t>
      </w:r>
      <w:r w:rsidR="00986F49" w:rsidRPr="00986F49">
        <w:rPr>
          <w:rFonts w:ascii="Arial" w:hAnsi="Arial" w:cs="Arial"/>
        </w:rPr>
        <w:t>,</w:t>
      </w:r>
      <w:r w:rsidR="0067537C" w:rsidRPr="00986F49">
        <w:rPr>
          <w:rFonts w:ascii="Arial" w:hAnsi="Arial" w:cs="Arial"/>
        </w:rPr>
        <w:t xml:space="preserve"> which have resulted in improved access to justice for disadvantaged clients.</w:t>
      </w:r>
    </w:p>
    <w:p w14:paraId="0CFC7F78" w14:textId="77777777" w:rsidR="00BD4141" w:rsidRDefault="00BD4141" w:rsidP="00095E11">
      <w:pPr>
        <w:spacing w:after="0" w:line="240" w:lineRule="auto"/>
        <w:jc w:val="both"/>
        <w:rPr>
          <w:rFonts w:ascii="Arial" w:hAnsi="Arial" w:cs="Arial"/>
        </w:rPr>
      </w:pPr>
      <w:r>
        <w:rPr>
          <w:rFonts w:ascii="Arial" w:hAnsi="Arial" w:cs="Arial"/>
        </w:rPr>
        <w:t>We provide accessible, flexible and responsive services in communities, which are tailored to the unique needs of local communities. This flexibility has allowed us to respond quickly to community need</w:t>
      </w:r>
      <w:r w:rsidR="00297989">
        <w:rPr>
          <w:rFonts w:ascii="Arial" w:hAnsi="Arial" w:cs="Arial"/>
        </w:rPr>
        <w:t>s</w:t>
      </w:r>
      <w:r>
        <w:rPr>
          <w:rFonts w:ascii="Arial" w:hAnsi="Arial" w:cs="Arial"/>
        </w:rPr>
        <w:t xml:space="preserve"> and change and adapt our services to reflect changing community needs. </w:t>
      </w:r>
    </w:p>
    <w:p w14:paraId="4DB2D810" w14:textId="77777777" w:rsidR="00BD4141" w:rsidRDefault="00BD4141" w:rsidP="00095E11">
      <w:pPr>
        <w:spacing w:after="0" w:line="240" w:lineRule="auto"/>
        <w:jc w:val="both"/>
        <w:rPr>
          <w:rFonts w:ascii="Arial" w:hAnsi="Arial" w:cs="Arial"/>
        </w:rPr>
      </w:pPr>
    </w:p>
    <w:p w14:paraId="6117C3DD" w14:textId="77777777" w:rsidR="007F0752" w:rsidRDefault="007F0752" w:rsidP="00095E11">
      <w:pPr>
        <w:spacing w:after="0" w:line="240" w:lineRule="auto"/>
        <w:jc w:val="both"/>
        <w:rPr>
          <w:rFonts w:ascii="Arial" w:hAnsi="Arial" w:cs="Arial"/>
        </w:rPr>
      </w:pPr>
      <w:r>
        <w:rPr>
          <w:rFonts w:ascii="Arial" w:hAnsi="Arial" w:cs="Arial"/>
        </w:rPr>
        <w:t xml:space="preserve">While ABS data and other forms of data can provide some indication of the legal needs of communities it does not have the ability to provide a nuanced assessment people’s circumstances and their ability to access justice. </w:t>
      </w:r>
      <w:proofErr w:type="spellStart"/>
      <w:r>
        <w:rPr>
          <w:rFonts w:ascii="Arial" w:hAnsi="Arial" w:cs="Arial"/>
        </w:rPr>
        <w:t>CLCs</w:t>
      </w:r>
      <w:proofErr w:type="spellEnd"/>
      <w:r>
        <w:rPr>
          <w:rFonts w:ascii="Arial" w:hAnsi="Arial" w:cs="Arial"/>
        </w:rPr>
        <w:t>, working in and with local communities are in the best position to assess and address their unique ‘legal needs’ and should continue to be funded to do so.</w:t>
      </w:r>
    </w:p>
    <w:p w14:paraId="67C1DE42" w14:textId="77777777" w:rsidR="00A52095" w:rsidRDefault="00A52095" w:rsidP="00095E11">
      <w:pPr>
        <w:spacing w:after="0" w:line="240" w:lineRule="auto"/>
        <w:jc w:val="both"/>
        <w:rPr>
          <w:rFonts w:ascii="Arial" w:hAnsi="Arial" w:cs="Arial"/>
        </w:rPr>
      </w:pPr>
    </w:p>
    <w:p w14:paraId="1378762D" w14:textId="77777777" w:rsidR="00A52095" w:rsidRPr="00986F49" w:rsidRDefault="00A52095" w:rsidP="00095E11">
      <w:pPr>
        <w:spacing w:after="0" w:line="240" w:lineRule="auto"/>
        <w:jc w:val="both"/>
        <w:rPr>
          <w:rFonts w:ascii="Arial" w:hAnsi="Arial" w:cs="Arial"/>
          <w:b/>
          <w:i/>
        </w:rPr>
      </w:pPr>
      <w:r w:rsidRPr="00986F49">
        <w:rPr>
          <w:rFonts w:ascii="Arial" w:hAnsi="Arial" w:cs="Arial"/>
          <w:b/>
          <w:i/>
        </w:rPr>
        <w:t xml:space="preserve">Competitive tendering would undermine effective collaborations between </w:t>
      </w:r>
      <w:proofErr w:type="spellStart"/>
      <w:r w:rsidRPr="00986F49">
        <w:rPr>
          <w:rFonts w:ascii="Arial" w:hAnsi="Arial" w:cs="Arial"/>
          <w:b/>
          <w:i/>
        </w:rPr>
        <w:t>CLCs</w:t>
      </w:r>
      <w:proofErr w:type="spellEnd"/>
      <w:r w:rsidRPr="00986F49">
        <w:rPr>
          <w:rFonts w:ascii="Arial" w:hAnsi="Arial" w:cs="Arial"/>
          <w:b/>
          <w:i/>
        </w:rPr>
        <w:t xml:space="preserve"> and </w:t>
      </w:r>
      <w:proofErr w:type="spellStart"/>
      <w:r w:rsidRPr="00986F49">
        <w:rPr>
          <w:rFonts w:ascii="Arial" w:hAnsi="Arial" w:cs="Arial"/>
          <w:b/>
          <w:i/>
        </w:rPr>
        <w:t>LACs</w:t>
      </w:r>
      <w:proofErr w:type="spellEnd"/>
    </w:p>
    <w:p w14:paraId="0F5A5AEB" w14:textId="77777777" w:rsidR="00A52095" w:rsidRDefault="00A52095" w:rsidP="00095E11">
      <w:pPr>
        <w:spacing w:after="0" w:line="240" w:lineRule="auto"/>
        <w:jc w:val="both"/>
        <w:rPr>
          <w:rFonts w:ascii="Arial" w:hAnsi="Arial" w:cs="Arial"/>
        </w:rPr>
      </w:pPr>
    </w:p>
    <w:p w14:paraId="185E9030" w14:textId="77777777" w:rsidR="00AE2692" w:rsidRPr="00A52095" w:rsidRDefault="00AE2692" w:rsidP="00AE269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u w:val="single"/>
        </w:rPr>
      </w:pPr>
      <w:r>
        <w:rPr>
          <w:rFonts w:ascii="Arial" w:hAnsi="Arial" w:cs="Arial"/>
          <w:i/>
          <w:sz w:val="20"/>
          <w:szCs w:val="20"/>
          <w:u w:val="single"/>
        </w:rPr>
        <w:t>Asian women at work project</w:t>
      </w:r>
    </w:p>
    <w:p w14:paraId="7ECE385B" w14:textId="77777777" w:rsidR="00AE2692" w:rsidRPr="00A52095" w:rsidRDefault="00AE2692" w:rsidP="00AE269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p>
    <w:p w14:paraId="0009E193" w14:textId="235E5783" w:rsidR="00AE2692" w:rsidRPr="006E1071" w:rsidRDefault="00AE2692" w:rsidP="006E107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A52095">
        <w:rPr>
          <w:rFonts w:ascii="Arial" w:hAnsi="Arial" w:cs="Arial"/>
          <w:i/>
          <w:sz w:val="20"/>
          <w:szCs w:val="20"/>
        </w:rPr>
        <w:t xml:space="preserve">In 2012 </w:t>
      </w:r>
      <w:proofErr w:type="spellStart"/>
      <w:r w:rsidRPr="00A52095">
        <w:rPr>
          <w:rFonts w:ascii="Arial" w:hAnsi="Arial" w:cs="Arial"/>
          <w:i/>
          <w:sz w:val="20"/>
          <w:szCs w:val="20"/>
        </w:rPr>
        <w:t>KLC</w:t>
      </w:r>
      <w:proofErr w:type="spellEnd"/>
      <w:r w:rsidRPr="00A52095">
        <w:rPr>
          <w:rFonts w:ascii="Arial" w:hAnsi="Arial" w:cs="Arial"/>
          <w:i/>
          <w:sz w:val="20"/>
          <w:szCs w:val="20"/>
        </w:rPr>
        <w:t xml:space="preserve"> and Legal Aid NSW as well as the community organisation, Asian Women at work ran a joint community education project.  It included 6 workshops in Mandarin and Vietnamese for women in low skilled and low paid jobs about their rights at work.  </w:t>
      </w:r>
      <w:proofErr w:type="spellStart"/>
      <w:r w:rsidRPr="00A52095">
        <w:rPr>
          <w:rFonts w:ascii="Arial" w:hAnsi="Arial" w:cs="Arial"/>
          <w:i/>
          <w:sz w:val="20"/>
          <w:szCs w:val="20"/>
        </w:rPr>
        <w:t>KLC</w:t>
      </w:r>
      <w:proofErr w:type="spellEnd"/>
      <w:r w:rsidRPr="00A52095">
        <w:rPr>
          <w:rFonts w:ascii="Arial" w:hAnsi="Arial" w:cs="Arial"/>
          <w:i/>
          <w:sz w:val="20"/>
          <w:szCs w:val="20"/>
        </w:rPr>
        <w:t xml:space="preserve"> and Legal Aid used a case study mechanism, based on the problems which women talked about, to develop resources for these communities.  Without </w:t>
      </w:r>
      <w:proofErr w:type="spellStart"/>
      <w:r w:rsidRPr="00A52095">
        <w:rPr>
          <w:rFonts w:ascii="Arial" w:hAnsi="Arial" w:cs="Arial"/>
          <w:i/>
          <w:sz w:val="20"/>
          <w:szCs w:val="20"/>
        </w:rPr>
        <w:t>KLC’s</w:t>
      </w:r>
      <w:proofErr w:type="spellEnd"/>
      <w:r w:rsidRPr="00A52095">
        <w:rPr>
          <w:rFonts w:ascii="Arial" w:hAnsi="Arial" w:cs="Arial"/>
          <w:i/>
          <w:sz w:val="20"/>
          <w:szCs w:val="20"/>
        </w:rPr>
        <w:t xml:space="preserve"> key relationships with the community, and specifically the organisation Asian Women at Work, this project could not have developed or achieved the results it did.  Resources in community languages have now been developed which continue to educate this highly disadvantaged group of workers.</w:t>
      </w:r>
    </w:p>
    <w:p w14:paraId="161F7D80" w14:textId="2212FEAD" w:rsidR="00AE2692" w:rsidRDefault="00986F49" w:rsidP="00AE2692">
      <w:pPr>
        <w:spacing w:after="0" w:line="240" w:lineRule="auto"/>
        <w:jc w:val="both"/>
        <w:rPr>
          <w:rFonts w:ascii="Arial" w:hAnsi="Arial" w:cs="Arial"/>
        </w:rPr>
      </w:pPr>
      <w:r>
        <w:rPr>
          <w:rFonts w:ascii="Arial" w:hAnsi="Arial" w:cs="Arial"/>
        </w:rPr>
        <w:t>Competitive tendering would undermine other initiatives, which have enhanced collaborative service delivery</w:t>
      </w:r>
      <w:r w:rsidR="00AE2692">
        <w:rPr>
          <w:rFonts w:ascii="Arial" w:hAnsi="Arial" w:cs="Arial"/>
        </w:rPr>
        <w:t>.</w:t>
      </w:r>
    </w:p>
    <w:p w14:paraId="511E5AB6" w14:textId="77777777" w:rsidR="00AE2692" w:rsidRDefault="00AE2692" w:rsidP="00095E11">
      <w:pPr>
        <w:spacing w:after="0" w:line="240" w:lineRule="auto"/>
        <w:jc w:val="both"/>
        <w:rPr>
          <w:rFonts w:ascii="Arial" w:hAnsi="Arial" w:cs="Arial"/>
        </w:rPr>
      </w:pPr>
    </w:p>
    <w:p w14:paraId="148ADCFE" w14:textId="77777777" w:rsidR="00AE2692" w:rsidRPr="00AE2692" w:rsidRDefault="00AE2692" w:rsidP="00AE269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u w:val="single"/>
        </w:rPr>
      </w:pPr>
      <w:r w:rsidRPr="00AE2692">
        <w:rPr>
          <w:rFonts w:ascii="Arial" w:hAnsi="Arial" w:cs="Arial"/>
          <w:i/>
          <w:sz w:val="20"/>
          <w:szCs w:val="20"/>
          <w:u w:val="single"/>
        </w:rPr>
        <w:t>New South Wales Legal Assistance Forums</w:t>
      </w:r>
    </w:p>
    <w:p w14:paraId="2E4CBA9D" w14:textId="77777777" w:rsidR="00AE2692" w:rsidRPr="00AE2692" w:rsidRDefault="00AE2692" w:rsidP="00AE269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AE2692">
        <w:rPr>
          <w:rFonts w:ascii="Arial" w:hAnsi="Arial" w:cs="Arial"/>
          <w:i/>
          <w:sz w:val="20"/>
          <w:szCs w:val="20"/>
        </w:rPr>
        <w:t xml:space="preserve">  </w:t>
      </w:r>
    </w:p>
    <w:p w14:paraId="509FF7AB" w14:textId="3D2DB073" w:rsidR="00A52095" w:rsidRPr="00AE2692" w:rsidRDefault="00A52095" w:rsidP="00AE269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0"/>
          <w:szCs w:val="20"/>
        </w:rPr>
      </w:pPr>
      <w:r w:rsidRPr="00AE2692">
        <w:rPr>
          <w:rFonts w:ascii="Arial" w:hAnsi="Arial" w:cs="Arial"/>
          <w:i/>
          <w:sz w:val="20"/>
          <w:szCs w:val="20"/>
        </w:rPr>
        <w:t>Another success area of the provision of legal assistance services is in the development of Legal Assistance forums.  In NSW this is the New Sou</w:t>
      </w:r>
      <w:r w:rsidR="007F0579">
        <w:rPr>
          <w:rFonts w:ascii="Arial" w:hAnsi="Arial" w:cs="Arial"/>
          <w:i/>
          <w:sz w:val="20"/>
          <w:szCs w:val="20"/>
        </w:rPr>
        <w:t>th Wales Legal Assistance Forum</w:t>
      </w:r>
      <w:r w:rsidRPr="00AE2692">
        <w:rPr>
          <w:rFonts w:ascii="Arial" w:hAnsi="Arial" w:cs="Arial"/>
          <w:i/>
          <w:sz w:val="20"/>
          <w:szCs w:val="20"/>
        </w:rPr>
        <w:t>.  This relies on cooperative and collaborative relationships between legal assistance providers such as the Legal Aid commission, the Aboriginal Legal Service and Community legal Centres.  They also involve government agencies responsible for the particular area of focus.  To introduce competitive tendering for services would undermine many of the collaborative approaches taken between service providers which have enhanced service provision.</w:t>
      </w:r>
    </w:p>
    <w:p w14:paraId="607417C0" w14:textId="77777777" w:rsidR="007F0752" w:rsidRDefault="007F0752" w:rsidP="00095E11">
      <w:pPr>
        <w:spacing w:after="0" w:line="240" w:lineRule="auto"/>
        <w:jc w:val="both"/>
        <w:rPr>
          <w:rFonts w:ascii="Arial" w:hAnsi="Arial" w:cs="Arial"/>
        </w:rPr>
      </w:pPr>
    </w:p>
    <w:p w14:paraId="302F01D9" w14:textId="1CD6FF06" w:rsidR="00986F49" w:rsidRDefault="00986F49" w:rsidP="00095E11">
      <w:pPr>
        <w:spacing w:after="0" w:line="240" w:lineRule="auto"/>
        <w:jc w:val="both"/>
        <w:rPr>
          <w:rFonts w:ascii="Arial" w:hAnsi="Arial" w:cs="Arial"/>
        </w:rPr>
      </w:pPr>
      <w:r>
        <w:rPr>
          <w:rFonts w:ascii="Arial" w:hAnsi="Arial" w:cs="Arial"/>
        </w:rPr>
        <w:t xml:space="preserve">We believe that radical changes in the ways </w:t>
      </w:r>
      <w:proofErr w:type="spellStart"/>
      <w:r>
        <w:rPr>
          <w:rFonts w:ascii="Arial" w:hAnsi="Arial" w:cs="Arial"/>
        </w:rPr>
        <w:t>CLCs</w:t>
      </w:r>
      <w:proofErr w:type="spellEnd"/>
      <w:r>
        <w:rPr>
          <w:rFonts w:ascii="Arial" w:hAnsi="Arial" w:cs="Arial"/>
        </w:rPr>
        <w:t xml:space="preserve"> are funded may result</w:t>
      </w:r>
      <w:r w:rsidR="007F0579">
        <w:rPr>
          <w:rFonts w:ascii="Arial" w:hAnsi="Arial" w:cs="Arial"/>
        </w:rPr>
        <w:t xml:space="preserve"> in</w:t>
      </w:r>
      <w:r>
        <w:rPr>
          <w:rFonts w:ascii="Arial" w:hAnsi="Arial" w:cs="Arial"/>
        </w:rPr>
        <w:t>:</w:t>
      </w:r>
    </w:p>
    <w:p w14:paraId="7D0F949A" w14:textId="77777777" w:rsidR="00986F49" w:rsidRDefault="00986F49" w:rsidP="00095E11">
      <w:pPr>
        <w:spacing w:after="0" w:line="240" w:lineRule="auto"/>
        <w:jc w:val="both"/>
        <w:rPr>
          <w:rFonts w:ascii="Arial" w:hAnsi="Arial" w:cs="Arial"/>
        </w:rPr>
      </w:pPr>
    </w:p>
    <w:p w14:paraId="7D7BC25F" w14:textId="530D9D4A" w:rsidR="00986F49" w:rsidRDefault="00986F49" w:rsidP="00986F49">
      <w:pPr>
        <w:pStyle w:val="ListParagraph"/>
        <w:numPr>
          <w:ilvl w:val="0"/>
          <w:numId w:val="34"/>
        </w:numPr>
        <w:spacing w:after="0" w:line="240" w:lineRule="auto"/>
        <w:jc w:val="both"/>
        <w:rPr>
          <w:rFonts w:ascii="Arial" w:hAnsi="Arial" w:cs="Arial"/>
        </w:rPr>
      </w:pPr>
      <w:r>
        <w:rPr>
          <w:rFonts w:ascii="Arial" w:hAnsi="Arial" w:cs="Arial"/>
        </w:rPr>
        <w:t xml:space="preserve">the breakdown of </w:t>
      </w:r>
      <w:r w:rsidRPr="00986F49">
        <w:rPr>
          <w:rFonts w:ascii="Arial" w:hAnsi="Arial" w:cs="Arial"/>
        </w:rPr>
        <w:t>strong relationships with vulnerable communities</w:t>
      </w:r>
      <w:r w:rsidR="006E1071">
        <w:rPr>
          <w:rFonts w:ascii="Arial" w:hAnsi="Arial" w:cs="Arial"/>
        </w:rPr>
        <w:t xml:space="preserve">, community service providers </w:t>
      </w:r>
      <w:r>
        <w:rPr>
          <w:rFonts w:ascii="Arial" w:hAnsi="Arial" w:cs="Arial"/>
        </w:rPr>
        <w:t>and volunteers;</w:t>
      </w:r>
    </w:p>
    <w:p w14:paraId="4C5811C6" w14:textId="7CF5E6B2" w:rsidR="006E1071" w:rsidRDefault="006E1071" w:rsidP="00986F49">
      <w:pPr>
        <w:pStyle w:val="ListParagraph"/>
        <w:numPr>
          <w:ilvl w:val="0"/>
          <w:numId w:val="34"/>
        </w:numPr>
        <w:spacing w:after="0" w:line="240" w:lineRule="auto"/>
        <w:jc w:val="both"/>
        <w:rPr>
          <w:rFonts w:ascii="Arial" w:hAnsi="Arial" w:cs="Arial"/>
        </w:rPr>
      </w:pPr>
      <w:r>
        <w:rPr>
          <w:rFonts w:ascii="Arial" w:hAnsi="Arial" w:cs="Arial"/>
        </w:rPr>
        <w:t>a loss of the nuanced understanding of legal needs of local communities;</w:t>
      </w:r>
    </w:p>
    <w:p w14:paraId="7656E36A" w14:textId="735BCD6C" w:rsidR="00986F49" w:rsidRDefault="00986F49" w:rsidP="00986F49">
      <w:pPr>
        <w:pStyle w:val="ListParagraph"/>
        <w:numPr>
          <w:ilvl w:val="0"/>
          <w:numId w:val="34"/>
        </w:numPr>
        <w:spacing w:after="0" w:line="240" w:lineRule="auto"/>
        <w:jc w:val="both"/>
        <w:rPr>
          <w:rFonts w:ascii="Arial" w:hAnsi="Arial" w:cs="Arial"/>
        </w:rPr>
      </w:pPr>
      <w:r>
        <w:rPr>
          <w:rFonts w:ascii="Arial" w:hAnsi="Arial" w:cs="Arial"/>
        </w:rPr>
        <w:t>huge administrative burdens setting up new services identified by data as areas of high legal need;</w:t>
      </w:r>
    </w:p>
    <w:p w14:paraId="2707DAA6" w14:textId="19A4EC3A" w:rsidR="00986F49" w:rsidRDefault="006E1071" w:rsidP="00986F49">
      <w:pPr>
        <w:pStyle w:val="ListParagraph"/>
        <w:numPr>
          <w:ilvl w:val="0"/>
          <w:numId w:val="34"/>
        </w:numPr>
        <w:spacing w:after="0" w:line="240" w:lineRule="auto"/>
        <w:jc w:val="both"/>
        <w:rPr>
          <w:rFonts w:ascii="Arial" w:hAnsi="Arial" w:cs="Arial"/>
        </w:rPr>
      </w:pPr>
      <w:r>
        <w:rPr>
          <w:rFonts w:ascii="Arial" w:hAnsi="Arial" w:cs="Arial"/>
        </w:rPr>
        <w:t>reduced legal service provision</w:t>
      </w:r>
      <w:r w:rsidR="00986F49">
        <w:rPr>
          <w:rFonts w:ascii="Arial" w:hAnsi="Arial" w:cs="Arial"/>
        </w:rPr>
        <w:t xml:space="preserve"> while new relationships are built and local community needs are understood by the legal service providers.</w:t>
      </w:r>
    </w:p>
    <w:p w14:paraId="6F7C67C5" w14:textId="77777777" w:rsidR="00986F49" w:rsidRDefault="00986F49" w:rsidP="00986F49">
      <w:pPr>
        <w:spacing w:after="0" w:line="240" w:lineRule="auto"/>
        <w:jc w:val="both"/>
        <w:rPr>
          <w:rFonts w:ascii="Arial" w:hAnsi="Arial" w:cs="Arial"/>
        </w:rPr>
      </w:pPr>
    </w:p>
    <w:p w14:paraId="12A5EA1A" w14:textId="3AA05C16" w:rsidR="00986F49" w:rsidRPr="00986F49" w:rsidRDefault="006E1071" w:rsidP="00986F49">
      <w:pPr>
        <w:spacing w:after="0" w:line="240" w:lineRule="auto"/>
        <w:jc w:val="both"/>
        <w:rPr>
          <w:rFonts w:ascii="Arial" w:hAnsi="Arial" w:cs="Arial"/>
        </w:rPr>
      </w:pPr>
      <w:r>
        <w:rPr>
          <w:rFonts w:ascii="Arial" w:hAnsi="Arial" w:cs="Arial"/>
        </w:rPr>
        <w:t xml:space="preserve">We submit that these risks should be carefully considered before any significant changes are made to the current funding arrangements for </w:t>
      </w:r>
      <w:proofErr w:type="spellStart"/>
      <w:r>
        <w:rPr>
          <w:rFonts w:ascii="Arial" w:hAnsi="Arial" w:cs="Arial"/>
        </w:rPr>
        <w:t>CLCs</w:t>
      </w:r>
      <w:proofErr w:type="spellEnd"/>
      <w:r>
        <w:rPr>
          <w:rFonts w:ascii="Arial" w:hAnsi="Arial" w:cs="Arial"/>
        </w:rPr>
        <w:t>.</w:t>
      </w:r>
    </w:p>
    <w:p w14:paraId="4DC0EE1E" w14:textId="77777777" w:rsidR="00986F49" w:rsidRDefault="00986F49" w:rsidP="00095E11">
      <w:pPr>
        <w:spacing w:after="0" w:line="240" w:lineRule="auto"/>
        <w:jc w:val="both"/>
        <w:rPr>
          <w:rFonts w:ascii="Arial" w:hAnsi="Arial" w:cs="Arial"/>
        </w:rPr>
      </w:pPr>
    </w:p>
    <w:p w14:paraId="60C006F3" w14:textId="77777777" w:rsidR="007F0752" w:rsidRDefault="007F0752" w:rsidP="00095E1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rPr>
      </w:pPr>
      <w:r w:rsidRPr="007F0752">
        <w:rPr>
          <w:rFonts w:ascii="Arial" w:hAnsi="Arial" w:cs="Arial"/>
          <w:b/>
        </w:rPr>
        <w:t>Recommendation</w:t>
      </w:r>
      <w:r>
        <w:rPr>
          <w:rFonts w:ascii="Arial" w:hAnsi="Arial" w:cs="Arial"/>
        </w:rPr>
        <w:t xml:space="preserve">: The Commission should adopt </w:t>
      </w:r>
      <w:proofErr w:type="spellStart"/>
      <w:r>
        <w:rPr>
          <w:rFonts w:ascii="Arial" w:hAnsi="Arial" w:cs="Arial"/>
        </w:rPr>
        <w:t>NACLC’s</w:t>
      </w:r>
      <w:proofErr w:type="spellEnd"/>
      <w:r>
        <w:rPr>
          <w:rFonts w:ascii="Arial" w:hAnsi="Arial" w:cs="Arial"/>
        </w:rPr>
        <w:t xml:space="preserve"> position on future funding models for </w:t>
      </w:r>
      <w:proofErr w:type="spellStart"/>
      <w:r>
        <w:rPr>
          <w:rFonts w:ascii="Arial" w:hAnsi="Arial" w:cs="Arial"/>
        </w:rPr>
        <w:t>CLCs</w:t>
      </w:r>
      <w:proofErr w:type="spellEnd"/>
      <w:r>
        <w:rPr>
          <w:rFonts w:ascii="Arial" w:hAnsi="Arial" w:cs="Arial"/>
        </w:rPr>
        <w:t>.</w:t>
      </w:r>
    </w:p>
    <w:p w14:paraId="41D78F30" w14:textId="77777777" w:rsidR="007F0752" w:rsidRPr="007F0752" w:rsidRDefault="007F0752" w:rsidP="00095E11">
      <w:pPr>
        <w:spacing w:after="0" w:line="240" w:lineRule="auto"/>
        <w:jc w:val="both"/>
        <w:rPr>
          <w:rFonts w:ascii="Arial" w:hAnsi="Arial" w:cs="Arial"/>
          <w:b/>
          <w:i/>
        </w:rPr>
      </w:pPr>
    </w:p>
    <w:p w14:paraId="059D0865" w14:textId="77777777" w:rsidR="00AE2692" w:rsidRPr="00AE2692" w:rsidRDefault="00AE2692" w:rsidP="00095E11">
      <w:pPr>
        <w:spacing w:after="0" w:line="240" w:lineRule="auto"/>
        <w:jc w:val="both"/>
        <w:rPr>
          <w:rFonts w:ascii="Arial" w:hAnsi="Arial" w:cs="Arial"/>
          <w:b/>
          <w:bCs/>
          <w:iCs/>
          <w:u w:val="single"/>
        </w:rPr>
      </w:pPr>
      <w:r w:rsidRPr="00AE2692">
        <w:rPr>
          <w:rFonts w:ascii="Arial" w:hAnsi="Arial" w:cs="Arial"/>
          <w:b/>
          <w:bCs/>
          <w:iCs/>
          <w:u w:val="single"/>
        </w:rPr>
        <w:t>Chapter 23: Pro bono services</w:t>
      </w:r>
    </w:p>
    <w:p w14:paraId="7457CA01" w14:textId="77777777" w:rsidR="00AE2692" w:rsidRDefault="00AE2692" w:rsidP="00095E11">
      <w:pPr>
        <w:spacing w:after="0" w:line="240" w:lineRule="auto"/>
        <w:jc w:val="both"/>
        <w:rPr>
          <w:rFonts w:ascii="Arial" w:hAnsi="Arial" w:cs="Arial"/>
          <w:b/>
          <w:bCs/>
          <w:i/>
          <w:iCs/>
          <w:u w:val="single"/>
        </w:rPr>
      </w:pPr>
    </w:p>
    <w:p w14:paraId="66ED74DB" w14:textId="77777777" w:rsidR="007939C8" w:rsidRPr="00442E69" w:rsidRDefault="007939C8" w:rsidP="00AE269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E2692">
        <w:rPr>
          <w:rFonts w:ascii="Arial" w:hAnsi="Arial" w:cs="Arial"/>
          <w:bCs/>
          <w:iCs/>
          <w:u w:val="single"/>
        </w:rPr>
        <w:t>Draft recommendation 23.1</w:t>
      </w:r>
      <w:r w:rsidRPr="00AE2692">
        <w:rPr>
          <w:rFonts w:ascii="Arial" w:hAnsi="Arial" w:cs="Arial"/>
          <w:bCs/>
          <w:iCs/>
        </w:rPr>
        <w:t xml:space="preserve">: Where they have not already, all jurisdictions should allow holders of all classes of practising certificate to work on a volunteer basis. Further, those jurisdictions that have not done so already should introduce free practising certificates for retired or career break lawyers limited to the provision of pro bono services either through a </w:t>
      </w:r>
      <w:r w:rsidRPr="00442E69">
        <w:rPr>
          <w:rFonts w:ascii="Arial" w:hAnsi="Arial" w:cs="Arial"/>
          <w:bCs/>
          <w:iCs/>
        </w:rPr>
        <w:t xml:space="preserve">Community Legal Centre or a project approved by the National Pro Bono Resource Centre. This could be modelled on the approach currently used in Queensland. </w:t>
      </w:r>
    </w:p>
    <w:p w14:paraId="3EA8F65C" w14:textId="77777777" w:rsidR="007939C8" w:rsidRPr="00442E69" w:rsidRDefault="007939C8" w:rsidP="00AE269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73000A79" w14:textId="77777777" w:rsidR="007939C8" w:rsidRPr="00AE2692" w:rsidRDefault="007939C8" w:rsidP="00AE2692">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ind w:left="567" w:hanging="567"/>
        <w:jc w:val="both"/>
        <w:rPr>
          <w:rFonts w:ascii="Arial" w:hAnsi="Arial" w:cs="Arial"/>
          <w:color w:val="1F497D"/>
        </w:rPr>
      </w:pPr>
      <w:r w:rsidRPr="00442E69">
        <w:rPr>
          <w:rFonts w:ascii="Arial" w:hAnsi="Arial" w:cs="Arial"/>
          <w:bCs/>
          <w:iCs/>
        </w:rPr>
        <w:t xml:space="preserve">For </w:t>
      </w:r>
      <w:r w:rsidRPr="00AE2692">
        <w:rPr>
          <w:rFonts w:ascii="Arial" w:hAnsi="Arial" w:cs="Arial"/>
          <w:bCs/>
          <w:iCs/>
        </w:rPr>
        <w:t>those not providing court representation, persons eligible for admission as an Australian lawyer coupled with a practising certificate that has expired within the last three years (without any disciplinary conditions) should be sufficient to provide pro bono work, particularly if the service is supervised.</w:t>
      </w:r>
    </w:p>
    <w:p w14:paraId="639EC91A" w14:textId="77777777" w:rsidR="007939C8" w:rsidRPr="007939C8" w:rsidRDefault="007939C8" w:rsidP="00095E11">
      <w:pPr>
        <w:spacing w:after="0" w:line="240" w:lineRule="auto"/>
        <w:jc w:val="both"/>
        <w:rPr>
          <w:rFonts w:ascii="Arial" w:hAnsi="Arial" w:cs="Arial"/>
        </w:rPr>
      </w:pPr>
    </w:p>
    <w:p w14:paraId="634197F5" w14:textId="77777777" w:rsidR="00442E69" w:rsidRDefault="00442E69" w:rsidP="00442E69">
      <w:pPr>
        <w:spacing w:after="0" w:line="240" w:lineRule="auto"/>
        <w:jc w:val="both"/>
        <w:rPr>
          <w:rFonts w:ascii="Arial" w:hAnsi="Arial" w:cs="Arial"/>
        </w:rPr>
      </w:pPr>
      <w:r>
        <w:rPr>
          <w:rFonts w:ascii="Arial" w:hAnsi="Arial" w:cs="Arial"/>
        </w:rPr>
        <w:t xml:space="preserve">Lawyers volunteering at </w:t>
      </w:r>
      <w:proofErr w:type="spellStart"/>
      <w:r>
        <w:rPr>
          <w:rFonts w:ascii="Arial" w:hAnsi="Arial" w:cs="Arial"/>
        </w:rPr>
        <w:t>CLCs</w:t>
      </w:r>
      <w:proofErr w:type="spellEnd"/>
      <w:r>
        <w:rPr>
          <w:rFonts w:ascii="Arial" w:hAnsi="Arial" w:cs="Arial"/>
        </w:rPr>
        <w:t xml:space="preserve"> have the benefit of being covered by the professional indemnity insurance of that </w:t>
      </w:r>
      <w:proofErr w:type="spellStart"/>
      <w:r>
        <w:rPr>
          <w:rFonts w:ascii="Arial" w:hAnsi="Arial" w:cs="Arial"/>
        </w:rPr>
        <w:t>CLC</w:t>
      </w:r>
      <w:proofErr w:type="spellEnd"/>
      <w:r>
        <w:rPr>
          <w:rFonts w:ascii="Arial" w:hAnsi="Arial" w:cs="Arial"/>
        </w:rPr>
        <w:t xml:space="preserve">. However, volunteer lawyers are required to hold a practising certificate before they can provide legal advice at a </w:t>
      </w:r>
      <w:proofErr w:type="spellStart"/>
      <w:r>
        <w:rPr>
          <w:rFonts w:ascii="Arial" w:hAnsi="Arial" w:cs="Arial"/>
        </w:rPr>
        <w:t>CLC</w:t>
      </w:r>
      <w:proofErr w:type="spellEnd"/>
      <w:r>
        <w:rPr>
          <w:rFonts w:ascii="Arial" w:hAnsi="Arial" w:cs="Arial"/>
        </w:rPr>
        <w:t xml:space="preserve"> as a condition of the </w:t>
      </w:r>
      <w:proofErr w:type="spellStart"/>
      <w:r>
        <w:rPr>
          <w:rFonts w:ascii="Arial" w:hAnsi="Arial" w:cs="Arial"/>
        </w:rPr>
        <w:t>CLC’s</w:t>
      </w:r>
      <w:proofErr w:type="spellEnd"/>
      <w:r>
        <w:rPr>
          <w:rFonts w:ascii="Arial" w:hAnsi="Arial" w:cs="Arial"/>
        </w:rPr>
        <w:t xml:space="preserve"> membership in the professional indemnity insurance scheme.</w:t>
      </w:r>
    </w:p>
    <w:p w14:paraId="4A7AC76E" w14:textId="77777777" w:rsidR="00442E69" w:rsidRDefault="00442E69" w:rsidP="00095E11">
      <w:pPr>
        <w:pStyle w:val="ListParagraph"/>
        <w:spacing w:line="240" w:lineRule="auto"/>
        <w:ind w:left="0"/>
        <w:jc w:val="both"/>
        <w:rPr>
          <w:rFonts w:ascii="Arial" w:hAnsi="Arial" w:cs="Arial"/>
        </w:rPr>
      </w:pPr>
    </w:p>
    <w:p w14:paraId="7DEE55BC" w14:textId="666F7967" w:rsidR="00442E69" w:rsidRPr="007939C8" w:rsidRDefault="007939C8" w:rsidP="00095E11">
      <w:pPr>
        <w:pStyle w:val="ListParagraph"/>
        <w:spacing w:line="240" w:lineRule="auto"/>
        <w:ind w:left="0"/>
        <w:jc w:val="both"/>
        <w:rPr>
          <w:rFonts w:ascii="Arial" w:hAnsi="Arial" w:cs="Arial"/>
        </w:rPr>
      </w:pPr>
      <w:r w:rsidRPr="007939C8">
        <w:rPr>
          <w:rFonts w:ascii="Arial" w:hAnsi="Arial" w:cs="Arial"/>
        </w:rPr>
        <w:t xml:space="preserve">The skills and knowledge of retired and career-break solicitors are an invaluable resource to community legal centres. A survey conducted by the National Pro Bono Resource Centre in 2009 found that 9 of the 43 </w:t>
      </w:r>
      <w:proofErr w:type="spellStart"/>
      <w:r w:rsidRPr="007939C8">
        <w:rPr>
          <w:rFonts w:ascii="Arial" w:hAnsi="Arial" w:cs="Arial"/>
        </w:rPr>
        <w:t>CLCs</w:t>
      </w:r>
      <w:proofErr w:type="spellEnd"/>
      <w:r w:rsidRPr="007939C8">
        <w:rPr>
          <w:rFonts w:ascii="Arial" w:hAnsi="Arial" w:cs="Arial"/>
        </w:rPr>
        <w:t xml:space="preserve"> that responded to their survey reported having existing retired volunteer lawyers, whilst 12 of the 43 </w:t>
      </w:r>
      <w:proofErr w:type="spellStart"/>
      <w:r w:rsidRPr="007939C8">
        <w:rPr>
          <w:rFonts w:ascii="Arial" w:hAnsi="Arial" w:cs="Arial"/>
        </w:rPr>
        <w:t>CLCs</w:t>
      </w:r>
      <w:proofErr w:type="spellEnd"/>
      <w:r w:rsidRPr="007939C8">
        <w:rPr>
          <w:rFonts w:ascii="Arial" w:hAnsi="Arial" w:cs="Arial"/>
        </w:rPr>
        <w:t xml:space="preserve"> reported having existing career-break volunteer lawyers.</w:t>
      </w:r>
      <w:r w:rsidRPr="007939C8">
        <w:rPr>
          <w:rStyle w:val="FootnoteReference"/>
          <w:rFonts w:ascii="Arial" w:hAnsi="Arial" w:cs="Arial"/>
        </w:rPr>
        <w:footnoteReference w:id="12"/>
      </w:r>
      <w:r>
        <w:rPr>
          <w:rFonts w:ascii="Arial" w:hAnsi="Arial" w:cs="Arial"/>
        </w:rPr>
        <w:t xml:space="preserve"> </w:t>
      </w:r>
      <w:r w:rsidRPr="007939C8">
        <w:rPr>
          <w:rFonts w:ascii="Arial" w:hAnsi="Arial" w:cs="Arial"/>
        </w:rPr>
        <w:t xml:space="preserve">Consultations between </w:t>
      </w:r>
      <w:proofErr w:type="spellStart"/>
      <w:r w:rsidRPr="007939C8">
        <w:rPr>
          <w:rFonts w:ascii="Arial" w:hAnsi="Arial" w:cs="Arial"/>
        </w:rPr>
        <w:t>CLCs</w:t>
      </w:r>
      <w:proofErr w:type="spellEnd"/>
      <w:r w:rsidRPr="007939C8">
        <w:rPr>
          <w:rFonts w:ascii="Arial" w:hAnsi="Arial" w:cs="Arial"/>
        </w:rPr>
        <w:t xml:space="preserve"> and retired and career-break lawyers indicate that the cost of practising certificates presents an obstacle to such lawyers providing pro bono legal assistance in </w:t>
      </w:r>
      <w:proofErr w:type="spellStart"/>
      <w:r w:rsidRPr="007939C8">
        <w:rPr>
          <w:rFonts w:ascii="Arial" w:hAnsi="Arial" w:cs="Arial"/>
        </w:rPr>
        <w:t>CLCs</w:t>
      </w:r>
      <w:proofErr w:type="spellEnd"/>
      <w:r w:rsidRPr="007939C8">
        <w:rPr>
          <w:rFonts w:ascii="Arial" w:hAnsi="Arial" w:cs="Arial"/>
        </w:rPr>
        <w:t>.</w:t>
      </w:r>
      <w:r w:rsidRPr="007939C8">
        <w:rPr>
          <w:rStyle w:val="FootnoteReference"/>
          <w:rFonts w:ascii="Arial" w:hAnsi="Arial" w:cs="Arial"/>
        </w:rPr>
        <w:footnoteReference w:id="13"/>
      </w:r>
    </w:p>
    <w:p w14:paraId="5A1002B8" w14:textId="2BDF8FAE" w:rsidR="007939C8" w:rsidRDefault="007939C8" w:rsidP="00095E11">
      <w:pPr>
        <w:spacing w:after="0" w:line="240" w:lineRule="auto"/>
        <w:jc w:val="both"/>
        <w:rPr>
          <w:rFonts w:ascii="Arial" w:hAnsi="Arial" w:cs="Arial"/>
        </w:rPr>
      </w:pPr>
      <w:proofErr w:type="spellStart"/>
      <w:r w:rsidRPr="007939C8">
        <w:rPr>
          <w:rFonts w:ascii="Arial" w:hAnsi="Arial" w:cs="Arial"/>
        </w:rPr>
        <w:t>KLC</w:t>
      </w:r>
      <w:proofErr w:type="spellEnd"/>
      <w:r w:rsidRPr="007939C8">
        <w:rPr>
          <w:rFonts w:ascii="Arial" w:hAnsi="Arial" w:cs="Arial"/>
        </w:rPr>
        <w:t xml:space="preserve"> supports the </w:t>
      </w:r>
      <w:r w:rsidR="00727C0E">
        <w:rPr>
          <w:rFonts w:ascii="Arial" w:hAnsi="Arial" w:cs="Arial"/>
        </w:rPr>
        <w:t>provision of free practising certificates to</w:t>
      </w:r>
      <w:r w:rsidRPr="007939C8">
        <w:rPr>
          <w:rFonts w:ascii="Arial" w:hAnsi="Arial" w:cs="Arial"/>
        </w:rPr>
        <w:t xml:space="preserve"> solicitors involved in pro bono and volunteer work</w:t>
      </w:r>
      <w:r w:rsidR="00727C0E">
        <w:rPr>
          <w:rFonts w:ascii="Arial" w:hAnsi="Arial" w:cs="Arial"/>
        </w:rPr>
        <w:t xml:space="preserve"> and </w:t>
      </w:r>
      <w:r w:rsidRPr="007939C8">
        <w:rPr>
          <w:rFonts w:ascii="Arial" w:hAnsi="Arial" w:cs="Arial"/>
        </w:rPr>
        <w:t>who would not otherwise require a practising certificate.</w:t>
      </w:r>
      <w:r w:rsidR="00727C0E">
        <w:rPr>
          <w:rFonts w:ascii="Arial" w:hAnsi="Arial" w:cs="Arial"/>
        </w:rPr>
        <w:t xml:space="preserve">  </w:t>
      </w:r>
      <w:proofErr w:type="spellStart"/>
      <w:r w:rsidR="006E1071">
        <w:rPr>
          <w:rFonts w:ascii="Arial" w:hAnsi="Arial" w:cs="Arial"/>
        </w:rPr>
        <w:t>KLC</w:t>
      </w:r>
      <w:proofErr w:type="spellEnd"/>
      <w:r w:rsidR="00727C0E">
        <w:rPr>
          <w:rFonts w:ascii="Arial" w:hAnsi="Arial" w:cs="Arial"/>
        </w:rPr>
        <w:t xml:space="preserve"> has had many pro bono solicitors who are either retired or on maternity leave and keen to voluntee</w:t>
      </w:r>
      <w:r w:rsidR="006E1071">
        <w:rPr>
          <w:rFonts w:ascii="Arial" w:hAnsi="Arial" w:cs="Arial"/>
        </w:rPr>
        <w:t xml:space="preserve">r on an evening advice clinic. </w:t>
      </w:r>
      <w:r w:rsidR="00727C0E">
        <w:rPr>
          <w:rFonts w:ascii="Arial" w:hAnsi="Arial" w:cs="Arial"/>
        </w:rPr>
        <w:t xml:space="preserve">Some of our volunteer solicitors pay for their practising </w:t>
      </w:r>
      <w:r w:rsidR="00727C0E">
        <w:rPr>
          <w:rFonts w:ascii="Arial" w:hAnsi="Arial" w:cs="Arial"/>
        </w:rPr>
        <w:lastRenderedPageBreak/>
        <w:t xml:space="preserve">certificates for the </w:t>
      </w:r>
      <w:r w:rsidR="006E1071">
        <w:rPr>
          <w:rFonts w:ascii="Arial" w:hAnsi="Arial" w:cs="Arial"/>
        </w:rPr>
        <w:t>sole</w:t>
      </w:r>
      <w:r w:rsidR="00727C0E">
        <w:rPr>
          <w:rFonts w:ascii="Arial" w:hAnsi="Arial" w:cs="Arial"/>
        </w:rPr>
        <w:t xml:space="preserve"> purpose of volunteering at </w:t>
      </w:r>
      <w:proofErr w:type="spellStart"/>
      <w:r w:rsidR="006E1071">
        <w:rPr>
          <w:rFonts w:ascii="Arial" w:hAnsi="Arial" w:cs="Arial"/>
        </w:rPr>
        <w:t>KLC</w:t>
      </w:r>
      <w:proofErr w:type="spellEnd"/>
      <w:r w:rsidR="00442E69">
        <w:rPr>
          <w:rFonts w:ascii="Arial" w:hAnsi="Arial" w:cs="Arial"/>
        </w:rPr>
        <w:t xml:space="preserve">. </w:t>
      </w:r>
      <w:r w:rsidR="00727C0E">
        <w:rPr>
          <w:rFonts w:ascii="Arial" w:hAnsi="Arial" w:cs="Arial"/>
        </w:rPr>
        <w:t>It is clearly unfair to require these solicitors to pay for their practising certificate.</w:t>
      </w:r>
    </w:p>
    <w:p w14:paraId="33452FAD" w14:textId="77777777" w:rsidR="00727C0E" w:rsidRDefault="00727C0E" w:rsidP="00095E11">
      <w:pPr>
        <w:spacing w:after="0" w:line="240" w:lineRule="auto"/>
        <w:jc w:val="both"/>
        <w:rPr>
          <w:rFonts w:ascii="Arial" w:hAnsi="Arial" w:cs="Arial"/>
        </w:rPr>
      </w:pPr>
    </w:p>
    <w:p w14:paraId="207158EB" w14:textId="7656E689" w:rsidR="00442E69" w:rsidRDefault="00442E69" w:rsidP="00442E6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rPr>
      </w:pPr>
      <w:r w:rsidRPr="007F0752">
        <w:rPr>
          <w:rFonts w:ascii="Arial" w:hAnsi="Arial" w:cs="Arial"/>
          <w:b/>
        </w:rPr>
        <w:t>Recommendation</w:t>
      </w:r>
      <w:r>
        <w:rPr>
          <w:rFonts w:ascii="Arial" w:hAnsi="Arial" w:cs="Arial"/>
        </w:rPr>
        <w:t>: The Commission should adopt draft recommendation 23.1.</w:t>
      </w:r>
    </w:p>
    <w:p w14:paraId="1D41C228" w14:textId="77777777" w:rsidR="00AE2692" w:rsidRDefault="00AE2692" w:rsidP="00AE2692">
      <w:pPr>
        <w:spacing w:after="0" w:line="240" w:lineRule="auto"/>
        <w:jc w:val="both"/>
        <w:rPr>
          <w:rFonts w:ascii="Arial" w:hAnsi="Arial" w:cs="Arial"/>
        </w:rPr>
      </w:pPr>
    </w:p>
    <w:p w14:paraId="7EC24D59" w14:textId="77777777" w:rsidR="005E6C1B" w:rsidRPr="002E719C" w:rsidRDefault="005E6C1B" w:rsidP="00095E11">
      <w:pPr>
        <w:spacing w:after="0" w:line="240" w:lineRule="auto"/>
        <w:jc w:val="both"/>
        <w:rPr>
          <w:rFonts w:ascii="Arial" w:hAnsi="Arial" w:cs="Arial"/>
        </w:rPr>
      </w:pPr>
      <w:r w:rsidRPr="002E719C">
        <w:rPr>
          <w:rFonts w:ascii="Arial" w:hAnsi="Arial" w:cs="Arial"/>
        </w:rPr>
        <w:t>Please feel free to contact us should you have any questions about this submission.</w:t>
      </w:r>
    </w:p>
    <w:p w14:paraId="7F1E4F3B" w14:textId="77777777" w:rsidR="005E6C1B" w:rsidRPr="002E719C" w:rsidRDefault="005E6C1B" w:rsidP="00095E11">
      <w:pPr>
        <w:spacing w:after="0" w:line="240" w:lineRule="auto"/>
        <w:jc w:val="both"/>
        <w:rPr>
          <w:rFonts w:ascii="Arial" w:hAnsi="Arial" w:cs="Arial"/>
        </w:rPr>
      </w:pPr>
    </w:p>
    <w:p w14:paraId="48D28D09" w14:textId="77777777" w:rsidR="005E6C1B" w:rsidRPr="002E719C" w:rsidRDefault="005E6C1B" w:rsidP="00095E11">
      <w:pPr>
        <w:spacing w:after="0" w:line="240" w:lineRule="auto"/>
        <w:jc w:val="both"/>
        <w:rPr>
          <w:rFonts w:ascii="Arial" w:hAnsi="Arial" w:cs="Arial"/>
        </w:rPr>
      </w:pPr>
      <w:r w:rsidRPr="002E719C">
        <w:rPr>
          <w:rFonts w:ascii="Arial" w:hAnsi="Arial" w:cs="Arial"/>
        </w:rPr>
        <w:t>Yours faithfully,</w:t>
      </w:r>
    </w:p>
    <w:p w14:paraId="50795CD3" w14:textId="77777777" w:rsidR="005E6C1B" w:rsidRPr="002E719C" w:rsidRDefault="005E6C1B" w:rsidP="00095E11">
      <w:pPr>
        <w:spacing w:after="0" w:line="240" w:lineRule="auto"/>
        <w:jc w:val="both"/>
        <w:rPr>
          <w:rFonts w:ascii="Arial" w:hAnsi="Arial" w:cs="Arial"/>
        </w:rPr>
      </w:pPr>
      <w:r w:rsidRPr="002E719C">
        <w:rPr>
          <w:rFonts w:ascii="Arial" w:hAnsi="Arial" w:cs="Arial"/>
        </w:rPr>
        <w:t>KINGSFORD LEGAL CENTRE</w:t>
      </w:r>
    </w:p>
    <w:p w14:paraId="5AEADA3A" w14:textId="77777777" w:rsidR="005E6C1B" w:rsidRPr="002E719C" w:rsidRDefault="005E6C1B" w:rsidP="00095E11">
      <w:pPr>
        <w:spacing w:after="0" w:line="240" w:lineRule="auto"/>
        <w:jc w:val="both"/>
        <w:rPr>
          <w:rFonts w:ascii="Arial" w:hAnsi="Arial" w:cs="Arial"/>
        </w:rPr>
      </w:pPr>
    </w:p>
    <w:p w14:paraId="7EC2B929" w14:textId="77777777" w:rsidR="005E6C1B" w:rsidRPr="002E719C" w:rsidRDefault="005E6C1B" w:rsidP="00095E11">
      <w:pPr>
        <w:spacing w:after="0" w:line="240" w:lineRule="auto"/>
        <w:jc w:val="both"/>
        <w:rPr>
          <w:rFonts w:ascii="Arial" w:hAnsi="Arial" w:cs="Arial"/>
        </w:rPr>
      </w:pPr>
    </w:p>
    <w:p w14:paraId="0F464EC9" w14:textId="77777777" w:rsidR="005E6C1B" w:rsidRPr="002E719C" w:rsidRDefault="005E6C1B" w:rsidP="00095E11">
      <w:pPr>
        <w:spacing w:after="0" w:line="240" w:lineRule="auto"/>
        <w:jc w:val="both"/>
        <w:rPr>
          <w:rFonts w:ascii="Arial" w:hAnsi="Arial" w:cs="Arial"/>
        </w:rPr>
      </w:pPr>
    </w:p>
    <w:p w14:paraId="17493649" w14:textId="77777777" w:rsidR="00A159AE" w:rsidRPr="002E719C" w:rsidRDefault="00A159AE" w:rsidP="00095E11">
      <w:pPr>
        <w:spacing w:after="0" w:line="240" w:lineRule="auto"/>
        <w:jc w:val="both"/>
        <w:rPr>
          <w:rFonts w:ascii="Arial" w:hAnsi="Arial" w:cs="Arial"/>
        </w:rPr>
      </w:pPr>
      <w:r w:rsidRPr="002E719C">
        <w:rPr>
          <w:rFonts w:ascii="Arial" w:hAnsi="Arial" w:cs="Arial"/>
        </w:rPr>
        <w:t>Anna Cody</w:t>
      </w:r>
      <w:r w:rsidRPr="002E719C">
        <w:rPr>
          <w:rFonts w:ascii="Arial" w:hAnsi="Arial" w:cs="Arial"/>
        </w:rPr>
        <w:tab/>
      </w:r>
      <w:r w:rsidRPr="002E719C">
        <w:rPr>
          <w:rFonts w:ascii="Arial" w:hAnsi="Arial" w:cs="Arial"/>
        </w:rPr>
        <w:tab/>
      </w:r>
      <w:r w:rsidR="00A318CB">
        <w:rPr>
          <w:rFonts w:ascii="Arial" w:hAnsi="Arial" w:cs="Arial"/>
        </w:rPr>
        <w:tab/>
      </w:r>
      <w:r w:rsidR="00A318CB">
        <w:rPr>
          <w:rFonts w:ascii="Arial" w:hAnsi="Arial" w:cs="Arial"/>
        </w:rPr>
        <w:tab/>
      </w:r>
      <w:r w:rsidR="00A318CB">
        <w:rPr>
          <w:rFonts w:ascii="Arial" w:hAnsi="Arial" w:cs="Arial"/>
        </w:rPr>
        <w:tab/>
      </w:r>
      <w:r w:rsidR="00A318CB">
        <w:rPr>
          <w:rFonts w:ascii="Arial" w:hAnsi="Arial" w:cs="Arial"/>
        </w:rPr>
        <w:tab/>
        <w:t>Kellie McDonald</w:t>
      </w:r>
      <w:r w:rsidR="00A318CB">
        <w:rPr>
          <w:rFonts w:ascii="Arial" w:hAnsi="Arial" w:cs="Arial"/>
        </w:rPr>
        <w:tab/>
      </w:r>
      <w:r w:rsidR="00A318CB">
        <w:rPr>
          <w:rFonts w:ascii="Arial" w:hAnsi="Arial" w:cs="Arial"/>
        </w:rPr>
        <w:tab/>
      </w:r>
      <w:r w:rsidRPr="002E719C">
        <w:rPr>
          <w:rFonts w:ascii="Arial" w:hAnsi="Arial" w:cs="Arial"/>
        </w:rPr>
        <w:tab/>
      </w:r>
    </w:p>
    <w:p w14:paraId="6EB44A03" w14:textId="77777777" w:rsidR="00117BBC" w:rsidRPr="002E719C" w:rsidRDefault="00A159AE" w:rsidP="00095E11">
      <w:pPr>
        <w:spacing w:after="0" w:line="240" w:lineRule="auto"/>
        <w:jc w:val="both"/>
        <w:rPr>
          <w:rFonts w:ascii="Arial" w:hAnsi="Arial" w:cs="Arial"/>
        </w:rPr>
      </w:pPr>
      <w:r w:rsidRPr="002E719C">
        <w:rPr>
          <w:rFonts w:ascii="Arial" w:hAnsi="Arial" w:cs="Arial"/>
        </w:rPr>
        <w:t>Director</w:t>
      </w:r>
      <w:r w:rsidR="005E6C1B" w:rsidRPr="002E719C">
        <w:rPr>
          <w:rFonts w:ascii="Arial" w:hAnsi="Arial" w:cs="Arial"/>
        </w:rPr>
        <w:tab/>
      </w:r>
      <w:r w:rsidRPr="002E719C">
        <w:rPr>
          <w:rFonts w:ascii="Arial" w:hAnsi="Arial" w:cs="Arial"/>
        </w:rPr>
        <w:tab/>
      </w:r>
      <w:r w:rsidRPr="002E719C">
        <w:rPr>
          <w:rFonts w:ascii="Arial" w:hAnsi="Arial" w:cs="Arial"/>
        </w:rPr>
        <w:tab/>
      </w:r>
      <w:r w:rsidRPr="002E719C">
        <w:rPr>
          <w:rFonts w:ascii="Arial" w:hAnsi="Arial" w:cs="Arial"/>
        </w:rPr>
        <w:tab/>
      </w:r>
      <w:r w:rsidRPr="002E719C">
        <w:rPr>
          <w:rFonts w:ascii="Arial" w:hAnsi="Arial" w:cs="Arial"/>
        </w:rPr>
        <w:tab/>
      </w:r>
      <w:r w:rsidR="00A318CB">
        <w:rPr>
          <w:rFonts w:ascii="Arial" w:hAnsi="Arial" w:cs="Arial"/>
        </w:rPr>
        <w:tab/>
        <w:t>Solicitor</w:t>
      </w:r>
      <w:r w:rsidRPr="002E719C">
        <w:rPr>
          <w:rFonts w:ascii="Arial" w:hAnsi="Arial" w:cs="Arial"/>
        </w:rPr>
        <w:tab/>
      </w:r>
    </w:p>
    <w:sectPr w:rsidR="00117BBC" w:rsidRPr="002E719C" w:rsidSect="006758CB">
      <w:footerReference w:type="default" r:id="rId14"/>
      <w:headerReference w:type="first" r:id="rId15"/>
      <w:footerReference w:type="first" r:id="rId16"/>
      <w:type w:val="continuous"/>
      <w:pgSz w:w="11905" w:h="16837"/>
      <w:pgMar w:top="1560" w:right="1440" w:bottom="567" w:left="1440" w:header="1440"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09946" w14:textId="77777777" w:rsidR="006E1071" w:rsidRDefault="006E1071">
      <w:r>
        <w:separator/>
      </w:r>
    </w:p>
  </w:endnote>
  <w:endnote w:type="continuationSeparator" w:id="0">
    <w:p w14:paraId="0D8AD201" w14:textId="77777777" w:rsidR="006E1071" w:rsidRDefault="006E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LT Std">
    <w:altName w:val="Cambria"/>
    <w:panose1 w:val="00000000000000000000"/>
    <w:charset w:val="00"/>
    <w:family w:val="swiss"/>
    <w:notTrueType/>
    <w:pitch w:val="variable"/>
    <w:sig w:usb0="800000AF" w:usb1="4000204A" w:usb2="00000000" w:usb3="00000000" w:csb0="00000001" w:csb1="00000000"/>
  </w:font>
  <w:font w:name="Optima">
    <w:altName w:val="Bell MT"/>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165271"/>
      <w:docPartObj>
        <w:docPartGallery w:val="Page Numbers (Bottom of Page)"/>
        <w:docPartUnique/>
      </w:docPartObj>
    </w:sdtPr>
    <w:sdtEndPr>
      <w:rPr>
        <w:noProof/>
      </w:rPr>
    </w:sdtEndPr>
    <w:sdtContent>
      <w:p w14:paraId="277519FB" w14:textId="77777777" w:rsidR="006E1071" w:rsidRDefault="006E1071">
        <w:pPr>
          <w:pStyle w:val="Footer"/>
          <w:jc w:val="center"/>
        </w:pPr>
        <w:r>
          <w:fldChar w:fldCharType="begin"/>
        </w:r>
        <w:r>
          <w:instrText xml:space="preserve"> PAGE   \* MERGEFORMAT </w:instrText>
        </w:r>
        <w:r>
          <w:fldChar w:fldCharType="separate"/>
        </w:r>
        <w:r w:rsidR="008A7B5A">
          <w:rPr>
            <w:noProof/>
          </w:rPr>
          <w:t>3</w:t>
        </w:r>
        <w:r>
          <w:rPr>
            <w:noProof/>
          </w:rPr>
          <w:fldChar w:fldCharType="end"/>
        </w:r>
      </w:p>
    </w:sdtContent>
  </w:sdt>
  <w:p w14:paraId="527282E1" w14:textId="77777777" w:rsidR="006E1071" w:rsidRDefault="006E1071">
    <w:pPr>
      <w:spacing w:line="240" w:lineRule="exac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86693" w14:textId="77777777" w:rsidR="006E1071" w:rsidRPr="007D1AF0" w:rsidRDefault="006E1071" w:rsidP="006E1248">
    <w:pPr>
      <w:pStyle w:val="Heading2"/>
      <w:shd w:val="solid" w:color="FFFFFF" w:fill="FFFFFF"/>
      <w:jc w:val="center"/>
      <w:rPr>
        <w:rFonts w:ascii="Optima" w:hAnsi="Optima"/>
        <w:i w:val="0"/>
      </w:rPr>
    </w:pPr>
    <w:r>
      <w:rPr>
        <w:rFonts w:ascii="Optima" w:hAnsi="Optima"/>
        <w:i w:val="0"/>
        <w:noProof/>
        <w:lang w:eastAsia="en-AU"/>
      </w:rPr>
      <mc:AlternateContent>
        <mc:Choice Requires="wps">
          <w:drawing>
            <wp:anchor distT="0" distB="0" distL="114300" distR="114300" simplePos="0" relativeHeight="251658752" behindDoc="1" locked="0" layoutInCell="1" allowOverlap="0" wp14:anchorId="36CB599C" wp14:editId="323997D4">
              <wp:simplePos x="0" y="0"/>
              <wp:positionH relativeFrom="column">
                <wp:posOffset>4308475</wp:posOffset>
              </wp:positionH>
              <wp:positionV relativeFrom="page">
                <wp:posOffset>8926195</wp:posOffset>
              </wp:positionV>
              <wp:extent cx="2057400" cy="1371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E2C7" w14:textId="77777777" w:rsidR="006E1071" w:rsidRPr="006E1248" w:rsidRDefault="006E1071" w:rsidP="006E12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0" o:spid="_x0000_s1027" type="#_x0000_t202" style="position:absolute;left:0;text-align:left;margin-left:339.25pt;margin-top:702.85pt;width:162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" o:allowoverlap="f" filled="f" stroked="f">
              <v:textbox>
                <w:txbxContent>
                  <w:p w14:paraId="2C6AE2C7" w14:textId="77777777" w:rsidR="006E1071" w:rsidRPr="006E1248" w:rsidRDefault="006E1071" w:rsidP="006E1248"/>
                </w:txbxContent>
              </v:textbox>
              <w10:wrap anchory="page"/>
            </v:shape>
          </w:pict>
        </mc:Fallback>
      </mc:AlternateContent>
    </w:r>
    <w:r w:rsidRPr="007D1AF0">
      <w:rPr>
        <w:rFonts w:ascii="Optima" w:hAnsi="Optima"/>
        <w:i w:val="0"/>
        <w:sz w:val="16"/>
        <w:szCs w:val="16"/>
      </w:rPr>
      <w:t xml:space="preserve"> </w:t>
    </w:r>
    <w:r w:rsidRPr="007D1AF0">
      <w:rPr>
        <w:rFonts w:ascii="Optima" w:hAnsi="Optima"/>
        <w:i w:val="0"/>
      </w:rPr>
      <w:t>Operated by the Faculty of Law of The University of New South Wales</w:t>
    </w:r>
  </w:p>
  <w:p w14:paraId="01941BFA" w14:textId="77777777" w:rsidR="006E1071" w:rsidRPr="007D1AF0" w:rsidRDefault="006E1071" w:rsidP="006E1248">
    <w:pPr>
      <w:shd w:val="solid" w:color="FFFFFF" w:fill="FFFFFF"/>
      <w:jc w:val="center"/>
      <w:rPr>
        <w:rFonts w:ascii="Optima" w:hAnsi="Optima"/>
        <w:sz w:val="20"/>
      </w:rPr>
    </w:pPr>
    <w:proofErr w:type="spellStart"/>
    <w:r>
      <w:rPr>
        <w:rFonts w:ascii="Optima" w:hAnsi="Optima"/>
        <w:sz w:val="20"/>
      </w:rPr>
      <w:t>F8</w:t>
    </w:r>
    <w:proofErr w:type="spellEnd"/>
    <w:r>
      <w:rPr>
        <w:rFonts w:ascii="Optima" w:hAnsi="Optima"/>
        <w:sz w:val="20"/>
      </w:rPr>
      <w:t xml:space="preserve">-003, Kingsford Legal Centre, </w:t>
    </w:r>
    <w:proofErr w:type="spellStart"/>
    <w:r>
      <w:rPr>
        <w:rFonts w:ascii="Optima" w:hAnsi="Optima"/>
        <w:sz w:val="20"/>
      </w:rPr>
      <w:t>UNSW</w:t>
    </w:r>
    <w:proofErr w:type="spellEnd"/>
    <w:r w:rsidRPr="007D1AF0">
      <w:rPr>
        <w:rFonts w:ascii="Optima" w:hAnsi="Optima"/>
        <w:sz w:val="20"/>
      </w:rPr>
      <w:t xml:space="preserve"> 2052 NSW</w:t>
    </w:r>
    <w:r>
      <w:rPr>
        <w:rFonts w:ascii="Optima" w:hAnsi="Optima"/>
        <w:sz w:val="20"/>
      </w:rPr>
      <w:t xml:space="preserve"> </w:t>
    </w:r>
    <w:r w:rsidRPr="007D1AF0">
      <w:rPr>
        <w:rFonts w:ascii="Optima" w:hAnsi="Optima"/>
        <w:sz w:val="20"/>
      </w:rPr>
      <w:t>AUSTRALIA</w:t>
    </w:r>
  </w:p>
  <w:p w14:paraId="2A0201FD" w14:textId="77777777" w:rsidR="006E1071" w:rsidRPr="007D1AF0" w:rsidRDefault="006E1071" w:rsidP="006E1248">
    <w:pPr>
      <w:shd w:val="solid" w:color="FFFFFF" w:fill="FFFFFF"/>
      <w:tabs>
        <w:tab w:val="right" w:pos="2700"/>
      </w:tabs>
      <w:jc w:val="center"/>
      <w:rPr>
        <w:rFonts w:ascii="Optima" w:hAnsi="Optima"/>
        <w:sz w:val="20"/>
      </w:rPr>
    </w:pPr>
    <w:r w:rsidRPr="007D1AF0">
      <w:rPr>
        <w:rFonts w:ascii="Optima" w:hAnsi="Optima"/>
        <w:sz w:val="20"/>
      </w:rPr>
      <w:t>Telephone +61 (2) 9385 9566</w:t>
    </w:r>
    <w:r w:rsidRPr="007D1AF0">
      <w:rPr>
        <w:rFonts w:ascii="Optima" w:hAnsi="Optima"/>
        <w:sz w:val="20"/>
      </w:rPr>
      <w:tab/>
      <w:t xml:space="preserve"> </w:t>
    </w:r>
    <w:r>
      <w:rPr>
        <w:rFonts w:ascii="Optima" w:hAnsi="Optima"/>
        <w:sz w:val="20"/>
      </w:rPr>
      <w:t>•</w:t>
    </w:r>
    <w:r w:rsidRPr="007D1AF0">
      <w:rPr>
        <w:rFonts w:ascii="Optima" w:hAnsi="Optima"/>
        <w:sz w:val="20"/>
      </w:rPr>
      <w:t xml:space="preserve"> Facsimile +61 (2) 93</w:t>
    </w:r>
    <w:r>
      <w:rPr>
        <w:rFonts w:ascii="Optima" w:hAnsi="Optima"/>
        <w:sz w:val="20"/>
      </w:rPr>
      <w:t>85 9583 •</w:t>
    </w:r>
    <w:r w:rsidRPr="007D1AF0">
      <w:rPr>
        <w:rFonts w:ascii="Optima" w:hAnsi="Optima"/>
        <w:sz w:val="20"/>
      </w:rPr>
      <w:t xml:space="preserve"> TTY +61 (2) 9385 9572</w:t>
    </w:r>
  </w:p>
  <w:p w14:paraId="2A131B48" w14:textId="77777777" w:rsidR="006E1071" w:rsidRDefault="006E1071">
    <w:pPr>
      <w:spacing w:line="24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3779" w14:textId="77777777" w:rsidR="006E1071" w:rsidRDefault="006E1071">
      <w:r>
        <w:separator/>
      </w:r>
    </w:p>
  </w:footnote>
  <w:footnote w:type="continuationSeparator" w:id="0">
    <w:p w14:paraId="0D572327" w14:textId="77777777" w:rsidR="006E1071" w:rsidRDefault="006E1071">
      <w:r>
        <w:continuationSeparator/>
      </w:r>
    </w:p>
  </w:footnote>
  <w:footnote w:id="1">
    <w:p w14:paraId="668277E8" w14:textId="77777777" w:rsidR="006E1071" w:rsidRDefault="006E1071" w:rsidP="00506BE7">
      <w:pPr>
        <w:pStyle w:val="FootnoteText"/>
        <w:spacing w:line="240" w:lineRule="auto"/>
      </w:pPr>
      <w:r>
        <w:rPr>
          <w:rStyle w:val="FootnoteReference"/>
        </w:rPr>
        <w:footnoteRef/>
      </w:r>
      <w:r>
        <w:t xml:space="preserve"> PC p 204.</w:t>
      </w:r>
    </w:p>
  </w:footnote>
  <w:footnote w:id="2">
    <w:p w14:paraId="363EDB98" w14:textId="77777777" w:rsidR="006E1071" w:rsidRDefault="006E1071" w:rsidP="00C45753">
      <w:pPr>
        <w:pStyle w:val="FootnoteText"/>
      </w:pPr>
      <w:r>
        <w:rPr>
          <w:rStyle w:val="FootnoteReference"/>
        </w:rPr>
        <w:footnoteRef/>
      </w:r>
      <w:r>
        <w:t xml:space="preserve"> Evans and Others, Best Practices Australian clinical legal education, The final report of the project, Strengthening Australian Legal education by integrating clinical experiences: identifying and supporting effective practices. 2013.</w:t>
      </w:r>
    </w:p>
  </w:footnote>
  <w:footnote w:id="3">
    <w:p w14:paraId="247B27AB" w14:textId="77777777" w:rsidR="006E1071" w:rsidRDefault="006E1071">
      <w:pPr>
        <w:pStyle w:val="FootnoteText"/>
      </w:pPr>
      <w:r>
        <w:rPr>
          <w:rStyle w:val="FootnoteReference"/>
        </w:rPr>
        <w:footnoteRef/>
      </w:r>
      <w:r>
        <w:t xml:space="preserve"> Stuckey and Others, Best Practices for Legal Education: A vision and a </w:t>
      </w:r>
      <w:proofErr w:type="spellStart"/>
      <w:r>
        <w:t>roadmap.2007.Clinical</w:t>
      </w:r>
      <w:proofErr w:type="spellEnd"/>
      <w:r>
        <w:t xml:space="preserve"> Legal Education Association.</w:t>
      </w:r>
    </w:p>
  </w:footnote>
  <w:footnote w:id="4">
    <w:p w14:paraId="23AD8F9C" w14:textId="77777777" w:rsidR="006E1071" w:rsidRDefault="006E1071" w:rsidP="00506BE7">
      <w:pPr>
        <w:pStyle w:val="FootnoteText"/>
        <w:spacing w:line="240" w:lineRule="auto"/>
      </w:pPr>
      <w:r>
        <w:rPr>
          <w:rStyle w:val="FootnoteReference"/>
        </w:rPr>
        <w:footnoteRef/>
      </w:r>
      <w:r>
        <w:t xml:space="preserve"> PC p 609.</w:t>
      </w:r>
    </w:p>
  </w:footnote>
  <w:footnote w:id="5">
    <w:p w14:paraId="546B07E5" w14:textId="77777777" w:rsidR="006E1071" w:rsidRDefault="006E1071" w:rsidP="00506BE7">
      <w:pPr>
        <w:pStyle w:val="FootnoteText"/>
        <w:spacing w:line="240" w:lineRule="auto"/>
      </w:pPr>
      <w:r>
        <w:rPr>
          <w:rStyle w:val="FootnoteReference"/>
        </w:rPr>
        <w:footnoteRef/>
      </w:r>
      <w:r>
        <w:t xml:space="preserve"> PC p 623.</w:t>
      </w:r>
    </w:p>
  </w:footnote>
  <w:footnote w:id="6">
    <w:p w14:paraId="291ACD2F" w14:textId="77777777" w:rsidR="006E1071" w:rsidRDefault="006E1071" w:rsidP="00506BE7">
      <w:pPr>
        <w:pStyle w:val="FootnoteText"/>
        <w:spacing w:line="240" w:lineRule="auto"/>
      </w:pPr>
      <w:r>
        <w:rPr>
          <w:rStyle w:val="FootnoteReference"/>
        </w:rPr>
        <w:footnoteRef/>
      </w:r>
      <w:r>
        <w:t xml:space="preserve"> PC p 625.</w:t>
      </w:r>
    </w:p>
  </w:footnote>
  <w:footnote w:id="7">
    <w:p w14:paraId="043E5A9F" w14:textId="77777777" w:rsidR="006E1071" w:rsidRDefault="006E1071" w:rsidP="00506BE7">
      <w:pPr>
        <w:pStyle w:val="FootnoteText"/>
        <w:spacing w:line="240" w:lineRule="auto"/>
      </w:pPr>
      <w:r>
        <w:rPr>
          <w:rStyle w:val="FootnoteReference"/>
        </w:rPr>
        <w:footnoteRef/>
      </w:r>
      <w:r>
        <w:t xml:space="preserve"> PC Draft report p 406.</w:t>
      </w:r>
    </w:p>
  </w:footnote>
  <w:footnote w:id="8">
    <w:p w14:paraId="6727315E" w14:textId="77777777" w:rsidR="006E1071" w:rsidRPr="00EF2234" w:rsidRDefault="006E1071" w:rsidP="00506BE7">
      <w:pPr>
        <w:pStyle w:val="FootnoteText"/>
        <w:spacing w:line="240" w:lineRule="auto"/>
        <w:rPr>
          <w:rFonts w:ascii="Arial" w:hAnsi="Arial" w:cs="Arial"/>
          <w:sz w:val="16"/>
          <w:szCs w:val="16"/>
        </w:rPr>
      </w:pPr>
      <w:r w:rsidRPr="00EF2234">
        <w:rPr>
          <w:rStyle w:val="FootnoteReference"/>
          <w:rFonts w:ascii="Arial" w:hAnsi="Arial" w:cs="Arial"/>
          <w:sz w:val="16"/>
          <w:szCs w:val="16"/>
        </w:rPr>
        <w:footnoteRef/>
      </w:r>
      <w:r w:rsidRPr="00EF2234">
        <w:rPr>
          <w:rFonts w:ascii="Arial" w:hAnsi="Arial" w:cs="Arial"/>
          <w:sz w:val="16"/>
          <w:szCs w:val="16"/>
        </w:rPr>
        <w:t xml:space="preserve"> NSW Legislative Council, Standing Committee on Law and Justice, above n 8, at [2.7].</w:t>
      </w:r>
    </w:p>
  </w:footnote>
  <w:footnote w:id="9">
    <w:p w14:paraId="659DD869" w14:textId="77777777" w:rsidR="006E1071" w:rsidRPr="00EF2234" w:rsidRDefault="006E1071" w:rsidP="00506BE7">
      <w:pPr>
        <w:pStyle w:val="FootnoteText"/>
        <w:spacing w:line="240" w:lineRule="auto"/>
        <w:rPr>
          <w:rFonts w:ascii="Arial" w:hAnsi="Arial" w:cs="Arial"/>
          <w:sz w:val="16"/>
          <w:szCs w:val="16"/>
        </w:rPr>
      </w:pPr>
      <w:r w:rsidRPr="00EF2234">
        <w:rPr>
          <w:rStyle w:val="FootnoteReference"/>
          <w:rFonts w:ascii="Arial" w:hAnsi="Arial" w:cs="Arial"/>
          <w:sz w:val="16"/>
          <w:szCs w:val="16"/>
        </w:rPr>
        <w:footnoteRef/>
      </w:r>
      <w:r w:rsidRPr="00EF2234">
        <w:rPr>
          <w:rFonts w:ascii="Arial" w:hAnsi="Arial" w:cs="Arial"/>
          <w:sz w:val="16"/>
          <w:szCs w:val="16"/>
        </w:rPr>
        <w:t xml:space="preserve"> </w:t>
      </w:r>
      <w:proofErr w:type="spellStart"/>
      <w:r w:rsidRPr="00EF2234">
        <w:rPr>
          <w:rFonts w:ascii="Arial" w:hAnsi="Arial" w:cs="Arial"/>
          <w:sz w:val="16"/>
          <w:szCs w:val="16"/>
        </w:rPr>
        <w:t>Lowitja</w:t>
      </w:r>
      <w:proofErr w:type="spellEnd"/>
      <w:r w:rsidRPr="00EF2234">
        <w:rPr>
          <w:rFonts w:ascii="Arial" w:hAnsi="Arial" w:cs="Arial"/>
          <w:sz w:val="16"/>
          <w:szCs w:val="16"/>
        </w:rPr>
        <w:t>, above n 8.</w:t>
      </w:r>
    </w:p>
  </w:footnote>
  <w:footnote w:id="10">
    <w:p w14:paraId="7384183F" w14:textId="77777777" w:rsidR="006E1071" w:rsidRPr="00EF2234" w:rsidRDefault="006E1071" w:rsidP="00506BE7">
      <w:pPr>
        <w:pStyle w:val="FootnoteText"/>
        <w:spacing w:line="240" w:lineRule="auto"/>
        <w:rPr>
          <w:rFonts w:ascii="Arial" w:hAnsi="Arial" w:cs="Arial"/>
          <w:sz w:val="16"/>
          <w:szCs w:val="16"/>
        </w:rPr>
      </w:pPr>
      <w:r w:rsidRPr="00EF2234">
        <w:rPr>
          <w:rStyle w:val="FootnoteReference"/>
          <w:rFonts w:ascii="Arial" w:hAnsi="Arial" w:cs="Arial"/>
          <w:sz w:val="16"/>
          <w:szCs w:val="16"/>
        </w:rPr>
        <w:footnoteRef/>
      </w:r>
      <w:r w:rsidRPr="00EF2234">
        <w:rPr>
          <w:rFonts w:ascii="Arial" w:hAnsi="Arial" w:cs="Arial"/>
          <w:sz w:val="16"/>
          <w:szCs w:val="16"/>
        </w:rPr>
        <w:t xml:space="preserve"> ABS, above n 7. </w:t>
      </w:r>
    </w:p>
  </w:footnote>
  <w:footnote w:id="11">
    <w:p w14:paraId="2DA31C81" w14:textId="77777777" w:rsidR="006E1071" w:rsidRPr="003D5753" w:rsidRDefault="006E1071" w:rsidP="00506BE7">
      <w:pPr>
        <w:pStyle w:val="FootnoteText"/>
        <w:spacing w:line="240" w:lineRule="auto"/>
        <w:rPr>
          <w:i/>
        </w:rPr>
      </w:pPr>
      <w:r>
        <w:rPr>
          <w:rStyle w:val="FootnoteReference"/>
        </w:rPr>
        <w:footnoteRef/>
      </w:r>
      <w:r>
        <w:t xml:space="preserve"> </w:t>
      </w:r>
      <w:r>
        <w:rPr>
          <w:i/>
        </w:rPr>
        <w:t xml:space="preserve">Fair Work Act 2009 </w:t>
      </w:r>
      <w:r w:rsidRPr="003D5753">
        <w:t>(</w:t>
      </w:r>
      <w:proofErr w:type="spellStart"/>
      <w:r w:rsidRPr="003D5753">
        <w:t>Cth</w:t>
      </w:r>
      <w:proofErr w:type="spellEnd"/>
      <w:r w:rsidRPr="003D5753">
        <w:t>)</w:t>
      </w:r>
      <w:r>
        <w:t xml:space="preserve"> section 570.</w:t>
      </w:r>
      <w:r>
        <w:rPr>
          <w:i/>
        </w:rPr>
        <w:t xml:space="preserve"> </w:t>
      </w:r>
    </w:p>
  </w:footnote>
  <w:footnote w:id="12">
    <w:p w14:paraId="65893ED4" w14:textId="77777777" w:rsidR="006E1071" w:rsidRDefault="006E1071" w:rsidP="007939C8">
      <w:pPr>
        <w:pStyle w:val="FootnoteText"/>
      </w:pPr>
      <w:r>
        <w:rPr>
          <w:rStyle w:val="FootnoteReference"/>
        </w:rPr>
        <w:footnoteRef/>
      </w:r>
      <w:r>
        <w:t xml:space="preserve"> National Pro Bono Resource Centre, </w:t>
      </w:r>
      <w:r w:rsidRPr="0004181F">
        <w:rPr>
          <w:i/>
        </w:rPr>
        <w:t>Engaging Retired and Career-Break Lawyers in Pro Bono</w:t>
      </w:r>
      <w:r>
        <w:t xml:space="preserve"> (February 2010), at 23. </w:t>
      </w:r>
    </w:p>
  </w:footnote>
  <w:footnote w:id="13">
    <w:p w14:paraId="5D3C2D2C" w14:textId="77777777" w:rsidR="006E1071" w:rsidRDefault="006E1071" w:rsidP="007939C8">
      <w:pPr>
        <w:pStyle w:val="FootnoteText"/>
      </w:pPr>
      <w:r>
        <w:rPr>
          <w:rStyle w:val="FootnoteReference"/>
        </w:rPr>
        <w:footnoteRef/>
      </w:r>
      <w:r>
        <w:t xml:space="preserve"> Ibid at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074ED" w14:textId="77777777" w:rsidR="006E1071" w:rsidRDefault="006E1071">
    <w:pPr>
      <w:pStyle w:val="Header"/>
    </w:pPr>
    <w:r>
      <w:rPr>
        <w:noProof/>
        <w:sz w:val="20"/>
        <w:lang w:eastAsia="en-AU"/>
      </w:rPr>
      <mc:AlternateContent>
        <mc:Choice Requires="wps">
          <w:drawing>
            <wp:anchor distT="0" distB="0" distL="114300" distR="114300" simplePos="0" relativeHeight="251657728" behindDoc="1" locked="1" layoutInCell="1" allowOverlap="1" wp14:anchorId="46D87EBA" wp14:editId="7A8288B2">
              <wp:simplePos x="0" y="0"/>
              <wp:positionH relativeFrom="margin">
                <wp:posOffset>4387850</wp:posOffset>
              </wp:positionH>
              <wp:positionV relativeFrom="paragraph">
                <wp:posOffset>1028700</wp:posOffset>
              </wp:positionV>
              <wp:extent cx="1586230" cy="912495"/>
              <wp:effectExtent l="0" t="0" r="13970" b="190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912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3015B1" w14:textId="77777777" w:rsidR="006E1071" w:rsidRDefault="006E1071">
                          <w:pPr>
                            <w:jc w:val="center"/>
                            <w:rPr>
                              <w:sz w:val="28"/>
                              <w:szCs w:val="28"/>
                            </w:rPr>
                          </w:pPr>
                        </w:p>
                        <w:p w14:paraId="37BCD263" w14:textId="77777777" w:rsidR="006E1071" w:rsidRPr="00265E45" w:rsidRDefault="006E1071">
                          <w:pPr>
                            <w:jc w:val="center"/>
                            <w:rPr>
                              <w:rFonts w:ascii="Optima LT Std" w:hAnsi="Optima LT Std"/>
                              <w:sz w:val="28"/>
                              <w:szCs w:val="28"/>
                            </w:rPr>
                          </w:pPr>
                          <w:r w:rsidRPr="00265E45">
                            <w:rPr>
                              <w:rFonts w:ascii="Optima LT Std" w:hAnsi="Optima LT Std"/>
                              <w:sz w:val="28"/>
                              <w:szCs w:val="28"/>
                            </w:rPr>
                            <w:t xml:space="preserve">KINGSFORD </w:t>
                          </w:r>
                        </w:p>
                        <w:p w14:paraId="61DFE473" w14:textId="77777777" w:rsidR="006E1071" w:rsidRPr="00265E45" w:rsidRDefault="006E1071" w:rsidP="007D1AF0">
                          <w:pPr>
                            <w:jc w:val="center"/>
                            <w:rPr>
                              <w:rFonts w:ascii="Optima LT Std" w:hAnsi="Optima LT Std"/>
                              <w:sz w:val="28"/>
                              <w:szCs w:val="28"/>
                            </w:rPr>
                          </w:pPr>
                          <w:r w:rsidRPr="00265E45">
                            <w:rPr>
                              <w:rFonts w:ascii="Optima LT Std" w:hAnsi="Optima LT Std"/>
                              <w:sz w:val="28"/>
                              <w:szCs w:val="28"/>
                            </w:rPr>
                            <w:t>LEGAL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9" o:spid="_x0000_s1026" style="position:absolute;margin-left:345.5pt;margin-top:81pt;width:124.9pt;height:71.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" filled="f" stroked="f" strokeweight="0">
              <v:textbox inset="0,0,0,0">
                <w:txbxContent>
                  <w:p w14:paraId="083015B1" w14:textId="77777777" w:rsidR="006E1071" w:rsidRDefault="006E1071">
                    <w:pPr>
                      <w:jc w:val="center"/>
                      <w:rPr>
                        <w:sz w:val="28"/>
                        <w:szCs w:val="28"/>
                      </w:rPr>
                    </w:pPr>
                  </w:p>
                  <w:p w14:paraId="37BCD263" w14:textId="77777777" w:rsidR="006E1071" w:rsidRPr="00265E45" w:rsidRDefault="006E1071">
                    <w:pPr>
                      <w:jc w:val="center"/>
                      <w:rPr>
                        <w:rFonts w:ascii="Optima LT Std" w:hAnsi="Optima LT Std"/>
                        <w:sz w:val="28"/>
                        <w:szCs w:val="28"/>
                      </w:rPr>
                    </w:pPr>
                    <w:r w:rsidRPr="00265E45">
                      <w:rPr>
                        <w:rFonts w:ascii="Optima LT Std" w:hAnsi="Optima LT Std"/>
                        <w:sz w:val="28"/>
                        <w:szCs w:val="28"/>
                      </w:rPr>
                      <w:t xml:space="preserve">KINGSFORD </w:t>
                    </w:r>
                  </w:p>
                  <w:p w14:paraId="61DFE473" w14:textId="77777777" w:rsidR="006E1071" w:rsidRPr="00265E45" w:rsidRDefault="006E1071" w:rsidP="007D1AF0">
                    <w:pPr>
                      <w:jc w:val="center"/>
                      <w:rPr>
                        <w:rFonts w:ascii="Optima LT Std" w:hAnsi="Optima LT Std"/>
                        <w:sz w:val="28"/>
                        <w:szCs w:val="28"/>
                      </w:rPr>
                    </w:pPr>
                    <w:r w:rsidRPr="00265E45">
                      <w:rPr>
                        <w:rFonts w:ascii="Optima LT Std" w:hAnsi="Optima LT Std"/>
                        <w:sz w:val="28"/>
                        <w:szCs w:val="28"/>
                      </w:rPr>
                      <w:t>LEGAL CENTRE</w:t>
                    </w:r>
                  </w:p>
                </w:txbxContent>
              </v:textbox>
              <w10:wrap anchorx="margin"/>
              <w10:anchorlock/>
            </v:rect>
          </w:pict>
        </mc:Fallback>
      </mc:AlternateContent>
    </w:r>
    <w:r>
      <w:rPr>
        <w:noProof/>
        <w:sz w:val="20"/>
        <w:lang w:eastAsia="en-AU"/>
      </w:rPr>
      <w:drawing>
        <wp:anchor distT="0" distB="0" distL="114300" distR="114300" simplePos="0" relativeHeight="251656704" behindDoc="1" locked="0" layoutInCell="1" allowOverlap="1" wp14:anchorId="7CC320C7" wp14:editId="64CD65E8">
          <wp:simplePos x="0" y="0"/>
          <wp:positionH relativeFrom="column">
            <wp:posOffset>4343400</wp:posOffset>
          </wp:positionH>
          <wp:positionV relativeFrom="paragraph">
            <wp:posOffset>-226695</wp:posOffset>
          </wp:positionV>
          <wp:extent cx="1687195" cy="1135380"/>
          <wp:effectExtent l="0" t="0" r="8255"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403" r="-403"/>
                  <a:stretch>
                    <a:fillRect/>
                  </a:stretch>
                </pic:blipFill>
                <pic:spPr bwMode="auto">
                  <a:xfrm>
                    <a:off x="0" y="0"/>
                    <a:ext cx="1687195" cy="11353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Times New Roman" w:hAnsi="Times New Roman"/>
        <w:color w:val="000000"/>
        <w:sz w:val="20"/>
      </w:rPr>
    </w:lvl>
  </w:abstractNum>
  <w:abstractNum w:abstractNumId="1">
    <w:nsid w:val="026C1ABD"/>
    <w:multiLevelType w:val="hybridMultilevel"/>
    <w:tmpl w:val="02782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821845"/>
    <w:multiLevelType w:val="multilevel"/>
    <w:tmpl w:val="64E0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C2968"/>
    <w:multiLevelType w:val="hybridMultilevel"/>
    <w:tmpl w:val="486A5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F73BAE"/>
    <w:multiLevelType w:val="hybridMultilevel"/>
    <w:tmpl w:val="653C2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3228DA"/>
    <w:multiLevelType w:val="hybridMultilevel"/>
    <w:tmpl w:val="3306E8D2"/>
    <w:lvl w:ilvl="0" w:tplc="F3024B9C">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5F022D"/>
    <w:multiLevelType w:val="hybridMultilevel"/>
    <w:tmpl w:val="6DCCC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5F5D6A"/>
    <w:multiLevelType w:val="hybridMultilevel"/>
    <w:tmpl w:val="0BC4E20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
    <w:nsid w:val="18715299"/>
    <w:multiLevelType w:val="hybridMultilevel"/>
    <w:tmpl w:val="8514D972"/>
    <w:lvl w:ilvl="0" w:tplc="7E8EB2CA">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356F3E"/>
    <w:multiLevelType w:val="hybridMultilevel"/>
    <w:tmpl w:val="83C24E8A"/>
    <w:lvl w:ilvl="0" w:tplc="E0360112">
      <w:numFmt w:val="bullet"/>
      <w:lvlText w:val="-"/>
      <w:lvlJc w:val="left"/>
      <w:pPr>
        <w:ind w:left="720" w:hanging="360"/>
      </w:pPr>
      <w:rPr>
        <w:rFonts w:ascii="Arial" w:eastAsia="Malgun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BB64C63"/>
    <w:multiLevelType w:val="hybridMultilevel"/>
    <w:tmpl w:val="EDF2FB8E"/>
    <w:lvl w:ilvl="0" w:tplc="1398EE42">
      <w:start w:val="1"/>
      <w:numFmt w:val="lowerLetter"/>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41736DE"/>
    <w:multiLevelType w:val="hybridMultilevel"/>
    <w:tmpl w:val="5C709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2D0C75"/>
    <w:multiLevelType w:val="hybridMultilevel"/>
    <w:tmpl w:val="4F9223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9EA242E"/>
    <w:multiLevelType w:val="hybridMultilevel"/>
    <w:tmpl w:val="3F9CD5B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4">
    <w:nsid w:val="302110AA"/>
    <w:multiLevelType w:val="hybridMultilevel"/>
    <w:tmpl w:val="E8129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CF84123"/>
    <w:multiLevelType w:val="hybridMultilevel"/>
    <w:tmpl w:val="30604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6F5865"/>
    <w:multiLevelType w:val="hybridMultilevel"/>
    <w:tmpl w:val="C0FE4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69347BB"/>
    <w:multiLevelType w:val="hybridMultilevel"/>
    <w:tmpl w:val="0CA2E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AA2442"/>
    <w:multiLevelType w:val="hybridMultilevel"/>
    <w:tmpl w:val="6D5E36A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9">
    <w:nsid w:val="49521B84"/>
    <w:multiLevelType w:val="hybridMultilevel"/>
    <w:tmpl w:val="9984E3BA"/>
    <w:lvl w:ilvl="0" w:tplc="DB46CF6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C3426D6"/>
    <w:multiLevelType w:val="hybridMultilevel"/>
    <w:tmpl w:val="1B58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DEE657A"/>
    <w:multiLevelType w:val="hybridMultilevel"/>
    <w:tmpl w:val="85A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C920DE"/>
    <w:multiLevelType w:val="hybridMultilevel"/>
    <w:tmpl w:val="72E65650"/>
    <w:lvl w:ilvl="0" w:tplc="A912A3C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C4708F"/>
    <w:multiLevelType w:val="hybridMultilevel"/>
    <w:tmpl w:val="F3C097D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nsid w:val="5AB231E1"/>
    <w:multiLevelType w:val="hybridMultilevel"/>
    <w:tmpl w:val="71DA1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C01B86"/>
    <w:multiLevelType w:val="hybridMultilevel"/>
    <w:tmpl w:val="2C62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9E01432"/>
    <w:multiLevelType w:val="hybridMultilevel"/>
    <w:tmpl w:val="18221F94"/>
    <w:lvl w:ilvl="0" w:tplc="E354BB0A">
      <w:numFmt w:val="bullet"/>
      <w:lvlText w:val="-"/>
      <w:lvlJc w:val="left"/>
      <w:pPr>
        <w:ind w:left="480" w:hanging="360"/>
      </w:pPr>
      <w:rPr>
        <w:rFonts w:ascii="Arial" w:eastAsia="Malgun Gothic" w:hAnsi="Arial" w:cs="Aria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28">
    <w:nsid w:val="79CA173D"/>
    <w:multiLevelType w:val="multilevel"/>
    <w:tmpl w:val="A1FA9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AFA0FD9"/>
    <w:multiLevelType w:val="hybridMultilevel"/>
    <w:tmpl w:val="7AF0B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BC33E57"/>
    <w:multiLevelType w:val="multilevel"/>
    <w:tmpl w:val="A1FA9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BD85510"/>
    <w:multiLevelType w:val="hybridMultilevel"/>
    <w:tmpl w:val="719A9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3">
    <w:nsid w:val="7F757A01"/>
    <w:multiLevelType w:val="hybridMultilevel"/>
    <w:tmpl w:val="3306E8D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2"/>
  </w:num>
  <w:num w:numId="3">
    <w:abstractNumId w:val="33"/>
  </w:num>
  <w:num w:numId="4">
    <w:abstractNumId w:val="19"/>
  </w:num>
  <w:num w:numId="5">
    <w:abstractNumId w:val="31"/>
  </w:num>
  <w:num w:numId="6">
    <w:abstractNumId w:val="8"/>
  </w:num>
  <w:num w:numId="7">
    <w:abstractNumId w:val="17"/>
  </w:num>
  <w:num w:numId="8">
    <w:abstractNumId w:val="1"/>
  </w:num>
  <w:num w:numId="9">
    <w:abstractNumId w:val="0"/>
  </w:num>
  <w:num w:numId="10">
    <w:abstractNumId w:val="7"/>
  </w:num>
  <w:num w:numId="11">
    <w:abstractNumId w:val="3"/>
  </w:num>
  <w:num w:numId="12">
    <w:abstractNumId w:val="9"/>
  </w:num>
  <w:num w:numId="13">
    <w:abstractNumId w:val="22"/>
  </w:num>
  <w:num w:numId="14">
    <w:abstractNumId w:val="25"/>
  </w:num>
  <w:num w:numId="15">
    <w:abstractNumId w:val="14"/>
  </w:num>
  <w:num w:numId="16">
    <w:abstractNumId w:val="27"/>
  </w:num>
  <w:num w:numId="17">
    <w:abstractNumId w:val="2"/>
  </w:num>
  <w:num w:numId="18">
    <w:abstractNumId w:val="6"/>
  </w:num>
  <w:num w:numId="19">
    <w:abstractNumId w:val="32"/>
  </w:num>
  <w:num w:numId="20">
    <w:abstractNumId w:val="20"/>
  </w:num>
  <w:num w:numId="21">
    <w:abstractNumId w:val="15"/>
  </w:num>
  <w:num w:numId="22">
    <w:abstractNumId w:val="26"/>
  </w:num>
  <w:num w:numId="23">
    <w:abstractNumId w:val="28"/>
  </w:num>
  <w:num w:numId="24">
    <w:abstractNumId w:val="4"/>
  </w:num>
  <w:num w:numId="25">
    <w:abstractNumId w:val="10"/>
  </w:num>
  <w:num w:numId="26">
    <w:abstractNumId w:val="18"/>
  </w:num>
  <w:num w:numId="27">
    <w:abstractNumId w:val="13"/>
  </w:num>
  <w:num w:numId="28">
    <w:abstractNumId w:val="30"/>
  </w:num>
  <w:num w:numId="29">
    <w:abstractNumId w:val="11"/>
  </w:num>
  <w:num w:numId="30">
    <w:abstractNumId w:val="16"/>
  </w:num>
  <w:num w:numId="31">
    <w:abstractNumId w:val="23"/>
  </w:num>
  <w:num w:numId="32">
    <w:abstractNumId w:val="29"/>
  </w:num>
  <w:num w:numId="33">
    <w:abstractNumId w:val="2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1B"/>
    <w:rsid w:val="0001070A"/>
    <w:rsid w:val="00023A39"/>
    <w:rsid w:val="000255B3"/>
    <w:rsid w:val="0004022C"/>
    <w:rsid w:val="00054587"/>
    <w:rsid w:val="00073908"/>
    <w:rsid w:val="00073DEE"/>
    <w:rsid w:val="00075310"/>
    <w:rsid w:val="00075E21"/>
    <w:rsid w:val="00084187"/>
    <w:rsid w:val="00087E17"/>
    <w:rsid w:val="0009065B"/>
    <w:rsid w:val="000910AA"/>
    <w:rsid w:val="00095E11"/>
    <w:rsid w:val="0009683C"/>
    <w:rsid w:val="000B2DFF"/>
    <w:rsid w:val="000B6684"/>
    <w:rsid w:val="000C04BF"/>
    <w:rsid w:val="000D1279"/>
    <w:rsid w:val="000D4582"/>
    <w:rsid w:val="000D45E3"/>
    <w:rsid w:val="000E6606"/>
    <w:rsid w:val="00110797"/>
    <w:rsid w:val="00112BEB"/>
    <w:rsid w:val="001146F5"/>
    <w:rsid w:val="00116C26"/>
    <w:rsid w:val="00117BBC"/>
    <w:rsid w:val="00124B17"/>
    <w:rsid w:val="001335CB"/>
    <w:rsid w:val="0014446F"/>
    <w:rsid w:val="0016465D"/>
    <w:rsid w:val="0017506A"/>
    <w:rsid w:val="001A4B27"/>
    <w:rsid w:val="001A56A0"/>
    <w:rsid w:val="001A5A63"/>
    <w:rsid w:val="001D3E0A"/>
    <w:rsid w:val="001E1711"/>
    <w:rsid w:val="001E24E4"/>
    <w:rsid w:val="001E2F69"/>
    <w:rsid w:val="001F7B68"/>
    <w:rsid w:val="002041C4"/>
    <w:rsid w:val="00223868"/>
    <w:rsid w:val="00226364"/>
    <w:rsid w:val="00226FBE"/>
    <w:rsid w:val="002440BE"/>
    <w:rsid w:val="00252266"/>
    <w:rsid w:val="002608B7"/>
    <w:rsid w:val="0026428A"/>
    <w:rsid w:val="00265E45"/>
    <w:rsid w:val="0027426F"/>
    <w:rsid w:val="00285E42"/>
    <w:rsid w:val="0029554B"/>
    <w:rsid w:val="00297989"/>
    <w:rsid w:val="002A0742"/>
    <w:rsid w:val="002A5C68"/>
    <w:rsid w:val="002C02A4"/>
    <w:rsid w:val="002E00D7"/>
    <w:rsid w:val="002E719C"/>
    <w:rsid w:val="002F0C6F"/>
    <w:rsid w:val="002F629B"/>
    <w:rsid w:val="003017B7"/>
    <w:rsid w:val="003457AC"/>
    <w:rsid w:val="00363E13"/>
    <w:rsid w:val="00371430"/>
    <w:rsid w:val="00377C30"/>
    <w:rsid w:val="00384376"/>
    <w:rsid w:val="003907BF"/>
    <w:rsid w:val="003A0782"/>
    <w:rsid w:val="003B13C1"/>
    <w:rsid w:val="003B1882"/>
    <w:rsid w:val="003B3148"/>
    <w:rsid w:val="003B3DF7"/>
    <w:rsid w:val="003C14AF"/>
    <w:rsid w:val="003C65E9"/>
    <w:rsid w:val="003D5753"/>
    <w:rsid w:val="003F4B82"/>
    <w:rsid w:val="003F5130"/>
    <w:rsid w:val="003F6ABB"/>
    <w:rsid w:val="0040387E"/>
    <w:rsid w:val="00406FB4"/>
    <w:rsid w:val="00407A58"/>
    <w:rsid w:val="004148C1"/>
    <w:rsid w:val="00417941"/>
    <w:rsid w:val="00421146"/>
    <w:rsid w:val="00422464"/>
    <w:rsid w:val="00422476"/>
    <w:rsid w:val="00442E69"/>
    <w:rsid w:val="004753EF"/>
    <w:rsid w:val="00475753"/>
    <w:rsid w:val="00476928"/>
    <w:rsid w:val="00476ABE"/>
    <w:rsid w:val="00494B27"/>
    <w:rsid w:val="0049779A"/>
    <w:rsid w:val="004B32CA"/>
    <w:rsid w:val="004B6C62"/>
    <w:rsid w:val="004C4DA5"/>
    <w:rsid w:val="004D0C7A"/>
    <w:rsid w:val="004E0793"/>
    <w:rsid w:val="004E471F"/>
    <w:rsid w:val="004F4697"/>
    <w:rsid w:val="00506BE7"/>
    <w:rsid w:val="005146B6"/>
    <w:rsid w:val="0054063B"/>
    <w:rsid w:val="0054465F"/>
    <w:rsid w:val="00571397"/>
    <w:rsid w:val="00581E38"/>
    <w:rsid w:val="00584EB5"/>
    <w:rsid w:val="00596D51"/>
    <w:rsid w:val="005A53BF"/>
    <w:rsid w:val="005A6C3C"/>
    <w:rsid w:val="005C7C5A"/>
    <w:rsid w:val="005D2AD0"/>
    <w:rsid w:val="005E393B"/>
    <w:rsid w:val="005E4AAF"/>
    <w:rsid w:val="005E6C1B"/>
    <w:rsid w:val="00617FD7"/>
    <w:rsid w:val="00623A7A"/>
    <w:rsid w:val="00625859"/>
    <w:rsid w:val="00633CE1"/>
    <w:rsid w:val="006346E3"/>
    <w:rsid w:val="006374F6"/>
    <w:rsid w:val="006411EA"/>
    <w:rsid w:val="00644623"/>
    <w:rsid w:val="00667DEC"/>
    <w:rsid w:val="00673B88"/>
    <w:rsid w:val="0067537C"/>
    <w:rsid w:val="006758CB"/>
    <w:rsid w:val="006A45ED"/>
    <w:rsid w:val="006A639B"/>
    <w:rsid w:val="006C4103"/>
    <w:rsid w:val="006D0039"/>
    <w:rsid w:val="006D3941"/>
    <w:rsid w:val="006E0A70"/>
    <w:rsid w:val="006E0D4F"/>
    <w:rsid w:val="006E1071"/>
    <w:rsid w:val="006E1248"/>
    <w:rsid w:val="00702972"/>
    <w:rsid w:val="007046A0"/>
    <w:rsid w:val="00712F38"/>
    <w:rsid w:val="00714478"/>
    <w:rsid w:val="007150DF"/>
    <w:rsid w:val="00722881"/>
    <w:rsid w:val="00727C0E"/>
    <w:rsid w:val="00736AAA"/>
    <w:rsid w:val="0075458A"/>
    <w:rsid w:val="0078066A"/>
    <w:rsid w:val="0078069B"/>
    <w:rsid w:val="00781E86"/>
    <w:rsid w:val="007939C8"/>
    <w:rsid w:val="00793C00"/>
    <w:rsid w:val="00794EFD"/>
    <w:rsid w:val="00795429"/>
    <w:rsid w:val="007B143F"/>
    <w:rsid w:val="007B1A7D"/>
    <w:rsid w:val="007B284C"/>
    <w:rsid w:val="007B51EB"/>
    <w:rsid w:val="007B69C3"/>
    <w:rsid w:val="007C6D1D"/>
    <w:rsid w:val="007D1AF0"/>
    <w:rsid w:val="007F0579"/>
    <w:rsid w:val="007F0752"/>
    <w:rsid w:val="00802F29"/>
    <w:rsid w:val="008065DD"/>
    <w:rsid w:val="00834613"/>
    <w:rsid w:val="008424F4"/>
    <w:rsid w:val="00847B03"/>
    <w:rsid w:val="00873447"/>
    <w:rsid w:val="00881E58"/>
    <w:rsid w:val="00894BED"/>
    <w:rsid w:val="008A7B5A"/>
    <w:rsid w:val="008B6E30"/>
    <w:rsid w:val="008C3182"/>
    <w:rsid w:val="008D03CD"/>
    <w:rsid w:val="008E00D1"/>
    <w:rsid w:val="008F0A33"/>
    <w:rsid w:val="00916053"/>
    <w:rsid w:val="0091737D"/>
    <w:rsid w:val="009203B2"/>
    <w:rsid w:val="009344D8"/>
    <w:rsid w:val="00937121"/>
    <w:rsid w:val="00937A9A"/>
    <w:rsid w:val="0095092D"/>
    <w:rsid w:val="009603D2"/>
    <w:rsid w:val="00962E87"/>
    <w:rsid w:val="00966A08"/>
    <w:rsid w:val="00970404"/>
    <w:rsid w:val="00981C17"/>
    <w:rsid w:val="00986F49"/>
    <w:rsid w:val="00990659"/>
    <w:rsid w:val="00997E11"/>
    <w:rsid w:val="009A2824"/>
    <w:rsid w:val="009A2BAC"/>
    <w:rsid w:val="009A5F6F"/>
    <w:rsid w:val="009A6B78"/>
    <w:rsid w:val="009A7234"/>
    <w:rsid w:val="009A7FED"/>
    <w:rsid w:val="009B05D3"/>
    <w:rsid w:val="009B4D52"/>
    <w:rsid w:val="009D4081"/>
    <w:rsid w:val="009D7AAD"/>
    <w:rsid w:val="009E347D"/>
    <w:rsid w:val="009F08CF"/>
    <w:rsid w:val="009F190E"/>
    <w:rsid w:val="00A0783F"/>
    <w:rsid w:val="00A159AE"/>
    <w:rsid w:val="00A236B7"/>
    <w:rsid w:val="00A318CB"/>
    <w:rsid w:val="00A52095"/>
    <w:rsid w:val="00A61DFF"/>
    <w:rsid w:val="00A82013"/>
    <w:rsid w:val="00A86BC6"/>
    <w:rsid w:val="00A87E14"/>
    <w:rsid w:val="00A95CBC"/>
    <w:rsid w:val="00A9645E"/>
    <w:rsid w:val="00AA20F7"/>
    <w:rsid w:val="00AA5B25"/>
    <w:rsid w:val="00AA7455"/>
    <w:rsid w:val="00AB0201"/>
    <w:rsid w:val="00AB0C67"/>
    <w:rsid w:val="00AB6299"/>
    <w:rsid w:val="00AC3BD2"/>
    <w:rsid w:val="00AC477C"/>
    <w:rsid w:val="00AE0314"/>
    <w:rsid w:val="00AE0857"/>
    <w:rsid w:val="00AE2692"/>
    <w:rsid w:val="00AE4C64"/>
    <w:rsid w:val="00AE6969"/>
    <w:rsid w:val="00AF1B5F"/>
    <w:rsid w:val="00B11CD6"/>
    <w:rsid w:val="00B1676B"/>
    <w:rsid w:val="00B268AA"/>
    <w:rsid w:val="00B4183A"/>
    <w:rsid w:val="00B54977"/>
    <w:rsid w:val="00B65F85"/>
    <w:rsid w:val="00B70CAC"/>
    <w:rsid w:val="00B83230"/>
    <w:rsid w:val="00B86CC1"/>
    <w:rsid w:val="00B87FB3"/>
    <w:rsid w:val="00B91DA5"/>
    <w:rsid w:val="00B95364"/>
    <w:rsid w:val="00BA2E37"/>
    <w:rsid w:val="00BA6E18"/>
    <w:rsid w:val="00BA757F"/>
    <w:rsid w:val="00BD3655"/>
    <w:rsid w:val="00BD4141"/>
    <w:rsid w:val="00C02EC5"/>
    <w:rsid w:val="00C15C68"/>
    <w:rsid w:val="00C20E27"/>
    <w:rsid w:val="00C317D4"/>
    <w:rsid w:val="00C45753"/>
    <w:rsid w:val="00C82529"/>
    <w:rsid w:val="00C90017"/>
    <w:rsid w:val="00C91607"/>
    <w:rsid w:val="00CA1C36"/>
    <w:rsid w:val="00CC407D"/>
    <w:rsid w:val="00CD1059"/>
    <w:rsid w:val="00CD3F53"/>
    <w:rsid w:val="00CD6858"/>
    <w:rsid w:val="00CE3EB5"/>
    <w:rsid w:val="00CE69F7"/>
    <w:rsid w:val="00CE7367"/>
    <w:rsid w:val="00CF19B9"/>
    <w:rsid w:val="00CF318A"/>
    <w:rsid w:val="00D22E2F"/>
    <w:rsid w:val="00D242D2"/>
    <w:rsid w:val="00D24C00"/>
    <w:rsid w:val="00D25600"/>
    <w:rsid w:val="00D339A4"/>
    <w:rsid w:val="00D44AA9"/>
    <w:rsid w:val="00D60213"/>
    <w:rsid w:val="00D60D65"/>
    <w:rsid w:val="00D626C5"/>
    <w:rsid w:val="00D67431"/>
    <w:rsid w:val="00D754EE"/>
    <w:rsid w:val="00D815AC"/>
    <w:rsid w:val="00D8578F"/>
    <w:rsid w:val="00D91D0C"/>
    <w:rsid w:val="00DA1CB4"/>
    <w:rsid w:val="00DA7320"/>
    <w:rsid w:val="00DB32BE"/>
    <w:rsid w:val="00DB6871"/>
    <w:rsid w:val="00DC1165"/>
    <w:rsid w:val="00DC2831"/>
    <w:rsid w:val="00DC7D94"/>
    <w:rsid w:val="00DD6DF2"/>
    <w:rsid w:val="00DE13F9"/>
    <w:rsid w:val="00DE7169"/>
    <w:rsid w:val="00DF1A8C"/>
    <w:rsid w:val="00E010C1"/>
    <w:rsid w:val="00E1107A"/>
    <w:rsid w:val="00E116FD"/>
    <w:rsid w:val="00E24E41"/>
    <w:rsid w:val="00E30752"/>
    <w:rsid w:val="00E320F5"/>
    <w:rsid w:val="00E32699"/>
    <w:rsid w:val="00E61D28"/>
    <w:rsid w:val="00E703DD"/>
    <w:rsid w:val="00E9757B"/>
    <w:rsid w:val="00EB653F"/>
    <w:rsid w:val="00EC0CF4"/>
    <w:rsid w:val="00EC172C"/>
    <w:rsid w:val="00ED0ECF"/>
    <w:rsid w:val="00ED2920"/>
    <w:rsid w:val="00EE0BE6"/>
    <w:rsid w:val="00EE5132"/>
    <w:rsid w:val="00EF495A"/>
    <w:rsid w:val="00F169E3"/>
    <w:rsid w:val="00F33B71"/>
    <w:rsid w:val="00F3563A"/>
    <w:rsid w:val="00F475C5"/>
    <w:rsid w:val="00F525D5"/>
    <w:rsid w:val="00F55A8F"/>
    <w:rsid w:val="00F56618"/>
    <w:rsid w:val="00F618DF"/>
    <w:rsid w:val="00F63DB8"/>
    <w:rsid w:val="00F6495D"/>
    <w:rsid w:val="00F72202"/>
    <w:rsid w:val="00F803BC"/>
    <w:rsid w:val="00F84D60"/>
    <w:rsid w:val="00F85590"/>
    <w:rsid w:val="00F96C0A"/>
    <w:rsid w:val="00F97BB3"/>
    <w:rsid w:val="00FC3878"/>
    <w:rsid w:val="00FF4054"/>
    <w:rsid w:val="00FF571A"/>
  </w:rsids>
  <m:mathPr>
    <m:mathFont m:val="Cambria Math"/>
    <m:brkBin m:val="before"/>
    <m:brkBinSub m:val="--"/>
    <m:smallFrac/>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1F95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C1B"/>
    <w:pPr>
      <w:spacing w:after="200" w:line="276" w:lineRule="auto"/>
    </w:pPr>
    <w:rPr>
      <w:rFonts w:ascii="Calibri" w:eastAsia="Malgun Gothic" w:hAnsi="Calibri"/>
      <w:sz w:val="22"/>
      <w:szCs w:val="22"/>
      <w:lang w:eastAsia="ko-KR"/>
    </w:rPr>
  </w:style>
  <w:style w:type="paragraph" w:styleId="Heading1">
    <w:name w:val="heading 1"/>
    <w:basedOn w:val="Normal"/>
    <w:next w:val="Normal"/>
    <w:qFormat/>
    <w:pPr>
      <w:keepNext/>
      <w:spacing w:after="0" w:line="240" w:lineRule="auto"/>
      <w:outlineLvl w:val="0"/>
    </w:pPr>
    <w:rPr>
      <w:rFonts w:ascii="Times New Roman" w:eastAsia="Times New Roman" w:hAnsi="Times New Roman"/>
      <w:b/>
      <w:bCs/>
      <w:sz w:val="24"/>
      <w:szCs w:val="20"/>
      <w:lang w:eastAsia="en-US"/>
    </w:rPr>
  </w:style>
  <w:style w:type="paragraph" w:styleId="Heading2">
    <w:name w:val="heading 2"/>
    <w:basedOn w:val="Normal"/>
    <w:next w:val="Normal"/>
    <w:qFormat/>
    <w:pPr>
      <w:keepNext/>
      <w:widowControl w:val="0"/>
      <w:autoSpaceDE w:val="0"/>
      <w:autoSpaceDN w:val="0"/>
      <w:adjustRightInd w:val="0"/>
      <w:spacing w:after="0" w:line="240" w:lineRule="auto"/>
      <w:jc w:val="both"/>
      <w:outlineLvl w:val="1"/>
    </w:pPr>
    <w:rPr>
      <w:rFonts w:ascii="Times New Roman" w:eastAsia="Times New Roman" w:hAnsi="Times New Roman"/>
      <w:i/>
      <w:iCs/>
      <w:sz w:val="20"/>
      <w:szCs w:val="20"/>
      <w:lang w:eastAsia="en-US"/>
    </w:rPr>
  </w:style>
  <w:style w:type="paragraph" w:styleId="Heading3">
    <w:name w:val="heading 3"/>
    <w:basedOn w:val="Normal"/>
    <w:next w:val="Normal"/>
    <w:qFormat/>
    <w:rsid w:val="007C6D1D"/>
    <w:pPr>
      <w:keepNext/>
      <w:spacing w:after="0" w:line="240" w:lineRule="auto"/>
      <w:outlineLvl w:val="2"/>
    </w:pPr>
    <w:rPr>
      <w:rFonts w:ascii="Trebuchet MS" w:eastAsia="Times New Roman" w:hAnsi="Trebuchet MS"/>
      <w:sz w:val="3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sz w:val="24"/>
      <w:szCs w:val="20"/>
      <w:lang w:eastAsia="en-US"/>
    </w:rPr>
  </w:style>
  <w:style w:type="paragraph" w:styleId="Footer">
    <w:name w:val="footer"/>
    <w:basedOn w:val="Normal"/>
    <w:link w:val="FooterChar"/>
    <w:uiPriority w:val="99"/>
    <w:pPr>
      <w:tabs>
        <w:tab w:val="center" w:pos="4153"/>
        <w:tab w:val="right" w:pos="8306"/>
      </w:tabs>
      <w:spacing w:after="0" w:line="240" w:lineRule="auto"/>
    </w:pPr>
    <w:rPr>
      <w:rFonts w:ascii="Times New Roman" w:eastAsia="Times New Roman" w:hAnsi="Times New Roman"/>
      <w:sz w:val="24"/>
      <w:szCs w:val="20"/>
      <w:lang w:eastAsia="en-US"/>
    </w:rPr>
  </w:style>
  <w:style w:type="paragraph" w:styleId="Date">
    <w:name w:val="Date"/>
    <w:basedOn w:val="Normal"/>
    <w:next w:val="Normal"/>
    <w:link w:val="DateChar"/>
    <w:rsid w:val="00781E86"/>
    <w:pPr>
      <w:spacing w:after="0" w:line="240" w:lineRule="auto"/>
    </w:pPr>
    <w:rPr>
      <w:rFonts w:ascii="Times New Roman" w:eastAsia="Times New Roman" w:hAnsi="Times New Roman"/>
      <w:sz w:val="24"/>
      <w:szCs w:val="20"/>
      <w:lang w:eastAsia="en-US"/>
    </w:rPr>
  </w:style>
  <w:style w:type="character" w:customStyle="1" w:styleId="DateChar">
    <w:name w:val="Date Char"/>
    <w:basedOn w:val="DefaultParagraphFont"/>
    <w:link w:val="Date"/>
    <w:rsid w:val="00781E86"/>
    <w:rPr>
      <w:sz w:val="24"/>
      <w:lang w:eastAsia="en-US"/>
    </w:rPr>
  </w:style>
  <w:style w:type="character" w:styleId="Hyperlink">
    <w:name w:val="Hyperlink"/>
    <w:uiPriority w:val="99"/>
    <w:unhideWhenUsed/>
    <w:rsid w:val="005E6C1B"/>
    <w:rPr>
      <w:color w:val="0000FF"/>
      <w:u w:val="single"/>
    </w:rPr>
  </w:style>
  <w:style w:type="character" w:customStyle="1" w:styleId="HeaderChar">
    <w:name w:val="Header Char"/>
    <w:basedOn w:val="DefaultParagraphFont"/>
    <w:link w:val="Header"/>
    <w:uiPriority w:val="99"/>
    <w:rsid w:val="00712F38"/>
    <w:rPr>
      <w:sz w:val="24"/>
      <w:lang w:eastAsia="en-US"/>
    </w:rPr>
  </w:style>
  <w:style w:type="paragraph" w:customStyle="1" w:styleId="Default">
    <w:name w:val="Default"/>
    <w:rsid w:val="0026428A"/>
    <w:pPr>
      <w:autoSpaceDE w:val="0"/>
      <w:autoSpaceDN w:val="0"/>
      <w:adjustRightInd w:val="0"/>
    </w:pPr>
    <w:rPr>
      <w:rFonts w:ascii="Arial" w:eastAsia="Calibri" w:hAnsi="Arial" w:cs="Arial"/>
      <w:color w:val="000000"/>
      <w:sz w:val="24"/>
      <w:szCs w:val="24"/>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rsid w:val="0026428A"/>
    <w:rPr>
      <w:rFonts w:eastAsia="Calibri"/>
      <w:sz w:val="20"/>
      <w:szCs w:val="20"/>
      <w:lang w:eastAsia="en-US"/>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26428A"/>
    <w:rPr>
      <w:rFonts w:ascii="Calibri" w:eastAsia="Calibri" w:hAnsi="Calibri"/>
      <w:lang w:eastAsia="en-US"/>
    </w:rPr>
  </w:style>
  <w:style w:type="character" w:styleId="FootnoteReference">
    <w:name w:val="footnote reference"/>
    <w:basedOn w:val="DefaultParagraphFont"/>
    <w:uiPriority w:val="99"/>
    <w:unhideWhenUsed/>
    <w:rsid w:val="0026428A"/>
    <w:rPr>
      <w:vertAlign w:val="superscript"/>
    </w:rPr>
  </w:style>
  <w:style w:type="character" w:customStyle="1" w:styleId="FooterChar">
    <w:name w:val="Footer Char"/>
    <w:basedOn w:val="DefaultParagraphFont"/>
    <w:link w:val="Footer"/>
    <w:uiPriority w:val="99"/>
    <w:rsid w:val="00E32699"/>
    <w:rPr>
      <w:sz w:val="24"/>
      <w:lang w:eastAsia="en-US"/>
    </w:rPr>
  </w:style>
  <w:style w:type="paragraph" w:styleId="BalloonText">
    <w:name w:val="Balloon Text"/>
    <w:basedOn w:val="Normal"/>
    <w:link w:val="BalloonTextChar"/>
    <w:rsid w:val="00E32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2699"/>
    <w:rPr>
      <w:rFonts w:ascii="Tahoma" w:eastAsia="Malgun Gothic" w:hAnsi="Tahoma" w:cs="Tahoma"/>
      <w:sz w:val="16"/>
      <w:szCs w:val="16"/>
      <w:lang w:eastAsia="ko-KR"/>
    </w:rPr>
  </w:style>
  <w:style w:type="paragraph" w:styleId="NormalWeb">
    <w:name w:val="Normal (Web)"/>
    <w:basedOn w:val="Normal"/>
    <w:uiPriority w:val="99"/>
    <w:rsid w:val="00421146"/>
    <w:pPr>
      <w:spacing w:beforeLines="1" w:afterLines="1" w:line="240" w:lineRule="auto"/>
    </w:pPr>
    <w:rPr>
      <w:rFonts w:ascii="Times" w:eastAsia="Cambria" w:hAnsi="Times"/>
      <w:sz w:val="20"/>
      <w:szCs w:val="20"/>
      <w:lang w:eastAsia="en-US"/>
    </w:rPr>
  </w:style>
  <w:style w:type="paragraph" w:styleId="ListParagraph">
    <w:name w:val="List Paragraph"/>
    <w:basedOn w:val="Normal"/>
    <w:uiPriority w:val="34"/>
    <w:qFormat/>
    <w:rsid w:val="00ED0ECF"/>
    <w:pPr>
      <w:ind w:left="720"/>
      <w:contextualSpacing/>
    </w:pPr>
  </w:style>
  <w:style w:type="paragraph" w:customStyle="1" w:styleId="InformationRequest">
    <w:name w:val="Information Request"/>
    <w:basedOn w:val="Normal"/>
    <w:next w:val="BodyText"/>
    <w:rsid w:val="008E00D1"/>
    <w:pPr>
      <w:keepLines/>
      <w:spacing w:before="360" w:after="120" w:line="320" w:lineRule="atLeast"/>
      <w:jc w:val="both"/>
    </w:pPr>
    <w:rPr>
      <w:rFonts w:ascii="Arial" w:eastAsia="Times New Roman" w:hAnsi="Arial"/>
      <w:i/>
      <w:sz w:val="24"/>
      <w:szCs w:val="20"/>
      <w:lang w:eastAsia="en-AU"/>
    </w:rPr>
  </w:style>
  <w:style w:type="paragraph" w:styleId="BodyText">
    <w:name w:val="Body Text"/>
    <w:basedOn w:val="Normal"/>
    <w:link w:val="BodyTextChar"/>
    <w:rsid w:val="008E00D1"/>
    <w:pPr>
      <w:spacing w:after="120"/>
    </w:pPr>
  </w:style>
  <w:style w:type="character" w:customStyle="1" w:styleId="BodyTextChar">
    <w:name w:val="Body Text Char"/>
    <w:basedOn w:val="DefaultParagraphFont"/>
    <w:link w:val="BodyText"/>
    <w:rsid w:val="008E00D1"/>
    <w:rPr>
      <w:rFonts w:ascii="Calibri" w:eastAsia="Malgun Gothic" w:hAnsi="Calibri"/>
      <w:sz w:val="22"/>
      <w:szCs w:val="22"/>
      <w:lang w:eastAsia="ko-KR"/>
    </w:rPr>
  </w:style>
  <w:style w:type="paragraph" w:customStyle="1" w:styleId="Rec">
    <w:name w:val="Rec"/>
    <w:basedOn w:val="BodyText"/>
    <w:link w:val="RecChar"/>
    <w:rsid w:val="0095092D"/>
    <w:pPr>
      <w:keepLines/>
      <w:spacing w:before="180" w:after="0" w:line="320" w:lineRule="atLeast"/>
      <w:jc w:val="both"/>
    </w:pPr>
    <w:rPr>
      <w:rFonts w:ascii="Times New Roman" w:eastAsia="Times New Roman" w:hAnsi="Times New Roman"/>
      <w:b/>
      <w:i/>
      <w:sz w:val="26"/>
      <w:szCs w:val="20"/>
      <w:lang w:eastAsia="en-AU"/>
    </w:rPr>
  </w:style>
  <w:style w:type="character" w:customStyle="1" w:styleId="RecChar">
    <w:name w:val="Rec Char"/>
    <w:link w:val="Rec"/>
    <w:rsid w:val="0095092D"/>
    <w:rPr>
      <w:b/>
      <w:i/>
      <w:sz w:val="26"/>
    </w:rPr>
  </w:style>
  <w:style w:type="paragraph" w:customStyle="1" w:styleId="RecBullet">
    <w:name w:val="Rec Bullet"/>
    <w:basedOn w:val="Rec"/>
    <w:rsid w:val="00FF571A"/>
    <w:pPr>
      <w:numPr>
        <w:numId w:val="19"/>
      </w:numPr>
      <w:spacing w:before="80"/>
    </w:pPr>
  </w:style>
  <w:style w:type="paragraph" w:customStyle="1" w:styleId="InformationRequestBullet">
    <w:name w:val="Information Request Bullet"/>
    <w:basedOn w:val="ListBullet"/>
    <w:next w:val="BodyText"/>
    <w:rsid w:val="003F5130"/>
    <w:pPr>
      <w:spacing w:before="120" w:after="0" w:line="320" w:lineRule="atLeast"/>
      <w:ind w:left="340" w:hanging="340"/>
      <w:contextualSpacing w:val="0"/>
      <w:jc w:val="both"/>
    </w:pPr>
    <w:rPr>
      <w:rFonts w:ascii="Arial" w:eastAsia="Times New Roman" w:hAnsi="Arial"/>
      <w:i/>
      <w:sz w:val="24"/>
      <w:szCs w:val="20"/>
      <w:lang w:eastAsia="en-AU"/>
    </w:rPr>
  </w:style>
  <w:style w:type="paragraph" w:styleId="ListBullet">
    <w:name w:val="List Bullet"/>
    <w:basedOn w:val="Normal"/>
    <w:rsid w:val="003F5130"/>
    <w:pPr>
      <w:ind w:left="360" w:hanging="360"/>
      <w:contextualSpacing/>
    </w:pPr>
  </w:style>
  <w:style w:type="paragraph" w:customStyle="1" w:styleId="paragraph">
    <w:name w:val="paragraph"/>
    <w:basedOn w:val="Normal"/>
    <w:rsid w:val="003D575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sub">
    <w:name w:val="paragraphsub"/>
    <w:basedOn w:val="Normal"/>
    <w:rsid w:val="003D5753"/>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rsid w:val="009A6B78"/>
    <w:rPr>
      <w:sz w:val="16"/>
      <w:szCs w:val="16"/>
    </w:rPr>
  </w:style>
  <w:style w:type="paragraph" w:styleId="CommentText">
    <w:name w:val="annotation text"/>
    <w:basedOn w:val="Normal"/>
    <w:link w:val="CommentTextChar"/>
    <w:rsid w:val="009A6B78"/>
    <w:pPr>
      <w:spacing w:line="240" w:lineRule="auto"/>
    </w:pPr>
    <w:rPr>
      <w:sz w:val="20"/>
      <w:szCs w:val="20"/>
    </w:rPr>
  </w:style>
  <w:style w:type="character" w:customStyle="1" w:styleId="CommentTextChar">
    <w:name w:val="Comment Text Char"/>
    <w:basedOn w:val="DefaultParagraphFont"/>
    <w:link w:val="CommentText"/>
    <w:rsid w:val="009A6B78"/>
    <w:rPr>
      <w:rFonts w:ascii="Calibri" w:eastAsia="Malgun Gothic" w:hAnsi="Calibri"/>
      <w:lang w:eastAsia="ko-KR"/>
    </w:rPr>
  </w:style>
  <w:style w:type="paragraph" w:styleId="CommentSubject">
    <w:name w:val="annotation subject"/>
    <w:basedOn w:val="CommentText"/>
    <w:next w:val="CommentText"/>
    <w:link w:val="CommentSubjectChar"/>
    <w:rsid w:val="009A6B78"/>
    <w:rPr>
      <w:b/>
      <w:bCs/>
    </w:rPr>
  </w:style>
  <w:style w:type="character" w:customStyle="1" w:styleId="CommentSubjectChar">
    <w:name w:val="Comment Subject Char"/>
    <w:basedOn w:val="CommentTextChar"/>
    <w:link w:val="CommentSubject"/>
    <w:rsid w:val="009A6B78"/>
    <w:rPr>
      <w:rFonts w:ascii="Calibri" w:eastAsia="Malgun Gothic" w:hAnsi="Calibri"/>
      <w:b/>
      <w:bCs/>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C1B"/>
    <w:pPr>
      <w:spacing w:after="200" w:line="276" w:lineRule="auto"/>
    </w:pPr>
    <w:rPr>
      <w:rFonts w:ascii="Calibri" w:eastAsia="Malgun Gothic" w:hAnsi="Calibri"/>
      <w:sz w:val="22"/>
      <w:szCs w:val="22"/>
      <w:lang w:eastAsia="ko-KR"/>
    </w:rPr>
  </w:style>
  <w:style w:type="paragraph" w:styleId="Heading1">
    <w:name w:val="heading 1"/>
    <w:basedOn w:val="Normal"/>
    <w:next w:val="Normal"/>
    <w:qFormat/>
    <w:pPr>
      <w:keepNext/>
      <w:spacing w:after="0" w:line="240" w:lineRule="auto"/>
      <w:outlineLvl w:val="0"/>
    </w:pPr>
    <w:rPr>
      <w:rFonts w:ascii="Times New Roman" w:eastAsia="Times New Roman" w:hAnsi="Times New Roman"/>
      <w:b/>
      <w:bCs/>
      <w:sz w:val="24"/>
      <w:szCs w:val="20"/>
      <w:lang w:eastAsia="en-US"/>
    </w:rPr>
  </w:style>
  <w:style w:type="paragraph" w:styleId="Heading2">
    <w:name w:val="heading 2"/>
    <w:basedOn w:val="Normal"/>
    <w:next w:val="Normal"/>
    <w:qFormat/>
    <w:pPr>
      <w:keepNext/>
      <w:widowControl w:val="0"/>
      <w:autoSpaceDE w:val="0"/>
      <w:autoSpaceDN w:val="0"/>
      <w:adjustRightInd w:val="0"/>
      <w:spacing w:after="0" w:line="240" w:lineRule="auto"/>
      <w:jc w:val="both"/>
      <w:outlineLvl w:val="1"/>
    </w:pPr>
    <w:rPr>
      <w:rFonts w:ascii="Times New Roman" w:eastAsia="Times New Roman" w:hAnsi="Times New Roman"/>
      <w:i/>
      <w:iCs/>
      <w:sz w:val="20"/>
      <w:szCs w:val="20"/>
      <w:lang w:eastAsia="en-US"/>
    </w:rPr>
  </w:style>
  <w:style w:type="paragraph" w:styleId="Heading3">
    <w:name w:val="heading 3"/>
    <w:basedOn w:val="Normal"/>
    <w:next w:val="Normal"/>
    <w:qFormat/>
    <w:rsid w:val="007C6D1D"/>
    <w:pPr>
      <w:keepNext/>
      <w:spacing w:after="0" w:line="240" w:lineRule="auto"/>
      <w:outlineLvl w:val="2"/>
    </w:pPr>
    <w:rPr>
      <w:rFonts w:ascii="Trebuchet MS" w:eastAsia="Times New Roman" w:hAnsi="Trebuchet MS"/>
      <w:sz w:val="3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sz w:val="24"/>
      <w:szCs w:val="20"/>
      <w:lang w:eastAsia="en-US"/>
    </w:rPr>
  </w:style>
  <w:style w:type="paragraph" w:styleId="Footer">
    <w:name w:val="footer"/>
    <w:basedOn w:val="Normal"/>
    <w:link w:val="FooterChar"/>
    <w:uiPriority w:val="99"/>
    <w:pPr>
      <w:tabs>
        <w:tab w:val="center" w:pos="4153"/>
        <w:tab w:val="right" w:pos="8306"/>
      </w:tabs>
      <w:spacing w:after="0" w:line="240" w:lineRule="auto"/>
    </w:pPr>
    <w:rPr>
      <w:rFonts w:ascii="Times New Roman" w:eastAsia="Times New Roman" w:hAnsi="Times New Roman"/>
      <w:sz w:val="24"/>
      <w:szCs w:val="20"/>
      <w:lang w:eastAsia="en-US"/>
    </w:rPr>
  </w:style>
  <w:style w:type="paragraph" w:styleId="Date">
    <w:name w:val="Date"/>
    <w:basedOn w:val="Normal"/>
    <w:next w:val="Normal"/>
    <w:link w:val="DateChar"/>
    <w:rsid w:val="00781E86"/>
    <w:pPr>
      <w:spacing w:after="0" w:line="240" w:lineRule="auto"/>
    </w:pPr>
    <w:rPr>
      <w:rFonts w:ascii="Times New Roman" w:eastAsia="Times New Roman" w:hAnsi="Times New Roman"/>
      <w:sz w:val="24"/>
      <w:szCs w:val="20"/>
      <w:lang w:eastAsia="en-US"/>
    </w:rPr>
  </w:style>
  <w:style w:type="character" w:customStyle="1" w:styleId="DateChar">
    <w:name w:val="Date Char"/>
    <w:basedOn w:val="DefaultParagraphFont"/>
    <w:link w:val="Date"/>
    <w:rsid w:val="00781E86"/>
    <w:rPr>
      <w:sz w:val="24"/>
      <w:lang w:eastAsia="en-US"/>
    </w:rPr>
  </w:style>
  <w:style w:type="character" w:styleId="Hyperlink">
    <w:name w:val="Hyperlink"/>
    <w:uiPriority w:val="99"/>
    <w:unhideWhenUsed/>
    <w:rsid w:val="005E6C1B"/>
    <w:rPr>
      <w:color w:val="0000FF"/>
      <w:u w:val="single"/>
    </w:rPr>
  </w:style>
  <w:style w:type="character" w:customStyle="1" w:styleId="HeaderChar">
    <w:name w:val="Header Char"/>
    <w:basedOn w:val="DefaultParagraphFont"/>
    <w:link w:val="Header"/>
    <w:uiPriority w:val="99"/>
    <w:rsid w:val="00712F38"/>
    <w:rPr>
      <w:sz w:val="24"/>
      <w:lang w:eastAsia="en-US"/>
    </w:rPr>
  </w:style>
  <w:style w:type="paragraph" w:customStyle="1" w:styleId="Default">
    <w:name w:val="Default"/>
    <w:rsid w:val="0026428A"/>
    <w:pPr>
      <w:autoSpaceDE w:val="0"/>
      <w:autoSpaceDN w:val="0"/>
      <w:adjustRightInd w:val="0"/>
    </w:pPr>
    <w:rPr>
      <w:rFonts w:ascii="Arial" w:eastAsia="Calibri" w:hAnsi="Arial" w:cs="Arial"/>
      <w:color w:val="000000"/>
      <w:sz w:val="24"/>
      <w:szCs w:val="24"/>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rsid w:val="0026428A"/>
    <w:rPr>
      <w:rFonts w:eastAsia="Calibri"/>
      <w:sz w:val="20"/>
      <w:szCs w:val="20"/>
      <w:lang w:eastAsia="en-US"/>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26428A"/>
    <w:rPr>
      <w:rFonts w:ascii="Calibri" w:eastAsia="Calibri" w:hAnsi="Calibri"/>
      <w:lang w:eastAsia="en-US"/>
    </w:rPr>
  </w:style>
  <w:style w:type="character" w:styleId="FootnoteReference">
    <w:name w:val="footnote reference"/>
    <w:basedOn w:val="DefaultParagraphFont"/>
    <w:uiPriority w:val="99"/>
    <w:unhideWhenUsed/>
    <w:rsid w:val="0026428A"/>
    <w:rPr>
      <w:vertAlign w:val="superscript"/>
    </w:rPr>
  </w:style>
  <w:style w:type="character" w:customStyle="1" w:styleId="FooterChar">
    <w:name w:val="Footer Char"/>
    <w:basedOn w:val="DefaultParagraphFont"/>
    <w:link w:val="Footer"/>
    <w:uiPriority w:val="99"/>
    <w:rsid w:val="00E32699"/>
    <w:rPr>
      <w:sz w:val="24"/>
      <w:lang w:eastAsia="en-US"/>
    </w:rPr>
  </w:style>
  <w:style w:type="paragraph" w:styleId="BalloonText">
    <w:name w:val="Balloon Text"/>
    <w:basedOn w:val="Normal"/>
    <w:link w:val="BalloonTextChar"/>
    <w:rsid w:val="00E32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2699"/>
    <w:rPr>
      <w:rFonts w:ascii="Tahoma" w:eastAsia="Malgun Gothic" w:hAnsi="Tahoma" w:cs="Tahoma"/>
      <w:sz w:val="16"/>
      <w:szCs w:val="16"/>
      <w:lang w:eastAsia="ko-KR"/>
    </w:rPr>
  </w:style>
  <w:style w:type="paragraph" w:styleId="NormalWeb">
    <w:name w:val="Normal (Web)"/>
    <w:basedOn w:val="Normal"/>
    <w:uiPriority w:val="99"/>
    <w:rsid w:val="00421146"/>
    <w:pPr>
      <w:spacing w:beforeLines="1" w:afterLines="1" w:line="240" w:lineRule="auto"/>
    </w:pPr>
    <w:rPr>
      <w:rFonts w:ascii="Times" w:eastAsia="Cambria" w:hAnsi="Times"/>
      <w:sz w:val="20"/>
      <w:szCs w:val="20"/>
      <w:lang w:eastAsia="en-US"/>
    </w:rPr>
  </w:style>
  <w:style w:type="paragraph" w:styleId="ListParagraph">
    <w:name w:val="List Paragraph"/>
    <w:basedOn w:val="Normal"/>
    <w:uiPriority w:val="34"/>
    <w:qFormat/>
    <w:rsid w:val="00ED0ECF"/>
    <w:pPr>
      <w:ind w:left="720"/>
      <w:contextualSpacing/>
    </w:pPr>
  </w:style>
  <w:style w:type="paragraph" w:customStyle="1" w:styleId="InformationRequest">
    <w:name w:val="Information Request"/>
    <w:basedOn w:val="Normal"/>
    <w:next w:val="BodyText"/>
    <w:rsid w:val="008E00D1"/>
    <w:pPr>
      <w:keepLines/>
      <w:spacing w:before="360" w:after="120" w:line="320" w:lineRule="atLeast"/>
      <w:jc w:val="both"/>
    </w:pPr>
    <w:rPr>
      <w:rFonts w:ascii="Arial" w:eastAsia="Times New Roman" w:hAnsi="Arial"/>
      <w:i/>
      <w:sz w:val="24"/>
      <w:szCs w:val="20"/>
      <w:lang w:eastAsia="en-AU"/>
    </w:rPr>
  </w:style>
  <w:style w:type="paragraph" w:styleId="BodyText">
    <w:name w:val="Body Text"/>
    <w:basedOn w:val="Normal"/>
    <w:link w:val="BodyTextChar"/>
    <w:rsid w:val="008E00D1"/>
    <w:pPr>
      <w:spacing w:after="120"/>
    </w:pPr>
  </w:style>
  <w:style w:type="character" w:customStyle="1" w:styleId="BodyTextChar">
    <w:name w:val="Body Text Char"/>
    <w:basedOn w:val="DefaultParagraphFont"/>
    <w:link w:val="BodyText"/>
    <w:rsid w:val="008E00D1"/>
    <w:rPr>
      <w:rFonts w:ascii="Calibri" w:eastAsia="Malgun Gothic" w:hAnsi="Calibri"/>
      <w:sz w:val="22"/>
      <w:szCs w:val="22"/>
      <w:lang w:eastAsia="ko-KR"/>
    </w:rPr>
  </w:style>
  <w:style w:type="paragraph" w:customStyle="1" w:styleId="Rec">
    <w:name w:val="Rec"/>
    <w:basedOn w:val="BodyText"/>
    <w:link w:val="RecChar"/>
    <w:rsid w:val="0095092D"/>
    <w:pPr>
      <w:keepLines/>
      <w:spacing w:before="180" w:after="0" w:line="320" w:lineRule="atLeast"/>
      <w:jc w:val="both"/>
    </w:pPr>
    <w:rPr>
      <w:rFonts w:ascii="Times New Roman" w:eastAsia="Times New Roman" w:hAnsi="Times New Roman"/>
      <w:b/>
      <w:i/>
      <w:sz w:val="26"/>
      <w:szCs w:val="20"/>
      <w:lang w:eastAsia="en-AU"/>
    </w:rPr>
  </w:style>
  <w:style w:type="character" w:customStyle="1" w:styleId="RecChar">
    <w:name w:val="Rec Char"/>
    <w:link w:val="Rec"/>
    <w:rsid w:val="0095092D"/>
    <w:rPr>
      <w:b/>
      <w:i/>
      <w:sz w:val="26"/>
    </w:rPr>
  </w:style>
  <w:style w:type="paragraph" w:customStyle="1" w:styleId="RecBullet">
    <w:name w:val="Rec Bullet"/>
    <w:basedOn w:val="Rec"/>
    <w:rsid w:val="00FF571A"/>
    <w:pPr>
      <w:numPr>
        <w:numId w:val="19"/>
      </w:numPr>
      <w:spacing w:before="80"/>
    </w:pPr>
  </w:style>
  <w:style w:type="paragraph" w:customStyle="1" w:styleId="InformationRequestBullet">
    <w:name w:val="Information Request Bullet"/>
    <w:basedOn w:val="ListBullet"/>
    <w:next w:val="BodyText"/>
    <w:rsid w:val="003F5130"/>
    <w:pPr>
      <w:spacing w:before="120" w:after="0" w:line="320" w:lineRule="atLeast"/>
      <w:ind w:left="340" w:hanging="340"/>
      <w:contextualSpacing w:val="0"/>
      <w:jc w:val="both"/>
    </w:pPr>
    <w:rPr>
      <w:rFonts w:ascii="Arial" w:eastAsia="Times New Roman" w:hAnsi="Arial"/>
      <w:i/>
      <w:sz w:val="24"/>
      <w:szCs w:val="20"/>
      <w:lang w:eastAsia="en-AU"/>
    </w:rPr>
  </w:style>
  <w:style w:type="paragraph" w:styleId="ListBullet">
    <w:name w:val="List Bullet"/>
    <w:basedOn w:val="Normal"/>
    <w:rsid w:val="003F5130"/>
    <w:pPr>
      <w:ind w:left="360" w:hanging="360"/>
      <w:contextualSpacing/>
    </w:pPr>
  </w:style>
  <w:style w:type="paragraph" w:customStyle="1" w:styleId="paragraph">
    <w:name w:val="paragraph"/>
    <w:basedOn w:val="Normal"/>
    <w:rsid w:val="003D575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sub">
    <w:name w:val="paragraphsub"/>
    <w:basedOn w:val="Normal"/>
    <w:rsid w:val="003D5753"/>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rsid w:val="009A6B78"/>
    <w:rPr>
      <w:sz w:val="16"/>
      <w:szCs w:val="16"/>
    </w:rPr>
  </w:style>
  <w:style w:type="paragraph" w:styleId="CommentText">
    <w:name w:val="annotation text"/>
    <w:basedOn w:val="Normal"/>
    <w:link w:val="CommentTextChar"/>
    <w:rsid w:val="009A6B78"/>
    <w:pPr>
      <w:spacing w:line="240" w:lineRule="auto"/>
    </w:pPr>
    <w:rPr>
      <w:sz w:val="20"/>
      <w:szCs w:val="20"/>
    </w:rPr>
  </w:style>
  <w:style w:type="character" w:customStyle="1" w:styleId="CommentTextChar">
    <w:name w:val="Comment Text Char"/>
    <w:basedOn w:val="DefaultParagraphFont"/>
    <w:link w:val="CommentText"/>
    <w:rsid w:val="009A6B78"/>
    <w:rPr>
      <w:rFonts w:ascii="Calibri" w:eastAsia="Malgun Gothic" w:hAnsi="Calibri"/>
      <w:lang w:eastAsia="ko-KR"/>
    </w:rPr>
  </w:style>
  <w:style w:type="paragraph" w:styleId="CommentSubject">
    <w:name w:val="annotation subject"/>
    <w:basedOn w:val="CommentText"/>
    <w:next w:val="CommentText"/>
    <w:link w:val="CommentSubjectChar"/>
    <w:rsid w:val="009A6B78"/>
    <w:rPr>
      <w:b/>
      <w:bCs/>
    </w:rPr>
  </w:style>
  <w:style w:type="character" w:customStyle="1" w:styleId="CommentSubjectChar">
    <w:name w:val="Comment Subject Char"/>
    <w:basedOn w:val="CommentTextChar"/>
    <w:link w:val="CommentSubject"/>
    <w:rsid w:val="009A6B78"/>
    <w:rPr>
      <w:rFonts w:ascii="Calibri" w:eastAsia="Malgun Gothic" w:hAnsi="Calibri"/>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1484">
      <w:bodyDiv w:val="1"/>
      <w:marLeft w:val="0"/>
      <w:marRight w:val="0"/>
      <w:marTop w:val="0"/>
      <w:marBottom w:val="0"/>
      <w:divBdr>
        <w:top w:val="none" w:sz="0" w:space="0" w:color="auto"/>
        <w:left w:val="none" w:sz="0" w:space="0" w:color="auto"/>
        <w:bottom w:val="none" w:sz="0" w:space="0" w:color="auto"/>
        <w:right w:val="none" w:sz="0" w:space="0" w:color="auto"/>
      </w:divBdr>
    </w:div>
    <w:div w:id="229924016">
      <w:bodyDiv w:val="1"/>
      <w:marLeft w:val="0"/>
      <w:marRight w:val="0"/>
      <w:marTop w:val="0"/>
      <w:marBottom w:val="0"/>
      <w:divBdr>
        <w:top w:val="none" w:sz="0" w:space="0" w:color="auto"/>
        <w:left w:val="none" w:sz="0" w:space="0" w:color="auto"/>
        <w:bottom w:val="none" w:sz="0" w:space="0" w:color="auto"/>
        <w:right w:val="none" w:sz="0" w:space="0" w:color="auto"/>
      </w:divBdr>
    </w:div>
    <w:div w:id="235284520">
      <w:bodyDiv w:val="1"/>
      <w:marLeft w:val="0"/>
      <w:marRight w:val="0"/>
      <w:marTop w:val="0"/>
      <w:marBottom w:val="0"/>
      <w:divBdr>
        <w:top w:val="none" w:sz="0" w:space="0" w:color="auto"/>
        <w:left w:val="none" w:sz="0" w:space="0" w:color="auto"/>
        <w:bottom w:val="none" w:sz="0" w:space="0" w:color="auto"/>
        <w:right w:val="none" w:sz="0" w:space="0" w:color="auto"/>
      </w:divBdr>
    </w:div>
    <w:div w:id="606934699">
      <w:bodyDiv w:val="1"/>
      <w:marLeft w:val="0"/>
      <w:marRight w:val="0"/>
      <w:marTop w:val="0"/>
      <w:marBottom w:val="0"/>
      <w:divBdr>
        <w:top w:val="none" w:sz="0" w:space="0" w:color="auto"/>
        <w:left w:val="none" w:sz="0" w:space="0" w:color="auto"/>
        <w:bottom w:val="none" w:sz="0" w:space="0" w:color="auto"/>
        <w:right w:val="none" w:sz="0" w:space="0" w:color="auto"/>
      </w:divBdr>
    </w:div>
    <w:div w:id="1461805529">
      <w:bodyDiv w:val="1"/>
      <w:marLeft w:val="0"/>
      <w:marRight w:val="0"/>
      <w:marTop w:val="0"/>
      <w:marBottom w:val="0"/>
      <w:divBdr>
        <w:top w:val="none" w:sz="0" w:space="0" w:color="auto"/>
        <w:left w:val="none" w:sz="0" w:space="0" w:color="auto"/>
        <w:bottom w:val="none" w:sz="0" w:space="0" w:color="auto"/>
        <w:right w:val="none" w:sz="0" w:space="0" w:color="auto"/>
      </w:divBdr>
    </w:div>
    <w:div w:id="1553543140">
      <w:bodyDiv w:val="1"/>
      <w:marLeft w:val="0"/>
      <w:marRight w:val="0"/>
      <w:marTop w:val="0"/>
      <w:marBottom w:val="0"/>
      <w:divBdr>
        <w:top w:val="none" w:sz="0" w:space="0" w:color="auto"/>
        <w:left w:val="none" w:sz="0" w:space="0" w:color="auto"/>
        <w:bottom w:val="none" w:sz="0" w:space="0" w:color="auto"/>
        <w:right w:val="none" w:sz="0" w:space="0" w:color="auto"/>
      </w:divBdr>
    </w:div>
    <w:div w:id="1565599969">
      <w:bodyDiv w:val="1"/>
      <w:marLeft w:val="0"/>
      <w:marRight w:val="0"/>
      <w:marTop w:val="0"/>
      <w:marBottom w:val="0"/>
      <w:divBdr>
        <w:top w:val="none" w:sz="0" w:space="0" w:color="auto"/>
        <w:left w:val="none" w:sz="0" w:space="0" w:color="auto"/>
        <w:bottom w:val="none" w:sz="0" w:space="0" w:color="auto"/>
        <w:right w:val="none" w:sz="0" w:space="0" w:color="auto"/>
      </w:divBdr>
    </w:div>
    <w:div w:id="1578634577">
      <w:bodyDiv w:val="1"/>
      <w:marLeft w:val="0"/>
      <w:marRight w:val="0"/>
      <w:marTop w:val="0"/>
      <w:marBottom w:val="0"/>
      <w:divBdr>
        <w:top w:val="none" w:sz="0" w:space="0" w:color="auto"/>
        <w:left w:val="none" w:sz="0" w:space="0" w:color="auto"/>
        <w:bottom w:val="none" w:sz="0" w:space="0" w:color="auto"/>
        <w:right w:val="none" w:sz="0" w:space="0" w:color="auto"/>
      </w:divBdr>
    </w:div>
    <w:div w:id="1996102369">
      <w:bodyDiv w:val="1"/>
      <w:marLeft w:val="0"/>
      <w:marRight w:val="0"/>
      <w:marTop w:val="0"/>
      <w:marBottom w:val="0"/>
      <w:divBdr>
        <w:top w:val="none" w:sz="0" w:space="0" w:color="auto"/>
        <w:left w:val="none" w:sz="0" w:space="0" w:color="auto"/>
        <w:bottom w:val="none" w:sz="0" w:space="0" w:color="auto"/>
        <w:right w:val="none" w:sz="0" w:space="0" w:color="auto"/>
      </w:divBdr>
      <w:divsChild>
        <w:div w:id="1867596441">
          <w:marLeft w:val="0"/>
          <w:marRight w:val="0"/>
          <w:marTop w:val="0"/>
          <w:marBottom w:val="0"/>
          <w:divBdr>
            <w:top w:val="none" w:sz="0" w:space="0" w:color="auto"/>
            <w:left w:val="none" w:sz="0" w:space="0" w:color="auto"/>
            <w:bottom w:val="none" w:sz="0" w:space="0" w:color="auto"/>
            <w:right w:val="none" w:sz="0" w:space="0" w:color="auto"/>
          </w:divBdr>
          <w:divsChild>
            <w:div w:id="1883856745">
              <w:marLeft w:val="0"/>
              <w:marRight w:val="0"/>
              <w:marTop w:val="0"/>
              <w:marBottom w:val="0"/>
              <w:divBdr>
                <w:top w:val="none" w:sz="0" w:space="0" w:color="auto"/>
                <w:left w:val="none" w:sz="0" w:space="0" w:color="auto"/>
                <w:bottom w:val="none" w:sz="0" w:space="0" w:color="auto"/>
                <w:right w:val="none" w:sz="0" w:space="0" w:color="auto"/>
              </w:divBdr>
              <w:divsChild>
                <w:div w:id="1251237173">
                  <w:marLeft w:val="0"/>
                  <w:marRight w:val="0"/>
                  <w:marTop w:val="0"/>
                  <w:marBottom w:val="0"/>
                  <w:divBdr>
                    <w:top w:val="none" w:sz="0" w:space="0" w:color="auto"/>
                    <w:left w:val="none" w:sz="0" w:space="0" w:color="auto"/>
                    <w:bottom w:val="none" w:sz="0" w:space="0" w:color="auto"/>
                    <w:right w:val="none" w:sz="0" w:space="0" w:color="auto"/>
                  </w:divBdr>
                  <w:divsChild>
                    <w:div w:id="1886987312">
                      <w:marLeft w:val="0"/>
                      <w:marRight w:val="0"/>
                      <w:marTop w:val="0"/>
                      <w:marBottom w:val="0"/>
                      <w:divBdr>
                        <w:top w:val="none" w:sz="0" w:space="0" w:color="auto"/>
                        <w:left w:val="none" w:sz="0" w:space="0" w:color="auto"/>
                        <w:bottom w:val="none" w:sz="0" w:space="0" w:color="auto"/>
                        <w:right w:val="none" w:sz="0" w:space="0" w:color="auto"/>
                      </w:divBdr>
                      <w:divsChild>
                        <w:div w:id="3868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clc.org.au/cb_pages/files/Principles%20for%20Funding%20of%20Legal%20Assistance%20Servic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clc.org.au/cb_pages/files/Principles%20for%20Funding%20of%20Legal%20Assistance%20Servic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link.nsw.gov.au/lawlink/Corporate/ll_corporate.nsf/vwFiles/201212_MR_Access_to_justice_disadvantaged.pdf/$file/201212_MR_Access_to_justice_disadvantaged.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egalaid.nsw.gov.au/__data/assets/pdf_file/0004/18391/Appendices.pdf" TargetMode="External"/><Relationship Id="rId4" Type="http://schemas.microsoft.com/office/2007/relationships/stylesWithEffects" Target="stylesWithEffects.xml"/><Relationship Id="rId9" Type="http://schemas.openxmlformats.org/officeDocument/2006/relationships/hyperlink" Target="mailto:access.justice@pc.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A7F5-09FB-458D-9EF2-390C18BB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7109</Words>
  <Characters>38497</Characters>
  <Application>Microsoft Office Word</Application>
  <DocSecurity>0</DocSecurity>
  <Lines>681</Lines>
  <Paragraphs>187</Paragraphs>
  <ScaleCrop>false</ScaleCrop>
  <HeadingPairs>
    <vt:vector size="2" baseType="variant">
      <vt:variant>
        <vt:lpstr>Title</vt:lpstr>
      </vt:variant>
      <vt:variant>
        <vt:i4>1</vt:i4>
      </vt:variant>
    </vt:vector>
  </HeadingPairs>
  <TitlesOfParts>
    <vt:vector size="1" baseType="lpstr">
      <vt:lpstr>Submission DR242 - Kingsford Legal Centre - Access to Justice Arrangements - Public inquiry</vt:lpstr>
    </vt:vector>
  </TitlesOfParts>
  <Company>Kingsford Legal Centre</Company>
  <LinksUpToDate>false</LinksUpToDate>
  <CharactersWithSpaces>45547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DR242 - Kingsford Legal Centre - Access to Justice Arrangements - Public inquiry</dc:title>
  <dc:creator>Kingsford Legal Centre</dc:creator>
  <cp:lastModifiedBy>Productivity Commission</cp:lastModifiedBy>
  <cp:revision>2</cp:revision>
  <cp:lastPrinted>2014-05-18T23:20:00Z</cp:lastPrinted>
  <dcterms:created xsi:type="dcterms:W3CDTF">2014-06-09T23:48:00Z</dcterms:created>
  <dcterms:modified xsi:type="dcterms:W3CDTF">2014-06-09T23:48:00Z</dcterms:modified>
</cp:coreProperties>
</file>