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ECB03" w14:textId="77777777" w:rsidR="00FB7E30" w:rsidRPr="001C2AFE" w:rsidRDefault="00FB7E30" w:rsidP="00F65790">
      <w:pPr>
        <w:widowControl w:val="0"/>
        <w:autoSpaceDE w:val="0"/>
        <w:autoSpaceDN w:val="0"/>
        <w:adjustRightInd w:val="0"/>
        <w:jc w:val="center"/>
        <w:rPr>
          <w:rFonts w:cs="Arial"/>
          <w:sz w:val="22"/>
          <w:szCs w:val="22"/>
        </w:rPr>
      </w:pPr>
    </w:p>
    <w:p w14:paraId="4F6F13F2" w14:textId="443CEBFD" w:rsidR="00FB7E30" w:rsidRPr="001C2AFE" w:rsidRDefault="00FB7E30" w:rsidP="00F65790">
      <w:pPr>
        <w:widowControl w:val="0"/>
        <w:autoSpaceDE w:val="0"/>
        <w:autoSpaceDN w:val="0"/>
        <w:adjustRightInd w:val="0"/>
        <w:jc w:val="center"/>
        <w:rPr>
          <w:rFonts w:cs="Arial"/>
          <w:sz w:val="22"/>
          <w:szCs w:val="22"/>
        </w:rPr>
      </w:pPr>
      <w:r w:rsidRPr="001C2AFE">
        <w:rPr>
          <w:rFonts w:cs="Arial"/>
          <w:sz w:val="22"/>
          <w:szCs w:val="22"/>
        </w:rPr>
        <w:t xml:space="preserve">PUBLIC SUBMISSION </w:t>
      </w:r>
      <w:r w:rsidR="00240E59" w:rsidRPr="001C2AFE">
        <w:rPr>
          <w:rFonts w:cs="Arial"/>
          <w:sz w:val="22"/>
          <w:szCs w:val="22"/>
        </w:rPr>
        <w:t>ON</w:t>
      </w:r>
      <w:r w:rsidRPr="001C2AFE">
        <w:rPr>
          <w:rFonts w:cs="Arial"/>
          <w:sz w:val="22"/>
          <w:szCs w:val="22"/>
        </w:rPr>
        <w:t xml:space="preserve"> APPEARANCE</w:t>
      </w:r>
    </w:p>
    <w:p w14:paraId="735D0D4B" w14:textId="0C1ED3E1" w:rsidR="00FB7E30" w:rsidRPr="001C2AFE" w:rsidRDefault="00FB7E30" w:rsidP="00F65790">
      <w:pPr>
        <w:widowControl w:val="0"/>
        <w:autoSpaceDE w:val="0"/>
        <w:autoSpaceDN w:val="0"/>
        <w:adjustRightInd w:val="0"/>
        <w:jc w:val="center"/>
        <w:rPr>
          <w:rFonts w:cs="Arial"/>
          <w:bCs/>
          <w:sz w:val="22"/>
          <w:szCs w:val="22"/>
        </w:rPr>
      </w:pPr>
      <w:r w:rsidRPr="001C2AFE">
        <w:rPr>
          <w:rFonts w:cs="Arial"/>
          <w:bCs/>
          <w:sz w:val="22"/>
          <w:szCs w:val="22"/>
        </w:rPr>
        <w:t>Productivity Commission</w:t>
      </w:r>
      <w:r w:rsidR="00240E59" w:rsidRPr="001C2AFE">
        <w:rPr>
          <w:rFonts w:cs="Arial"/>
          <w:bCs/>
          <w:sz w:val="22"/>
          <w:szCs w:val="22"/>
        </w:rPr>
        <w:t xml:space="preserve"> Public Inquiry</w:t>
      </w:r>
      <w:r w:rsidR="007267F6" w:rsidRPr="001C2AFE">
        <w:rPr>
          <w:rFonts w:cs="Arial"/>
          <w:bCs/>
          <w:sz w:val="22"/>
          <w:szCs w:val="22"/>
        </w:rPr>
        <w:t xml:space="preserve"> Melbourne Hearing</w:t>
      </w:r>
    </w:p>
    <w:p w14:paraId="53D3E30B" w14:textId="77777777" w:rsidR="00FB7E30" w:rsidRPr="001C2AFE" w:rsidRDefault="00FB7E30" w:rsidP="00F65790">
      <w:pPr>
        <w:widowControl w:val="0"/>
        <w:autoSpaceDE w:val="0"/>
        <w:autoSpaceDN w:val="0"/>
        <w:adjustRightInd w:val="0"/>
        <w:jc w:val="center"/>
        <w:rPr>
          <w:rFonts w:cs="Arial"/>
          <w:color w:val="1A1A1A"/>
          <w:sz w:val="22"/>
          <w:szCs w:val="22"/>
        </w:rPr>
      </w:pPr>
      <w:r w:rsidRPr="001C2AFE">
        <w:rPr>
          <w:rFonts w:cs="Arial"/>
          <w:bCs/>
          <w:sz w:val="22"/>
          <w:szCs w:val="22"/>
        </w:rPr>
        <w:t>Access to Justice Arrangements</w:t>
      </w:r>
      <w:bookmarkStart w:id="0" w:name="_GoBack"/>
      <w:bookmarkEnd w:id="0"/>
    </w:p>
    <w:p w14:paraId="02B9ECF3" w14:textId="77777777" w:rsidR="00FB7E30" w:rsidRPr="001C2AFE" w:rsidRDefault="00FB7E30" w:rsidP="00F65790">
      <w:pPr>
        <w:widowControl w:val="0"/>
        <w:autoSpaceDE w:val="0"/>
        <w:autoSpaceDN w:val="0"/>
        <w:adjustRightInd w:val="0"/>
        <w:rPr>
          <w:rFonts w:cs="Arial"/>
          <w:sz w:val="22"/>
          <w:szCs w:val="22"/>
        </w:rPr>
      </w:pPr>
    </w:p>
    <w:p w14:paraId="31C3D27C" w14:textId="658A0C52" w:rsidR="00FB7E30" w:rsidRPr="001C2AFE" w:rsidRDefault="00FB7E30" w:rsidP="00F65790">
      <w:pPr>
        <w:widowControl w:val="0"/>
        <w:autoSpaceDE w:val="0"/>
        <w:autoSpaceDN w:val="0"/>
        <w:adjustRightInd w:val="0"/>
        <w:rPr>
          <w:rFonts w:cs="Arial"/>
          <w:bCs/>
          <w:sz w:val="22"/>
          <w:szCs w:val="22"/>
        </w:rPr>
      </w:pPr>
      <w:r w:rsidRPr="001C2AFE">
        <w:rPr>
          <w:rFonts w:cs="Arial"/>
          <w:b/>
          <w:sz w:val="22"/>
          <w:szCs w:val="22"/>
        </w:rPr>
        <w:t>To:</w:t>
      </w:r>
      <w:r w:rsidRPr="001C2AFE">
        <w:rPr>
          <w:rFonts w:cs="Arial"/>
          <w:sz w:val="22"/>
          <w:szCs w:val="22"/>
        </w:rPr>
        <w:tab/>
      </w:r>
      <w:r w:rsidRPr="001C2AFE">
        <w:rPr>
          <w:rFonts w:cs="Arial"/>
          <w:b/>
          <w:bCs/>
          <w:sz w:val="22"/>
          <w:szCs w:val="22"/>
        </w:rPr>
        <w:t xml:space="preserve"> </w:t>
      </w:r>
      <w:r w:rsidRPr="001C2AFE">
        <w:rPr>
          <w:rFonts w:cs="Arial"/>
          <w:b/>
          <w:bCs/>
          <w:sz w:val="22"/>
          <w:szCs w:val="22"/>
        </w:rPr>
        <w:tab/>
      </w:r>
      <w:r w:rsidR="00240E59" w:rsidRPr="001C2AFE">
        <w:rPr>
          <w:rFonts w:cs="Arial"/>
          <w:bCs/>
          <w:sz w:val="22"/>
          <w:szCs w:val="22"/>
        </w:rPr>
        <w:t>Productivity Commission</w:t>
      </w:r>
    </w:p>
    <w:p w14:paraId="406EBF55" w14:textId="77777777" w:rsidR="00FB7E30" w:rsidRPr="001C2AFE" w:rsidRDefault="00FB7E30" w:rsidP="00F65790">
      <w:pPr>
        <w:rPr>
          <w:rFonts w:cs="Arial"/>
          <w:sz w:val="22"/>
          <w:szCs w:val="22"/>
        </w:rPr>
      </w:pPr>
    </w:p>
    <w:p w14:paraId="73AEFA04" w14:textId="574CB5B5" w:rsidR="00FB7E30" w:rsidRPr="001C2AFE" w:rsidRDefault="00FB7E30" w:rsidP="00F65790">
      <w:pPr>
        <w:rPr>
          <w:rFonts w:cs="Arial"/>
          <w:sz w:val="22"/>
          <w:szCs w:val="22"/>
        </w:rPr>
      </w:pPr>
      <w:r w:rsidRPr="001C2AFE">
        <w:rPr>
          <w:rFonts w:cs="Arial"/>
          <w:b/>
          <w:sz w:val="22"/>
          <w:szCs w:val="22"/>
        </w:rPr>
        <w:t>From</w:t>
      </w:r>
      <w:r w:rsidRPr="001C2AFE">
        <w:rPr>
          <w:rFonts w:cs="Arial"/>
          <w:sz w:val="22"/>
          <w:szCs w:val="22"/>
        </w:rPr>
        <w:t xml:space="preserve">: </w:t>
      </w:r>
      <w:r w:rsidRPr="001C2AFE">
        <w:rPr>
          <w:rFonts w:cs="Arial"/>
          <w:sz w:val="22"/>
          <w:szCs w:val="22"/>
        </w:rPr>
        <w:tab/>
      </w:r>
      <w:r w:rsidR="005B2D26" w:rsidRPr="001C2AFE">
        <w:rPr>
          <w:rFonts w:cs="Arial"/>
          <w:sz w:val="22"/>
          <w:szCs w:val="22"/>
        </w:rPr>
        <w:tab/>
      </w:r>
      <w:r w:rsidRPr="001C2AFE">
        <w:rPr>
          <w:rFonts w:cs="Arial"/>
          <w:sz w:val="22"/>
          <w:szCs w:val="22"/>
        </w:rPr>
        <w:t xml:space="preserve">Helen McGowan, </w:t>
      </w:r>
    </w:p>
    <w:p w14:paraId="1ABA5900" w14:textId="77777777" w:rsidR="00FB7E30" w:rsidRPr="001C2AFE" w:rsidRDefault="00FB7E30" w:rsidP="00F65790">
      <w:pPr>
        <w:ind w:left="720" w:firstLine="720"/>
        <w:rPr>
          <w:rFonts w:cs="Arial"/>
          <w:sz w:val="22"/>
          <w:szCs w:val="22"/>
        </w:rPr>
      </w:pPr>
      <w:r w:rsidRPr="001C2AFE">
        <w:rPr>
          <w:rFonts w:cs="Arial"/>
          <w:sz w:val="22"/>
          <w:szCs w:val="22"/>
        </w:rPr>
        <w:t>Victorian Solicitor, (practicing near Albury Wodonga)</w:t>
      </w:r>
    </w:p>
    <w:p w14:paraId="42B76753" w14:textId="77777777" w:rsidR="00FB7E30" w:rsidRPr="001C2AFE" w:rsidRDefault="00FB7E30" w:rsidP="00F65790">
      <w:pPr>
        <w:rPr>
          <w:rFonts w:cs="Arial"/>
          <w:sz w:val="22"/>
          <w:szCs w:val="22"/>
        </w:rPr>
      </w:pPr>
    </w:p>
    <w:p w14:paraId="1103B020" w14:textId="35DE6437" w:rsidR="00FB7E30" w:rsidRPr="001C2AFE" w:rsidRDefault="00FB7E30" w:rsidP="00F65790">
      <w:pPr>
        <w:rPr>
          <w:rFonts w:cs="Arial"/>
          <w:sz w:val="22"/>
          <w:szCs w:val="22"/>
        </w:rPr>
      </w:pPr>
      <w:r w:rsidRPr="001C2AFE">
        <w:rPr>
          <w:rFonts w:cs="Arial"/>
          <w:b/>
          <w:sz w:val="22"/>
          <w:szCs w:val="22"/>
        </w:rPr>
        <w:t>Date:</w:t>
      </w:r>
      <w:r w:rsidRPr="001C2AFE">
        <w:rPr>
          <w:rFonts w:cs="Arial"/>
          <w:sz w:val="22"/>
          <w:szCs w:val="22"/>
        </w:rPr>
        <w:t xml:space="preserve"> </w:t>
      </w:r>
      <w:r w:rsidRPr="001C2AFE">
        <w:rPr>
          <w:rFonts w:cs="Arial"/>
          <w:sz w:val="22"/>
          <w:szCs w:val="22"/>
        </w:rPr>
        <w:tab/>
      </w:r>
      <w:r w:rsidRPr="001C2AFE">
        <w:rPr>
          <w:rFonts w:cs="Arial"/>
          <w:sz w:val="22"/>
          <w:szCs w:val="22"/>
        </w:rPr>
        <w:tab/>
      </w:r>
      <w:r w:rsidR="00B12862" w:rsidRPr="001C2AFE">
        <w:rPr>
          <w:rFonts w:cs="Arial"/>
          <w:sz w:val="22"/>
          <w:szCs w:val="22"/>
        </w:rPr>
        <w:t>3</w:t>
      </w:r>
      <w:r w:rsidRPr="001C2AFE">
        <w:rPr>
          <w:rFonts w:cs="Arial"/>
          <w:sz w:val="22"/>
          <w:szCs w:val="22"/>
        </w:rPr>
        <w:t xml:space="preserve"> June 2014 (for appearance on 10 June 2014)</w:t>
      </w:r>
    </w:p>
    <w:p w14:paraId="55886E5A" w14:textId="77777777" w:rsidR="00FB7E30" w:rsidRPr="001C2AFE" w:rsidRDefault="00FB7E30" w:rsidP="00F65790">
      <w:pPr>
        <w:ind w:left="720" w:hanging="720"/>
        <w:rPr>
          <w:rFonts w:cs="Arial"/>
          <w:sz w:val="22"/>
          <w:szCs w:val="22"/>
        </w:rPr>
      </w:pPr>
    </w:p>
    <w:p w14:paraId="6DFE4B68" w14:textId="48A67EEA" w:rsidR="00FB7E30" w:rsidRPr="001C2AFE" w:rsidRDefault="00FB7E30" w:rsidP="00F65790">
      <w:pPr>
        <w:ind w:left="1440" w:hanging="1440"/>
        <w:rPr>
          <w:rFonts w:cs="Arial"/>
          <w:sz w:val="22"/>
          <w:szCs w:val="22"/>
        </w:rPr>
      </w:pPr>
      <w:r w:rsidRPr="001C2AFE">
        <w:rPr>
          <w:rFonts w:cs="Arial"/>
          <w:b/>
          <w:sz w:val="22"/>
          <w:szCs w:val="22"/>
        </w:rPr>
        <w:t>Re:</w:t>
      </w:r>
      <w:r w:rsidRPr="001C2AFE">
        <w:rPr>
          <w:rFonts w:cs="Arial"/>
          <w:sz w:val="22"/>
          <w:szCs w:val="22"/>
        </w:rPr>
        <w:t xml:space="preserve"> </w:t>
      </w:r>
      <w:r w:rsidRPr="001C2AFE">
        <w:rPr>
          <w:rFonts w:cs="Arial"/>
          <w:sz w:val="22"/>
          <w:szCs w:val="22"/>
        </w:rPr>
        <w:tab/>
        <w:t xml:space="preserve">Focus on regional, rural and remote </w:t>
      </w:r>
      <w:r w:rsidR="00240E59" w:rsidRPr="001C2AFE">
        <w:rPr>
          <w:rFonts w:cs="Arial"/>
          <w:sz w:val="22"/>
          <w:szCs w:val="22"/>
        </w:rPr>
        <w:t>legal service delivery</w:t>
      </w:r>
      <w:r w:rsidRPr="001C2AFE">
        <w:rPr>
          <w:rFonts w:cs="Arial"/>
          <w:sz w:val="22"/>
          <w:szCs w:val="22"/>
        </w:rPr>
        <w:t>.</w:t>
      </w:r>
    </w:p>
    <w:p w14:paraId="4F9FD761" w14:textId="77777777" w:rsidR="00FB7E30" w:rsidRPr="001C2AFE" w:rsidRDefault="00FB7E30" w:rsidP="00F65790">
      <w:pPr>
        <w:rPr>
          <w:rFonts w:cs="Arial"/>
          <w:sz w:val="22"/>
          <w:szCs w:val="22"/>
        </w:rPr>
      </w:pPr>
    </w:p>
    <w:p w14:paraId="42169528" w14:textId="5B607CFC" w:rsidR="00FB7E30" w:rsidRPr="001C2AFE" w:rsidRDefault="00FB7E30" w:rsidP="00F65790">
      <w:pPr>
        <w:ind w:left="1440" w:hanging="1440"/>
        <w:rPr>
          <w:rFonts w:cs="Arial"/>
          <w:sz w:val="22"/>
          <w:szCs w:val="22"/>
        </w:rPr>
      </w:pPr>
      <w:r w:rsidRPr="001C2AFE">
        <w:rPr>
          <w:rFonts w:cs="Arial"/>
          <w:b/>
          <w:sz w:val="22"/>
          <w:szCs w:val="22"/>
        </w:rPr>
        <w:t>Disclosure:</w:t>
      </w:r>
      <w:r w:rsidRPr="001C2AFE">
        <w:rPr>
          <w:rFonts w:cs="Arial"/>
          <w:sz w:val="22"/>
          <w:szCs w:val="22"/>
        </w:rPr>
        <w:tab/>
      </w:r>
      <w:r w:rsidRPr="001C2AFE">
        <w:rPr>
          <w:rFonts w:cs="Arial"/>
          <w:i/>
          <w:sz w:val="22"/>
          <w:szCs w:val="22"/>
        </w:rPr>
        <w:t xml:space="preserve">Helen has a financial interest in ensuring continued public funding to support the delivery of legal services in regional, rural and remote Australia. </w:t>
      </w:r>
      <w:r w:rsidR="00947046" w:rsidRPr="001C2AFE">
        <w:rPr>
          <w:rFonts w:cs="Arial"/>
          <w:i/>
          <w:sz w:val="22"/>
          <w:szCs w:val="22"/>
        </w:rPr>
        <w:t xml:space="preserve">This interest arises from her professional work </w:t>
      </w:r>
      <w:r w:rsidRPr="001C2AFE">
        <w:rPr>
          <w:rFonts w:cs="Arial"/>
          <w:i/>
          <w:sz w:val="22"/>
          <w:szCs w:val="22"/>
        </w:rPr>
        <w:t>as a consultant to the N</w:t>
      </w:r>
      <w:r w:rsidR="00240E59" w:rsidRPr="001C2AFE">
        <w:rPr>
          <w:rFonts w:cs="Arial"/>
          <w:i/>
          <w:sz w:val="22"/>
          <w:szCs w:val="22"/>
        </w:rPr>
        <w:t xml:space="preserve">ational </w:t>
      </w:r>
      <w:r w:rsidRPr="001C2AFE">
        <w:rPr>
          <w:rFonts w:cs="Arial"/>
          <w:i/>
          <w:sz w:val="22"/>
          <w:szCs w:val="22"/>
        </w:rPr>
        <w:t>A</w:t>
      </w:r>
      <w:r w:rsidR="00240E59" w:rsidRPr="001C2AFE">
        <w:rPr>
          <w:rFonts w:cs="Arial"/>
          <w:i/>
          <w:sz w:val="22"/>
          <w:szCs w:val="22"/>
        </w:rPr>
        <w:t xml:space="preserve">ssociation of </w:t>
      </w:r>
      <w:r w:rsidRPr="001C2AFE">
        <w:rPr>
          <w:rFonts w:cs="Arial"/>
          <w:i/>
          <w:sz w:val="22"/>
          <w:szCs w:val="22"/>
        </w:rPr>
        <w:t>C</w:t>
      </w:r>
      <w:r w:rsidR="00240E59" w:rsidRPr="001C2AFE">
        <w:rPr>
          <w:rFonts w:cs="Arial"/>
          <w:i/>
          <w:sz w:val="22"/>
          <w:szCs w:val="22"/>
        </w:rPr>
        <w:t xml:space="preserve">ommunity </w:t>
      </w:r>
      <w:r w:rsidRPr="001C2AFE">
        <w:rPr>
          <w:rFonts w:cs="Arial"/>
          <w:i/>
          <w:sz w:val="22"/>
          <w:szCs w:val="22"/>
        </w:rPr>
        <w:t>L</w:t>
      </w:r>
      <w:r w:rsidR="00240E59" w:rsidRPr="001C2AFE">
        <w:rPr>
          <w:rFonts w:cs="Arial"/>
          <w:i/>
          <w:sz w:val="22"/>
          <w:szCs w:val="22"/>
        </w:rPr>
        <w:t xml:space="preserve">egal </w:t>
      </w:r>
      <w:r w:rsidRPr="001C2AFE">
        <w:rPr>
          <w:rFonts w:cs="Arial"/>
          <w:i/>
          <w:sz w:val="22"/>
          <w:szCs w:val="22"/>
        </w:rPr>
        <w:t>C</w:t>
      </w:r>
      <w:r w:rsidR="00240E59" w:rsidRPr="001C2AFE">
        <w:rPr>
          <w:rFonts w:cs="Arial"/>
          <w:i/>
          <w:sz w:val="22"/>
          <w:szCs w:val="22"/>
        </w:rPr>
        <w:t>entres</w:t>
      </w:r>
      <w:r w:rsidRPr="001C2AFE">
        <w:rPr>
          <w:rFonts w:cs="Arial"/>
          <w:i/>
          <w:sz w:val="22"/>
          <w:szCs w:val="22"/>
        </w:rPr>
        <w:t xml:space="preserve"> on regional, rural and remote legal practice</w:t>
      </w:r>
      <w:r w:rsidR="00240E59" w:rsidRPr="001C2AFE">
        <w:rPr>
          <w:rFonts w:cs="Arial"/>
          <w:i/>
          <w:sz w:val="22"/>
          <w:szCs w:val="22"/>
        </w:rPr>
        <w:t xml:space="preserve">, and </w:t>
      </w:r>
      <w:r w:rsidRPr="001C2AFE">
        <w:rPr>
          <w:rFonts w:cs="Arial"/>
          <w:i/>
          <w:sz w:val="22"/>
          <w:szCs w:val="22"/>
        </w:rPr>
        <w:t xml:space="preserve">as a consultant to </w:t>
      </w:r>
      <w:r w:rsidR="007267F6" w:rsidRPr="001C2AFE">
        <w:rPr>
          <w:rFonts w:cs="Arial"/>
          <w:i/>
          <w:sz w:val="22"/>
          <w:szCs w:val="22"/>
        </w:rPr>
        <w:t xml:space="preserve">the NSW Legal Aid Commission </w:t>
      </w:r>
      <w:r w:rsidRPr="001C2AFE">
        <w:rPr>
          <w:rFonts w:cs="Arial"/>
          <w:i/>
          <w:sz w:val="22"/>
          <w:szCs w:val="22"/>
        </w:rPr>
        <w:t>facilita</w:t>
      </w:r>
      <w:r w:rsidR="007267F6" w:rsidRPr="001C2AFE">
        <w:rPr>
          <w:rFonts w:cs="Arial"/>
          <w:i/>
          <w:sz w:val="22"/>
          <w:szCs w:val="22"/>
        </w:rPr>
        <w:t>ting</w:t>
      </w:r>
      <w:r w:rsidRPr="001C2AFE">
        <w:rPr>
          <w:rFonts w:cs="Arial"/>
          <w:i/>
          <w:sz w:val="22"/>
          <w:szCs w:val="22"/>
        </w:rPr>
        <w:t xml:space="preserve"> the development </w:t>
      </w:r>
      <w:r w:rsidR="00F035AA" w:rsidRPr="001C2AFE">
        <w:rPr>
          <w:rFonts w:cs="Arial"/>
          <w:i/>
          <w:sz w:val="22"/>
          <w:szCs w:val="22"/>
        </w:rPr>
        <w:t xml:space="preserve">of </w:t>
      </w:r>
      <w:r w:rsidRPr="001C2AFE">
        <w:rPr>
          <w:rFonts w:cs="Arial"/>
          <w:i/>
          <w:sz w:val="22"/>
          <w:szCs w:val="22"/>
        </w:rPr>
        <w:t>regional justice plan</w:t>
      </w:r>
      <w:r w:rsidR="007267F6" w:rsidRPr="001C2AFE">
        <w:rPr>
          <w:rFonts w:cs="Arial"/>
          <w:i/>
          <w:sz w:val="22"/>
          <w:szCs w:val="22"/>
        </w:rPr>
        <w:t>s</w:t>
      </w:r>
      <w:r w:rsidRPr="001C2AFE">
        <w:rPr>
          <w:rFonts w:cs="Arial"/>
          <w:i/>
          <w:sz w:val="22"/>
          <w:szCs w:val="22"/>
        </w:rPr>
        <w:t xml:space="preserve"> for the</w:t>
      </w:r>
      <w:r w:rsidR="00947046" w:rsidRPr="001C2AFE">
        <w:rPr>
          <w:rFonts w:cs="Arial"/>
          <w:i/>
          <w:sz w:val="22"/>
          <w:szCs w:val="22"/>
        </w:rPr>
        <w:t xml:space="preserve"> </w:t>
      </w:r>
      <w:r w:rsidRPr="001C2AFE">
        <w:rPr>
          <w:rFonts w:cs="Arial"/>
          <w:i/>
          <w:sz w:val="22"/>
          <w:szCs w:val="22"/>
        </w:rPr>
        <w:t>Co-Operative Legal Service Delivery project.</w:t>
      </w:r>
      <w:r w:rsidRPr="001C2AFE">
        <w:rPr>
          <w:rFonts w:cs="Arial"/>
          <w:sz w:val="22"/>
          <w:szCs w:val="22"/>
        </w:rPr>
        <w:t xml:space="preserve"> </w:t>
      </w:r>
    </w:p>
    <w:p w14:paraId="7764EF1A" w14:textId="77777777" w:rsidR="00FB7E30" w:rsidRPr="001C2AFE" w:rsidRDefault="00FB7E30" w:rsidP="00F65790">
      <w:pPr>
        <w:rPr>
          <w:rFonts w:cs="Arial"/>
          <w:sz w:val="22"/>
          <w:szCs w:val="22"/>
        </w:rPr>
      </w:pPr>
    </w:p>
    <w:p w14:paraId="7635B4E6" w14:textId="77777777" w:rsidR="00FB7E30" w:rsidRPr="001C2AFE" w:rsidRDefault="00FB7E30" w:rsidP="00F65790">
      <w:pPr>
        <w:rPr>
          <w:rFonts w:cs="Arial"/>
          <w:b/>
          <w:sz w:val="22"/>
          <w:szCs w:val="22"/>
        </w:rPr>
      </w:pPr>
      <w:r w:rsidRPr="001C2AFE">
        <w:rPr>
          <w:rFonts w:cs="Arial"/>
          <w:b/>
          <w:sz w:val="22"/>
          <w:szCs w:val="22"/>
        </w:rPr>
        <w:t>INTRODUCTION</w:t>
      </w:r>
    </w:p>
    <w:p w14:paraId="0569D086" w14:textId="77777777" w:rsidR="00FB7E30" w:rsidRPr="001C2AFE" w:rsidRDefault="00FB7E30" w:rsidP="00F65790">
      <w:pPr>
        <w:rPr>
          <w:rFonts w:cs="Arial"/>
          <w:sz w:val="22"/>
          <w:szCs w:val="22"/>
        </w:rPr>
      </w:pPr>
    </w:p>
    <w:p w14:paraId="4771469F" w14:textId="071F1BA1" w:rsidR="00FB7E30" w:rsidRPr="001C2AFE" w:rsidRDefault="00FB7E30" w:rsidP="00F65790">
      <w:pPr>
        <w:rPr>
          <w:rFonts w:cs="Arial"/>
          <w:sz w:val="22"/>
          <w:szCs w:val="22"/>
        </w:rPr>
      </w:pPr>
      <w:r w:rsidRPr="001C2AFE">
        <w:rPr>
          <w:rFonts w:cs="Arial"/>
          <w:sz w:val="22"/>
          <w:szCs w:val="22"/>
        </w:rPr>
        <w:t xml:space="preserve">As we haltingly move towards a national legal profession (with the adoption of national rules </w:t>
      </w:r>
      <w:r w:rsidR="00947046" w:rsidRPr="001C2AFE">
        <w:rPr>
          <w:rFonts w:cs="Arial"/>
          <w:sz w:val="22"/>
          <w:szCs w:val="22"/>
        </w:rPr>
        <w:t xml:space="preserve">in Queensland, South Australia, NSW and Victoria </w:t>
      </w:r>
      <w:r w:rsidRPr="001C2AFE">
        <w:rPr>
          <w:rFonts w:cs="Arial"/>
          <w:sz w:val="22"/>
          <w:szCs w:val="22"/>
        </w:rPr>
        <w:t xml:space="preserve">and the promulgation of </w:t>
      </w:r>
      <w:r w:rsidR="00836A87">
        <w:rPr>
          <w:rFonts w:cs="Arial"/>
          <w:sz w:val="22"/>
          <w:szCs w:val="22"/>
        </w:rPr>
        <w:t xml:space="preserve">Legal Profession Uniform Law </w:t>
      </w:r>
      <w:r w:rsidR="00947046" w:rsidRPr="001C2AFE">
        <w:rPr>
          <w:rFonts w:cs="Arial"/>
          <w:sz w:val="22"/>
          <w:szCs w:val="22"/>
        </w:rPr>
        <w:t>in NSW and Victoria</w:t>
      </w:r>
      <w:r w:rsidRPr="001C2AFE">
        <w:rPr>
          <w:rFonts w:cs="Arial"/>
          <w:sz w:val="22"/>
          <w:szCs w:val="22"/>
        </w:rPr>
        <w:t xml:space="preserve">) we have opportunities to </w:t>
      </w:r>
      <w:r w:rsidR="00947046" w:rsidRPr="001C2AFE">
        <w:rPr>
          <w:rFonts w:cs="Arial"/>
          <w:sz w:val="22"/>
          <w:szCs w:val="22"/>
        </w:rPr>
        <w:t>collaborate on a national</w:t>
      </w:r>
      <w:r w:rsidRPr="001C2AFE">
        <w:rPr>
          <w:rFonts w:cs="Arial"/>
          <w:sz w:val="22"/>
          <w:szCs w:val="22"/>
        </w:rPr>
        <w:t xml:space="preserve"> approach to access to justice.</w:t>
      </w:r>
    </w:p>
    <w:p w14:paraId="5FAF2677" w14:textId="77777777" w:rsidR="00FB7E30" w:rsidRPr="001C2AFE" w:rsidRDefault="00FB7E30" w:rsidP="00F65790">
      <w:pPr>
        <w:rPr>
          <w:rFonts w:cs="Arial"/>
          <w:sz w:val="22"/>
          <w:szCs w:val="22"/>
        </w:rPr>
      </w:pPr>
    </w:p>
    <w:p w14:paraId="7D9D9AE7" w14:textId="1C3888EF" w:rsidR="009E230A" w:rsidRPr="001C2AFE" w:rsidRDefault="00947046" w:rsidP="00F65790">
      <w:pPr>
        <w:rPr>
          <w:rFonts w:cs="Arial"/>
          <w:sz w:val="22"/>
          <w:szCs w:val="22"/>
        </w:rPr>
      </w:pPr>
      <w:r w:rsidRPr="001C2AFE">
        <w:rPr>
          <w:rFonts w:cs="Arial"/>
          <w:sz w:val="22"/>
          <w:szCs w:val="22"/>
        </w:rPr>
        <w:t xml:space="preserve">This paper suggests </w:t>
      </w:r>
      <w:r w:rsidR="009E230A" w:rsidRPr="001C2AFE">
        <w:rPr>
          <w:rFonts w:cs="Arial"/>
          <w:sz w:val="22"/>
          <w:szCs w:val="22"/>
        </w:rPr>
        <w:t>four proposals</w:t>
      </w:r>
      <w:r w:rsidR="00775444" w:rsidRPr="001C2AFE">
        <w:rPr>
          <w:rFonts w:cs="Arial"/>
          <w:sz w:val="22"/>
          <w:szCs w:val="22"/>
        </w:rPr>
        <w:t xml:space="preserve"> which foster the endeavor of a coordinated national approach to strengthening access to justice</w:t>
      </w:r>
      <w:r w:rsidR="009E230A" w:rsidRPr="001C2AFE">
        <w:rPr>
          <w:rFonts w:cs="Arial"/>
          <w:sz w:val="22"/>
          <w:szCs w:val="22"/>
        </w:rPr>
        <w:t>;</w:t>
      </w:r>
    </w:p>
    <w:p w14:paraId="3698A2FE" w14:textId="77777777" w:rsidR="009E230A" w:rsidRPr="001C2AFE" w:rsidRDefault="009E230A" w:rsidP="009E230A">
      <w:pPr>
        <w:pStyle w:val="ListParagraph"/>
        <w:numPr>
          <w:ilvl w:val="0"/>
          <w:numId w:val="15"/>
        </w:numPr>
        <w:rPr>
          <w:rFonts w:ascii="Arial" w:hAnsi="Arial" w:cs="Arial"/>
          <w:sz w:val="22"/>
          <w:szCs w:val="22"/>
        </w:rPr>
      </w:pPr>
      <w:r w:rsidRPr="001C2AFE">
        <w:rPr>
          <w:rFonts w:ascii="Arial" w:hAnsi="Arial" w:cs="Arial"/>
          <w:sz w:val="22"/>
          <w:szCs w:val="22"/>
        </w:rPr>
        <w:t>A public private partnership ‘Law for Australia’</w:t>
      </w:r>
    </w:p>
    <w:p w14:paraId="25DABC1C" w14:textId="454D033A" w:rsidR="009E230A" w:rsidRPr="001C2AFE" w:rsidRDefault="009E230A" w:rsidP="009E230A">
      <w:pPr>
        <w:pStyle w:val="ListParagraph"/>
        <w:numPr>
          <w:ilvl w:val="0"/>
          <w:numId w:val="15"/>
        </w:numPr>
        <w:rPr>
          <w:rFonts w:ascii="Arial" w:hAnsi="Arial" w:cs="Arial"/>
          <w:sz w:val="22"/>
          <w:szCs w:val="22"/>
        </w:rPr>
      </w:pPr>
      <w:r w:rsidRPr="001C2AFE">
        <w:rPr>
          <w:rFonts w:ascii="Arial" w:hAnsi="Arial" w:cs="Arial"/>
          <w:sz w:val="22"/>
          <w:szCs w:val="22"/>
        </w:rPr>
        <w:t>An exemption for limited legal services from the ‘conflict of interest’ rules.</w:t>
      </w:r>
    </w:p>
    <w:p w14:paraId="3FE24F25" w14:textId="77777777" w:rsidR="009E230A" w:rsidRPr="001C2AFE" w:rsidRDefault="009E230A" w:rsidP="009E230A">
      <w:pPr>
        <w:pStyle w:val="ListParagraph"/>
        <w:numPr>
          <w:ilvl w:val="0"/>
          <w:numId w:val="15"/>
        </w:numPr>
        <w:rPr>
          <w:rFonts w:ascii="Arial" w:hAnsi="Arial" w:cs="Arial"/>
          <w:sz w:val="22"/>
          <w:szCs w:val="22"/>
        </w:rPr>
      </w:pPr>
      <w:r w:rsidRPr="001C2AFE">
        <w:rPr>
          <w:rFonts w:ascii="Arial" w:hAnsi="Arial" w:cs="Arial"/>
          <w:sz w:val="22"/>
          <w:szCs w:val="22"/>
        </w:rPr>
        <w:t>The inclusion of geographical areas in data collection</w:t>
      </w:r>
    </w:p>
    <w:p w14:paraId="59D2D34F" w14:textId="77777777" w:rsidR="009E230A" w:rsidRPr="001C2AFE" w:rsidRDefault="009E230A" w:rsidP="009E230A">
      <w:pPr>
        <w:pStyle w:val="ListParagraph"/>
        <w:numPr>
          <w:ilvl w:val="0"/>
          <w:numId w:val="15"/>
        </w:numPr>
        <w:rPr>
          <w:rFonts w:ascii="Arial" w:hAnsi="Arial" w:cs="Arial"/>
          <w:sz w:val="22"/>
          <w:szCs w:val="22"/>
        </w:rPr>
      </w:pPr>
      <w:r w:rsidRPr="001C2AFE">
        <w:rPr>
          <w:rFonts w:ascii="Arial" w:hAnsi="Arial" w:cs="Arial"/>
          <w:sz w:val="22"/>
          <w:szCs w:val="22"/>
        </w:rPr>
        <w:t xml:space="preserve">The development of national aspirational justice goals. </w:t>
      </w:r>
    </w:p>
    <w:p w14:paraId="39BE35D1" w14:textId="77777777" w:rsidR="009E230A" w:rsidRPr="001C2AFE" w:rsidRDefault="009E230A" w:rsidP="00F65790">
      <w:pPr>
        <w:rPr>
          <w:rFonts w:cs="Arial"/>
          <w:sz w:val="22"/>
          <w:szCs w:val="22"/>
        </w:rPr>
      </w:pPr>
    </w:p>
    <w:p w14:paraId="23BEC9EE" w14:textId="77777777" w:rsidR="00FB7E30" w:rsidRPr="001C2AFE" w:rsidRDefault="00FB7E30" w:rsidP="00F65790">
      <w:pPr>
        <w:rPr>
          <w:rFonts w:cs="Arial"/>
          <w:sz w:val="22"/>
          <w:szCs w:val="22"/>
        </w:rPr>
      </w:pPr>
    </w:p>
    <w:p w14:paraId="69558002" w14:textId="77777777" w:rsidR="00FB7E30" w:rsidRPr="001C2AFE" w:rsidRDefault="00FB7E30" w:rsidP="00F65790">
      <w:pPr>
        <w:rPr>
          <w:rFonts w:cs="Arial"/>
          <w:b/>
          <w:sz w:val="22"/>
          <w:szCs w:val="22"/>
        </w:rPr>
      </w:pPr>
      <w:r w:rsidRPr="001C2AFE">
        <w:rPr>
          <w:rFonts w:cs="Arial"/>
          <w:b/>
          <w:sz w:val="22"/>
          <w:szCs w:val="22"/>
        </w:rPr>
        <w:t>OPENING STATEMENT</w:t>
      </w:r>
    </w:p>
    <w:p w14:paraId="101CB0AF" w14:textId="77777777" w:rsidR="00FB7E30" w:rsidRPr="001C2AFE" w:rsidRDefault="00FB7E30" w:rsidP="00F65790">
      <w:pPr>
        <w:rPr>
          <w:rFonts w:cs="Arial"/>
          <w:sz w:val="22"/>
          <w:szCs w:val="22"/>
        </w:rPr>
      </w:pPr>
    </w:p>
    <w:p w14:paraId="61A5BD1A" w14:textId="63B14F73" w:rsidR="009E230A" w:rsidRPr="001C2AFE" w:rsidRDefault="009E230A" w:rsidP="00F65790">
      <w:pPr>
        <w:rPr>
          <w:rFonts w:cs="Arial"/>
          <w:sz w:val="22"/>
          <w:szCs w:val="22"/>
        </w:rPr>
      </w:pPr>
      <w:r w:rsidRPr="001C2AFE">
        <w:rPr>
          <w:rFonts w:cs="Arial"/>
          <w:sz w:val="22"/>
          <w:szCs w:val="22"/>
        </w:rPr>
        <w:t xml:space="preserve">This submission is based on experience and insights gained from 32 years in legal practice in regional, rural and remote Australia. This experience includes lawyering in the public and private sectors, and teaching law in academia. </w:t>
      </w:r>
      <w:r w:rsidR="00207A42" w:rsidRPr="001C2AFE">
        <w:rPr>
          <w:rFonts w:cs="Arial"/>
          <w:sz w:val="22"/>
          <w:szCs w:val="22"/>
        </w:rPr>
        <w:t xml:space="preserve">My </w:t>
      </w:r>
      <w:r w:rsidRPr="001C2AFE">
        <w:rPr>
          <w:rFonts w:cs="Arial"/>
          <w:sz w:val="22"/>
          <w:szCs w:val="22"/>
        </w:rPr>
        <w:t xml:space="preserve">PhD research examines how geographical remoteness affects the way lawyers identify and respond to conflicting interests. </w:t>
      </w:r>
      <w:r w:rsidR="00775444" w:rsidRPr="001C2AFE">
        <w:rPr>
          <w:rFonts w:cs="Arial"/>
          <w:sz w:val="22"/>
          <w:szCs w:val="22"/>
        </w:rPr>
        <w:t>O</w:t>
      </w:r>
      <w:r w:rsidRPr="001C2AFE">
        <w:rPr>
          <w:rFonts w:cs="Arial"/>
          <w:sz w:val="22"/>
          <w:szCs w:val="22"/>
        </w:rPr>
        <w:t xml:space="preserve">ne day a week </w:t>
      </w:r>
      <w:r w:rsidR="00775444" w:rsidRPr="001C2AFE">
        <w:rPr>
          <w:rFonts w:cs="Arial"/>
          <w:sz w:val="22"/>
          <w:szCs w:val="22"/>
        </w:rPr>
        <w:t xml:space="preserve">I work </w:t>
      </w:r>
      <w:r w:rsidRPr="001C2AFE">
        <w:rPr>
          <w:rFonts w:cs="Arial"/>
          <w:sz w:val="22"/>
          <w:szCs w:val="22"/>
        </w:rPr>
        <w:t xml:space="preserve">with the National Association of Community Legal Services as the national regional, rural and remote coordinator. </w:t>
      </w:r>
    </w:p>
    <w:p w14:paraId="797ECFAD" w14:textId="77777777" w:rsidR="009E230A" w:rsidRPr="001C2AFE" w:rsidRDefault="009E230A" w:rsidP="00F65790">
      <w:pPr>
        <w:rPr>
          <w:rFonts w:cs="Arial"/>
          <w:sz w:val="22"/>
          <w:szCs w:val="22"/>
        </w:rPr>
      </w:pPr>
    </w:p>
    <w:p w14:paraId="15761769" w14:textId="77777777" w:rsidR="00BD37A6" w:rsidRPr="001C2AFE" w:rsidRDefault="00BD37A6" w:rsidP="00F65790">
      <w:pPr>
        <w:rPr>
          <w:rFonts w:cs="Arial"/>
          <w:b/>
          <w:sz w:val="22"/>
          <w:szCs w:val="22"/>
        </w:rPr>
      </w:pPr>
    </w:p>
    <w:p w14:paraId="6E6CDB97" w14:textId="77777777" w:rsidR="00BD37A6" w:rsidRPr="001C2AFE" w:rsidRDefault="00BD37A6" w:rsidP="00F65790">
      <w:pPr>
        <w:rPr>
          <w:rFonts w:cs="Arial"/>
          <w:b/>
          <w:sz w:val="22"/>
          <w:szCs w:val="22"/>
        </w:rPr>
      </w:pPr>
    </w:p>
    <w:p w14:paraId="33C4B710" w14:textId="2F6A1A8C" w:rsidR="00BD37A6" w:rsidRPr="001C2AFE" w:rsidRDefault="005B2D26" w:rsidP="00F65790">
      <w:pPr>
        <w:rPr>
          <w:rFonts w:cs="Arial"/>
          <w:b/>
          <w:sz w:val="22"/>
          <w:szCs w:val="22"/>
        </w:rPr>
      </w:pPr>
      <w:r w:rsidRPr="001C2AFE">
        <w:rPr>
          <w:rFonts w:cs="Arial"/>
          <w:b/>
          <w:sz w:val="22"/>
          <w:szCs w:val="22"/>
        </w:rPr>
        <w:t xml:space="preserve">1. </w:t>
      </w:r>
      <w:r w:rsidR="00BD37A6" w:rsidRPr="001C2AFE">
        <w:rPr>
          <w:rFonts w:cs="Arial"/>
          <w:b/>
          <w:sz w:val="22"/>
          <w:szCs w:val="22"/>
        </w:rPr>
        <w:t>Proposal: Public private partnership “Law for Australia”</w:t>
      </w:r>
    </w:p>
    <w:p w14:paraId="34E3D1D2" w14:textId="77777777" w:rsidR="005B2D26" w:rsidRPr="001C2AFE" w:rsidRDefault="005B2D26" w:rsidP="00F65790">
      <w:pPr>
        <w:rPr>
          <w:rFonts w:cs="Arial"/>
          <w:sz w:val="22"/>
          <w:szCs w:val="22"/>
        </w:rPr>
      </w:pPr>
    </w:p>
    <w:p w14:paraId="432394F4" w14:textId="18EFED11" w:rsidR="00356FF5" w:rsidRPr="001C2AFE" w:rsidRDefault="00F035AA" w:rsidP="00F65790">
      <w:pPr>
        <w:rPr>
          <w:rFonts w:cs="Arial"/>
          <w:sz w:val="22"/>
          <w:szCs w:val="22"/>
        </w:rPr>
      </w:pPr>
      <w:r w:rsidRPr="001C2AFE">
        <w:rPr>
          <w:rFonts w:cs="Arial"/>
          <w:sz w:val="22"/>
          <w:szCs w:val="22"/>
        </w:rPr>
        <w:lastRenderedPageBreak/>
        <w:t>To f</w:t>
      </w:r>
      <w:r w:rsidR="00356FF5" w:rsidRPr="001C2AFE">
        <w:rPr>
          <w:rFonts w:cs="Arial"/>
          <w:sz w:val="22"/>
          <w:szCs w:val="22"/>
        </w:rPr>
        <w:t xml:space="preserve">oster a </w:t>
      </w:r>
      <w:r w:rsidR="00A24C60" w:rsidRPr="001C2AFE">
        <w:rPr>
          <w:rFonts w:cs="Arial"/>
          <w:sz w:val="22"/>
          <w:szCs w:val="22"/>
        </w:rPr>
        <w:t>‘</w:t>
      </w:r>
      <w:r w:rsidR="00930775" w:rsidRPr="001C2AFE">
        <w:rPr>
          <w:rFonts w:cs="Arial"/>
          <w:sz w:val="22"/>
          <w:szCs w:val="22"/>
        </w:rPr>
        <w:t>public private partnership</w:t>
      </w:r>
      <w:r w:rsidR="00A24C60" w:rsidRPr="001C2AFE">
        <w:rPr>
          <w:rFonts w:cs="Arial"/>
          <w:sz w:val="22"/>
          <w:szCs w:val="22"/>
        </w:rPr>
        <w:t>’</w:t>
      </w:r>
      <w:r w:rsidR="00930775" w:rsidRPr="001C2AFE">
        <w:rPr>
          <w:rFonts w:cs="Arial"/>
          <w:sz w:val="22"/>
          <w:szCs w:val="22"/>
        </w:rPr>
        <w:t xml:space="preserve"> </w:t>
      </w:r>
      <w:r w:rsidRPr="001C2AFE">
        <w:rPr>
          <w:rFonts w:cs="Arial"/>
          <w:sz w:val="22"/>
          <w:szCs w:val="22"/>
        </w:rPr>
        <w:t xml:space="preserve">as a </w:t>
      </w:r>
      <w:r w:rsidR="00FC3CEF" w:rsidRPr="001C2AFE">
        <w:rPr>
          <w:rFonts w:cs="Arial"/>
          <w:sz w:val="22"/>
          <w:szCs w:val="22"/>
        </w:rPr>
        <w:t>national project based on the model of ‘Teach for Australia’</w:t>
      </w:r>
      <w:r w:rsidR="00B22954">
        <w:rPr>
          <w:rStyle w:val="FootnoteReference"/>
          <w:sz w:val="22"/>
          <w:szCs w:val="22"/>
        </w:rPr>
        <w:footnoteReference w:id="1"/>
      </w:r>
      <w:r w:rsidR="00FC3CEF" w:rsidRPr="001C2AFE">
        <w:rPr>
          <w:rFonts w:cs="Arial"/>
          <w:sz w:val="22"/>
          <w:szCs w:val="22"/>
        </w:rPr>
        <w:t xml:space="preserve"> called ‘Law for Australia’</w:t>
      </w:r>
      <w:r w:rsidR="00D43033" w:rsidRPr="001C2AFE">
        <w:rPr>
          <w:rFonts w:cs="Arial"/>
          <w:sz w:val="22"/>
          <w:szCs w:val="22"/>
        </w:rPr>
        <w:t>. T</w:t>
      </w:r>
      <w:r w:rsidR="00A24C60" w:rsidRPr="001C2AFE">
        <w:rPr>
          <w:rFonts w:cs="Arial"/>
          <w:sz w:val="22"/>
          <w:szCs w:val="22"/>
        </w:rPr>
        <w:t xml:space="preserve">his project </w:t>
      </w:r>
      <w:r w:rsidR="00D43033" w:rsidRPr="001C2AFE">
        <w:rPr>
          <w:rFonts w:cs="Arial"/>
          <w:sz w:val="22"/>
          <w:szCs w:val="22"/>
        </w:rPr>
        <w:t xml:space="preserve">could </w:t>
      </w:r>
      <w:r w:rsidR="00A24C60" w:rsidRPr="001C2AFE">
        <w:rPr>
          <w:rFonts w:cs="Arial"/>
          <w:sz w:val="22"/>
          <w:szCs w:val="22"/>
        </w:rPr>
        <w:t>cross-pollinate resources within the legal profession; from private to public</w:t>
      </w:r>
      <w:r w:rsidR="00D43033" w:rsidRPr="001C2AFE">
        <w:rPr>
          <w:rFonts w:cs="Arial"/>
          <w:sz w:val="22"/>
          <w:szCs w:val="22"/>
        </w:rPr>
        <w:t>, from city to country. Th</w:t>
      </w:r>
      <w:r w:rsidR="00286C51" w:rsidRPr="001C2AFE">
        <w:rPr>
          <w:rFonts w:cs="Arial"/>
          <w:sz w:val="22"/>
          <w:szCs w:val="22"/>
        </w:rPr>
        <w:t>e concept is to provide a national secretariat (perhaps under the auspice of the Law Council of Australia, the Australian Academy of Law, or the National Pro Bono resource Centre) to work across the legal profession, from undergraduate law students to retired lawyers, and match workers to legal services experiencing high legal need in</w:t>
      </w:r>
      <w:r w:rsidR="00FC3CEF" w:rsidRPr="001C2AFE">
        <w:rPr>
          <w:rFonts w:cs="Arial"/>
          <w:sz w:val="22"/>
          <w:szCs w:val="22"/>
        </w:rPr>
        <w:t xml:space="preserve"> regional, rural and remote communities</w:t>
      </w:r>
      <w:r w:rsidR="00286C51" w:rsidRPr="001C2AFE">
        <w:rPr>
          <w:rFonts w:cs="Arial"/>
          <w:sz w:val="22"/>
          <w:szCs w:val="22"/>
        </w:rPr>
        <w:t>.</w:t>
      </w:r>
      <w:r w:rsidR="00FC3CEF" w:rsidRPr="001C2AFE">
        <w:rPr>
          <w:rFonts w:cs="Arial"/>
          <w:sz w:val="22"/>
          <w:szCs w:val="22"/>
        </w:rPr>
        <w:t xml:space="preserve"> </w:t>
      </w:r>
    </w:p>
    <w:p w14:paraId="5EC17FBF" w14:textId="77777777" w:rsidR="00356FF5" w:rsidRPr="001C2AFE" w:rsidRDefault="00356FF5" w:rsidP="00F65790">
      <w:pPr>
        <w:rPr>
          <w:rFonts w:cs="Arial"/>
          <w:sz w:val="22"/>
          <w:szCs w:val="22"/>
        </w:rPr>
      </w:pPr>
    </w:p>
    <w:p w14:paraId="159E7AEF" w14:textId="77777777" w:rsidR="00356FF5" w:rsidRPr="001C2AFE" w:rsidRDefault="00356FF5" w:rsidP="00F035AA">
      <w:pPr>
        <w:pBdr>
          <w:top w:val="single" w:sz="4" w:space="1" w:color="auto"/>
          <w:left w:val="single" w:sz="4" w:space="4" w:color="auto"/>
          <w:bottom w:val="single" w:sz="4" w:space="1" w:color="auto"/>
          <w:right w:val="single" w:sz="4" w:space="4" w:color="auto"/>
        </w:pBdr>
        <w:rPr>
          <w:rFonts w:cs="Arial"/>
          <w:sz w:val="22"/>
          <w:szCs w:val="22"/>
        </w:rPr>
      </w:pPr>
    </w:p>
    <w:p w14:paraId="404EBDF2" w14:textId="0F0B2F6B" w:rsidR="00356FF5" w:rsidRPr="001C2AFE" w:rsidRDefault="00356FF5" w:rsidP="00F035AA">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Terms of Reference</w:t>
      </w:r>
    </w:p>
    <w:p w14:paraId="3B26DB90" w14:textId="77777777" w:rsidR="00356FF5" w:rsidRPr="001C2AFE" w:rsidRDefault="00356FF5" w:rsidP="00F035AA">
      <w:pPr>
        <w:pBdr>
          <w:top w:val="single" w:sz="4" w:space="1" w:color="auto"/>
          <w:left w:val="single" w:sz="4" w:space="4" w:color="auto"/>
          <w:bottom w:val="single" w:sz="4" w:space="1" w:color="auto"/>
          <w:right w:val="single" w:sz="4" w:space="4" w:color="auto"/>
        </w:pBdr>
        <w:rPr>
          <w:rFonts w:cs="Arial"/>
          <w:sz w:val="22"/>
          <w:szCs w:val="22"/>
        </w:rPr>
      </w:pPr>
      <w:r w:rsidRPr="001C2AFE">
        <w:rPr>
          <w:rFonts w:cs="Arial"/>
          <w:sz w:val="22"/>
          <w:szCs w:val="22"/>
        </w:rPr>
        <w:t>Reference 8.d Different models of legal aid assistance</w:t>
      </w:r>
    </w:p>
    <w:p w14:paraId="49B693FA" w14:textId="77777777" w:rsidR="00356FF5" w:rsidRPr="001C2AFE" w:rsidRDefault="00356FF5" w:rsidP="00F035AA">
      <w:pPr>
        <w:pBdr>
          <w:top w:val="single" w:sz="4" w:space="1" w:color="auto"/>
          <w:left w:val="single" w:sz="4" w:space="4" w:color="auto"/>
          <w:bottom w:val="single" w:sz="4" w:space="1" w:color="auto"/>
          <w:right w:val="single" w:sz="4" w:space="4" w:color="auto"/>
        </w:pBdr>
        <w:rPr>
          <w:rFonts w:cs="Arial"/>
          <w:sz w:val="22"/>
          <w:szCs w:val="22"/>
        </w:rPr>
      </w:pPr>
    </w:p>
    <w:p w14:paraId="7C57C418" w14:textId="77777777" w:rsidR="00356FF5" w:rsidRPr="001C2AFE" w:rsidRDefault="00356FF5" w:rsidP="00F65790">
      <w:pPr>
        <w:rPr>
          <w:rFonts w:cs="Arial"/>
          <w:sz w:val="22"/>
          <w:szCs w:val="22"/>
        </w:rPr>
      </w:pPr>
    </w:p>
    <w:p w14:paraId="7BDEE163" w14:textId="22C57822" w:rsidR="00356FF5" w:rsidRPr="001C2AFE" w:rsidRDefault="00FC3CEF" w:rsidP="00F65790">
      <w:pPr>
        <w:rPr>
          <w:rFonts w:cs="Arial"/>
          <w:b/>
          <w:sz w:val="22"/>
          <w:szCs w:val="22"/>
        </w:rPr>
      </w:pPr>
      <w:r w:rsidRPr="001C2AFE">
        <w:rPr>
          <w:rFonts w:cs="Arial"/>
          <w:b/>
          <w:sz w:val="22"/>
          <w:szCs w:val="22"/>
        </w:rPr>
        <w:t>Status Quo</w:t>
      </w:r>
    </w:p>
    <w:p w14:paraId="22F542CD" w14:textId="77777777" w:rsidR="005B2D26" w:rsidRPr="001C2AFE" w:rsidRDefault="005B2D26" w:rsidP="00F65790">
      <w:pPr>
        <w:rPr>
          <w:rFonts w:cs="Arial"/>
          <w:sz w:val="22"/>
          <w:szCs w:val="22"/>
        </w:rPr>
      </w:pPr>
    </w:p>
    <w:p w14:paraId="7C62B063" w14:textId="65EC037A" w:rsidR="00771A8B" w:rsidRPr="001C2AFE" w:rsidRDefault="00FC3CEF" w:rsidP="00F65790">
      <w:pPr>
        <w:rPr>
          <w:rFonts w:cs="Arial"/>
          <w:sz w:val="22"/>
          <w:szCs w:val="22"/>
        </w:rPr>
      </w:pPr>
      <w:r w:rsidRPr="001C2AFE">
        <w:rPr>
          <w:rFonts w:cs="Arial"/>
          <w:sz w:val="22"/>
          <w:szCs w:val="22"/>
        </w:rPr>
        <w:t xml:space="preserve">The Australian legal profession </w:t>
      </w:r>
      <w:r w:rsidR="00771A8B" w:rsidRPr="001C2AFE">
        <w:rPr>
          <w:rFonts w:cs="Arial"/>
          <w:sz w:val="22"/>
          <w:szCs w:val="22"/>
        </w:rPr>
        <w:t>has</w:t>
      </w:r>
      <w:r w:rsidR="00930775" w:rsidRPr="001C2AFE">
        <w:rPr>
          <w:rFonts w:cs="Arial"/>
          <w:sz w:val="22"/>
          <w:szCs w:val="22"/>
        </w:rPr>
        <w:t xml:space="preserve"> 70,000 lawyers, yet only 7,000 practice in the 98% of the continent outside the capital cities. </w:t>
      </w:r>
      <w:r w:rsidR="00286C51" w:rsidRPr="001C2AFE">
        <w:rPr>
          <w:rFonts w:cs="Arial"/>
          <w:sz w:val="22"/>
          <w:szCs w:val="22"/>
        </w:rPr>
        <w:t xml:space="preserve">We have </w:t>
      </w:r>
      <w:r w:rsidR="00EF7F81" w:rsidRPr="001C2AFE">
        <w:rPr>
          <w:rFonts w:cs="Arial"/>
          <w:sz w:val="22"/>
          <w:szCs w:val="22"/>
        </w:rPr>
        <w:t xml:space="preserve">145 </w:t>
      </w:r>
      <w:r w:rsidR="00286C51" w:rsidRPr="001C2AFE">
        <w:rPr>
          <w:rFonts w:cs="Arial"/>
          <w:sz w:val="22"/>
          <w:szCs w:val="22"/>
        </w:rPr>
        <w:t>public legal assistance services providing legal help to these regional, rural and remote communities.</w:t>
      </w:r>
      <w:r w:rsidR="00286C51" w:rsidRPr="001C2AFE">
        <w:rPr>
          <w:rStyle w:val="FootnoteReference"/>
          <w:sz w:val="22"/>
          <w:szCs w:val="22"/>
        </w:rPr>
        <w:footnoteReference w:id="2"/>
      </w:r>
      <w:r w:rsidR="00286C51" w:rsidRPr="001C2AFE">
        <w:rPr>
          <w:rFonts w:cs="Arial"/>
          <w:sz w:val="22"/>
          <w:szCs w:val="22"/>
        </w:rPr>
        <w:t xml:space="preserve"> </w:t>
      </w:r>
      <w:r w:rsidR="00771A8B" w:rsidRPr="001C2AFE">
        <w:rPr>
          <w:rFonts w:cs="Arial"/>
          <w:sz w:val="22"/>
          <w:szCs w:val="22"/>
        </w:rPr>
        <w:t xml:space="preserve">Supplementing these stand alone legal assistance services, are the private legal practices which offer legal aid and pro bono to their communities. </w:t>
      </w:r>
    </w:p>
    <w:p w14:paraId="6B9C8E93" w14:textId="77777777" w:rsidR="00771A8B" w:rsidRPr="001C2AFE" w:rsidRDefault="00771A8B" w:rsidP="00F65790">
      <w:pPr>
        <w:rPr>
          <w:rFonts w:cs="Arial"/>
          <w:sz w:val="22"/>
          <w:szCs w:val="22"/>
        </w:rPr>
      </w:pPr>
    </w:p>
    <w:p w14:paraId="420CF5C9" w14:textId="71C1DBEF" w:rsidR="006571C9" w:rsidRPr="001C2AFE" w:rsidRDefault="00995414" w:rsidP="00F65790">
      <w:pPr>
        <w:rPr>
          <w:rFonts w:cs="Arial"/>
          <w:sz w:val="22"/>
          <w:szCs w:val="22"/>
        </w:rPr>
      </w:pPr>
      <w:r w:rsidRPr="001C2AFE">
        <w:rPr>
          <w:rFonts w:cs="Arial"/>
          <w:sz w:val="22"/>
          <w:szCs w:val="22"/>
        </w:rPr>
        <w:t>Australia is characterized by population sparsity, yet we expect equality of service delivery</w:t>
      </w:r>
      <w:r w:rsidR="007267F6" w:rsidRPr="001C2AFE">
        <w:rPr>
          <w:rFonts w:cs="Arial"/>
          <w:sz w:val="22"/>
          <w:szCs w:val="22"/>
        </w:rPr>
        <w:t>, regardless of geographical location</w:t>
      </w:r>
      <w:r w:rsidRPr="001C2AFE">
        <w:rPr>
          <w:rFonts w:cs="Arial"/>
          <w:sz w:val="22"/>
          <w:szCs w:val="22"/>
        </w:rPr>
        <w:t>. However s</w:t>
      </w:r>
      <w:r w:rsidR="00930775" w:rsidRPr="001C2AFE">
        <w:rPr>
          <w:rFonts w:cs="Arial"/>
          <w:sz w:val="22"/>
          <w:szCs w:val="22"/>
        </w:rPr>
        <w:t>ome remote areas have one lawyer to 3,000 people</w:t>
      </w:r>
      <w:r w:rsidRPr="001C2AFE">
        <w:rPr>
          <w:rFonts w:cs="Arial"/>
          <w:sz w:val="22"/>
          <w:szCs w:val="22"/>
        </w:rPr>
        <w:t xml:space="preserve"> compared to one lawyer to 300 people in the cities</w:t>
      </w:r>
      <w:r w:rsidR="00930775" w:rsidRPr="001C2AFE">
        <w:rPr>
          <w:rFonts w:cs="Arial"/>
          <w:sz w:val="22"/>
          <w:szCs w:val="22"/>
        </w:rPr>
        <w:t>.</w:t>
      </w:r>
      <w:r w:rsidR="00930775" w:rsidRPr="001C2AFE">
        <w:rPr>
          <w:rStyle w:val="FootnoteReference"/>
          <w:sz w:val="22"/>
          <w:szCs w:val="22"/>
        </w:rPr>
        <w:footnoteReference w:id="3"/>
      </w:r>
      <w:r w:rsidR="00930775" w:rsidRPr="001C2AFE">
        <w:rPr>
          <w:rFonts w:cs="Arial"/>
          <w:sz w:val="22"/>
          <w:szCs w:val="22"/>
        </w:rPr>
        <w:t xml:space="preserve"> </w:t>
      </w:r>
      <w:r w:rsidR="006571C9" w:rsidRPr="001C2AFE">
        <w:rPr>
          <w:rFonts w:cs="Arial"/>
          <w:sz w:val="22"/>
          <w:szCs w:val="22"/>
        </w:rPr>
        <w:t>Typically, the more geo</w:t>
      </w:r>
      <w:r w:rsidR="00836A87">
        <w:rPr>
          <w:rFonts w:cs="Arial"/>
          <w:sz w:val="22"/>
          <w:szCs w:val="22"/>
        </w:rPr>
        <w:t xml:space="preserve">graphically remote communities </w:t>
      </w:r>
      <w:r w:rsidR="006571C9" w:rsidRPr="001C2AFE">
        <w:rPr>
          <w:rFonts w:cs="Arial"/>
          <w:sz w:val="22"/>
          <w:szCs w:val="22"/>
        </w:rPr>
        <w:t>are serviced by under-resourced and overwhelmed public legal services.</w:t>
      </w:r>
      <w:r w:rsidR="007267F6" w:rsidRPr="001C2AFE">
        <w:rPr>
          <w:rFonts w:cs="Arial"/>
          <w:sz w:val="22"/>
          <w:szCs w:val="22"/>
        </w:rPr>
        <w:t xml:space="preserve"> </w:t>
      </w:r>
      <w:r w:rsidR="00F035AA" w:rsidRPr="001C2AFE">
        <w:rPr>
          <w:rFonts w:cs="Arial"/>
          <w:sz w:val="22"/>
          <w:szCs w:val="22"/>
        </w:rPr>
        <w:t>There are few p</w:t>
      </w:r>
      <w:r w:rsidR="00771A8B" w:rsidRPr="001C2AFE">
        <w:rPr>
          <w:rFonts w:cs="Arial"/>
          <w:sz w:val="22"/>
          <w:szCs w:val="22"/>
        </w:rPr>
        <w:t xml:space="preserve">rivate lawyers in these communities. Legal </w:t>
      </w:r>
      <w:r w:rsidR="00F035AA" w:rsidRPr="001C2AFE">
        <w:rPr>
          <w:rFonts w:cs="Arial"/>
          <w:sz w:val="22"/>
          <w:szCs w:val="22"/>
        </w:rPr>
        <w:t>assistance s</w:t>
      </w:r>
      <w:r w:rsidR="007267F6" w:rsidRPr="001C2AFE">
        <w:rPr>
          <w:rFonts w:cs="Arial"/>
          <w:sz w:val="22"/>
          <w:szCs w:val="22"/>
        </w:rPr>
        <w:t xml:space="preserve">ervices experience </w:t>
      </w:r>
      <w:r w:rsidR="005D5BBB" w:rsidRPr="001C2AFE">
        <w:rPr>
          <w:rFonts w:cs="Arial"/>
          <w:sz w:val="22"/>
          <w:szCs w:val="22"/>
        </w:rPr>
        <w:t>volatility</w:t>
      </w:r>
      <w:r w:rsidR="007267F6" w:rsidRPr="001C2AFE">
        <w:rPr>
          <w:rFonts w:cs="Arial"/>
          <w:sz w:val="22"/>
          <w:szCs w:val="22"/>
        </w:rPr>
        <w:t xml:space="preserve"> in both funding and staffing</w:t>
      </w:r>
      <w:r w:rsidR="00771A8B" w:rsidRPr="001C2AFE">
        <w:rPr>
          <w:rFonts w:cs="Arial"/>
          <w:sz w:val="22"/>
          <w:szCs w:val="22"/>
        </w:rPr>
        <w:t xml:space="preserve"> which threatens their sustainability</w:t>
      </w:r>
      <w:r w:rsidR="007267F6" w:rsidRPr="001C2AFE">
        <w:rPr>
          <w:rFonts w:cs="Arial"/>
          <w:sz w:val="22"/>
          <w:szCs w:val="22"/>
        </w:rPr>
        <w:t>.</w:t>
      </w:r>
      <w:r w:rsidR="00F035AA" w:rsidRPr="001C2AFE">
        <w:rPr>
          <w:rFonts w:cs="Arial"/>
          <w:sz w:val="22"/>
          <w:szCs w:val="22"/>
        </w:rPr>
        <w:t xml:space="preserve"> Law for Australia seeks to ‘smoothe’ the short term staffing needs by drawing on the profession’s commitment to justice</w:t>
      </w:r>
      <w:r w:rsidR="00836A87">
        <w:rPr>
          <w:rFonts w:cs="Arial"/>
          <w:sz w:val="22"/>
          <w:szCs w:val="22"/>
        </w:rPr>
        <w:t xml:space="preserve"> and to provide supported work experience, internships, clerkships, secondments and locums</w:t>
      </w:r>
      <w:r w:rsidR="00F035AA" w:rsidRPr="001C2AFE">
        <w:rPr>
          <w:rFonts w:cs="Arial"/>
          <w:sz w:val="22"/>
          <w:szCs w:val="22"/>
        </w:rPr>
        <w:t>.</w:t>
      </w:r>
    </w:p>
    <w:p w14:paraId="107997B0" w14:textId="77777777" w:rsidR="006571C9" w:rsidRPr="001C2AFE" w:rsidRDefault="006571C9" w:rsidP="00F65790">
      <w:pPr>
        <w:rPr>
          <w:rFonts w:cs="Arial"/>
          <w:sz w:val="22"/>
          <w:szCs w:val="22"/>
        </w:rPr>
      </w:pPr>
    </w:p>
    <w:p w14:paraId="295B22EB" w14:textId="6A1E2BCF" w:rsidR="00DD240B" w:rsidRPr="001C2AFE" w:rsidRDefault="00930775" w:rsidP="00F65790">
      <w:pPr>
        <w:rPr>
          <w:rFonts w:cs="Arial"/>
          <w:sz w:val="22"/>
          <w:szCs w:val="22"/>
        </w:rPr>
      </w:pPr>
      <w:r w:rsidRPr="001C2AFE">
        <w:rPr>
          <w:rFonts w:cs="Arial"/>
          <w:sz w:val="22"/>
          <w:szCs w:val="22"/>
        </w:rPr>
        <w:t xml:space="preserve">Although we are one profession, </w:t>
      </w:r>
      <w:r w:rsidR="00FC3CEF" w:rsidRPr="001C2AFE">
        <w:rPr>
          <w:rFonts w:cs="Arial"/>
          <w:sz w:val="22"/>
          <w:szCs w:val="22"/>
        </w:rPr>
        <w:t>characterized by diversity</w:t>
      </w:r>
      <w:r w:rsidRPr="001C2AFE">
        <w:rPr>
          <w:rFonts w:cs="Arial"/>
          <w:sz w:val="22"/>
          <w:szCs w:val="22"/>
        </w:rPr>
        <w:t xml:space="preserve"> </w:t>
      </w:r>
      <w:r w:rsidR="00DF748D" w:rsidRPr="001C2AFE">
        <w:rPr>
          <w:rFonts w:cs="Arial"/>
          <w:sz w:val="22"/>
          <w:szCs w:val="22"/>
        </w:rPr>
        <w:t>(</w:t>
      </w:r>
      <w:r w:rsidRPr="001C2AFE">
        <w:rPr>
          <w:rFonts w:cs="Arial"/>
          <w:sz w:val="22"/>
          <w:szCs w:val="22"/>
        </w:rPr>
        <w:t xml:space="preserve">of employment sector, areas of practice, post admission experience and jurisdictional </w:t>
      </w:r>
      <w:r w:rsidR="00CB0EAF" w:rsidRPr="001C2AFE">
        <w:rPr>
          <w:rFonts w:cs="Arial"/>
          <w:sz w:val="22"/>
          <w:szCs w:val="22"/>
        </w:rPr>
        <w:t>idiosyncrasies</w:t>
      </w:r>
      <w:r w:rsidR="00DF748D" w:rsidRPr="001C2AFE">
        <w:rPr>
          <w:rFonts w:cs="Arial"/>
          <w:sz w:val="22"/>
          <w:szCs w:val="22"/>
        </w:rPr>
        <w:t>) y</w:t>
      </w:r>
      <w:r w:rsidR="00FC3CEF" w:rsidRPr="001C2AFE">
        <w:rPr>
          <w:rFonts w:cs="Arial"/>
          <w:sz w:val="22"/>
          <w:szCs w:val="22"/>
        </w:rPr>
        <w:t xml:space="preserve">et </w:t>
      </w:r>
      <w:r w:rsidR="00771A8B" w:rsidRPr="001C2AFE">
        <w:rPr>
          <w:rFonts w:cs="Arial"/>
          <w:sz w:val="22"/>
          <w:szCs w:val="22"/>
        </w:rPr>
        <w:t xml:space="preserve">we are </w:t>
      </w:r>
      <w:r w:rsidR="00FC3CEF" w:rsidRPr="001C2AFE">
        <w:rPr>
          <w:rFonts w:cs="Arial"/>
          <w:sz w:val="22"/>
          <w:szCs w:val="22"/>
        </w:rPr>
        <w:t xml:space="preserve">united under the paramount </w:t>
      </w:r>
      <w:r w:rsidR="00DF748D" w:rsidRPr="001C2AFE">
        <w:rPr>
          <w:rFonts w:cs="Arial"/>
          <w:sz w:val="22"/>
          <w:szCs w:val="22"/>
        </w:rPr>
        <w:t>commitment to</w:t>
      </w:r>
      <w:r w:rsidR="00FC3CEF" w:rsidRPr="001C2AFE">
        <w:rPr>
          <w:rFonts w:cs="Arial"/>
          <w:sz w:val="22"/>
          <w:szCs w:val="22"/>
        </w:rPr>
        <w:t xml:space="preserve"> the administration of justice.</w:t>
      </w:r>
      <w:r w:rsidR="00FC3CEF" w:rsidRPr="001C2AFE">
        <w:rPr>
          <w:rStyle w:val="FootnoteReference"/>
          <w:sz w:val="22"/>
          <w:szCs w:val="22"/>
        </w:rPr>
        <w:footnoteReference w:id="4"/>
      </w:r>
      <w:r w:rsidR="00FC3CEF" w:rsidRPr="001C2AFE">
        <w:rPr>
          <w:rFonts w:cs="Arial"/>
          <w:sz w:val="22"/>
          <w:szCs w:val="22"/>
        </w:rPr>
        <w:t xml:space="preserve"> </w:t>
      </w:r>
      <w:r w:rsidR="007267F6" w:rsidRPr="001C2AFE">
        <w:rPr>
          <w:rFonts w:cs="Arial"/>
          <w:sz w:val="22"/>
          <w:szCs w:val="22"/>
        </w:rPr>
        <w:t xml:space="preserve"> The legal profession’s commitment to justice is manifest in its pro bono effort</w:t>
      </w:r>
      <w:r w:rsidR="00DD240B" w:rsidRPr="001C2AFE">
        <w:rPr>
          <w:rFonts w:cs="Arial"/>
          <w:sz w:val="22"/>
          <w:szCs w:val="22"/>
        </w:rPr>
        <w:t>.</w:t>
      </w:r>
      <w:r w:rsidR="00F035AA" w:rsidRPr="001C2AFE">
        <w:rPr>
          <w:rFonts w:cs="Arial"/>
          <w:sz w:val="22"/>
          <w:szCs w:val="22"/>
        </w:rPr>
        <w:t xml:space="preserve">  An e</w:t>
      </w:r>
      <w:r w:rsidR="00836A87">
        <w:rPr>
          <w:rFonts w:cs="Arial"/>
          <w:sz w:val="22"/>
          <w:szCs w:val="22"/>
        </w:rPr>
        <w:t>xample</w:t>
      </w:r>
      <w:r w:rsidR="00771A8B" w:rsidRPr="001C2AFE">
        <w:rPr>
          <w:rFonts w:cs="Arial"/>
          <w:sz w:val="22"/>
          <w:szCs w:val="22"/>
        </w:rPr>
        <w:t xml:space="preserve"> of the</w:t>
      </w:r>
      <w:r w:rsidR="00DF748D" w:rsidRPr="001C2AFE">
        <w:rPr>
          <w:rFonts w:cs="Arial"/>
          <w:sz w:val="22"/>
          <w:szCs w:val="22"/>
        </w:rPr>
        <w:t xml:space="preserve"> pro-bono redistribution of resources </w:t>
      </w:r>
      <w:r w:rsidR="00F035AA" w:rsidRPr="001C2AFE">
        <w:rPr>
          <w:rFonts w:cs="Arial"/>
          <w:sz w:val="22"/>
          <w:szCs w:val="22"/>
        </w:rPr>
        <w:t>is the secondments of</w:t>
      </w:r>
      <w:r w:rsidR="00771A8B" w:rsidRPr="001C2AFE">
        <w:rPr>
          <w:rFonts w:cs="Arial"/>
          <w:sz w:val="22"/>
          <w:szCs w:val="22"/>
        </w:rPr>
        <w:t xml:space="preserve"> l</w:t>
      </w:r>
      <w:r w:rsidR="00FC3CEF" w:rsidRPr="001C2AFE">
        <w:rPr>
          <w:rFonts w:cs="Arial"/>
          <w:sz w:val="22"/>
          <w:szCs w:val="22"/>
        </w:rPr>
        <w:t xml:space="preserve">awyers </w:t>
      </w:r>
      <w:r w:rsidR="00F035AA" w:rsidRPr="001C2AFE">
        <w:rPr>
          <w:rFonts w:cs="Arial"/>
          <w:sz w:val="22"/>
          <w:szCs w:val="22"/>
        </w:rPr>
        <w:t>from capital city based</w:t>
      </w:r>
      <w:r w:rsidR="00FC3CEF" w:rsidRPr="001C2AFE">
        <w:rPr>
          <w:rFonts w:cs="Arial"/>
          <w:sz w:val="22"/>
          <w:szCs w:val="22"/>
        </w:rPr>
        <w:t xml:space="preserve"> multinational legal practices to Aboriginal </w:t>
      </w:r>
      <w:r w:rsidR="00F035AA" w:rsidRPr="001C2AFE">
        <w:rPr>
          <w:rFonts w:cs="Arial"/>
          <w:sz w:val="22"/>
          <w:szCs w:val="22"/>
        </w:rPr>
        <w:t xml:space="preserve">Legal Services </w:t>
      </w:r>
      <w:r w:rsidR="00FC3CEF" w:rsidRPr="001C2AFE">
        <w:rPr>
          <w:rFonts w:cs="Arial"/>
          <w:sz w:val="22"/>
          <w:szCs w:val="22"/>
        </w:rPr>
        <w:t>in very remote Australia.</w:t>
      </w:r>
      <w:r w:rsidR="00FC3CEF" w:rsidRPr="001C2AFE">
        <w:rPr>
          <w:rStyle w:val="FootnoteReference"/>
          <w:sz w:val="22"/>
          <w:szCs w:val="22"/>
        </w:rPr>
        <w:footnoteReference w:id="5"/>
      </w:r>
      <w:r w:rsidR="00FC3CEF" w:rsidRPr="001C2AFE">
        <w:rPr>
          <w:rFonts w:cs="Arial"/>
          <w:sz w:val="22"/>
          <w:szCs w:val="22"/>
        </w:rPr>
        <w:t xml:space="preserve"> </w:t>
      </w:r>
    </w:p>
    <w:p w14:paraId="38211D2F" w14:textId="77777777" w:rsidR="00DD240B" w:rsidRPr="001C2AFE" w:rsidRDefault="00DD240B" w:rsidP="00F65790">
      <w:pPr>
        <w:rPr>
          <w:rFonts w:cs="Arial"/>
          <w:sz w:val="22"/>
          <w:szCs w:val="22"/>
        </w:rPr>
      </w:pPr>
    </w:p>
    <w:p w14:paraId="13D71A41" w14:textId="1398146E" w:rsidR="00BD37A6" w:rsidRPr="001C2AFE" w:rsidRDefault="00FC3CEF" w:rsidP="00F65790">
      <w:pPr>
        <w:rPr>
          <w:rFonts w:cs="Arial"/>
          <w:sz w:val="22"/>
          <w:szCs w:val="22"/>
        </w:rPr>
      </w:pPr>
      <w:r w:rsidRPr="001C2AFE">
        <w:rPr>
          <w:rFonts w:cs="Arial"/>
          <w:sz w:val="22"/>
          <w:szCs w:val="22"/>
        </w:rPr>
        <w:lastRenderedPageBreak/>
        <w:t>Law schools</w:t>
      </w:r>
      <w:r w:rsidR="00DD240B" w:rsidRPr="001C2AFE">
        <w:rPr>
          <w:rFonts w:cs="Arial"/>
          <w:sz w:val="22"/>
          <w:szCs w:val="22"/>
        </w:rPr>
        <w:t>, largely based</w:t>
      </w:r>
      <w:r w:rsidRPr="001C2AFE">
        <w:rPr>
          <w:rFonts w:cs="Arial"/>
          <w:sz w:val="22"/>
          <w:szCs w:val="22"/>
        </w:rPr>
        <w:t xml:space="preserve"> in the </w:t>
      </w:r>
      <w:r w:rsidR="00CB0EAF" w:rsidRPr="001C2AFE">
        <w:rPr>
          <w:rFonts w:cs="Arial"/>
          <w:sz w:val="22"/>
          <w:szCs w:val="22"/>
        </w:rPr>
        <w:t>southeast</w:t>
      </w:r>
      <w:r w:rsidRPr="001C2AFE">
        <w:rPr>
          <w:rFonts w:cs="Arial"/>
          <w:sz w:val="22"/>
          <w:szCs w:val="22"/>
        </w:rPr>
        <w:t xml:space="preserve"> of the continent</w:t>
      </w:r>
      <w:r w:rsidR="00DD240B" w:rsidRPr="001C2AFE">
        <w:rPr>
          <w:rFonts w:cs="Arial"/>
          <w:sz w:val="22"/>
          <w:szCs w:val="22"/>
        </w:rPr>
        <w:t>,</w:t>
      </w:r>
      <w:r w:rsidRPr="001C2AFE">
        <w:rPr>
          <w:rFonts w:cs="Arial"/>
          <w:sz w:val="22"/>
          <w:szCs w:val="22"/>
        </w:rPr>
        <w:t xml:space="preserve"> foster</w:t>
      </w:r>
      <w:r w:rsidR="00DF748D" w:rsidRPr="001C2AFE">
        <w:rPr>
          <w:rFonts w:cs="Arial"/>
          <w:sz w:val="22"/>
          <w:szCs w:val="22"/>
        </w:rPr>
        <w:t xml:space="preserve"> the social justice consciousness of</w:t>
      </w:r>
      <w:r w:rsidRPr="001C2AFE">
        <w:rPr>
          <w:rFonts w:cs="Arial"/>
          <w:sz w:val="22"/>
          <w:szCs w:val="22"/>
        </w:rPr>
        <w:t xml:space="preserve"> thousands of students eager to experience ‘real law with real people’.</w:t>
      </w:r>
      <w:r w:rsidRPr="001C2AFE">
        <w:rPr>
          <w:rStyle w:val="FootnoteReference"/>
          <w:sz w:val="22"/>
          <w:szCs w:val="22"/>
        </w:rPr>
        <w:footnoteReference w:id="6"/>
      </w:r>
      <w:r w:rsidRPr="001C2AFE">
        <w:rPr>
          <w:rFonts w:cs="Arial"/>
          <w:sz w:val="22"/>
          <w:szCs w:val="22"/>
        </w:rPr>
        <w:t xml:space="preserve"> </w:t>
      </w:r>
      <w:r w:rsidR="00DD240B" w:rsidRPr="001C2AFE">
        <w:rPr>
          <w:rFonts w:cs="Arial"/>
          <w:sz w:val="22"/>
          <w:szCs w:val="22"/>
        </w:rPr>
        <w:t xml:space="preserve">If these students have ‘connections’ they may find legal practices willing to give them work experience. </w:t>
      </w:r>
      <w:r w:rsidR="00771A8B" w:rsidRPr="001C2AFE">
        <w:rPr>
          <w:rFonts w:cs="Arial"/>
          <w:sz w:val="22"/>
          <w:szCs w:val="22"/>
        </w:rPr>
        <w:t>However these o</w:t>
      </w:r>
      <w:r w:rsidR="00930775" w:rsidRPr="001C2AFE">
        <w:rPr>
          <w:rFonts w:cs="Arial"/>
          <w:sz w:val="22"/>
          <w:szCs w:val="22"/>
        </w:rPr>
        <w:t xml:space="preserve">pportunities for </w:t>
      </w:r>
      <w:r w:rsidR="00DF748D" w:rsidRPr="001C2AFE">
        <w:rPr>
          <w:rFonts w:cs="Arial"/>
          <w:sz w:val="22"/>
          <w:szCs w:val="22"/>
        </w:rPr>
        <w:t xml:space="preserve">undergraduates to undertake </w:t>
      </w:r>
      <w:r w:rsidR="00930775" w:rsidRPr="001C2AFE">
        <w:rPr>
          <w:rFonts w:cs="Arial"/>
          <w:sz w:val="22"/>
          <w:szCs w:val="22"/>
        </w:rPr>
        <w:t xml:space="preserve">legal internships and vacation </w:t>
      </w:r>
      <w:r w:rsidR="00DF748D" w:rsidRPr="001C2AFE">
        <w:rPr>
          <w:rFonts w:cs="Arial"/>
          <w:sz w:val="22"/>
          <w:szCs w:val="22"/>
        </w:rPr>
        <w:t xml:space="preserve">clerkships </w:t>
      </w:r>
      <w:r w:rsidR="00930775" w:rsidRPr="001C2AFE">
        <w:rPr>
          <w:rFonts w:cs="Arial"/>
          <w:sz w:val="22"/>
          <w:szCs w:val="22"/>
        </w:rPr>
        <w:t>are oversubscribed</w:t>
      </w:r>
      <w:r w:rsidR="00F035AA" w:rsidRPr="001C2AFE">
        <w:rPr>
          <w:rFonts w:cs="Arial"/>
          <w:sz w:val="22"/>
          <w:szCs w:val="22"/>
        </w:rPr>
        <w:t>. There is no co-ordination</w:t>
      </w:r>
      <w:r w:rsidR="00370FC2">
        <w:rPr>
          <w:rFonts w:cs="Arial"/>
          <w:sz w:val="22"/>
          <w:szCs w:val="22"/>
        </w:rPr>
        <w:t xml:space="preserve"> of either the interest or the opportunity,</w:t>
      </w:r>
      <w:r w:rsidR="00BD37A6" w:rsidRPr="001C2AFE">
        <w:rPr>
          <w:rFonts w:cs="Arial"/>
          <w:sz w:val="22"/>
          <w:szCs w:val="22"/>
        </w:rPr>
        <w:t xml:space="preserve"> and</w:t>
      </w:r>
      <w:r w:rsidR="00DD240B" w:rsidRPr="001C2AFE">
        <w:rPr>
          <w:rFonts w:cs="Arial"/>
          <w:sz w:val="22"/>
          <w:szCs w:val="22"/>
        </w:rPr>
        <w:t xml:space="preserve"> we have difficulty matching people to places</w:t>
      </w:r>
      <w:r w:rsidR="00BD37A6" w:rsidRPr="001C2AFE">
        <w:rPr>
          <w:rFonts w:cs="Arial"/>
          <w:sz w:val="22"/>
          <w:szCs w:val="22"/>
        </w:rPr>
        <w:t>. T</w:t>
      </w:r>
      <w:r w:rsidR="00DD240B" w:rsidRPr="001C2AFE">
        <w:rPr>
          <w:rFonts w:cs="Arial"/>
          <w:sz w:val="22"/>
          <w:szCs w:val="22"/>
        </w:rPr>
        <w:t xml:space="preserve">here is a need for </w:t>
      </w:r>
      <w:r w:rsidR="00BD37A6" w:rsidRPr="001C2AFE">
        <w:rPr>
          <w:rFonts w:cs="Arial"/>
          <w:sz w:val="22"/>
          <w:szCs w:val="22"/>
        </w:rPr>
        <w:t>an ‘introduction agency’</w:t>
      </w:r>
      <w:r w:rsidR="00DD240B" w:rsidRPr="001C2AFE">
        <w:rPr>
          <w:rFonts w:cs="Arial"/>
          <w:sz w:val="22"/>
          <w:szCs w:val="22"/>
        </w:rPr>
        <w:t xml:space="preserve"> to establish these connections. </w:t>
      </w:r>
    </w:p>
    <w:p w14:paraId="5D314B1C" w14:textId="77777777" w:rsidR="00771A8B" w:rsidRPr="001C2AFE" w:rsidRDefault="00771A8B" w:rsidP="00F65790">
      <w:pPr>
        <w:rPr>
          <w:rFonts w:cs="Arial"/>
          <w:sz w:val="22"/>
          <w:szCs w:val="22"/>
        </w:rPr>
      </w:pPr>
    </w:p>
    <w:p w14:paraId="6CA4F9B7" w14:textId="000D057A" w:rsidR="00C37F35" w:rsidRPr="001C2AFE" w:rsidRDefault="00C37F35" w:rsidP="00F65790">
      <w:pPr>
        <w:rPr>
          <w:sz w:val="22"/>
          <w:szCs w:val="22"/>
        </w:rPr>
      </w:pPr>
      <w:r w:rsidRPr="001C2AFE">
        <w:rPr>
          <w:sz w:val="22"/>
          <w:szCs w:val="22"/>
        </w:rPr>
        <w:t>Two examples of this introduction agency role are funded by the Australian Attorney General’s department a</w:t>
      </w:r>
      <w:r w:rsidR="00F035AA" w:rsidRPr="001C2AFE">
        <w:rPr>
          <w:sz w:val="22"/>
          <w:szCs w:val="22"/>
        </w:rPr>
        <w:t>lthough</w:t>
      </w:r>
      <w:r w:rsidRPr="001C2AFE">
        <w:rPr>
          <w:sz w:val="22"/>
          <w:szCs w:val="22"/>
        </w:rPr>
        <w:t xml:space="preserve"> due to conclude this year. Both </w:t>
      </w:r>
      <w:r w:rsidR="00F035AA" w:rsidRPr="001C2AFE">
        <w:rPr>
          <w:sz w:val="22"/>
          <w:szCs w:val="22"/>
        </w:rPr>
        <w:t xml:space="preserve">roles </w:t>
      </w:r>
      <w:r w:rsidRPr="001C2AFE">
        <w:rPr>
          <w:sz w:val="22"/>
          <w:szCs w:val="22"/>
        </w:rPr>
        <w:t>have been successful in exposing lawyers to careers outside the cities, providing much needed resources to struggling legal services, and as a pipe line to recruit workers</w:t>
      </w:r>
      <w:r w:rsidR="00F035AA" w:rsidRPr="001C2AFE">
        <w:rPr>
          <w:sz w:val="22"/>
          <w:szCs w:val="22"/>
        </w:rPr>
        <w:t xml:space="preserve"> to the sector</w:t>
      </w:r>
      <w:r w:rsidRPr="001C2AFE">
        <w:rPr>
          <w:sz w:val="22"/>
          <w:szCs w:val="22"/>
        </w:rPr>
        <w:t>. They are;</w:t>
      </w:r>
    </w:p>
    <w:p w14:paraId="100CC6B6" w14:textId="2001F7E2" w:rsidR="00C37F35" w:rsidRPr="001C2AFE" w:rsidRDefault="00C37F35" w:rsidP="00F65790">
      <w:pPr>
        <w:pStyle w:val="ListParagraph"/>
        <w:numPr>
          <w:ilvl w:val="0"/>
          <w:numId w:val="13"/>
        </w:numPr>
        <w:rPr>
          <w:rFonts w:ascii="Arial" w:hAnsi="Arial"/>
          <w:sz w:val="22"/>
          <w:szCs w:val="22"/>
        </w:rPr>
      </w:pPr>
      <w:r w:rsidRPr="001C2AFE">
        <w:rPr>
          <w:rFonts w:ascii="Arial" w:hAnsi="Arial"/>
          <w:sz w:val="22"/>
          <w:szCs w:val="22"/>
        </w:rPr>
        <w:t>the N</w:t>
      </w:r>
      <w:r w:rsidR="00370FC2">
        <w:rPr>
          <w:rFonts w:ascii="Arial" w:hAnsi="Arial"/>
          <w:sz w:val="22"/>
          <w:szCs w:val="22"/>
        </w:rPr>
        <w:t xml:space="preserve">ational </w:t>
      </w:r>
      <w:r w:rsidRPr="001C2AFE">
        <w:rPr>
          <w:rFonts w:ascii="Arial" w:hAnsi="Arial"/>
          <w:sz w:val="22"/>
          <w:szCs w:val="22"/>
        </w:rPr>
        <w:t>A</w:t>
      </w:r>
      <w:r w:rsidR="00370FC2">
        <w:rPr>
          <w:rFonts w:ascii="Arial" w:hAnsi="Arial"/>
          <w:sz w:val="22"/>
          <w:szCs w:val="22"/>
        </w:rPr>
        <w:t xml:space="preserve">ssociation of </w:t>
      </w:r>
      <w:r w:rsidRPr="001C2AFE">
        <w:rPr>
          <w:rFonts w:ascii="Arial" w:hAnsi="Arial"/>
          <w:sz w:val="22"/>
          <w:szCs w:val="22"/>
        </w:rPr>
        <w:t>C</w:t>
      </w:r>
      <w:r w:rsidR="00370FC2">
        <w:rPr>
          <w:rFonts w:ascii="Arial" w:hAnsi="Arial"/>
          <w:sz w:val="22"/>
          <w:szCs w:val="22"/>
        </w:rPr>
        <w:t xml:space="preserve">ommunity </w:t>
      </w:r>
      <w:r w:rsidRPr="001C2AFE">
        <w:rPr>
          <w:rFonts w:ascii="Arial" w:hAnsi="Arial"/>
          <w:sz w:val="22"/>
          <w:szCs w:val="22"/>
        </w:rPr>
        <w:t>L</w:t>
      </w:r>
      <w:r w:rsidR="00370FC2">
        <w:rPr>
          <w:rFonts w:ascii="Arial" w:hAnsi="Arial"/>
          <w:sz w:val="22"/>
          <w:szCs w:val="22"/>
        </w:rPr>
        <w:t xml:space="preserve">egal </w:t>
      </w:r>
      <w:r w:rsidRPr="001C2AFE">
        <w:rPr>
          <w:rFonts w:ascii="Arial" w:hAnsi="Arial"/>
          <w:sz w:val="22"/>
          <w:szCs w:val="22"/>
        </w:rPr>
        <w:t>C</w:t>
      </w:r>
      <w:r w:rsidR="00370FC2">
        <w:rPr>
          <w:rFonts w:ascii="Arial" w:hAnsi="Arial"/>
          <w:sz w:val="22"/>
          <w:szCs w:val="22"/>
        </w:rPr>
        <w:t>entres</w:t>
      </w:r>
      <w:r w:rsidRPr="001C2AFE">
        <w:rPr>
          <w:rFonts w:ascii="Arial" w:hAnsi="Arial"/>
          <w:sz w:val="22"/>
          <w:szCs w:val="22"/>
        </w:rPr>
        <w:t xml:space="preserve"> R</w:t>
      </w:r>
      <w:r w:rsidR="00370FC2">
        <w:rPr>
          <w:rFonts w:ascii="Arial" w:hAnsi="Arial"/>
          <w:sz w:val="22"/>
          <w:szCs w:val="22"/>
        </w:rPr>
        <w:t xml:space="preserve">egional </w:t>
      </w:r>
      <w:r w:rsidRPr="001C2AFE">
        <w:rPr>
          <w:rFonts w:ascii="Arial" w:hAnsi="Arial"/>
          <w:sz w:val="22"/>
          <w:szCs w:val="22"/>
        </w:rPr>
        <w:t>R</w:t>
      </w:r>
      <w:r w:rsidR="00370FC2">
        <w:rPr>
          <w:rFonts w:ascii="Arial" w:hAnsi="Arial"/>
          <w:sz w:val="22"/>
          <w:szCs w:val="22"/>
        </w:rPr>
        <w:t xml:space="preserve">ural </w:t>
      </w:r>
      <w:r w:rsidRPr="001C2AFE">
        <w:rPr>
          <w:rFonts w:ascii="Arial" w:hAnsi="Arial"/>
          <w:sz w:val="22"/>
          <w:szCs w:val="22"/>
        </w:rPr>
        <w:t>R</w:t>
      </w:r>
      <w:r w:rsidR="00370FC2">
        <w:rPr>
          <w:rFonts w:ascii="Arial" w:hAnsi="Arial"/>
          <w:sz w:val="22"/>
          <w:szCs w:val="22"/>
        </w:rPr>
        <w:t>emote</w:t>
      </w:r>
      <w:r w:rsidRPr="001C2AFE">
        <w:rPr>
          <w:rFonts w:ascii="Arial" w:hAnsi="Arial"/>
          <w:sz w:val="22"/>
          <w:szCs w:val="22"/>
        </w:rPr>
        <w:t xml:space="preserve"> P</w:t>
      </w:r>
      <w:r w:rsidR="00370FC2">
        <w:rPr>
          <w:rFonts w:ascii="Arial" w:hAnsi="Arial"/>
          <w:sz w:val="22"/>
          <w:szCs w:val="22"/>
        </w:rPr>
        <w:t xml:space="preserve">ractical </w:t>
      </w:r>
      <w:r w:rsidRPr="001C2AFE">
        <w:rPr>
          <w:rFonts w:ascii="Arial" w:hAnsi="Arial"/>
          <w:sz w:val="22"/>
          <w:szCs w:val="22"/>
        </w:rPr>
        <w:t>L</w:t>
      </w:r>
      <w:r w:rsidR="00370FC2">
        <w:rPr>
          <w:rFonts w:ascii="Arial" w:hAnsi="Arial"/>
          <w:sz w:val="22"/>
          <w:szCs w:val="22"/>
        </w:rPr>
        <w:t xml:space="preserve">egal </w:t>
      </w:r>
      <w:r w:rsidRPr="001C2AFE">
        <w:rPr>
          <w:rFonts w:ascii="Arial" w:hAnsi="Arial"/>
          <w:sz w:val="22"/>
          <w:szCs w:val="22"/>
        </w:rPr>
        <w:t>T</w:t>
      </w:r>
      <w:r w:rsidR="00370FC2">
        <w:rPr>
          <w:rFonts w:ascii="Arial" w:hAnsi="Arial"/>
          <w:sz w:val="22"/>
          <w:szCs w:val="22"/>
        </w:rPr>
        <w:t>raining (NACLC RRR PLT)</w:t>
      </w:r>
      <w:r w:rsidRPr="001C2AFE">
        <w:rPr>
          <w:rFonts w:ascii="Arial" w:hAnsi="Arial"/>
          <w:sz w:val="22"/>
          <w:szCs w:val="22"/>
        </w:rPr>
        <w:t xml:space="preserve"> project which matches law graduates to voluntary positions in the regional, rural and remote legal assistance sector.</w:t>
      </w:r>
      <w:r w:rsidRPr="00370FC2">
        <w:rPr>
          <w:sz w:val="18"/>
          <w:szCs w:val="18"/>
        </w:rPr>
        <w:footnoteReference w:id="7"/>
      </w:r>
      <w:r w:rsidRPr="00370FC2">
        <w:rPr>
          <w:sz w:val="18"/>
          <w:szCs w:val="18"/>
        </w:rPr>
        <w:t xml:space="preserve"> </w:t>
      </w:r>
    </w:p>
    <w:p w14:paraId="258929B6" w14:textId="60222355" w:rsidR="00C37F35" w:rsidRPr="001C2AFE" w:rsidRDefault="00C37F35" w:rsidP="00F035AA">
      <w:pPr>
        <w:pStyle w:val="ListParagraph"/>
        <w:numPr>
          <w:ilvl w:val="0"/>
          <w:numId w:val="13"/>
        </w:numPr>
        <w:rPr>
          <w:rFonts w:ascii="Arial" w:hAnsi="Arial" w:cs="Arial"/>
          <w:sz w:val="22"/>
          <w:szCs w:val="22"/>
        </w:rPr>
      </w:pPr>
      <w:r w:rsidRPr="001C2AFE">
        <w:rPr>
          <w:rFonts w:ascii="Arial" w:hAnsi="Arial"/>
          <w:sz w:val="22"/>
          <w:szCs w:val="22"/>
        </w:rPr>
        <w:t>The clinical law program which matches undergraduate law students studying family law, to community legal centres offering a ‘clinical legal education’. This pilot project includes three regional community legal centres; Hume Riverina CLS, Loddon Campaspe CLC, TASC Townsville.</w:t>
      </w:r>
      <w:r w:rsidR="00370FC2">
        <w:rPr>
          <w:rFonts w:ascii="Arial" w:hAnsi="Arial"/>
          <w:sz w:val="22"/>
          <w:szCs w:val="22"/>
        </w:rPr>
        <w:t xml:space="preserve"> The students learn through practice. The legal services gain valuable resources.</w:t>
      </w:r>
    </w:p>
    <w:p w14:paraId="1A11EC4F" w14:textId="77777777" w:rsidR="00C37F35" w:rsidRPr="001C2AFE" w:rsidRDefault="00C37F35" w:rsidP="00F65790">
      <w:pPr>
        <w:rPr>
          <w:rFonts w:cs="Arial"/>
          <w:sz w:val="22"/>
          <w:szCs w:val="22"/>
        </w:rPr>
      </w:pPr>
    </w:p>
    <w:p w14:paraId="1ACC196F" w14:textId="7335B94D" w:rsidR="00DD240B" w:rsidRPr="001C2AFE" w:rsidRDefault="00CB0EAF" w:rsidP="00F65790">
      <w:pPr>
        <w:rPr>
          <w:rFonts w:cs="Arial"/>
          <w:sz w:val="22"/>
          <w:szCs w:val="22"/>
        </w:rPr>
      </w:pPr>
      <w:r w:rsidRPr="001C2AFE">
        <w:rPr>
          <w:rFonts w:cs="Arial"/>
          <w:sz w:val="22"/>
          <w:szCs w:val="22"/>
        </w:rPr>
        <w:t>Occasionally</w:t>
      </w:r>
      <w:r w:rsidR="00DD240B" w:rsidRPr="001C2AFE">
        <w:rPr>
          <w:rFonts w:cs="Arial"/>
          <w:sz w:val="22"/>
          <w:szCs w:val="22"/>
        </w:rPr>
        <w:t>, m</w:t>
      </w:r>
      <w:r w:rsidR="00FC3CEF" w:rsidRPr="001C2AFE">
        <w:rPr>
          <w:rFonts w:cs="Arial"/>
          <w:sz w:val="22"/>
          <w:szCs w:val="22"/>
        </w:rPr>
        <w:t>ature solicitors seek refreshment to their practice through sabbaticals, secondments and look for ‘legal tourism’ opportunities</w:t>
      </w:r>
      <w:r w:rsidR="00DD240B" w:rsidRPr="001C2AFE">
        <w:rPr>
          <w:rFonts w:cs="Arial"/>
          <w:sz w:val="22"/>
          <w:szCs w:val="22"/>
        </w:rPr>
        <w:t xml:space="preserve"> where they can experience another type of practice</w:t>
      </w:r>
      <w:r w:rsidR="00FC3CEF" w:rsidRPr="001C2AFE">
        <w:rPr>
          <w:rFonts w:cs="Arial"/>
          <w:sz w:val="22"/>
          <w:szCs w:val="22"/>
        </w:rPr>
        <w:t>.</w:t>
      </w:r>
      <w:r w:rsidR="00930775" w:rsidRPr="001C2AFE">
        <w:rPr>
          <w:rFonts w:cs="Arial"/>
          <w:sz w:val="22"/>
          <w:szCs w:val="22"/>
        </w:rPr>
        <w:t xml:space="preserve"> </w:t>
      </w:r>
      <w:r w:rsidR="00F035AA" w:rsidRPr="001C2AFE">
        <w:rPr>
          <w:rFonts w:cs="Arial"/>
          <w:sz w:val="22"/>
          <w:szCs w:val="22"/>
        </w:rPr>
        <w:t xml:space="preserve"> T</w:t>
      </w:r>
      <w:r w:rsidR="00397DD1" w:rsidRPr="001C2AFE">
        <w:rPr>
          <w:rFonts w:cs="Arial"/>
          <w:sz w:val="22"/>
          <w:szCs w:val="22"/>
        </w:rPr>
        <w:t xml:space="preserve">his </w:t>
      </w:r>
      <w:r w:rsidRPr="001C2AFE">
        <w:rPr>
          <w:rFonts w:cs="Arial"/>
          <w:sz w:val="22"/>
          <w:szCs w:val="22"/>
        </w:rPr>
        <w:t>interest</w:t>
      </w:r>
      <w:r w:rsidR="00397DD1" w:rsidRPr="001C2AFE">
        <w:rPr>
          <w:rFonts w:cs="Arial"/>
          <w:sz w:val="22"/>
          <w:szCs w:val="22"/>
        </w:rPr>
        <w:t xml:space="preserve"> may lie dormant or be frustrated with the lack of knowledge about how to go about making the connection.</w:t>
      </w:r>
    </w:p>
    <w:p w14:paraId="3039FFBB" w14:textId="77777777" w:rsidR="00DD240B" w:rsidRPr="001C2AFE" w:rsidRDefault="00DD240B" w:rsidP="00F65790">
      <w:pPr>
        <w:rPr>
          <w:rFonts w:cs="Arial"/>
          <w:sz w:val="22"/>
          <w:szCs w:val="22"/>
        </w:rPr>
      </w:pPr>
    </w:p>
    <w:p w14:paraId="34DB8CE0" w14:textId="7FCF3261" w:rsidR="00DF748D" w:rsidRPr="001C2AFE" w:rsidRDefault="00DF748D" w:rsidP="00F65790">
      <w:pPr>
        <w:rPr>
          <w:rFonts w:cs="Arial"/>
          <w:b/>
          <w:sz w:val="22"/>
          <w:szCs w:val="22"/>
        </w:rPr>
      </w:pPr>
      <w:r w:rsidRPr="001C2AFE">
        <w:rPr>
          <w:rFonts w:cs="Arial"/>
          <w:b/>
          <w:sz w:val="22"/>
          <w:szCs w:val="22"/>
        </w:rPr>
        <w:t>Rationale for the reform</w:t>
      </w:r>
    </w:p>
    <w:p w14:paraId="36108053" w14:textId="77777777" w:rsidR="005B2D26" w:rsidRPr="001C2AFE" w:rsidRDefault="005B2D26" w:rsidP="00F65790">
      <w:pPr>
        <w:rPr>
          <w:rFonts w:cs="Arial"/>
          <w:sz w:val="22"/>
          <w:szCs w:val="22"/>
        </w:rPr>
      </w:pPr>
    </w:p>
    <w:p w14:paraId="18B270B6" w14:textId="109AC120" w:rsidR="00370FC2" w:rsidRPr="001C2AFE" w:rsidRDefault="00BD37A6" w:rsidP="00F65790">
      <w:pPr>
        <w:rPr>
          <w:rFonts w:cs="Arial"/>
          <w:sz w:val="22"/>
          <w:szCs w:val="22"/>
        </w:rPr>
      </w:pPr>
      <w:r w:rsidRPr="001C2AFE">
        <w:rPr>
          <w:rFonts w:cs="Arial"/>
          <w:sz w:val="22"/>
          <w:szCs w:val="22"/>
        </w:rPr>
        <w:t xml:space="preserve">We have learned </w:t>
      </w:r>
      <w:r w:rsidR="000D6F83" w:rsidRPr="001C2AFE">
        <w:rPr>
          <w:rFonts w:cs="Arial"/>
          <w:sz w:val="22"/>
          <w:szCs w:val="22"/>
        </w:rPr>
        <w:t>valuable lessons</w:t>
      </w:r>
      <w:r w:rsidRPr="001C2AFE">
        <w:rPr>
          <w:rFonts w:cs="Arial"/>
          <w:sz w:val="22"/>
          <w:szCs w:val="22"/>
        </w:rPr>
        <w:t xml:space="preserve"> from the many pilot projects which have sought to bolster the number of lawyers in regional, rural and remote Australia.</w:t>
      </w:r>
      <w:r w:rsidRPr="001C2AFE">
        <w:rPr>
          <w:rStyle w:val="FootnoteReference"/>
          <w:sz w:val="22"/>
          <w:szCs w:val="22"/>
        </w:rPr>
        <w:footnoteReference w:id="8"/>
      </w:r>
      <w:r w:rsidRPr="001C2AFE">
        <w:rPr>
          <w:rFonts w:cs="Arial"/>
          <w:sz w:val="22"/>
          <w:szCs w:val="22"/>
        </w:rPr>
        <w:t xml:space="preserve"> These lessons include;</w:t>
      </w:r>
    </w:p>
    <w:p w14:paraId="0651B62A" w14:textId="0DE65129" w:rsidR="00370FC2" w:rsidRDefault="00370FC2" w:rsidP="00F65790">
      <w:pPr>
        <w:pStyle w:val="ListParagraph"/>
        <w:numPr>
          <w:ilvl w:val="0"/>
          <w:numId w:val="13"/>
        </w:numPr>
        <w:rPr>
          <w:rFonts w:ascii="Arial" w:hAnsi="Arial" w:cs="Arial"/>
          <w:sz w:val="22"/>
          <w:szCs w:val="22"/>
        </w:rPr>
      </w:pPr>
      <w:r>
        <w:rPr>
          <w:rFonts w:ascii="Arial" w:hAnsi="Arial" w:cs="Arial"/>
          <w:sz w:val="22"/>
          <w:szCs w:val="22"/>
        </w:rPr>
        <w:t>The need to present the idea of regional legal practice within the undergraduate curriculum. (see the Regional, Rural Legal Education Network</w:t>
      </w:r>
      <w:r>
        <w:rPr>
          <w:rStyle w:val="FootnoteReference"/>
          <w:rFonts w:ascii="Arial" w:hAnsi="Arial"/>
          <w:sz w:val="22"/>
          <w:szCs w:val="22"/>
        </w:rPr>
        <w:footnoteReference w:id="9"/>
      </w:r>
      <w:r>
        <w:rPr>
          <w:rFonts w:ascii="Arial" w:hAnsi="Arial" w:cs="Arial"/>
          <w:sz w:val="22"/>
          <w:szCs w:val="22"/>
        </w:rPr>
        <w:t>)</w:t>
      </w:r>
    </w:p>
    <w:p w14:paraId="4ACCA9A0" w14:textId="07C61CE3" w:rsidR="00DF748D" w:rsidRPr="001C2AFE" w:rsidRDefault="00BD37A6" w:rsidP="00F65790">
      <w:pPr>
        <w:pStyle w:val="ListParagraph"/>
        <w:numPr>
          <w:ilvl w:val="0"/>
          <w:numId w:val="13"/>
        </w:numPr>
        <w:rPr>
          <w:rFonts w:ascii="Arial" w:hAnsi="Arial" w:cs="Arial"/>
          <w:sz w:val="22"/>
          <w:szCs w:val="22"/>
        </w:rPr>
      </w:pPr>
      <w:r w:rsidRPr="001C2AFE">
        <w:rPr>
          <w:rFonts w:ascii="Arial" w:hAnsi="Arial" w:cs="Arial"/>
          <w:sz w:val="22"/>
          <w:szCs w:val="22"/>
        </w:rPr>
        <w:t>the importance of induction and orientation so that the lawyers in transition are fully appraised of the practice circumstances in regional, rural and remote Australia (see the WA Country Lawyers program)</w:t>
      </w:r>
    </w:p>
    <w:p w14:paraId="67E862FF" w14:textId="4C1E394B" w:rsidR="00BD37A6" w:rsidRPr="001C2AFE" w:rsidRDefault="00BD37A6" w:rsidP="00F65790">
      <w:pPr>
        <w:pStyle w:val="ListParagraph"/>
        <w:numPr>
          <w:ilvl w:val="0"/>
          <w:numId w:val="13"/>
        </w:numPr>
        <w:rPr>
          <w:rFonts w:ascii="Arial" w:hAnsi="Arial" w:cs="Arial"/>
          <w:sz w:val="22"/>
          <w:szCs w:val="22"/>
        </w:rPr>
      </w:pPr>
      <w:r w:rsidRPr="001C2AFE">
        <w:rPr>
          <w:rFonts w:ascii="Arial" w:hAnsi="Arial" w:cs="Arial"/>
          <w:sz w:val="22"/>
          <w:szCs w:val="22"/>
        </w:rPr>
        <w:t xml:space="preserve">the importance of a local point of contact to assist lawyers with access to accommodation, health services, social introductions (see the </w:t>
      </w:r>
      <w:r w:rsidR="004B5BF5">
        <w:rPr>
          <w:rFonts w:ascii="Arial" w:hAnsi="Arial" w:cs="Arial"/>
          <w:sz w:val="22"/>
          <w:szCs w:val="22"/>
        </w:rPr>
        <w:t>5R</w:t>
      </w:r>
      <w:r w:rsidRPr="001C2AFE">
        <w:rPr>
          <w:rFonts w:ascii="Arial" w:hAnsi="Arial" w:cs="Arial"/>
          <w:sz w:val="22"/>
          <w:szCs w:val="22"/>
        </w:rPr>
        <w:t xml:space="preserve"> project)</w:t>
      </w:r>
    </w:p>
    <w:p w14:paraId="4AF3B12E" w14:textId="2099D380" w:rsidR="000D6F83" w:rsidRPr="001C2AFE" w:rsidRDefault="000D6F83" w:rsidP="00F65790">
      <w:pPr>
        <w:pStyle w:val="ListParagraph"/>
        <w:numPr>
          <w:ilvl w:val="0"/>
          <w:numId w:val="13"/>
        </w:numPr>
        <w:rPr>
          <w:rFonts w:ascii="Arial" w:hAnsi="Arial" w:cs="Arial"/>
          <w:sz w:val="22"/>
          <w:szCs w:val="22"/>
        </w:rPr>
      </w:pPr>
      <w:r w:rsidRPr="001C2AFE">
        <w:rPr>
          <w:rFonts w:ascii="Arial" w:hAnsi="Arial" w:cs="Arial"/>
          <w:sz w:val="22"/>
          <w:szCs w:val="22"/>
        </w:rPr>
        <w:lastRenderedPageBreak/>
        <w:t>the fundamental role of regular supervision to foster the professional development of early career lawyers (see the WA Country lawyers program and the RRR PLT program)</w:t>
      </w:r>
    </w:p>
    <w:p w14:paraId="2295A78C" w14:textId="4CC0A12F" w:rsidR="000D6F83" w:rsidRPr="001C2AFE" w:rsidRDefault="000D6F83" w:rsidP="00F65790">
      <w:pPr>
        <w:pStyle w:val="ListParagraph"/>
        <w:numPr>
          <w:ilvl w:val="0"/>
          <w:numId w:val="13"/>
        </w:numPr>
        <w:rPr>
          <w:rFonts w:ascii="Arial" w:hAnsi="Arial" w:cs="Arial"/>
          <w:sz w:val="22"/>
          <w:szCs w:val="22"/>
        </w:rPr>
      </w:pPr>
      <w:r w:rsidRPr="001C2AFE">
        <w:rPr>
          <w:rFonts w:ascii="Arial" w:hAnsi="Arial" w:cs="Arial"/>
          <w:sz w:val="22"/>
          <w:szCs w:val="22"/>
        </w:rPr>
        <w:t>the need for an integrated public – private partnership so that lawyers in the public sector are supported by their private colleagues. This is best done at the level of a regional law society</w:t>
      </w:r>
      <w:r w:rsidR="005B2D26" w:rsidRPr="001C2AFE">
        <w:rPr>
          <w:rFonts w:ascii="Arial" w:hAnsi="Arial" w:cs="Arial"/>
          <w:sz w:val="22"/>
          <w:szCs w:val="22"/>
        </w:rPr>
        <w:t xml:space="preserve"> </w:t>
      </w:r>
      <w:r w:rsidR="004B5BF5">
        <w:rPr>
          <w:rFonts w:ascii="Arial" w:hAnsi="Arial" w:cs="Arial"/>
          <w:sz w:val="22"/>
          <w:szCs w:val="22"/>
        </w:rPr>
        <w:t>(see the 5R project)</w:t>
      </w:r>
    </w:p>
    <w:p w14:paraId="5C6DEA11" w14:textId="77777777" w:rsidR="00C37F35" w:rsidRPr="001C2AFE" w:rsidRDefault="00C37F35" w:rsidP="00F65790">
      <w:pPr>
        <w:rPr>
          <w:rFonts w:cs="Arial"/>
          <w:sz w:val="22"/>
          <w:szCs w:val="22"/>
        </w:rPr>
      </w:pPr>
    </w:p>
    <w:p w14:paraId="68BCD4C6" w14:textId="6ECFAAD9" w:rsidR="005B2D26" w:rsidRPr="001C2AFE" w:rsidRDefault="005B2D26" w:rsidP="00F65790">
      <w:pPr>
        <w:rPr>
          <w:rFonts w:cs="Arial"/>
          <w:sz w:val="22"/>
          <w:szCs w:val="22"/>
        </w:rPr>
      </w:pPr>
      <w:r w:rsidRPr="001C2AFE">
        <w:rPr>
          <w:rFonts w:cs="Arial"/>
          <w:sz w:val="22"/>
          <w:szCs w:val="22"/>
        </w:rPr>
        <w:t xml:space="preserve">A national secretariat would include this learning in the design of Law for Australia. The project would work as an introduction agency to facilitate the osmosis, or flow, of resources to areas with high need. </w:t>
      </w:r>
    </w:p>
    <w:p w14:paraId="2F3B9F33" w14:textId="77777777" w:rsidR="005B2D26" w:rsidRPr="001C2AFE" w:rsidRDefault="005B2D26" w:rsidP="00F65790">
      <w:pPr>
        <w:rPr>
          <w:rFonts w:cs="Arial"/>
          <w:sz w:val="22"/>
          <w:szCs w:val="22"/>
        </w:rPr>
      </w:pPr>
    </w:p>
    <w:p w14:paraId="64820EFA" w14:textId="77777777" w:rsidR="005B2D26" w:rsidRPr="001C2AFE" w:rsidRDefault="005B2D26" w:rsidP="00F65790">
      <w:pPr>
        <w:rPr>
          <w:rFonts w:cs="Arial"/>
          <w:sz w:val="22"/>
          <w:szCs w:val="22"/>
        </w:rPr>
      </w:pPr>
    </w:p>
    <w:p w14:paraId="64728749" w14:textId="6C8577AA" w:rsidR="00EE734D" w:rsidRPr="001C2AFE" w:rsidRDefault="005B2D26" w:rsidP="00F65790">
      <w:pPr>
        <w:rPr>
          <w:rFonts w:cs="Arial"/>
          <w:b/>
          <w:sz w:val="22"/>
          <w:szCs w:val="22"/>
        </w:rPr>
      </w:pPr>
      <w:r w:rsidRPr="001C2AFE">
        <w:rPr>
          <w:rFonts w:cs="Arial"/>
          <w:b/>
          <w:sz w:val="22"/>
          <w:szCs w:val="22"/>
        </w:rPr>
        <w:t xml:space="preserve">2. </w:t>
      </w:r>
      <w:r w:rsidR="00EE734D" w:rsidRPr="001C2AFE">
        <w:rPr>
          <w:rFonts w:cs="Arial"/>
          <w:b/>
          <w:sz w:val="22"/>
          <w:szCs w:val="22"/>
        </w:rPr>
        <w:t>Proposal</w:t>
      </w:r>
      <w:r w:rsidR="00C37F35" w:rsidRPr="001C2AFE">
        <w:rPr>
          <w:rFonts w:cs="Arial"/>
          <w:b/>
          <w:sz w:val="22"/>
          <w:szCs w:val="22"/>
        </w:rPr>
        <w:t>: Allow limited legal representation without breaching the conflict of interest’ rule.</w:t>
      </w:r>
    </w:p>
    <w:p w14:paraId="3217BF6D" w14:textId="77777777" w:rsidR="005B2D26" w:rsidRPr="001C2AFE" w:rsidRDefault="005B2D26" w:rsidP="00F65790">
      <w:pPr>
        <w:rPr>
          <w:rFonts w:cs="Arial"/>
          <w:sz w:val="22"/>
          <w:szCs w:val="22"/>
        </w:rPr>
      </w:pPr>
    </w:p>
    <w:p w14:paraId="2CA24A24" w14:textId="0B8DF055" w:rsidR="007370C4" w:rsidRPr="001C2AFE" w:rsidRDefault="00EE734D" w:rsidP="00F65790">
      <w:pPr>
        <w:rPr>
          <w:rFonts w:cs="Arial"/>
          <w:sz w:val="22"/>
          <w:szCs w:val="22"/>
        </w:rPr>
      </w:pPr>
      <w:r w:rsidRPr="001C2AFE">
        <w:rPr>
          <w:rFonts w:cs="Arial"/>
          <w:sz w:val="22"/>
          <w:szCs w:val="22"/>
        </w:rPr>
        <w:t xml:space="preserve">Law reform: Allow </w:t>
      </w:r>
      <w:r w:rsidR="003F0979" w:rsidRPr="001C2AFE">
        <w:rPr>
          <w:rFonts w:cs="Arial"/>
          <w:sz w:val="22"/>
          <w:szCs w:val="22"/>
        </w:rPr>
        <w:t>lawyers within a legal assistance s</w:t>
      </w:r>
      <w:r w:rsidR="00A15B1C" w:rsidRPr="001C2AFE">
        <w:rPr>
          <w:rFonts w:cs="Arial"/>
          <w:sz w:val="22"/>
          <w:szCs w:val="22"/>
        </w:rPr>
        <w:t xml:space="preserve">ervice to provide </w:t>
      </w:r>
      <w:r w:rsidR="007370C4" w:rsidRPr="001C2AFE">
        <w:rPr>
          <w:rFonts w:cs="Arial"/>
          <w:sz w:val="22"/>
          <w:szCs w:val="22"/>
        </w:rPr>
        <w:t>‘</w:t>
      </w:r>
      <w:r w:rsidR="005E5676" w:rsidRPr="001C2AFE">
        <w:rPr>
          <w:rFonts w:cs="Arial"/>
          <w:sz w:val="22"/>
          <w:szCs w:val="22"/>
        </w:rPr>
        <w:t>limited</w:t>
      </w:r>
      <w:r w:rsidRPr="001C2AFE">
        <w:rPr>
          <w:rFonts w:cs="Arial"/>
          <w:sz w:val="22"/>
          <w:szCs w:val="22"/>
        </w:rPr>
        <w:t xml:space="preserve"> legal representation</w:t>
      </w:r>
      <w:r w:rsidR="007370C4" w:rsidRPr="001C2AFE">
        <w:rPr>
          <w:rFonts w:cs="Arial"/>
          <w:sz w:val="22"/>
          <w:szCs w:val="22"/>
        </w:rPr>
        <w:t>’</w:t>
      </w:r>
      <w:r w:rsidRPr="001C2AFE">
        <w:rPr>
          <w:rFonts w:cs="Arial"/>
          <w:sz w:val="22"/>
          <w:szCs w:val="22"/>
        </w:rPr>
        <w:t xml:space="preserve"> </w:t>
      </w:r>
      <w:r w:rsidR="005E5676" w:rsidRPr="001C2AFE">
        <w:rPr>
          <w:rFonts w:cs="Arial"/>
          <w:sz w:val="22"/>
          <w:szCs w:val="22"/>
        </w:rPr>
        <w:t xml:space="preserve">to multiple, possibly adverse clients, </w:t>
      </w:r>
      <w:r w:rsidRPr="001C2AFE">
        <w:rPr>
          <w:rFonts w:cs="Arial"/>
          <w:sz w:val="22"/>
          <w:szCs w:val="22"/>
        </w:rPr>
        <w:t>without breaching the ‘conflict’ rule</w:t>
      </w:r>
      <w:r w:rsidR="007370C4" w:rsidRPr="001C2AFE">
        <w:rPr>
          <w:rFonts w:cs="Arial"/>
          <w:sz w:val="22"/>
          <w:szCs w:val="22"/>
        </w:rPr>
        <w:t xml:space="preserve"> </w:t>
      </w:r>
      <w:r w:rsidR="00A15B1C" w:rsidRPr="001C2AFE">
        <w:rPr>
          <w:rFonts w:cs="Arial"/>
          <w:sz w:val="22"/>
          <w:szCs w:val="22"/>
        </w:rPr>
        <w:t xml:space="preserve">provided they have no actual knowledge which would place them in to conflict </w:t>
      </w:r>
      <w:r w:rsidR="007370C4" w:rsidRPr="001C2AFE">
        <w:rPr>
          <w:rFonts w:cs="Arial"/>
          <w:sz w:val="22"/>
          <w:szCs w:val="22"/>
        </w:rPr>
        <w:t>eg</w:t>
      </w:r>
    </w:p>
    <w:p w14:paraId="32F9A3C2" w14:textId="77777777" w:rsidR="007370C4" w:rsidRPr="001C2AFE" w:rsidRDefault="007370C4" w:rsidP="00F65790">
      <w:pPr>
        <w:rPr>
          <w:rFonts w:cs="Arial"/>
          <w:sz w:val="22"/>
          <w:szCs w:val="22"/>
        </w:rPr>
      </w:pPr>
    </w:p>
    <w:p w14:paraId="4C8C0061" w14:textId="29EC6E74" w:rsidR="007370C4" w:rsidRPr="001C2AFE" w:rsidRDefault="008D4704" w:rsidP="004B5BF5">
      <w:pPr>
        <w:ind w:left="567" w:right="471"/>
        <w:rPr>
          <w:rFonts w:cs="Arial"/>
          <w:sz w:val="22"/>
          <w:szCs w:val="22"/>
        </w:rPr>
      </w:pPr>
      <w:r w:rsidRPr="001C2AFE">
        <w:rPr>
          <w:rFonts w:cs="Arial"/>
          <w:i/>
          <w:sz w:val="22"/>
          <w:szCs w:val="22"/>
        </w:rPr>
        <w:t xml:space="preserve">A lawyer may provide limited legal services notwithstanding that another lawyer </w:t>
      </w:r>
      <w:r w:rsidR="005E5676" w:rsidRPr="001C2AFE">
        <w:rPr>
          <w:rFonts w:cs="Arial"/>
          <w:i/>
          <w:sz w:val="22"/>
          <w:szCs w:val="22"/>
        </w:rPr>
        <w:t xml:space="preserve">in the same legal </w:t>
      </w:r>
      <w:r w:rsidR="003F0979" w:rsidRPr="001C2AFE">
        <w:rPr>
          <w:rFonts w:cs="Arial"/>
          <w:i/>
          <w:sz w:val="22"/>
          <w:szCs w:val="22"/>
        </w:rPr>
        <w:t xml:space="preserve">assistance </w:t>
      </w:r>
      <w:r w:rsidR="005E5676" w:rsidRPr="001C2AFE">
        <w:rPr>
          <w:rFonts w:cs="Arial"/>
          <w:i/>
          <w:sz w:val="22"/>
          <w:szCs w:val="22"/>
        </w:rPr>
        <w:t xml:space="preserve">service </w:t>
      </w:r>
      <w:r w:rsidRPr="001C2AFE">
        <w:rPr>
          <w:rFonts w:cs="Arial"/>
          <w:i/>
          <w:sz w:val="22"/>
          <w:szCs w:val="22"/>
        </w:rPr>
        <w:t>has provide limited legal services to a</w:t>
      </w:r>
      <w:r w:rsidR="005E5676" w:rsidRPr="001C2AFE">
        <w:rPr>
          <w:rFonts w:cs="Arial"/>
          <w:i/>
          <w:sz w:val="22"/>
          <w:szCs w:val="22"/>
        </w:rPr>
        <w:t>nother</w:t>
      </w:r>
      <w:r w:rsidRPr="001C2AFE">
        <w:rPr>
          <w:rFonts w:cs="Arial"/>
          <w:i/>
          <w:sz w:val="22"/>
          <w:szCs w:val="22"/>
        </w:rPr>
        <w:t xml:space="preserve"> client </w:t>
      </w:r>
      <w:r w:rsidR="005E5676" w:rsidRPr="001C2AFE">
        <w:rPr>
          <w:rFonts w:cs="Arial"/>
          <w:i/>
          <w:sz w:val="22"/>
          <w:szCs w:val="22"/>
        </w:rPr>
        <w:t xml:space="preserve">whose interests are </w:t>
      </w:r>
      <w:r w:rsidRPr="001C2AFE">
        <w:rPr>
          <w:rFonts w:cs="Arial"/>
          <w:i/>
          <w:sz w:val="22"/>
          <w:szCs w:val="22"/>
        </w:rPr>
        <w:t>adverse</w:t>
      </w:r>
      <w:r w:rsidR="005E5676" w:rsidRPr="001C2AFE">
        <w:rPr>
          <w:rFonts w:cs="Arial"/>
          <w:i/>
          <w:sz w:val="22"/>
          <w:szCs w:val="22"/>
        </w:rPr>
        <w:t xml:space="preserve">, </w:t>
      </w:r>
      <w:r w:rsidRPr="001C2AFE">
        <w:rPr>
          <w:rFonts w:cs="Arial"/>
          <w:i/>
          <w:sz w:val="22"/>
          <w:szCs w:val="22"/>
        </w:rPr>
        <w:t xml:space="preserve">provided </w:t>
      </w:r>
      <w:r w:rsidR="005E5676" w:rsidRPr="001C2AFE">
        <w:rPr>
          <w:rFonts w:cs="Arial"/>
          <w:i/>
          <w:sz w:val="22"/>
          <w:szCs w:val="22"/>
        </w:rPr>
        <w:t xml:space="preserve">that </w:t>
      </w:r>
      <w:r w:rsidRPr="001C2AFE">
        <w:rPr>
          <w:rFonts w:cs="Arial"/>
          <w:i/>
          <w:sz w:val="22"/>
          <w:szCs w:val="22"/>
        </w:rPr>
        <w:t>no confidential information about</w:t>
      </w:r>
      <w:r w:rsidR="005E5676" w:rsidRPr="001C2AFE">
        <w:rPr>
          <w:rFonts w:cs="Arial"/>
          <w:i/>
          <w:sz w:val="22"/>
          <w:szCs w:val="22"/>
        </w:rPr>
        <w:t xml:space="preserve"> either</w:t>
      </w:r>
      <w:r w:rsidRPr="001C2AFE">
        <w:rPr>
          <w:rFonts w:cs="Arial"/>
          <w:i/>
          <w:sz w:val="22"/>
          <w:szCs w:val="22"/>
        </w:rPr>
        <w:t xml:space="preserve"> client</w:t>
      </w:r>
      <w:r w:rsidR="005E5676" w:rsidRPr="001C2AFE">
        <w:rPr>
          <w:rFonts w:cs="Arial"/>
          <w:i/>
          <w:sz w:val="22"/>
          <w:szCs w:val="22"/>
        </w:rPr>
        <w:t xml:space="preserve"> is shared within that legal servic</w:t>
      </w:r>
      <w:r w:rsidR="007370C4" w:rsidRPr="001C2AFE">
        <w:rPr>
          <w:rFonts w:cs="Arial"/>
          <w:i/>
          <w:sz w:val="22"/>
          <w:szCs w:val="22"/>
        </w:rPr>
        <w:t xml:space="preserve">e </w:t>
      </w:r>
    </w:p>
    <w:p w14:paraId="690DBA98" w14:textId="77777777" w:rsidR="007370C4" w:rsidRPr="001C2AFE" w:rsidRDefault="007370C4" w:rsidP="00F65790">
      <w:pPr>
        <w:rPr>
          <w:rFonts w:cs="Arial"/>
          <w:sz w:val="22"/>
          <w:szCs w:val="22"/>
        </w:rPr>
      </w:pPr>
    </w:p>
    <w:p w14:paraId="285C58B9" w14:textId="77777777" w:rsidR="005B2D26" w:rsidRPr="001C2AFE" w:rsidRDefault="005B2D26" w:rsidP="005B2D26">
      <w:pPr>
        <w:pBdr>
          <w:top w:val="single" w:sz="4" w:space="1" w:color="auto"/>
          <w:left w:val="single" w:sz="4" w:space="4" w:color="auto"/>
          <w:bottom w:val="single" w:sz="4" w:space="1" w:color="auto"/>
          <w:right w:val="single" w:sz="4" w:space="4" w:color="auto"/>
        </w:pBdr>
        <w:rPr>
          <w:rFonts w:cs="Arial"/>
          <w:sz w:val="22"/>
          <w:szCs w:val="22"/>
        </w:rPr>
      </w:pPr>
    </w:p>
    <w:p w14:paraId="2B41C3C8" w14:textId="5E170E8B" w:rsidR="00EE734D" w:rsidRPr="001C2AFE" w:rsidRDefault="00EE734D" w:rsidP="005B2D26">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Terms of Reference</w:t>
      </w:r>
    </w:p>
    <w:p w14:paraId="2306916B" w14:textId="77777777" w:rsidR="00EE734D" w:rsidRPr="001C2AFE" w:rsidRDefault="00EE734D" w:rsidP="005B2D26">
      <w:pPr>
        <w:pBdr>
          <w:top w:val="single" w:sz="4" w:space="1" w:color="auto"/>
          <w:left w:val="single" w:sz="4" w:space="4" w:color="auto"/>
          <w:bottom w:val="single" w:sz="4" w:space="1" w:color="auto"/>
          <w:right w:val="single" w:sz="4" w:space="4" w:color="auto"/>
        </w:pBdr>
        <w:rPr>
          <w:rFonts w:cs="Arial"/>
          <w:sz w:val="22"/>
          <w:szCs w:val="22"/>
        </w:rPr>
      </w:pPr>
      <w:r w:rsidRPr="001C2AFE">
        <w:rPr>
          <w:rFonts w:cs="Arial"/>
          <w:sz w:val="22"/>
          <w:szCs w:val="22"/>
        </w:rPr>
        <w:t>Reference 3.e Factors contributing to the cost of legal representation including legal professional rules and practices.</w:t>
      </w:r>
    </w:p>
    <w:p w14:paraId="2A9BF136" w14:textId="7A459469" w:rsidR="00B2550D" w:rsidRPr="001C2AFE" w:rsidRDefault="00EE734D" w:rsidP="005B2D26">
      <w:pPr>
        <w:pBdr>
          <w:top w:val="single" w:sz="4" w:space="1" w:color="auto"/>
          <w:left w:val="single" w:sz="4" w:space="4" w:color="auto"/>
          <w:bottom w:val="single" w:sz="4" w:space="1" w:color="auto"/>
          <w:right w:val="single" w:sz="4" w:space="4" w:color="auto"/>
        </w:pBdr>
        <w:rPr>
          <w:rFonts w:cs="Arial"/>
          <w:sz w:val="22"/>
          <w:szCs w:val="22"/>
        </w:rPr>
      </w:pPr>
      <w:r w:rsidRPr="001C2AFE">
        <w:rPr>
          <w:rFonts w:cs="Arial"/>
          <w:sz w:val="22"/>
          <w:szCs w:val="22"/>
        </w:rPr>
        <w:t>Reference 9 reform</w:t>
      </w:r>
      <w:r w:rsidR="00AC224D" w:rsidRPr="001C2AFE">
        <w:rPr>
          <w:rFonts w:cs="Arial"/>
          <w:sz w:val="22"/>
          <w:szCs w:val="22"/>
        </w:rPr>
        <w:t>…</w:t>
      </w:r>
      <w:r w:rsidRPr="001C2AFE">
        <w:rPr>
          <w:rFonts w:cs="Arial"/>
          <w:sz w:val="22"/>
          <w:szCs w:val="22"/>
        </w:rPr>
        <w:t xml:space="preserve"> effective in securing legal representation</w:t>
      </w:r>
    </w:p>
    <w:p w14:paraId="6EE36272" w14:textId="77777777" w:rsidR="00B2550D" w:rsidRPr="001C2AFE" w:rsidRDefault="00B2550D" w:rsidP="005B2D26">
      <w:pPr>
        <w:pBdr>
          <w:top w:val="single" w:sz="4" w:space="1" w:color="auto"/>
          <w:left w:val="single" w:sz="4" w:space="4" w:color="auto"/>
          <w:bottom w:val="single" w:sz="4" w:space="1" w:color="auto"/>
          <w:right w:val="single" w:sz="4" w:space="4" w:color="auto"/>
        </w:pBdr>
        <w:rPr>
          <w:rFonts w:cs="Arial"/>
          <w:sz w:val="22"/>
          <w:szCs w:val="22"/>
        </w:rPr>
      </w:pPr>
    </w:p>
    <w:p w14:paraId="5624A08A" w14:textId="7D432D83" w:rsidR="00B81A18" w:rsidRDefault="00EE734D" w:rsidP="00B81A18">
      <w:pPr>
        <w:pBdr>
          <w:top w:val="single" w:sz="4" w:space="1" w:color="auto"/>
          <w:left w:val="single" w:sz="4" w:space="4" w:color="auto"/>
          <w:bottom w:val="single" w:sz="4" w:space="1" w:color="auto"/>
          <w:right w:val="single" w:sz="4" w:space="4" w:color="auto"/>
        </w:pBdr>
        <w:rPr>
          <w:rFonts w:cs="Arial"/>
          <w:sz w:val="22"/>
          <w:szCs w:val="22"/>
        </w:rPr>
      </w:pPr>
      <w:r w:rsidRPr="001C2AFE">
        <w:rPr>
          <w:rFonts w:cs="Arial"/>
          <w:b/>
          <w:sz w:val="22"/>
          <w:szCs w:val="22"/>
        </w:rPr>
        <w:t>Information request 19.3</w:t>
      </w:r>
      <w:r w:rsidRPr="001C2AFE">
        <w:rPr>
          <w:rFonts w:cs="Arial"/>
          <w:sz w:val="22"/>
          <w:szCs w:val="22"/>
        </w:rPr>
        <w:t xml:space="preserve"> The Commission seeks feedback on whether there are any policy barriers that unnecessarily obstruct not for profit provision of legal services. </w:t>
      </w:r>
    </w:p>
    <w:p w14:paraId="153606B5" w14:textId="77777777" w:rsidR="00B81A18" w:rsidRDefault="00B81A18" w:rsidP="00B81A18">
      <w:pPr>
        <w:pBdr>
          <w:top w:val="single" w:sz="4" w:space="1" w:color="auto"/>
          <w:left w:val="single" w:sz="4" w:space="4" w:color="auto"/>
          <w:bottom w:val="single" w:sz="4" w:space="1" w:color="auto"/>
          <w:right w:val="single" w:sz="4" w:space="4" w:color="auto"/>
        </w:pBdr>
        <w:rPr>
          <w:rFonts w:cs="Arial"/>
          <w:sz w:val="22"/>
          <w:szCs w:val="22"/>
        </w:rPr>
      </w:pPr>
    </w:p>
    <w:p w14:paraId="562FA7BF" w14:textId="77777777" w:rsidR="00B81A18" w:rsidRPr="001C2AFE" w:rsidRDefault="00B81A18" w:rsidP="00F65790">
      <w:pPr>
        <w:rPr>
          <w:rFonts w:cs="Arial"/>
          <w:sz w:val="22"/>
          <w:szCs w:val="22"/>
        </w:rPr>
      </w:pPr>
    </w:p>
    <w:p w14:paraId="2213D664" w14:textId="6E148015" w:rsidR="00B2550D" w:rsidRPr="001C2AFE" w:rsidRDefault="00B2550D" w:rsidP="00F65790">
      <w:pPr>
        <w:rPr>
          <w:rFonts w:cs="Arial"/>
          <w:b/>
          <w:sz w:val="22"/>
          <w:szCs w:val="22"/>
        </w:rPr>
      </w:pPr>
      <w:r w:rsidRPr="001C2AFE">
        <w:rPr>
          <w:rFonts w:cs="Arial"/>
          <w:b/>
          <w:sz w:val="22"/>
          <w:szCs w:val="22"/>
        </w:rPr>
        <w:t>Status Quo</w:t>
      </w:r>
    </w:p>
    <w:p w14:paraId="58428A65" w14:textId="77777777" w:rsidR="003D2B28" w:rsidRPr="001C2AFE" w:rsidRDefault="00B2550D" w:rsidP="00F65790">
      <w:pPr>
        <w:rPr>
          <w:rFonts w:cs="Arial"/>
          <w:sz w:val="22"/>
          <w:szCs w:val="22"/>
        </w:rPr>
      </w:pPr>
      <w:r w:rsidRPr="001C2AFE">
        <w:rPr>
          <w:rFonts w:cs="Arial"/>
          <w:sz w:val="22"/>
          <w:szCs w:val="22"/>
        </w:rPr>
        <w:t>The professional conduct rules prohibit a lawyer acting when there is a ‘conflict of interest’.</w:t>
      </w:r>
      <w:r w:rsidRPr="001C2AFE">
        <w:rPr>
          <w:rStyle w:val="FootnoteReference"/>
          <w:sz w:val="22"/>
          <w:szCs w:val="22"/>
        </w:rPr>
        <w:footnoteReference w:id="10"/>
      </w:r>
      <w:r w:rsidRPr="001C2AFE">
        <w:rPr>
          <w:rFonts w:cs="Arial"/>
          <w:sz w:val="22"/>
          <w:szCs w:val="22"/>
        </w:rPr>
        <w:t xml:space="preserve"> </w:t>
      </w:r>
      <w:r w:rsidR="007370C4" w:rsidRPr="001C2AFE">
        <w:rPr>
          <w:rFonts w:cs="Arial"/>
          <w:sz w:val="22"/>
          <w:szCs w:val="22"/>
        </w:rPr>
        <w:t xml:space="preserve">The rule is designed to protect the fiduciary relationship </w:t>
      </w:r>
      <w:r w:rsidR="003D2B28" w:rsidRPr="001C2AFE">
        <w:rPr>
          <w:rFonts w:cs="Arial"/>
          <w:sz w:val="22"/>
          <w:szCs w:val="22"/>
        </w:rPr>
        <w:t xml:space="preserve">(of trust and loyalty) </w:t>
      </w:r>
      <w:r w:rsidR="007370C4" w:rsidRPr="001C2AFE">
        <w:rPr>
          <w:rFonts w:cs="Arial"/>
          <w:sz w:val="22"/>
          <w:szCs w:val="22"/>
        </w:rPr>
        <w:t xml:space="preserve">between </w:t>
      </w:r>
      <w:r w:rsidR="003D2B28" w:rsidRPr="001C2AFE">
        <w:rPr>
          <w:rFonts w:cs="Arial"/>
          <w:sz w:val="22"/>
          <w:szCs w:val="22"/>
        </w:rPr>
        <w:t xml:space="preserve">the </w:t>
      </w:r>
      <w:r w:rsidR="007370C4" w:rsidRPr="001C2AFE">
        <w:rPr>
          <w:rFonts w:cs="Arial"/>
          <w:sz w:val="22"/>
          <w:szCs w:val="22"/>
        </w:rPr>
        <w:t xml:space="preserve">lawyer and </w:t>
      </w:r>
      <w:r w:rsidR="003D2B28" w:rsidRPr="001C2AFE">
        <w:rPr>
          <w:rFonts w:cs="Arial"/>
          <w:sz w:val="22"/>
          <w:szCs w:val="22"/>
        </w:rPr>
        <w:t xml:space="preserve">her </w:t>
      </w:r>
      <w:r w:rsidR="007370C4" w:rsidRPr="001C2AFE">
        <w:rPr>
          <w:rFonts w:cs="Arial"/>
          <w:sz w:val="22"/>
          <w:szCs w:val="22"/>
        </w:rPr>
        <w:t xml:space="preserve">client. The rule seeks to protect </w:t>
      </w:r>
      <w:r w:rsidR="003D2B28" w:rsidRPr="001C2AFE">
        <w:rPr>
          <w:rFonts w:cs="Arial"/>
          <w:sz w:val="22"/>
          <w:szCs w:val="22"/>
        </w:rPr>
        <w:t xml:space="preserve">the </w:t>
      </w:r>
      <w:r w:rsidR="007370C4" w:rsidRPr="001C2AFE">
        <w:rPr>
          <w:rFonts w:cs="Arial"/>
          <w:sz w:val="22"/>
          <w:szCs w:val="22"/>
        </w:rPr>
        <w:t xml:space="preserve">clients’ best interests, and to avoid conflicting professional duties. </w:t>
      </w:r>
    </w:p>
    <w:p w14:paraId="02438600" w14:textId="77777777" w:rsidR="003D2B28" w:rsidRPr="001C2AFE" w:rsidRDefault="003D2B28" w:rsidP="00F65790">
      <w:pPr>
        <w:rPr>
          <w:rFonts w:cs="Arial"/>
          <w:sz w:val="22"/>
          <w:szCs w:val="22"/>
        </w:rPr>
      </w:pPr>
    </w:p>
    <w:p w14:paraId="09A95F3C" w14:textId="7678E169" w:rsidR="007370C4" w:rsidRPr="001C2AFE" w:rsidRDefault="00B2550D" w:rsidP="00F65790">
      <w:pPr>
        <w:rPr>
          <w:rFonts w:cs="Arial"/>
          <w:sz w:val="22"/>
          <w:szCs w:val="22"/>
        </w:rPr>
      </w:pPr>
      <w:r w:rsidRPr="001C2AFE">
        <w:rPr>
          <w:rFonts w:cs="Arial"/>
          <w:sz w:val="22"/>
          <w:szCs w:val="22"/>
        </w:rPr>
        <w:t xml:space="preserve">This </w:t>
      </w:r>
      <w:r w:rsidR="00A15B1C" w:rsidRPr="001C2AFE">
        <w:rPr>
          <w:rFonts w:cs="Arial"/>
          <w:sz w:val="22"/>
          <w:szCs w:val="22"/>
        </w:rPr>
        <w:t>rule</w:t>
      </w:r>
      <w:r w:rsidRPr="001C2AFE">
        <w:rPr>
          <w:rFonts w:cs="Arial"/>
          <w:sz w:val="22"/>
          <w:szCs w:val="22"/>
        </w:rPr>
        <w:t xml:space="preserve"> means many legal services ‘turn away’ clients because of a perceived conflict of interest.</w:t>
      </w:r>
      <w:r w:rsidRPr="001C2AFE">
        <w:rPr>
          <w:rStyle w:val="FootnoteReference"/>
          <w:sz w:val="22"/>
          <w:szCs w:val="22"/>
        </w:rPr>
        <w:footnoteReference w:id="11"/>
      </w:r>
      <w:r w:rsidRPr="001C2AFE">
        <w:rPr>
          <w:rFonts w:cs="Arial"/>
          <w:sz w:val="22"/>
          <w:szCs w:val="22"/>
        </w:rPr>
        <w:t xml:space="preserve"> </w:t>
      </w:r>
      <w:r w:rsidR="00BD3D29" w:rsidRPr="001C2AFE">
        <w:rPr>
          <w:rFonts w:cs="Arial"/>
          <w:sz w:val="22"/>
          <w:szCs w:val="22"/>
        </w:rPr>
        <w:t>Some</w:t>
      </w:r>
      <w:r w:rsidRPr="001C2AFE">
        <w:rPr>
          <w:rFonts w:cs="Arial"/>
          <w:sz w:val="22"/>
          <w:szCs w:val="22"/>
        </w:rPr>
        <w:t xml:space="preserve"> legal services have a low </w:t>
      </w:r>
      <w:r w:rsidR="00BD3D29" w:rsidRPr="001C2AFE">
        <w:rPr>
          <w:rFonts w:cs="Arial"/>
          <w:sz w:val="22"/>
          <w:szCs w:val="22"/>
        </w:rPr>
        <w:t xml:space="preserve">threshold </w:t>
      </w:r>
      <w:r w:rsidRPr="001C2AFE">
        <w:rPr>
          <w:rFonts w:cs="Arial"/>
          <w:sz w:val="22"/>
          <w:szCs w:val="22"/>
        </w:rPr>
        <w:t xml:space="preserve">tolerance for the possibility </w:t>
      </w:r>
      <w:r w:rsidR="007370C4" w:rsidRPr="001C2AFE">
        <w:rPr>
          <w:rFonts w:cs="Arial"/>
          <w:sz w:val="22"/>
          <w:szCs w:val="22"/>
        </w:rPr>
        <w:t>of a perception of a ‘conflict’.</w:t>
      </w:r>
      <w:r w:rsidR="00BD3D29" w:rsidRPr="001C2AFE">
        <w:rPr>
          <w:rFonts w:cs="Arial"/>
          <w:sz w:val="22"/>
          <w:szCs w:val="22"/>
        </w:rPr>
        <w:t xml:space="preserve"> This low threshold </w:t>
      </w:r>
      <w:r w:rsidRPr="001C2AFE">
        <w:rPr>
          <w:rFonts w:cs="Arial"/>
          <w:sz w:val="22"/>
          <w:szCs w:val="22"/>
        </w:rPr>
        <w:t xml:space="preserve">may be fostered by specific policies and procedures used to ‘manage risk’. Rather than falling foul of the professional conduct rule, the legal services are risk adverse and decline </w:t>
      </w:r>
      <w:r w:rsidRPr="001C2AFE">
        <w:rPr>
          <w:rFonts w:cs="Arial"/>
          <w:sz w:val="22"/>
          <w:szCs w:val="22"/>
        </w:rPr>
        <w:lastRenderedPageBreak/>
        <w:t>to act</w:t>
      </w:r>
      <w:r w:rsidR="004B5BF5">
        <w:rPr>
          <w:rFonts w:cs="Arial"/>
          <w:sz w:val="22"/>
          <w:szCs w:val="22"/>
        </w:rPr>
        <w:t xml:space="preserve"> where there is the possibility of a conflict of interest</w:t>
      </w:r>
      <w:r w:rsidRPr="001C2AFE">
        <w:rPr>
          <w:rFonts w:cs="Arial"/>
          <w:sz w:val="22"/>
          <w:szCs w:val="22"/>
        </w:rPr>
        <w:t>.</w:t>
      </w:r>
      <w:r w:rsidRPr="001C2AFE">
        <w:rPr>
          <w:rStyle w:val="FootnoteReference"/>
          <w:sz w:val="22"/>
          <w:szCs w:val="22"/>
        </w:rPr>
        <w:footnoteReference w:id="12"/>
      </w:r>
      <w:r w:rsidRPr="001C2AFE">
        <w:rPr>
          <w:rFonts w:cs="Arial"/>
          <w:sz w:val="22"/>
          <w:szCs w:val="22"/>
        </w:rPr>
        <w:t xml:space="preserve"> </w:t>
      </w:r>
      <w:r w:rsidR="00557721" w:rsidRPr="001C2AFE">
        <w:rPr>
          <w:rFonts w:cs="Arial"/>
          <w:sz w:val="22"/>
          <w:szCs w:val="22"/>
        </w:rPr>
        <w:t xml:space="preserve"> In contrast to this cautious approach, o</w:t>
      </w:r>
      <w:r w:rsidR="00A15B1C" w:rsidRPr="001C2AFE">
        <w:rPr>
          <w:rFonts w:cs="Arial"/>
          <w:sz w:val="22"/>
          <w:szCs w:val="22"/>
        </w:rPr>
        <w:t>ther legal services ‘work around’ the proscriptive rule</w:t>
      </w:r>
      <w:r w:rsidR="00557721" w:rsidRPr="001C2AFE">
        <w:rPr>
          <w:rFonts w:cs="Arial"/>
          <w:sz w:val="22"/>
          <w:szCs w:val="22"/>
        </w:rPr>
        <w:t xml:space="preserve"> in an endeavor to provide legal services to as many people as possible</w:t>
      </w:r>
      <w:r w:rsidR="00A15B1C" w:rsidRPr="001C2AFE">
        <w:rPr>
          <w:rFonts w:cs="Arial"/>
          <w:sz w:val="22"/>
          <w:szCs w:val="22"/>
        </w:rPr>
        <w:t xml:space="preserve">. </w:t>
      </w:r>
      <w:r w:rsidR="004B5BF5">
        <w:rPr>
          <w:rFonts w:cs="Arial"/>
          <w:sz w:val="22"/>
          <w:szCs w:val="22"/>
        </w:rPr>
        <w:t>Their approach is, p</w:t>
      </w:r>
      <w:r w:rsidR="003D2B28" w:rsidRPr="001C2AFE">
        <w:rPr>
          <w:rFonts w:cs="Arial"/>
          <w:sz w:val="22"/>
          <w:szCs w:val="22"/>
        </w:rPr>
        <w:t xml:space="preserve">rovided a lawyer has no actual knowledge which places them into conflict, </w:t>
      </w:r>
      <w:r w:rsidR="004B5BF5">
        <w:rPr>
          <w:rFonts w:cs="Arial"/>
          <w:sz w:val="22"/>
          <w:szCs w:val="22"/>
        </w:rPr>
        <w:t xml:space="preserve">the lawyer is not </w:t>
      </w:r>
      <w:r w:rsidR="005D5BBB">
        <w:rPr>
          <w:rFonts w:cs="Arial"/>
          <w:sz w:val="22"/>
          <w:szCs w:val="22"/>
        </w:rPr>
        <w:t>disqualified</w:t>
      </w:r>
      <w:r w:rsidR="00A15B1C" w:rsidRPr="001C2AFE">
        <w:rPr>
          <w:rFonts w:cs="Arial"/>
          <w:sz w:val="22"/>
          <w:szCs w:val="22"/>
        </w:rPr>
        <w:t xml:space="preserve"> from acting in ‘li</w:t>
      </w:r>
      <w:r w:rsidR="003D2B28" w:rsidRPr="001C2AFE">
        <w:rPr>
          <w:rFonts w:cs="Arial"/>
          <w:sz w:val="22"/>
          <w:szCs w:val="22"/>
        </w:rPr>
        <w:t>mited legal assistance’ matters.</w:t>
      </w:r>
      <w:r w:rsidR="00A15B1C" w:rsidRPr="001C2AFE">
        <w:rPr>
          <w:rFonts w:cs="Arial"/>
          <w:sz w:val="22"/>
          <w:szCs w:val="22"/>
        </w:rPr>
        <w:t xml:space="preserve"> </w:t>
      </w:r>
      <w:r w:rsidR="004B5BF5" w:rsidRPr="001C2AFE">
        <w:rPr>
          <w:rFonts w:cs="Arial"/>
          <w:sz w:val="22"/>
          <w:szCs w:val="22"/>
        </w:rPr>
        <w:t>A ‘limited legal assistance’ is a discrete legal service such as a duty lawyer in the Magistrates Court, or generalist legal advice through a drop in clinic, when there is no expectation of an ongoing matter.</w:t>
      </w:r>
    </w:p>
    <w:p w14:paraId="6CF2DFB5" w14:textId="16A5C7AB" w:rsidR="00BD3D29" w:rsidRPr="001C2AFE" w:rsidRDefault="00BD3D29" w:rsidP="00F65790">
      <w:pPr>
        <w:rPr>
          <w:rFonts w:cs="Arial"/>
          <w:sz w:val="22"/>
          <w:szCs w:val="22"/>
        </w:rPr>
      </w:pPr>
    </w:p>
    <w:p w14:paraId="61C90D3D" w14:textId="192ECD86" w:rsidR="003D2B28" w:rsidRPr="001C2AFE" w:rsidRDefault="00A15B1C" w:rsidP="00F65790">
      <w:pPr>
        <w:rPr>
          <w:rFonts w:cs="Arial"/>
          <w:sz w:val="22"/>
          <w:szCs w:val="22"/>
        </w:rPr>
      </w:pPr>
      <w:r w:rsidRPr="001C2AFE">
        <w:rPr>
          <w:rFonts w:cs="Arial"/>
          <w:sz w:val="22"/>
          <w:szCs w:val="22"/>
        </w:rPr>
        <w:t>The expansion of legal assistance services into region</w:t>
      </w:r>
      <w:r w:rsidR="003D2B28" w:rsidRPr="001C2AFE">
        <w:rPr>
          <w:rFonts w:cs="Arial"/>
          <w:sz w:val="22"/>
          <w:szCs w:val="22"/>
        </w:rPr>
        <w:t>al, rural and remote Australia as a result of the Keating Government’s Justice Statement i</w:t>
      </w:r>
      <w:r w:rsidRPr="001C2AFE">
        <w:rPr>
          <w:rFonts w:cs="Arial"/>
          <w:sz w:val="22"/>
          <w:szCs w:val="22"/>
        </w:rPr>
        <w:t xml:space="preserve">n the late 1990s, means that </w:t>
      </w:r>
      <w:r w:rsidR="003D2B28" w:rsidRPr="001C2AFE">
        <w:rPr>
          <w:rFonts w:cs="Arial"/>
          <w:sz w:val="22"/>
          <w:szCs w:val="22"/>
        </w:rPr>
        <w:t xml:space="preserve">although </w:t>
      </w:r>
      <w:r w:rsidRPr="001C2AFE">
        <w:rPr>
          <w:rFonts w:cs="Arial"/>
          <w:sz w:val="22"/>
          <w:szCs w:val="22"/>
        </w:rPr>
        <w:t xml:space="preserve">there </w:t>
      </w:r>
      <w:r w:rsidR="003D2B28" w:rsidRPr="001C2AFE">
        <w:rPr>
          <w:rFonts w:cs="Arial"/>
          <w:sz w:val="22"/>
          <w:szCs w:val="22"/>
        </w:rPr>
        <w:t xml:space="preserve">are more </w:t>
      </w:r>
      <w:r w:rsidR="00557721" w:rsidRPr="001C2AFE">
        <w:rPr>
          <w:rFonts w:cs="Arial"/>
          <w:sz w:val="22"/>
          <w:szCs w:val="22"/>
        </w:rPr>
        <w:t xml:space="preserve">legal </w:t>
      </w:r>
      <w:r w:rsidR="003D2B28" w:rsidRPr="001C2AFE">
        <w:rPr>
          <w:rFonts w:cs="Arial"/>
          <w:sz w:val="22"/>
          <w:szCs w:val="22"/>
        </w:rPr>
        <w:t xml:space="preserve">services, these services </w:t>
      </w:r>
      <w:r w:rsidRPr="001C2AFE">
        <w:rPr>
          <w:rFonts w:cs="Arial"/>
          <w:sz w:val="22"/>
          <w:szCs w:val="22"/>
        </w:rPr>
        <w:t xml:space="preserve">may be </w:t>
      </w:r>
      <w:r w:rsidR="00557721" w:rsidRPr="001C2AFE">
        <w:rPr>
          <w:rFonts w:cs="Arial"/>
          <w:sz w:val="22"/>
          <w:szCs w:val="22"/>
        </w:rPr>
        <w:t xml:space="preserve">the </w:t>
      </w:r>
      <w:r w:rsidRPr="001C2AFE">
        <w:rPr>
          <w:rFonts w:cs="Arial"/>
          <w:sz w:val="22"/>
          <w:szCs w:val="22"/>
        </w:rPr>
        <w:t xml:space="preserve">only legal practice </w:t>
      </w:r>
      <w:r w:rsidR="00557721" w:rsidRPr="001C2AFE">
        <w:rPr>
          <w:rFonts w:cs="Arial"/>
          <w:sz w:val="22"/>
          <w:szCs w:val="22"/>
        </w:rPr>
        <w:t>serv</w:t>
      </w:r>
      <w:r w:rsidRPr="001C2AFE">
        <w:rPr>
          <w:rFonts w:cs="Arial"/>
          <w:sz w:val="22"/>
          <w:szCs w:val="22"/>
        </w:rPr>
        <w:t>in</w:t>
      </w:r>
      <w:r w:rsidR="00557721" w:rsidRPr="001C2AFE">
        <w:rPr>
          <w:rFonts w:cs="Arial"/>
          <w:sz w:val="22"/>
          <w:szCs w:val="22"/>
        </w:rPr>
        <w:t>g</w:t>
      </w:r>
      <w:r w:rsidRPr="001C2AFE">
        <w:rPr>
          <w:rFonts w:cs="Arial"/>
          <w:sz w:val="22"/>
          <w:szCs w:val="22"/>
        </w:rPr>
        <w:t xml:space="preserve"> a </w:t>
      </w:r>
      <w:r w:rsidR="00557721" w:rsidRPr="001C2AFE">
        <w:rPr>
          <w:rFonts w:cs="Arial"/>
          <w:sz w:val="22"/>
          <w:szCs w:val="22"/>
        </w:rPr>
        <w:t xml:space="preserve">large geographical </w:t>
      </w:r>
      <w:r w:rsidRPr="001C2AFE">
        <w:rPr>
          <w:rFonts w:cs="Arial"/>
          <w:sz w:val="22"/>
          <w:szCs w:val="22"/>
        </w:rPr>
        <w:t xml:space="preserve">community. If this legal service has a low threshold for conflicts, their ability to serve their community’s needs is compromised. </w:t>
      </w:r>
      <w:r w:rsidR="00557721" w:rsidRPr="001C2AFE">
        <w:rPr>
          <w:rFonts w:cs="Arial"/>
          <w:sz w:val="22"/>
          <w:szCs w:val="22"/>
        </w:rPr>
        <w:t xml:space="preserve">However, the nature of these services is that there is a high turn over of lawyers and most matters are ‘limited’. </w:t>
      </w:r>
      <w:r w:rsidRPr="001C2AFE">
        <w:rPr>
          <w:rFonts w:cs="Arial"/>
          <w:sz w:val="22"/>
          <w:szCs w:val="22"/>
        </w:rPr>
        <w:t>Research by Deakin University reveals that 70% of country lawyers turn away clients due to ‘conflict of interest’.</w:t>
      </w:r>
      <w:r w:rsidRPr="001C2AFE">
        <w:rPr>
          <w:rStyle w:val="FootnoteReference"/>
          <w:sz w:val="22"/>
          <w:szCs w:val="22"/>
        </w:rPr>
        <w:footnoteReference w:id="13"/>
      </w:r>
      <w:r w:rsidRPr="001C2AFE">
        <w:rPr>
          <w:rFonts w:cs="Arial"/>
          <w:sz w:val="22"/>
          <w:szCs w:val="22"/>
        </w:rPr>
        <w:t xml:space="preserve"> </w:t>
      </w:r>
    </w:p>
    <w:p w14:paraId="233732DE" w14:textId="77777777" w:rsidR="003D2B28" w:rsidRDefault="003D2B28" w:rsidP="00F65790">
      <w:pPr>
        <w:rPr>
          <w:rFonts w:cs="Arial"/>
          <w:sz w:val="22"/>
          <w:szCs w:val="22"/>
        </w:rPr>
      </w:pPr>
    </w:p>
    <w:p w14:paraId="54AC1B01" w14:textId="77777777" w:rsidR="00B81A18" w:rsidRPr="001C2AFE" w:rsidRDefault="00B81A18" w:rsidP="00F65790">
      <w:pPr>
        <w:rPr>
          <w:rFonts w:cs="Arial"/>
          <w:sz w:val="22"/>
          <w:szCs w:val="22"/>
        </w:rPr>
      </w:pPr>
    </w:p>
    <w:p w14:paraId="12B286E8" w14:textId="7D8A055E" w:rsidR="00AC224D" w:rsidRPr="001C2AFE" w:rsidRDefault="00AC224D" w:rsidP="00F65790">
      <w:pPr>
        <w:rPr>
          <w:rFonts w:cs="Arial"/>
          <w:b/>
          <w:sz w:val="22"/>
          <w:szCs w:val="22"/>
        </w:rPr>
      </w:pPr>
      <w:r w:rsidRPr="001C2AFE">
        <w:rPr>
          <w:rFonts w:cs="Arial"/>
          <w:b/>
          <w:sz w:val="22"/>
          <w:szCs w:val="22"/>
        </w:rPr>
        <w:t>Rationale for the reform</w:t>
      </w:r>
    </w:p>
    <w:p w14:paraId="3BDBA192" w14:textId="77777777" w:rsidR="00B81A18" w:rsidRDefault="00B81A18" w:rsidP="00F65790">
      <w:pPr>
        <w:rPr>
          <w:rFonts w:cs="Arial"/>
          <w:sz w:val="22"/>
          <w:szCs w:val="22"/>
        </w:rPr>
      </w:pPr>
    </w:p>
    <w:p w14:paraId="7AC31485" w14:textId="1F4B808A" w:rsidR="003D2B28" w:rsidRPr="001C2AFE" w:rsidRDefault="00A15B1C" w:rsidP="00F65790">
      <w:pPr>
        <w:rPr>
          <w:rFonts w:cs="Arial"/>
          <w:sz w:val="22"/>
          <w:szCs w:val="22"/>
        </w:rPr>
      </w:pPr>
      <w:r w:rsidRPr="001C2AFE">
        <w:rPr>
          <w:rFonts w:cs="Arial"/>
          <w:sz w:val="22"/>
          <w:szCs w:val="22"/>
        </w:rPr>
        <w:t xml:space="preserve">Several North American jurisdictions have a specific regulatory exemption to allow not for profit legal assistance services to provide ‘limited legal assistance’ in the absence of actual conflict. </w:t>
      </w:r>
      <w:r w:rsidR="004B5BF5">
        <w:rPr>
          <w:rFonts w:cs="Arial"/>
          <w:sz w:val="22"/>
          <w:szCs w:val="22"/>
        </w:rPr>
        <w:t xml:space="preserve"> </w:t>
      </w:r>
      <w:r w:rsidR="003D2B28" w:rsidRPr="001C2AFE">
        <w:rPr>
          <w:rFonts w:cs="Arial"/>
          <w:sz w:val="22"/>
          <w:szCs w:val="22"/>
        </w:rPr>
        <w:t>A statutory, or regulatory, exemption from the conflict rule provides comfort for lawyers working in pu</w:t>
      </w:r>
      <w:r w:rsidR="00AC224D" w:rsidRPr="001C2AFE">
        <w:rPr>
          <w:rFonts w:cs="Arial"/>
          <w:sz w:val="22"/>
          <w:szCs w:val="22"/>
        </w:rPr>
        <w:t xml:space="preserve">blic legal assistance services.  </w:t>
      </w:r>
      <w:r w:rsidR="00557721" w:rsidRPr="001C2AFE">
        <w:rPr>
          <w:rFonts w:cs="Arial"/>
          <w:sz w:val="22"/>
          <w:szCs w:val="22"/>
        </w:rPr>
        <w:t>The exemption states that provided the lawyer</w:t>
      </w:r>
      <w:r w:rsidR="003D2B28" w:rsidRPr="001C2AFE">
        <w:rPr>
          <w:rFonts w:cs="Arial"/>
          <w:sz w:val="22"/>
          <w:szCs w:val="22"/>
        </w:rPr>
        <w:t xml:space="preserve"> ha</w:t>
      </w:r>
      <w:r w:rsidR="00557721" w:rsidRPr="001C2AFE">
        <w:rPr>
          <w:rFonts w:cs="Arial"/>
          <w:sz w:val="22"/>
          <w:szCs w:val="22"/>
        </w:rPr>
        <w:t>s</w:t>
      </w:r>
      <w:r w:rsidR="003D2B28" w:rsidRPr="001C2AFE">
        <w:rPr>
          <w:rFonts w:cs="Arial"/>
          <w:sz w:val="22"/>
          <w:szCs w:val="22"/>
        </w:rPr>
        <w:t xml:space="preserve"> no actual knowledge of a disqualifying conflict, they can provide legal help. Without this exemption, lawyers may fear their behaviour could be viewed as professional misconduct. </w:t>
      </w:r>
      <w:r w:rsidR="00557721" w:rsidRPr="001C2AFE">
        <w:rPr>
          <w:rFonts w:cs="Arial"/>
          <w:sz w:val="22"/>
          <w:szCs w:val="22"/>
        </w:rPr>
        <w:t xml:space="preserve">The exemption does not </w:t>
      </w:r>
      <w:r w:rsidR="004B5BF5">
        <w:rPr>
          <w:rFonts w:cs="Arial"/>
          <w:sz w:val="22"/>
          <w:szCs w:val="22"/>
        </w:rPr>
        <w:t xml:space="preserve">change </w:t>
      </w:r>
      <w:r w:rsidR="00557721" w:rsidRPr="001C2AFE">
        <w:rPr>
          <w:rFonts w:cs="Arial"/>
          <w:sz w:val="22"/>
          <w:szCs w:val="22"/>
        </w:rPr>
        <w:t>the lawyer’s professional duty to avoid conflicting interests.</w:t>
      </w:r>
    </w:p>
    <w:p w14:paraId="51F0D7C4" w14:textId="77777777" w:rsidR="00B2550D" w:rsidRPr="001C2AFE" w:rsidRDefault="00B2550D" w:rsidP="00F65790">
      <w:pPr>
        <w:rPr>
          <w:rFonts w:cs="Arial"/>
          <w:sz w:val="22"/>
          <w:szCs w:val="22"/>
        </w:rPr>
      </w:pPr>
    </w:p>
    <w:p w14:paraId="180A765B" w14:textId="230DA902" w:rsidR="003D2B28" w:rsidRPr="001C2AFE" w:rsidRDefault="003D2B28" w:rsidP="00F65790">
      <w:pPr>
        <w:rPr>
          <w:rFonts w:cs="Arial"/>
          <w:sz w:val="22"/>
          <w:szCs w:val="22"/>
        </w:rPr>
      </w:pPr>
      <w:r w:rsidRPr="001C2AFE">
        <w:rPr>
          <w:rFonts w:cs="Arial"/>
          <w:sz w:val="22"/>
          <w:szCs w:val="22"/>
        </w:rPr>
        <w:t>The suggestion that professional conduct rules should exemp</w:t>
      </w:r>
      <w:r w:rsidR="00557721" w:rsidRPr="001C2AFE">
        <w:rPr>
          <w:rFonts w:cs="Arial"/>
          <w:sz w:val="22"/>
          <w:szCs w:val="22"/>
        </w:rPr>
        <w:t xml:space="preserve">t </w:t>
      </w:r>
      <w:r w:rsidRPr="001C2AFE">
        <w:rPr>
          <w:rFonts w:cs="Arial"/>
          <w:sz w:val="22"/>
          <w:szCs w:val="22"/>
        </w:rPr>
        <w:t xml:space="preserve">limited legal services </w:t>
      </w:r>
      <w:r w:rsidR="00557721" w:rsidRPr="001C2AFE">
        <w:rPr>
          <w:rFonts w:cs="Arial"/>
          <w:sz w:val="22"/>
          <w:szCs w:val="22"/>
        </w:rPr>
        <w:t xml:space="preserve">from the conflict rules, </w:t>
      </w:r>
      <w:r w:rsidRPr="001C2AFE">
        <w:rPr>
          <w:rFonts w:cs="Arial"/>
          <w:sz w:val="22"/>
          <w:szCs w:val="22"/>
        </w:rPr>
        <w:t>has been</w:t>
      </w:r>
      <w:r w:rsidR="00557721" w:rsidRPr="001C2AFE">
        <w:rPr>
          <w:rFonts w:cs="Arial"/>
          <w:sz w:val="22"/>
          <w:szCs w:val="22"/>
        </w:rPr>
        <w:t xml:space="preserve"> promoted</w:t>
      </w:r>
      <w:r w:rsidRPr="001C2AFE">
        <w:rPr>
          <w:rFonts w:cs="Arial"/>
          <w:sz w:val="22"/>
          <w:szCs w:val="22"/>
        </w:rPr>
        <w:t xml:space="preserve"> by the NSW Legal Aid Commission. Between 2008 and 2013 the Commission has made submissions to the Law Society of NSW, the National Legal Assistance Advisory Body and the Law Council of Australia regarding the new Australian Solicitors Conduct Rules and accompanying Commentary.  </w:t>
      </w:r>
      <w:r w:rsidR="004B5BF5">
        <w:rPr>
          <w:rFonts w:cs="Arial"/>
          <w:sz w:val="22"/>
          <w:szCs w:val="22"/>
        </w:rPr>
        <w:t>Despite these representations, t</w:t>
      </w:r>
      <w:r w:rsidRPr="001C2AFE">
        <w:rPr>
          <w:rFonts w:cs="Arial"/>
          <w:sz w:val="22"/>
          <w:szCs w:val="22"/>
        </w:rPr>
        <w:t xml:space="preserve">he rules have not been changed. </w:t>
      </w:r>
    </w:p>
    <w:p w14:paraId="1669ECD4" w14:textId="77777777" w:rsidR="00A15B1C" w:rsidRPr="001C2AFE" w:rsidRDefault="00A15B1C" w:rsidP="00F65790">
      <w:pPr>
        <w:rPr>
          <w:rFonts w:cs="Arial"/>
          <w:sz w:val="22"/>
          <w:szCs w:val="22"/>
        </w:rPr>
      </w:pPr>
    </w:p>
    <w:p w14:paraId="4ABAA6A9" w14:textId="202AAA37" w:rsidR="00B2550D" w:rsidRPr="001C2AFE" w:rsidRDefault="00557721" w:rsidP="00F65790">
      <w:pPr>
        <w:rPr>
          <w:rFonts w:cs="Arial"/>
          <w:sz w:val="22"/>
          <w:szCs w:val="22"/>
        </w:rPr>
      </w:pPr>
      <w:r w:rsidRPr="001C2AFE">
        <w:rPr>
          <w:rFonts w:cs="Arial"/>
          <w:sz w:val="22"/>
          <w:szCs w:val="22"/>
        </w:rPr>
        <w:t xml:space="preserve">In the absence of an exemption, lawyers are </w:t>
      </w:r>
      <w:r w:rsidR="00CB4B7C" w:rsidRPr="001C2AFE">
        <w:rPr>
          <w:rFonts w:cs="Arial"/>
          <w:sz w:val="22"/>
          <w:szCs w:val="22"/>
        </w:rPr>
        <w:t>ethically compromised. Some Legal Profession Acts, including the national law, state that a breach of a conduct rule is a strict liability offence of professional misconduct.</w:t>
      </w:r>
      <w:r w:rsidR="00CB4B7C" w:rsidRPr="001C2AFE">
        <w:rPr>
          <w:rStyle w:val="FootnoteReference"/>
          <w:sz w:val="22"/>
          <w:szCs w:val="22"/>
        </w:rPr>
        <w:footnoteReference w:id="14"/>
      </w:r>
      <w:r w:rsidR="00CB4B7C" w:rsidRPr="001C2AFE">
        <w:rPr>
          <w:rFonts w:cs="Arial"/>
          <w:sz w:val="22"/>
          <w:szCs w:val="22"/>
        </w:rPr>
        <w:t xml:space="preserve"> An exemption provides protection.</w:t>
      </w:r>
    </w:p>
    <w:p w14:paraId="75987FCD" w14:textId="77777777" w:rsidR="00B2550D" w:rsidRPr="001C2AFE" w:rsidRDefault="00B2550D" w:rsidP="00F65790">
      <w:pPr>
        <w:rPr>
          <w:rFonts w:cs="Arial"/>
          <w:sz w:val="22"/>
          <w:szCs w:val="22"/>
        </w:rPr>
      </w:pPr>
    </w:p>
    <w:p w14:paraId="68F7B618" w14:textId="77777777" w:rsidR="00AC224D" w:rsidRPr="001C2AFE" w:rsidRDefault="00AC224D" w:rsidP="00F65790">
      <w:pPr>
        <w:rPr>
          <w:rFonts w:cs="Arial"/>
          <w:sz w:val="22"/>
          <w:szCs w:val="22"/>
        </w:rPr>
      </w:pPr>
    </w:p>
    <w:p w14:paraId="77293987" w14:textId="002ECA0A" w:rsidR="00AC224D" w:rsidRPr="001C2AFE" w:rsidRDefault="005B2D26" w:rsidP="00F65790">
      <w:pPr>
        <w:rPr>
          <w:rFonts w:cs="Arial"/>
          <w:b/>
          <w:sz w:val="22"/>
          <w:szCs w:val="22"/>
        </w:rPr>
      </w:pPr>
      <w:r w:rsidRPr="001C2AFE">
        <w:rPr>
          <w:rFonts w:cs="Arial"/>
          <w:b/>
          <w:sz w:val="22"/>
          <w:szCs w:val="22"/>
        </w:rPr>
        <w:t xml:space="preserve">3. </w:t>
      </w:r>
      <w:r w:rsidR="00AC224D" w:rsidRPr="001C2AFE">
        <w:rPr>
          <w:rFonts w:cs="Arial"/>
          <w:b/>
          <w:sz w:val="22"/>
          <w:szCs w:val="22"/>
        </w:rPr>
        <w:t>Proposal</w:t>
      </w:r>
      <w:r w:rsidRPr="001C2AFE">
        <w:rPr>
          <w:rFonts w:cs="Arial"/>
          <w:b/>
          <w:sz w:val="22"/>
          <w:szCs w:val="22"/>
        </w:rPr>
        <w:t>: Gather data on geographical location</w:t>
      </w:r>
    </w:p>
    <w:p w14:paraId="1E09A37F" w14:textId="77777777" w:rsidR="005B2D26" w:rsidRPr="001C2AFE" w:rsidRDefault="005B2D26" w:rsidP="00F65790">
      <w:pPr>
        <w:rPr>
          <w:rFonts w:cs="Arial"/>
          <w:sz w:val="22"/>
          <w:szCs w:val="22"/>
        </w:rPr>
      </w:pPr>
    </w:p>
    <w:p w14:paraId="02119B81" w14:textId="2A62B4DF" w:rsidR="00AC224D" w:rsidRPr="001C2AFE" w:rsidRDefault="00AC224D" w:rsidP="00F65790">
      <w:pPr>
        <w:rPr>
          <w:rFonts w:cs="Arial"/>
          <w:sz w:val="22"/>
          <w:szCs w:val="22"/>
        </w:rPr>
      </w:pPr>
      <w:r w:rsidRPr="001C2AFE">
        <w:rPr>
          <w:rFonts w:cs="Arial"/>
          <w:sz w:val="22"/>
          <w:szCs w:val="22"/>
        </w:rPr>
        <w:lastRenderedPageBreak/>
        <w:t xml:space="preserve">In reviewing current data collection systems, consider including the </w:t>
      </w:r>
      <w:r w:rsidR="004B5BF5" w:rsidRPr="001C2AFE">
        <w:rPr>
          <w:rFonts w:cs="Arial"/>
          <w:sz w:val="22"/>
          <w:szCs w:val="22"/>
        </w:rPr>
        <w:t>Australian Bureau of Statistics remoteness area</w:t>
      </w:r>
      <w:r w:rsidR="004B5BF5">
        <w:rPr>
          <w:rFonts w:cs="Arial"/>
          <w:sz w:val="22"/>
          <w:szCs w:val="22"/>
        </w:rPr>
        <w:t>s as established by the</w:t>
      </w:r>
      <w:r w:rsidR="004B5BF5" w:rsidRPr="001C2AFE">
        <w:rPr>
          <w:rFonts w:cs="Arial"/>
          <w:sz w:val="22"/>
          <w:szCs w:val="22"/>
        </w:rPr>
        <w:t xml:space="preserve"> Australian Statistical Geography Standard (ASGS). </w:t>
      </w:r>
      <w:r w:rsidR="004B5BF5">
        <w:rPr>
          <w:rFonts w:cs="Arial"/>
          <w:sz w:val="22"/>
          <w:szCs w:val="22"/>
        </w:rPr>
        <w:t xml:space="preserve">These areas </w:t>
      </w:r>
      <w:r w:rsidRPr="001C2AFE">
        <w:rPr>
          <w:rFonts w:cs="Arial"/>
          <w:sz w:val="22"/>
          <w:szCs w:val="22"/>
        </w:rPr>
        <w:t xml:space="preserve">enable coding of results according to geographical areas. This knowledge can assist in </w:t>
      </w:r>
      <w:r w:rsidR="00356FF5" w:rsidRPr="001C2AFE">
        <w:rPr>
          <w:rFonts w:cs="Arial"/>
          <w:sz w:val="22"/>
          <w:szCs w:val="22"/>
        </w:rPr>
        <w:t xml:space="preserve">both the design of, and delivery of, legal </w:t>
      </w:r>
      <w:r w:rsidRPr="001C2AFE">
        <w:rPr>
          <w:rFonts w:cs="Arial"/>
          <w:sz w:val="22"/>
          <w:szCs w:val="22"/>
        </w:rPr>
        <w:t>service</w:t>
      </w:r>
      <w:r w:rsidR="00356FF5" w:rsidRPr="001C2AFE">
        <w:rPr>
          <w:rFonts w:cs="Arial"/>
          <w:sz w:val="22"/>
          <w:szCs w:val="22"/>
        </w:rPr>
        <w:t>s.</w:t>
      </w:r>
      <w:r w:rsidRPr="001C2AFE">
        <w:rPr>
          <w:rFonts w:cs="Arial"/>
          <w:sz w:val="22"/>
          <w:szCs w:val="22"/>
        </w:rPr>
        <w:t xml:space="preserve"> </w:t>
      </w:r>
    </w:p>
    <w:p w14:paraId="78874833" w14:textId="77777777" w:rsidR="00AC224D" w:rsidRPr="001C2AFE" w:rsidRDefault="00AC224D" w:rsidP="00F65790">
      <w:pPr>
        <w:rPr>
          <w:rFonts w:cs="Arial"/>
          <w:sz w:val="22"/>
          <w:szCs w:val="22"/>
        </w:rPr>
      </w:pPr>
    </w:p>
    <w:p w14:paraId="78E9D066" w14:textId="77777777" w:rsidR="00AC224D" w:rsidRPr="001C2AFE" w:rsidRDefault="00AC224D" w:rsidP="005B2D26">
      <w:pPr>
        <w:pBdr>
          <w:top w:val="single" w:sz="4" w:space="1" w:color="auto"/>
          <w:left w:val="single" w:sz="4" w:space="4" w:color="auto"/>
          <w:bottom w:val="single" w:sz="4" w:space="1" w:color="auto"/>
          <w:right w:val="single" w:sz="4" w:space="4" w:color="auto"/>
        </w:pBdr>
        <w:rPr>
          <w:rFonts w:cs="Arial"/>
          <w:sz w:val="22"/>
          <w:szCs w:val="22"/>
        </w:rPr>
      </w:pPr>
    </w:p>
    <w:p w14:paraId="684B8C88" w14:textId="4F34012C" w:rsidR="00240E59" w:rsidRPr="001C2AFE" w:rsidRDefault="00AC224D" w:rsidP="005B2D26">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Terms of Reference</w:t>
      </w:r>
    </w:p>
    <w:p w14:paraId="1A74D54C" w14:textId="1D878FF4" w:rsidR="00FB7E30" w:rsidRPr="001C2AFE" w:rsidRDefault="00240E59" w:rsidP="005B2D26">
      <w:pPr>
        <w:pBdr>
          <w:top w:val="single" w:sz="4" w:space="1" w:color="auto"/>
          <w:left w:val="single" w:sz="4" w:space="4" w:color="auto"/>
          <w:bottom w:val="single" w:sz="4" w:space="1" w:color="auto"/>
          <w:right w:val="single" w:sz="4" w:space="4" w:color="auto"/>
        </w:pBdr>
        <w:rPr>
          <w:rFonts w:cs="Arial"/>
          <w:sz w:val="22"/>
          <w:szCs w:val="22"/>
        </w:rPr>
      </w:pPr>
      <w:r w:rsidRPr="001C2AFE">
        <w:rPr>
          <w:rFonts w:cs="Arial"/>
          <w:sz w:val="22"/>
          <w:szCs w:val="22"/>
        </w:rPr>
        <w:t>Reference 10 data coll</w:t>
      </w:r>
      <w:r w:rsidR="00AC224D" w:rsidRPr="001C2AFE">
        <w:rPr>
          <w:rFonts w:cs="Arial"/>
          <w:sz w:val="22"/>
          <w:szCs w:val="22"/>
        </w:rPr>
        <w:t>ection across the justice system</w:t>
      </w:r>
    </w:p>
    <w:p w14:paraId="54EC2661" w14:textId="77777777" w:rsidR="001B0491" w:rsidRPr="001C2AFE" w:rsidRDefault="001B0491" w:rsidP="005B2D26">
      <w:pPr>
        <w:pBdr>
          <w:top w:val="single" w:sz="4" w:space="1" w:color="auto"/>
          <w:left w:val="single" w:sz="4" w:space="4" w:color="auto"/>
          <w:bottom w:val="single" w:sz="4" w:space="1" w:color="auto"/>
          <w:right w:val="single" w:sz="4" w:space="4" w:color="auto"/>
        </w:pBdr>
        <w:rPr>
          <w:rFonts w:cs="Arial"/>
          <w:sz w:val="22"/>
          <w:szCs w:val="22"/>
        </w:rPr>
      </w:pPr>
    </w:p>
    <w:p w14:paraId="663206A8" w14:textId="77777777" w:rsidR="001B0491" w:rsidRPr="001C2AFE" w:rsidRDefault="001B0491" w:rsidP="005B2D26">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 xml:space="preserve">Data and Evidence: </w:t>
      </w:r>
    </w:p>
    <w:p w14:paraId="74AA4F04" w14:textId="2462E953" w:rsidR="00AC224D" w:rsidRPr="001C2AFE" w:rsidRDefault="001B0491" w:rsidP="005B2D26">
      <w:pPr>
        <w:pBdr>
          <w:top w:val="single" w:sz="4" w:space="1" w:color="auto"/>
          <w:left w:val="single" w:sz="4" w:space="4" w:color="auto"/>
          <w:bottom w:val="single" w:sz="4" w:space="1" w:color="auto"/>
          <w:right w:val="single" w:sz="4" w:space="4" w:color="auto"/>
        </w:pBdr>
        <w:rPr>
          <w:rFonts w:cs="Arial"/>
          <w:i/>
          <w:sz w:val="22"/>
          <w:szCs w:val="22"/>
        </w:rPr>
      </w:pPr>
      <w:r w:rsidRPr="001C2AFE">
        <w:rPr>
          <w:rFonts w:cs="Arial"/>
          <w:b/>
          <w:sz w:val="22"/>
          <w:szCs w:val="22"/>
        </w:rPr>
        <w:t xml:space="preserve">Recommendation 24.1 </w:t>
      </w:r>
      <w:r w:rsidRPr="001C2AFE">
        <w:rPr>
          <w:rFonts w:cs="Arial"/>
          <w:b/>
          <w:sz w:val="22"/>
          <w:szCs w:val="22"/>
        </w:rPr>
        <w:tab/>
      </w:r>
      <w:r w:rsidRPr="001C2AFE">
        <w:rPr>
          <w:rFonts w:cs="Arial"/>
          <w:i/>
          <w:sz w:val="22"/>
          <w:szCs w:val="22"/>
        </w:rPr>
        <w:t>Co-ordinate data collection and use.</w:t>
      </w:r>
    </w:p>
    <w:p w14:paraId="019DEA20" w14:textId="77777777" w:rsidR="001B0491" w:rsidRPr="001C2AFE" w:rsidRDefault="001B0491" w:rsidP="005B2D26">
      <w:pPr>
        <w:pBdr>
          <w:top w:val="single" w:sz="4" w:space="1" w:color="auto"/>
          <w:left w:val="single" w:sz="4" w:space="4" w:color="auto"/>
          <w:bottom w:val="single" w:sz="4" w:space="1" w:color="auto"/>
          <w:right w:val="single" w:sz="4" w:space="4" w:color="auto"/>
        </w:pBdr>
        <w:rPr>
          <w:rFonts w:cs="Arial"/>
          <w:b/>
          <w:sz w:val="22"/>
          <w:szCs w:val="22"/>
        </w:rPr>
      </w:pPr>
    </w:p>
    <w:p w14:paraId="44A64251" w14:textId="77777777" w:rsidR="00AC224D" w:rsidRPr="001C2AFE" w:rsidRDefault="00AC224D" w:rsidP="00F65790">
      <w:pPr>
        <w:rPr>
          <w:rFonts w:cs="Arial"/>
          <w:sz w:val="22"/>
          <w:szCs w:val="22"/>
        </w:rPr>
      </w:pPr>
    </w:p>
    <w:p w14:paraId="087A362C" w14:textId="77777777" w:rsidR="001B0491" w:rsidRPr="001C2AFE" w:rsidRDefault="001B0491" w:rsidP="00F65790">
      <w:pPr>
        <w:rPr>
          <w:rFonts w:cs="Arial"/>
          <w:b/>
          <w:sz w:val="22"/>
          <w:szCs w:val="22"/>
        </w:rPr>
      </w:pPr>
      <w:r w:rsidRPr="001C2AFE">
        <w:rPr>
          <w:rFonts w:cs="Arial"/>
          <w:b/>
          <w:sz w:val="22"/>
          <w:szCs w:val="22"/>
        </w:rPr>
        <w:t>Status Quo</w:t>
      </w:r>
    </w:p>
    <w:p w14:paraId="72D20C03" w14:textId="77777777" w:rsidR="005B2D26" w:rsidRPr="001C2AFE" w:rsidRDefault="005B2D26" w:rsidP="00F65790">
      <w:pPr>
        <w:rPr>
          <w:rFonts w:cs="Arial"/>
          <w:sz w:val="22"/>
          <w:szCs w:val="22"/>
        </w:rPr>
      </w:pPr>
    </w:p>
    <w:p w14:paraId="0F3D05FF" w14:textId="22A46E75" w:rsidR="001B0491" w:rsidRPr="001C2AFE" w:rsidRDefault="001B0491" w:rsidP="00F65790">
      <w:pPr>
        <w:rPr>
          <w:rFonts w:cs="Arial"/>
          <w:sz w:val="22"/>
          <w:szCs w:val="22"/>
        </w:rPr>
      </w:pPr>
      <w:r w:rsidRPr="001C2AFE">
        <w:rPr>
          <w:rFonts w:cs="Arial"/>
          <w:sz w:val="22"/>
          <w:szCs w:val="22"/>
        </w:rPr>
        <w:t xml:space="preserve">There is no coding of </w:t>
      </w:r>
      <w:r w:rsidR="00356FF5" w:rsidRPr="001C2AFE">
        <w:rPr>
          <w:rFonts w:cs="Arial"/>
          <w:sz w:val="22"/>
          <w:szCs w:val="22"/>
        </w:rPr>
        <w:t xml:space="preserve">legal </w:t>
      </w:r>
      <w:r w:rsidRPr="001C2AFE">
        <w:rPr>
          <w:rFonts w:cs="Arial"/>
          <w:sz w:val="22"/>
          <w:szCs w:val="22"/>
        </w:rPr>
        <w:t>data according to geographical remoteness areas. Law societies, regulatory authorities and courts have an idiosyncratic approach which, if it does consider geographical location, confines coding to ‘capital city’ and ‘non capital city’. Similarly in the CLSIS, IRIS</w:t>
      </w:r>
      <w:r w:rsidR="004B5BF5">
        <w:rPr>
          <w:rFonts w:cs="Arial"/>
          <w:sz w:val="22"/>
          <w:szCs w:val="22"/>
        </w:rPr>
        <w:t xml:space="preserve"> data collection systems</w:t>
      </w:r>
      <w:r w:rsidRPr="001C2AFE">
        <w:rPr>
          <w:rFonts w:cs="Arial"/>
          <w:sz w:val="22"/>
          <w:szCs w:val="22"/>
        </w:rPr>
        <w:t>, and URBIS surveys no attention has been paid to geographic analysis of the data.  Without capturing geographical location, it is difficult to disaggregate this data to identify any trends, or equity issues based on population</w:t>
      </w:r>
      <w:r w:rsidR="004B5BF5">
        <w:rPr>
          <w:rFonts w:cs="Arial"/>
          <w:sz w:val="22"/>
          <w:szCs w:val="22"/>
        </w:rPr>
        <w:t xml:space="preserve"> sparsity</w:t>
      </w:r>
      <w:r w:rsidRPr="001C2AFE">
        <w:rPr>
          <w:rFonts w:cs="Arial"/>
          <w:sz w:val="22"/>
          <w:szCs w:val="22"/>
        </w:rPr>
        <w:t>.</w:t>
      </w:r>
    </w:p>
    <w:p w14:paraId="4CD73753" w14:textId="77777777" w:rsidR="001B0491" w:rsidRDefault="001B0491" w:rsidP="00F65790">
      <w:pPr>
        <w:rPr>
          <w:rFonts w:cs="Arial"/>
          <w:sz w:val="22"/>
          <w:szCs w:val="22"/>
        </w:rPr>
      </w:pPr>
    </w:p>
    <w:p w14:paraId="6994D99D" w14:textId="77777777" w:rsidR="00B81A18" w:rsidRPr="001C2AFE" w:rsidRDefault="00B81A18" w:rsidP="00F65790">
      <w:pPr>
        <w:rPr>
          <w:rFonts w:cs="Arial"/>
          <w:sz w:val="22"/>
          <w:szCs w:val="22"/>
        </w:rPr>
      </w:pPr>
    </w:p>
    <w:p w14:paraId="11A11934" w14:textId="6C508859" w:rsidR="001B0491" w:rsidRPr="001C2AFE" w:rsidRDefault="001B0491" w:rsidP="00F65790">
      <w:pPr>
        <w:rPr>
          <w:rFonts w:cs="Arial"/>
          <w:b/>
          <w:sz w:val="22"/>
          <w:szCs w:val="22"/>
        </w:rPr>
      </w:pPr>
      <w:r w:rsidRPr="001C2AFE">
        <w:rPr>
          <w:rFonts w:cs="Arial"/>
          <w:b/>
          <w:sz w:val="22"/>
          <w:szCs w:val="22"/>
        </w:rPr>
        <w:t>Rationale for the reform</w:t>
      </w:r>
    </w:p>
    <w:p w14:paraId="7F23C540" w14:textId="77777777" w:rsidR="005B2D26" w:rsidRPr="001C2AFE" w:rsidRDefault="005B2D26" w:rsidP="00F65790">
      <w:pPr>
        <w:rPr>
          <w:rFonts w:cs="Arial"/>
          <w:sz w:val="22"/>
          <w:szCs w:val="22"/>
        </w:rPr>
      </w:pPr>
    </w:p>
    <w:p w14:paraId="2A769C79" w14:textId="7BBAF2B5" w:rsidR="001B0491" w:rsidRPr="001C2AFE" w:rsidRDefault="001B0491" w:rsidP="00F65790">
      <w:pPr>
        <w:rPr>
          <w:rFonts w:cs="Arial"/>
          <w:sz w:val="22"/>
          <w:szCs w:val="22"/>
        </w:rPr>
      </w:pPr>
      <w:r w:rsidRPr="001C2AFE">
        <w:rPr>
          <w:rFonts w:cs="Arial"/>
          <w:sz w:val="22"/>
          <w:szCs w:val="22"/>
        </w:rPr>
        <w:t xml:space="preserve">By contrast, the provision of </w:t>
      </w:r>
      <w:r w:rsidR="00356FF5" w:rsidRPr="001C2AFE">
        <w:rPr>
          <w:rFonts w:cs="Arial"/>
          <w:sz w:val="22"/>
          <w:szCs w:val="22"/>
        </w:rPr>
        <w:t xml:space="preserve">Australian </w:t>
      </w:r>
      <w:r w:rsidRPr="001C2AFE">
        <w:rPr>
          <w:rFonts w:cs="Arial"/>
          <w:sz w:val="22"/>
          <w:szCs w:val="22"/>
        </w:rPr>
        <w:t xml:space="preserve">health care services </w:t>
      </w:r>
      <w:r w:rsidR="00356FF5" w:rsidRPr="001C2AFE">
        <w:rPr>
          <w:rFonts w:cs="Arial"/>
          <w:sz w:val="22"/>
          <w:szCs w:val="22"/>
        </w:rPr>
        <w:t>are coded according to the ABS remoteness areas; inner regional, outer regional, remote and very remote. This geographical coding facilitates an analysis of the workforce and occasions of medicare services to provide a deeper understanding of both workers and community needs according to geography.</w:t>
      </w:r>
      <w:r w:rsidRPr="001C2AFE">
        <w:rPr>
          <w:rFonts w:cs="Arial"/>
          <w:sz w:val="22"/>
          <w:szCs w:val="22"/>
        </w:rPr>
        <w:t xml:space="preserve"> </w:t>
      </w:r>
    </w:p>
    <w:p w14:paraId="5740D0B8" w14:textId="77777777" w:rsidR="001B0491" w:rsidRPr="001C2AFE" w:rsidRDefault="001B0491" w:rsidP="00F65790">
      <w:pPr>
        <w:rPr>
          <w:rFonts w:cs="Arial"/>
          <w:sz w:val="22"/>
          <w:szCs w:val="22"/>
        </w:rPr>
      </w:pPr>
    </w:p>
    <w:p w14:paraId="2C8B3E48" w14:textId="44EEBE04" w:rsidR="001B0491" w:rsidRPr="001C2AFE" w:rsidRDefault="001B0491" w:rsidP="00F65790">
      <w:pPr>
        <w:rPr>
          <w:rFonts w:cs="Arial"/>
          <w:sz w:val="22"/>
          <w:szCs w:val="22"/>
        </w:rPr>
      </w:pPr>
      <w:r w:rsidRPr="001C2AFE">
        <w:rPr>
          <w:rFonts w:cs="Arial"/>
          <w:sz w:val="22"/>
          <w:szCs w:val="22"/>
        </w:rPr>
        <w:t>Th</w:t>
      </w:r>
      <w:r w:rsidR="00356FF5" w:rsidRPr="001C2AFE">
        <w:rPr>
          <w:rFonts w:cs="Arial"/>
          <w:sz w:val="22"/>
          <w:szCs w:val="22"/>
        </w:rPr>
        <w:t>e</w:t>
      </w:r>
      <w:r w:rsidRPr="001C2AFE">
        <w:rPr>
          <w:rFonts w:cs="Arial"/>
          <w:sz w:val="22"/>
          <w:szCs w:val="22"/>
        </w:rPr>
        <w:t xml:space="preserve"> </w:t>
      </w:r>
      <w:r w:rsidR="00356FF5" w:rsidRPr="001C2AFE">
        <w:rPr>
          <w:rFonts w:cs="Arial"/>
          <w:sz w:val="22"/>
          <w:szCs w:val="22"/>
        </w:rPr>
        <w:t xml:space="preserve">proposed </w:t>
      </w:r>
      <w:r w:rsidRPr="001C2AFE">
        <w:rPr>
          <w:rFonts w:cs="Arial"/>
          <w:sz w:val="22"/>
          <w:szCs w:val="22"/>
        </w:rPr>
        <w:t xml:space="preserve">review of data systems should consider the inclusion of geographical ‘remoteness areas’ as defined by the Australian Bureau of Statistics in the Australian Statistical Geography Standard (ASGS). </w:t>
      </w:r>
      <w:r w:rsidR="00356FF5" w:rsidRPr="001C2AFE">
        <w:rPr>
          <w:rFonts w:cs="Arial"/>
          <w:sz w:val="22"/>
          <w:szCs w:val="22"/>
        </w:rPr>
        <w:t xml:space="preserve">Remoteness areas are identifiable through postcode. This analysis should not create extra work.  </w:t>
      </w:r>
      <w:r w:rsidRPr="001C2AFE">
        <w:rPr>
          <w:rFonts w:cs="Arial"/>
          <w:sz w:val="22"/>
          <w:szCs w:val="22"/>
        </w:rPr>
        <w:t xml:space="preserve">The remoteness areas are defined by the ABS using the Accessibility Remoteness Index of Australia (ARIA) after each Population and Housing Census. This Standard is the preferred tool for research and policy, yet is lacking </w:t>
      </w:r>
      <w:r w:rsidR="00356FF5" w:rsidRPr="001C2AFE">
        <w:rPr>
          <w:rFonts w:cs="Arial"/>
          <w:sz w:val="22"/>
          <w:szCs w:val="22"/>
        </w:rPr>
        <w:t>in the legal profession.</w:t>
      </w:r>
    </w:p>
    <w:p w14:paraId="74E12845" w14:textId="77777777" w:rsidR="001B0491" w:rsidRPr="001C2AFE" w:rsidRDefault="001B0491" w:rsidP="00F65790">
      <w:pPr>
        <w:rPr>
          <w:rFonts w:cs="Arial"/>
          <w:sz w:val="22"/>
          <w:szCs w:val="22"/>
        </w:rPr>
      </w:pPr>
    </w:p>
    <w:p w14:paraId="4CB6F0DD" w14:textId="7F938DFD" w:rsidR="001B0491" w:rsidRPr="001C2AFE" w:rsidRDefault="001B0491" w:rsidP="00F65790">
      <w:pPr>
        <w:rPr>
          <w:rFonts w:cs="Arial"/>
          <w:noProof/>
          <w:sz w:val="22"/>
          <w:szCs w:val="22"/>
        </w:rPr>
      </w:pPr>
      <w:r w:rsidRPr="001C2AFE">
        <w:rPr>
          <w:rFonts w:cs="Arial"/>
          <w:sz w:val="22"/>
          <w:szCs w:val="22"/>
        </w:rPr>
        <w:t xml:space="preserve">In releasing the Standard in 2013, the Australian </w:t>
      </w:r>
      <w:r w:rsidR="00356FF5" w:rsidRPr="001C2AFE">
        <w:rPr>
          <w:rFonts w:cs="Arial"/>
          <w:sz w:val="22"/>
          <w:szCs w:val="22"/>
        </w:rPr>
        <w:t xml:space="preserve">Bureau of Statistics Chief </w:t>
      </w:r>
      <w:r w:rsidRPr="001C2AFE">
        <w:rPr>
          <w:rFonts w:cs="Arial"/>
          <w:sz w:val="22"/>
          <w:szCs w:val="22"/>
        </w:rPr>
        <w:t>Statistician Brian Pink said: ‘the ABS encourages the use of the ASGS by other organisations to improve the comparability and usefulness of statistics generally’</w:t>
      </w:r>
      <w:r w:rsidR="00356FF5" w:rsidRPr="001C2AFE">
        <w:rPr>
          <w:rFonts w:cs="Arial"/>
          <w:sz w:val="22"/>
          <w:szCs w:val="22"/>
        </w:rPr>
        <w:t>.</w:t>
      </w:r>
      <w:r w:rsidR="00356FF5" w:rsidRPr="001C2AFE">
        <w:rPr>
          <w:rStyle w:val="FootnoteReference"/>
          <w:sz w:val="22"/>
          <w:szCs w:val="22"/>
        </w:rPr>
        <w:footnoteReference w:id="15"/>
      </w:r>
      <w:r w:rsidRPr="001C2AFE">
        <w:rPr>
          <w:rFonts w:cs="Arial"/>
          <w:sz w:val="22"/>
          <w:szCs w:val="22"/>
        </w:rPr>
        <w:t xml:space="preserve"> </w:t>
      </w:r>
    </w:p>
    <w:p w14:paraId="0A648FBE" w14:textId="77777777" w:rsidR="00AC224D" w:rsidRPr="001C2AFE" w:rsidRDefault="00AC224D" w:rsidP="00F65790">
      <w:pPr>
        <w:rPr>
          <w:rFonts w:cs="Arial"/>
          <w:sz w:val="22"/>
          <w:szCs w:val="22"/>
        </w:rPr>
      </w:pPr>
    </w:p>
    <w:p w14:paraId="0DDDD7F5" w14:textId="77777777" w:rsidR="00AC224D" w:rsidRPr="001C2AFE" w:rsidRDefault="00AC224D" w:rsidP="00F65790">
      <w:pPr>
        <w:rPr>
          <w:sz w:val="22"/>
          <w:szCs w:val="22"/>
        </w:rPr>
      </w:pPr>
    </w:p>
    <w:p w14:paraId="1E7B7D09" w14:textId="1A531353" w:rsidR="00A652B6" w:rsidRPr="001C2AFE" w:rsidRDefault="005B2D26" w:rsidP="00F65790">
      <w:pPr>
        <w:rPr>
          <w:b/>
          <w:sz w:val="22"/>
          <w:szCs w:val="22"/>
        </w:rPr>
      </w:pPr>
      <w:r w:rsidRPr="001C2AFE">
        <w:rPr>
          <w:b/>
          <w:sz w:val="22"/>
          <w:szCs w:val="22"/>
        </w:rPr>
        <w:t xml:space="preserve">4. </w:t>
      </w:r>
      <w:r w:rsidR="003B523F" w:rsidRPr="001C2AFE">
        <w:rPr>
          <w:b/>
          <w:sz w:val="22"/>
          <w:szCs w:val="22"/>
        </w:rPr>
        <w:t>Proposal: Set national justice goals and measure progress towards achieving those goals</w:t>
      </w:r>
    </w:p>
    <w:p w14:paraId="027886D5" w14:textId="77777777" w:rsidR="00A652B6" w:rsidRPr="001C2AFE" w:rsidRDefault="00A652B6" w:rsidP="00F65790">
      <w:pPr>
        <w:rPr>
          <w:sz w:val="22"/>
          <w:szCs w:val="22"/>
        </w:rPr>
      </w:pPr>
    </w:p>
    <w:p w14:paraId="64D95492" w14:textId="6EB575C3" w:rsidR="00A652B6" w:rsidRPr="0014717A" w:rsidRDefault="003B523F" w:rsidP="00F65790">
      <w:pPr>
        <w:rPr>
          <w:rFonts w:cs="Arial"/>
          <w:sz w:val="22"/>
          <w:szCs w:val="22"/>
        </w:rPr>
      </w:pPr>
      <w:r w:rsidRPr="001C2AFE">
        <w:rPr>
          <w:sz w:val="22"/>
          <w:szCs w:val="22"/>
        </w:rPr>
        <w:t xml:space="preserve">Define </w:t>
      </w:r>
      <w:r w:rsidR="00417CD7" w:rsidRPr="001C2AFE">
        <w:rPr>
          <w:sz w:val="22"/>
          <w:szCs w:val="22"/>
        </w:rPr>
        <w:t xml:space="preserve">national </w:t>
      </w:r>
      <w:r w:rsidRPr="001C2AFE">
        <w:rPr>
          <w:sz w:val="22"/>
          <w:szCs w:val="22"/>
        </w:rPr>
        <w:t>aspirational justice goals</w:t>
      </w:r>
      <w:r w:rsidR="00165A0D">
        <w:rPr>
          <w:sz w:val="22"/>
          <w:szCs w:val="22"/>
        </w:rPr>
        <w:t xml:space="preserve"> which can measure success</w:t>
      </w:r>
      <w:r w:rsidRPr="001C2AFE">
        <w:rPr>
          <w:sz w:val="22"/>
          <w:szCs w:val="22"/>
        </w:rPr>
        <w:t xml:space="preserve">. </w:t>
      </w:r>
      <w:r w:rsidR="0014717A">
        <w:rPr>
          <w:rFonts w:cs="Arial"/>
          <w:sz w:val="22"/>
          <w:szCs w:val="22"/>
        </w:rPr>
        <w:t>In the private profession, success is frequently measured on billable hours or personal promotion. The inclusion of extrinsic justice goals in our framework of success indicators may serve to remind lawyers of our professional role as administrators of justice. As well as setting national aspirational justice goals, we can r</w:t>
      </w:r>
      <w:r w:rsidRPr="001C2AFE">
        <w:rPr>
          <w:sz w:val="22"/>
          <w:szCs w:val="22"/>
        </w:rPr>
        <w:t>eport on progress towards achieving these goals through data collection and feedback to the p</w:t>
      </w:r>
      <w:r w:rsidR="0014717A">
        <w:rPr>
          <w:sz w:val="22"/>
          <w:szCs w:val="22"/>
        </w:rPr>
        <w:t>rofession, the p</w:t>
      </w:r>
      <w:r w:rsidRPr="001C2AFE">
        <w:rPr>
          <w:sz w:val="22"/>
          <w:szCs w:val="22"/>
        </w:rPr>
        <w:t>ublic and service providers</w:t>
      </w:r>
    </w:p>
    <w:p w14:paraId="008E51EB" w14:textId="77777777" w:rsidR="00A652B6" w:rsidRPr="001C2AFE" w:rsidRDefault="00A652B6" w:rsidP="00F65790">
      <w:pPr>
        <w:rPr>
          <w:sz w:val="22"/>
          <w:szCs w:val="22"/>
        </w:rPr>
      </w:pPr>
    </w:p>
    <w:p w14:paraId="144800C0" w14:textId="77777777" w:rsidR="00417CD7" w:rsidRPr="001C2AFE" w:rsidRDefault="00417CD7" w:rsidP="00417CD7">
      <w:pPr>
        <w:pBdr>
          <w:top w:val="single" w:sz="4" w:space="1" w:color="auto"/>
          <w:left w:val="single" w:sz="4" w:space="4" w:color="auto"/>
          <w:bottom w:val="single" w:sz="4" w:space="1" w:color="auto"/>
          <w:right w:val="single" w:sz="4" w:space="4" w:color="auto"/>
        </w:pBdr>
        <w:rPr>
          <w:sz w:val="22"/>
          <w:szCs w:val="22"/>
        </w:rPr>
      </w:pPr>
    </w:p>
    <w:p w14:paraId="5CAE1B19" w14:textId="64F77E39" w:rsidR="005B2D26" w:rsidRPr="001C2AFE" w:rsidRDefault="005B2D26" w:rsidP="00417CD7">
      <w:pPr>
        <w:pBdr>
          <w:top w:val="single" w:sz="4" w:space="1" w:color="auto"/>
          <w:left w:val="single" w:sz="4" w:space="4" w:color="auto"/>
          <w:bottom w:val="single" w:sz="4" w:space="1" w:color="auto"/>
          <w:right w:val="single" w:sz="4" w:space="4" w:color="auto"/>
        </w:pBdr>
        <w:rPr>
          <w:b/>
          <w:sz w:val="22"/>
          <w:szCs w:val="22"/>
        </w:rPr>
      </w:pPr>
      <w:r w:rsidRPr="001C2AFE">
        <w:rPr>
          <w:b/>
          <w:sz w:val="22"/>
          <w:szCs w:val="22"/>
        </w:rPr>
        <w:t>Terms of Reference</w:t>
      </w:r>
    </w:p>
    <w:p w14:paraId="05B232A4" w14:textId="77777777" w:rsidR="005B2D26" w:rsidRPr="001C2AFE" w:rsidRDefault="005B2D26" w:rsidP="00417CD7">
      <w:pPr>
        <w:pBdr>
          <w:top w:val="single" w:sz="4" w:space="1" w:color="auto"/>
          <w:left w:val="single" w:sz="4" w:space="4" w:color="auto"/>
          <w:bottom w:val="single" w:sz="4" w:space="1" w:color="auto"/>
          <w:right w:val="single" w:sz="4" w:space="4" w:color="auto"/>
        </w:pBdr>
        <w:rPr>
          <w:rFonts w:cs="Arial"/>
          <w:sz w:val="22"/>
          <w:szCs w:val="22"/>
        </w:rPr>
      </w:pPr>
    </w:p>
    <w:p w14:paraId="204D8091" w14:textId="77777777" w:rsidR="005B2D26" w:rsidRPr="001C2AFE" w:rsidRDefault="005B2D26" w:rsidP="00417CD7">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 xml:space="preserve">Reforming the legal assistance landscape: </w:t>
      </w:r>
    </w:p>
    <w:p w14:paraId="5849FCFC" w14:textId="77777777" w:rsidR="005B2D26" w:rsidRPr="001C2AFE" w:rsidRDefault="005B2D26" w:rsidP="00417CD7">
      <w:pPr>
        <w:pBdr>
          <w:top w:val="single" w:sz="4" w:space="1" w:color="auto"/>
          <w:left w:val="single" w:sz="4" w:space="4" w:color="auto"/>
          <w:bottom w:val="single" w:sz="4" w:space="1" w:color="auto"/>
          <w:right w:val="single" w:sz="4" w:space="4" w:color="auto"/>
        </w:pBdr>
        <w:rPr>
          <w:rFonts w:cs="Arial"/>
          <w:b/>
          <w:sz w:val="22"/>
          <w:szCs w:val="22"/>
        </w:rPr>
      </w:pPr>
      <w:r w:rsidRPr="001C2AFE">
        <w:rPr>
          <w:rFonts w:cs="Arial"/>
          <w:b/>
          <w:sz w:val="22"/>
          <w:szCs w:val="22"/>
        </w:rPr>
        <w:t>Recommendation 21.5</w:t>
      </w:r>
      <w:r w:rsidRPr="001C2AFE">
        <w:rPr>
          <w:rFonts w:cs="Arial"/>
          <w:b/>
          <w:sz w:val="22"/>
          <w:szCs w:val="22"/>
        </w:rPr>
        <w:tab/>
      </w:r>
      <w:r w:rsidRPr="001C2AFE">
        <w:rPr>
          <w:rFonts w:cs="Arial"/>
          <w:i/>
          <w:sz w:val="22"/>
          <w:szCs w:val="22"/>
        </w:rPr>
        <w:t xml:space="preserve">Renegotiate the NPA on legal assistance services </w:t>
      </w:r>
    </w:p>
    <w:p w14:paraId="297B463C" w14:textId="77777777" w:rsidR="005B2D26" w:rsidRPr="001C2AFE" w:rsidRDefault="005B2D26" w:rsidP="00417CD7">
      <w:pPr>
        <w:pBdr>
          <w:top w:val="single" w:sz="4" w:space="1" w:color="auto"/>
          <w:left w:val="single" w:sz="4" w:space="4" w:color="auto"/>
          <w:bottom w:val="single" w:sz="4" w:space="1" w:color="auto"/>
          <w:right w:val="single" w:sz="4" w:space="4" w:color="auto"/>
        </w:pBdr>
        <w:rPr>
          <w:rFonts w:cs="Arial"/>
          <w:i/>
          <w:sz w:val="22"/>
          <w:szCs w:val="22"/>
        </w:rPr>
      </w:pPr>
    </w:p>
    <w:p w14:paraId="1E52738A" w14:textId="77777777" w:rsidR="005B2D26" w:rsidRPr="001C2AFE" w:rsidRDefault="005B2D26" w:rsidP="00F65790">
      <w:pPr>
        <w:rPr>
          <w:sz w:val="22"/>
          <w:szCs w:val="22"/>
        </w:rPr>
      </w:pPr>
    </w:p>
    <w:p w14:paraId="5C27265C" w14:textId="77777777" w:rsidR="005B2D26" w:rsidRPr="001C2AFE" w:rsidRDefault="005B2D26" w:rsidP="00F65790">
      <w:pPr>
        <w:rPr>
          <w:sz w:val="22"/>
          <w:szCs w:val="22"/>
        </w:rPr>
      </w:pPr>
    </w:p>
    <w:p w14:paraId="6EE94590" w14:textId="0C9C03AE" w:rsidR="00A652B6" w:rsidRPr="001C2AFE" w:rsidRDefault="003B523F" w:rsidP="00F65790">
      <w:pPr>
        <w:rPr>
          <w:b/>
          <w:sz w:val="22"/>
          <w:szCs w:val="22"/>
        </w:rPr>
      </w:pPr>
      <w:r w:rsidRPr="001C2AFE">
        <w:rPr>
          <w:b/>
          <w:sz w:val="22"/>
          <w:szCs w:val="22"/>
        </w:rPr>
        <w:t>Status quo</w:t>
      </w:r>
    </w:p>
    <w:p w14:paraId="0019205D" w14:textId="77777777" w:rsidR="005B2D26" w:rsidRPr="001C2AFE" w:rsidRDefault="005B2D26" w:rsidP="00F65790">
      <w:pPr>
        <w:rPr>
          <w:sz w:val="22"/>
          <w:szCs w:val="22"/>
        </w:rPr>
      </w:pPr>
    </w:p>
    <w:p w14:paraId="10466368" w14:textId="52B9985F" w:rsidR="003B523F" w:rsidRPr="001C2AFE" w:rsidRDefault="003B523F" w:rsidP="00F65790">
      <w:pPr>
        <w:rPr>
          <w:sz w:val="22"/>
          <w:szCs w:val="22"/>
        </w:rPr>
      </w:pPr>
      <w:r w:rsidRPr="001C2AFE">
        <w:rPr>
          <w:sz w:val="22"/>
          <w:szCs w:val="22"/>
        </w:rPr>
        <w:t xml:space="preserve">The National Partnership Agreement on Legal Assistance Services has brought the public sector together, to develop strategic agendas, and to collaborate on delivering that agenda. </w:t>
      </w:r>
      <w:r w:rsidR="004B5BF5">
        <w:rPr>
          <w:sz w:val="22"/>
          <w:szCs w:val="22"/>
        </w:rPr>
        <w:t>T</w:t>
      </w:r>
      <w:r w:rsidRPr="001C2AFE">
        <w:rPr>
          <w:sz w:val="22"/>
          <w:szCs w:val="22"/>
        </w:rPr>
        <w:t>h</w:t>
      </w:r>
      <w:r w:rsidR="009E230A" w:rsidRPr="001C2AFE">
        <w:rPr>
          <w:sz w:val="22"/>
          <w:szCs w:val="22"/>
        </w:rPr>
        <w:t xml:space="preserve">e NPA </w:t>
      </w:r>
      <w:r w:rsidR="00775444" w:rsidRPr="001C2AFE">
        <w:rPr>
          <w:sz w:val="22"/>
          <w:szCs w:val="22"/>
        </w:rPr>
        <w:t xml:space="preserve">agenda has the potential to </w:t>
      </w:r>
      <w:r w:rsidRPr="001C2AFE">
        <w:rPr>
          <w:sz w:val="22"/>
          <w:szCs w:val="22"/>
        </w:rPr>
        <w:t>target areas of high need by setting a motivational goal, and working collaboratively, to</w:t>
      </w:r>
      <w:r w:rsidR="00775444" w:rsidRPr="001C2AFE">
        <w:rPr>
          <w:sz w:val="22"/>
          <w:szCs w:val="22"/>
        </w:rPr>
        <w:t>wards achieving these</w:t>
      </w:r>
      <w:r w:rsidRPr="001C2AFE">
        <w:rPr>
          <w:sz w:val="22"/>
          <w:szCs w:val="22"/>
        </w:rPr>
        <w:t xml:space="preserve"> goal</w:t>
      </w:r>
      <w:r w:rsidR="00775444" w:rsidRPr="001C2AFE">
        <w:rPr>
          <w:sz w:val="22"/>
          <w:szCs w:val="22"/>
        </w:rPr>
        <w:t>s</w:t>
      </w:r>
      <w:r w:rsidRPr="001C2AFE">
        <w:rPr>
          <w:sz w:val="22"/>
          <w:szCs w:val="22"/>
        </w:rPr>
        <w:t xml:space="preserve">. </w:t>
      </w:r>
      <w:r w:rsidR="00775444" w:rsidRPr="001C2AFE">
        <w:rPr>
          <w:sz w:val="22"/>
          <w:szCs w:val="22"/>
        </w:rPr>
        <w:t>Similar collaboration</w:t>
      </w:r>
      <w:r w:rsidR="004B5BF5">
        <w:rPr>
          <w:sz w:val="22"/>
          <w:szCs w:val="22"/>
        </w:rPr>
        <w:t xml:space="preserve">, setting </w:t>
      </w:r>
      <w:r w:rsidR="004B5BF5" w:rsidRPr="004B5BF5">
        <w:rPr>
          <w:sz w:val="22"/>
          <w:szCs w:val="22"/>
        </w:rPr>
        <w:t>strategic goals</w:t>
      </w:r>
      <w:r w:rsidR="00775444" w:rsidRPr="004B5BF5">
        <w:rPr>
          <w:sz w:val="22"/>
          <w:szCs w:val="22"/>
        </w:rPr>
        <w:t xml:space="preserve"> and measuring progress towards achieving those goals</w:t>
      </w:r>
      <w:r w:rsidR="004B5BF5" w:rsidRPr="004B5BF5">
        <w:rPr>
          <w:sz w:val="22"/>
          <w:szCs w:val="22"/>
        </w:rPr>
        <w:t>,</w:t>
      </w:r>
      <w:r w:rsidR="00775444" w:rsidRPr="004B5BF5">
        <w:rPr>
          <w:sz w:val="22"/>
          <w:szCs w:val="22"/>
        </w:rPr>
        <w:t xml:space="preserve"> occurs throughout regional, rural and remote New South Wales. T</w:t>
      </w:r>
      <w:r w:rsidRPr="004B5BF5">
        <w:rPr>
          <w:sz w:val="22"/>
          <w:szCs w:val="22"/>
        </w:rPr>
        <w:t>he NSW Co-Operative Legal Service Delivery project, under the auspice of the NSW Legal Aid Commission, fosters the creation of ‘regional justice plans’.</w:t>
      </w:r>
      <w:r w:rsidRPr="004B5BF5">
        <w:rPr>
          <w:rStyle w:val="FootnoteReference"/>
          <w:sz w:val="22"/>
          <w:szCs w:val="22"/>
        </w:rPr>
        <w:footnoteReference w:id="16"/>
      </w:r>
      <w:r w:rsidRPr="004B5BF5">
        <w:rPr>
          <w:sz w:val="22"/>
          <w:szCs w:val="22"/>
        </w:rPr>
        <w:t xml:space="preserve"> Local CLSD partners are supported by a paid worker, </w:t>
      </w:r>
      <w:r w:rsidR="00417CD7" w:rsidRPr="004B5BF5">
        <w:rPr>
          <w:sz w:val="22"/>
          <w:szCs w:val="22"/>
        </w:rPr>
        <w:t xml:space="preserve">together they </w:t>
      </w:r>
      <w:r w:rsidRPr="004B5BF5">
        <w:rPr>
          <w:sz w:val="22"/>
          <w:szCs w:val="22"/>
        </w:rPr>
        <w:t xml:space="preserve">collaborate on designing their plan, </w:t>
      </w:r>
      <w:r w:rsidR="00417CD7" w:rsidRPr="004B5BF5">
        <w:rPr>
          <w:sz w:val="22"/>
          <w:szCs w:val="22"/>
        </w:rPr>
        <w:t xml:space="preserve">they </w:t>
      </w:r>
      <w:r w:rsidRPr="004B5BF5">
        <w:rPr>
          <w:sz w:val="22"/>
          <w:szCs w:val="22"/>
        </w:rPr>
        <w:t>work together to achieve defined goals, receive quarterly updates from the NSW Legal Aid Commission on what the data is showing, and provide input to the NSW</w:t>
      </w:r>
      <w:r w:rsidRPr="001C2AFE">
        <w:rPr>
          <w:sz w:val="22"/>
          <w:szCs w:val="22"/>
        </w:rPr>
        <w:t xml:space="preserve"> Legal Assistance Forum (a jurisdictional forum under the National Partnership Agreement on Legal Assistance Services). </w:t>
      </w:r>
      <w:r w:rsidR="00417CD7" w:rsidRPr="001C2AFE">
        <w:rPr>
          <w:sz w:val="22"/>
          <w:szCs w:val="22"/>
        </w:rPr>
        <w:t xml:space="preserve">Curiously though, </w:t>
      </w:r>
      <w:r w:rsidR="002E065C" w:rsidRPr="001C2AFE">
        <w:rPr>
          <w:sz w:val="22"/>
          <w:szCs w:val="22"/>
        </w:rPr>
        <w:t>neither of these two endeavors involves the private legal profession.</w:t>
      </w:r>
    </w:p>
    <w:p w14:paraId="5845D2BF" w14:textId="4EAE502B" w:rsidR="003B523F" w:rsidRPr="001C2AFE" w:rsidRDefault="003B523F" w:rsidP="00F65790">
      <w:pPr>
        <w:rPr>
          <w:rFonts w:cs="Arial"/>
          <w:sz w:val="22"/>
          <w:szCs w:val="22"/>
        </w:rPr>
      </w:pPr>
    </w:p>
    <w:p w14:paraId="7F19DFF5" w14:textId="680C8156" w:rsidR="00775444" w:rsidRPr="001C2AFE" w:rsidRDefault="002E065C" w:rsidP="00F65790">
      <w:pPr>
        <w:rPr>
          <w:rFonts w:cs="Arial"/>
          <w:sz w:val="22"/>
          <w:szCs w:val="22"/>
        </w:rPr>
      </w:pPr>
      <w:r w:rsidRPr="001C2AFE">
        <w:rPr>
          <w:rFonts w:cs="Arial"/>
          <w:sz w:val="22"/>
          <w:szCs w:val="22"/>
        </w:rPr>
        <w:t xml:space="preserve">There is no national forum which brings the public and private </w:t>
      </w:r>
      <w:r w:rsidR="00165A0D">
        <w:rPr>
          <w:rFonts w:cs="Arial"/>
          <w:sz w:val="22"/>
          <w:szCs w:val="22"/>
        </w:rPr>
        <w:t xml:space="preserve">legal </w:t>
      </w:r>
      <w:r w:rsidRPr="001C2AFE">
        <w:rPr>
          <w:rFonts w:cs="Arial"/>
          <w:sz w:val="22"/>
          <w:szCs w:val="22"/>
        </w:rPr>
        <w:t>profession together to strategically work towards setting justice goals, and allocating resources to a</w:t>
      </w:r>
      <w:r w:rsidR="00165A0D">
        <w:rPr>
          <w:rFonts w:cs="Arial"/>
          <w:sz w:val="22"/>
          <w:szCs w:val="22"/>
        </w:rPr>
        <w:t>chieving those goals. T</w:t>
      </w:r>
      <w:r w:rsidRPr="001C2AFE">
        <w:rPr>
          <w:rFonts w:cs="Arial"/>
          <w:sz w:val="22"/>
          <w:szCs w:val="22"/>
        </w:rPr>
        <w:t xml:space="preserve">here are four examples of platforms which </w:t>
      </w:r>
      <w:r w:rsidRPr="00165A0D">
        <w:rPr>
          <w:rFonts w:cs="Arial"/>
          <w:b/>
          <w:sz w:val="22"/>
          <w:szCs w:val="22"/>
        </w:rPr>
        <w:t xml:space="preserve">could </w:t>
      </w:r>
      <w:r w:rsidRPr="001C2AFE">
        <w:rPr>
          <w:rFonts w:cs="Arial"/>
          <w:sz w:val="22"/>
          <w:szCs w:val="22"/>
        </w:rPr>
        <w:t xml:space="preserve">be used to </w:t>
      </w:r>
      <w:r w:rsidR="008563C5" w:rsidRPr="001C2AFE">
        <w:rPr>
          <w:rFonts w:cs="Arial"/>
          <w:sz w:val="22"/>
          <w:szCs w:val="22"/>
        </w:rPr>
        <w:t>collaborat</w:t>
      </w:r>
      <w:r w:rsidR="00165A0D">
        <w:rPr>
          <w:rFonts w:cs="Arial"/>
          <w:sz w:val="22"/>
          <w:szCs w:val="22"/>
        </w:rPr>
        <w:t>e</w:t>
      </w:r>
      <w:r w:rsidR="008563C5" w:rsidRPr="001C2AFE">
        <w:rPr>
          <w:rFonts w:cs="Arial"/>
          <w:sz w:val="22"/>
          <w:szCs w:val="22"/>
        </w:rPr>
        <w:t xml:space="preserve"> for a </w:t>
      </w:r>
      <w:r w:rsidR="00165A0D">
        <w:rPr>
          <w:rFonts w:cs="Arial"/>
          <w:sz w:val="22"/>
          <w:szCs w:val="22"/>
        </w:rPr>
        <w:t xml:space="preserve">national justice </w:t>
      </w:r>
      <w:r w:rsidR="008563C5" w:rsidRPr="001C2AFE">
        <w:rPr>
          <w:rFonts w:cs="Arial"/>
          <w:sz w:val="22"/>
          <w:szCs w:val="22"/>
        </w:rPr>
        <w:t>purpose</w:t>
      </w:r>
      <w:r w:rsidRPr="001C2AFE">
        <w:rPr>
          <w:rFonts w:cs="Arial"/>
          <w:sz w:val="22"/>
          <w:szCs w:val="22"/>
        </w:rPr>
        <w:t xml:space="preserve">. One platform is the biannual National Pro Bono and Access to Justice Conference, however apart from sharing papers and listening to people talk, no goals are set at this conference. Another platform </w:t>
      </w:r>
      <w:r w:rsidR="008563C5" w:rsidRPr="001C2AFE">
        <w:rPr>
          <w:rFonts w:cs="Arial"/>
          <w:sz w:val="22"/>
          <w:szCs w:val="22"/>
        </w:rPr>
        <w:t>is</w:t>
      </w:r>
      <w:r w:rsidRPr="001C2AFE">
        <w:rPr>
          <w:rFonts w:cs="Arial"/>
          <w:sz w:val="22"/>
          <w:szCs w:val="22"/>
        </w:rPr>
        <w:t xml:space="preserve"> the aspirational pro bono targets which are promoted and monitored by the National Pro Bono Resource Centre.  Th</w:t>
      </w:r>
      <w:r w:rsidR="008563C5" w:rsidRPr="001C2AFE">
        <w:rPr>
          <w:rFonts w:cs="Arial"/>
          <w:sz w:val="22"/>
          <w:szCs w:val="22"/>
        </w:rPr>
        <w:t>is</w:t>
      </w:r>
      <w:r w:rsidRPr="001C2AFE">
        <w:rPr>
          <w:rFonts w:cs="Arial"/>
          <w:sz w:val="22"/>
          <w:szCs w:val="22"/>
        </w:rPr>
        <w:t xml:space="preserve"> pro bono effort is fragmented and not strategically aligned to a national purpose. A third platform is the Australian Academy of Law which was established in 2007 in response to the Australian Law Reform Commission’s report into Managing Justice.</w:t>
      </w:r>
      <w:r w:rsidRPr="001C2AFE">
        <w:rPr>
          <w:rStyle w:val="FootnoteReference"/>
          <w:sz w:val="22"/>
          <w:szCs w:val="22"/>
        </w:rPr>
        <w:footnoteReference w:id="17"/>
      </w:r>
      <w:r w:rsidRPr="001C2AFE">
        <w:rPr>
          <w:rFonts w:cs="Arial"/>
          <w:sz w:val="22"/>
          <w:szCs w:val="22"/>
        </w:rPr>
        <w:t xml:space="preserve"> </w:t>
      </w:r>
      <w:r w:rsidR="008F3DC2" w:rsidRPr="001C2AFE">
        <w:rPr>
          <w:rFonts w:cs="Arial"/>
          <w:sz w:val="22"/>
          <w:szCs w:val="22"/>
        </w:rPr>
        <w:t xml:space="preserve">One aim of this Academy is to ‘promote a more </w:t>
      </w:r>
      <w:r w:rsidR="008F3DC2" w:rsidRPr="001C2AFE">
        <w:rPr>
          <w:rFonts w:cs="Arial"/>
          <w:sz w:val="22"/>
          <w:szCs w:val="22"/>
        </w:rPr>
        <w:lastRenderedPageBreak/>
        <w:t xml:space="preserve">collegial relationship’ between the various branches of the profession. </w:t>
      </w:r>
      <w:r w:rsidR="008563C5" w:rsidRPr="001C2AFE">
        <w:rPr>
          <w:rFonts w:cs="Arial"/>
          <w:sz w:val="22"/>
          <w:szCs w:val="22"/>
        </w:rPr>
        <w:t xml:space="preserve">At this time, the Academy does not have a strategic plan beyond hosting social events for its Fellows, </w:t>
      </w:r>
      <w:r w:rsidR="008F3DC2" w:rsidRPr="001C2AFE">
        <w:rPr>
          <w:rFonts w:cs="Arial"/>
          <w:sz w:val="22"/>
          <w:szCs w:val="22"/>
        </w:rPr>
        <w:t>Lastly, the Law Council of Australia has an Access to Justice Committee which could take leadership of this issue. Unfortunately, the public sector is not repres</w:t>
      </w:r>
      <w:r w:rsidR="008563C5" w:rsidRPr="001C2AFE">
        <w:rPr>
          <w:rFonts w:cs="Arial"/>
          <w:sz w:val="22"/>
          <w:szCs w:val="22"/>
        </w:rPr>
        <w:t>ented as a ‘constituent body’ on</w:t>
      </w:r>
      <w:r w:rsidR="008F3DC2" w:rsidRPr="001C2AFE">
        <w:rPr>
          <w:rFonts w:cs="Arial"/>
          <w:sz w:val="22"/>
          <w:szCs w:val="22"/>
        </w:rPr>
        <w:t xml:space="preserve"> the Law Council, although some member Law Societies work hard to include the public sector in their decision making.</w:t>
      </w:r>
      <w:r w:rsidR="008F3DC2" w:rsidRPr="001C2AFE">
        <w:rPr>
          <w:rStyle w:val="FootnoteReference"/>
          <w:sz w:val="22"/>
          <w:szCs w:val="22"/>
        </w:rPr>
        <w:footnoteReference w:id="18"/>
      </w:r>
      <w:r w:rsidRPr="001C2AFE">
        <w:rPr>
          <w:rFonts w:cs="Arial"/>
          <w:sz w:val="22"/>
          <w:szCs w:val="22"/>
        </w:rPr>
        <w:t xml:space="preserve"> </w:t>
      </w:r>
    </w:p>
    <w:p w14:paraId="3F499B9F" w14:textId="77777777" w:rsidR="00893527" w:rsidRPr="001C2AFE" w:rsidRDefault="00893527" w:rsidP="00F65790">
      <w:pPr>
        <w:rPr>
          <w:rFonts w:cs="Arial"/>
          <w:sz w:val="22"/>
          <w:szCs w:val="22"/>
        </w:rPr>
      </w:pPr>
    </w:p>
    <w:p w14:paraId="16F10B06" w14:textId="0EFE1933" w:rsidR="00893527" w:rsidRPr="001C2AFE" w:rsidRDefault="00165A0D" w:rsidP="00893527">
      <w:pPr>
        <w:rPr>
          <w:rFonts w:cs="Arial"/>
          <w:sz w:val="22"/>
          <w:szCs w:val="22"/>
        </w:rPr>
      </w:pPr>
      <w:r>
        <w:rPr>
          <w:rFonts w:cs="Arial"/>
          <w:sz w:val="22"/>
          <w:szCs w:val="22"/>
        </w:rPr>
        <w:t xml:space="preserve">Currently, there are two </w:t>
      </w:r>
      <w:r w:rsidR="00893527" w:rsidRPr="001C2AFE">
        <w:rPr>
          <w:rFonts w:cs="Arial"/>
          <w:sz w:val="22"/>
          <w:szCs w:val="22"/>
        </w:rPr>
        <w:t xml:space="preserve">measures of justice </w:t>
      </w:r>
      <w:r>
        <w:rPr>
          <w:rFonts w:cs="Arial"/>
          <w:sz w:val="22"/>
          <w:szCs w:val="22"/>
        </w:rPr>
        <w:t xml:space="preserve">which have little, if any relevance to the everyday practice of law. These measures </w:t>
      </w:r>
      <w:r w:rsidR="00893527" w:rsidRPr="001C2AFE">
        <w:rPr>
          <w:rFonts w:cs="Arial"/>
          <w:sz w:val="22"/>
          <w:szCs w:val="22"/>
        </w:rPr>
        <w:t>are;</w:t>
      </w:r>
    </w:p>
    <w:p w14:paraId="3840AC36" w14:textId="77777777" w:rsidR="00893527" w:rsidRPr="001C2AFE" w:rsidRDefault="00893527" w:rsidP="00893527">
      <w:pPr>
        <w:pStyle w:val="ListParagraph"/>
        <w:numPr>
          <w:ilvl w:val="0"/>
          <w:numId w:val="14"/>
        </w:numPr>
        <w:rPr>
          <w:rFonts w:ascii="Arial" w:hAnsi="Arial" w:cs="Arial"/>
          <w:sz w:val="22"/>
          <w:szCs w:val="22"/>
        </w:rPr>
      </w:pPr>
      <w:r w:rsidRPr="001C2AFE">
        <w:rPr>
          <w:rFonts w:ascii="Arial" w:hAnsi="Arial" w:cs="Arial"/>
          <w:sz w:val="22"/>
          <w:szCs w:val="22"/>
        </w:rPr>
        <w:t>Court clearance rates reported in the Report on Government Services</w:t>
      </w:r>
    </w:p>
    <w:p w14:paraId="241B74F3" w14:textId="77777777" w:rsidR="00893527" w:rsidRPr="001C2AFE" w:rsidRDefault="00893527" w:rsidP="00893527">
      <w:pPr>
        <w:pStyle w:val="ListParagraph"/>
        <w:numPr>
          <w:ilvl w:val="0"/>
          <w:numId w:val="14"/>
        </w:numPr>
        <w:rPr>
          <w:rFonts w:ascii="Arial" w:hAnsi="Arial" w:cs="Arial"/>
          <w:sz w:val="22"/>
          <w:szCs w:val="22"/>
        </w:rPr>
      </w:pPr>
      <w:r w:rsidRPr="001C2AFE">
        <w:rPr>
          <w:rFonts w:ascii="Arial" w:hAnsi="Arial" w:cs="Arial"/>
          <w:sz w:val="22"/>
          <w:szCs w:val="22"/>
        </w:rPr>
        <w:t xml:space="preserve">Time on remand for un-sentenced prisoners </w:t>
      </w:r>
      <w:r w:rsidRPr="001C2AFE">
        <w:rPr>
          <w:rFonts w:ascii="Arial" w:hAnsi="Arial" w:cs="Arial"/>
          <w:noProof/>
          <w:sz w:val="22"/>
          <w:szCs w:val="22"/>
          <w:u w:color="0000E9"/>
        </w:rPr>
        <w:t xml:space="preserve">which is the </w:t>
      </w:r>
      <w:r w:rsidRPr="001C2AFE">
        <w:rPr>
          <w:rFonts w:ascii="Arial" w:hAnsi="Arial" w:cs="Arial"/>
          <w:sz w:val="22"/>
          <w:szCs w:val="22"/>
        </w:rPr>
        <w:t>one ‘justice’ measure used in the ‘</w:t>
      </w:r>
      <w:r w:rsidRPr="001C2AFE">
        <w:rPr>
          <w:rFonts w:ascii="Arial" w:hAnsi="Arial" w:cs="Arial"/>
          <w:i/>
          <w:sz w:val="22"/>
          <w:szCs w:val="22"/>
        </w:rPr>
        <w:t>Measures of Australia’s Progress’</w:t>
      </w:r>
      <w:r w:rsidRPr="001C2AFE">
        <w:rPr>
          <w:rFonts w:ascii="Arial" w:hAnsi="Arial" w:cs="Arial"/>
          <w:sz w:val="22"/>
          <w:szCs w:val="22"/>
        </w:rPr>
        <w:t xml:space="preserve"> .</w:t>
      </w:r>
      <w:r w:rsidRPr="001C2AFE">
        <w:rPr>
          <w:rStyle w:val="FootnoteReference"/>
          <w:rFonts w:ascii="Arial" w:hAnsi="Arial"/>
          <w:sz w:val="22"/>
          <w:szCs w:val="22"/>
        </w:rPr>
        <w:t xml:space="preserve"> </w:t>
      </w:r>
      <w:r w:rsidRPr="001C2AFE">
        <w:rPr>
          <w:rStyle w:val="FootnoteReference"/>
          <w:rFonts w:ascii="Arial" w:hAnsi="Arial"/>
          <w:sz w:val="22"/>
          <w:szCs w:val="22"/>
        </w:rPr>
        <w:footnoteReference w:id="19"/>
      </w:r>
    </w:p>
    <w:p w14:paraId="05E4006D" w14:textId="034B2D0B" w:rsidR="00893527" w:rsidRPr="001C2AFE" w:rsidRDefault="00165A0D" w:rsidP="00F65790">
      <w:pPr>
        <w:rPr>
          <w:rFonts w:cs="Arial"/>
          <w:sz w:val="22"/>
          <w:szCs w:val="22"/>
        </w:rPr>
      </w:pPr>
      <w:r>
        <w:rPr>
          <w:rFonts w:cs="Arial"/>
          <w:sz w:val="22"/>
          <w:szCs w:val="22"/>
        </w:rPr>
        <w:t xml:space="preserve">In my view, there are more appropriate measures which better fit our work in the legal profession. </w:t>
      </w:r>
      <w:r w:rsidR="00B90ED9">
        <w:rPr>
          <w:rFonts w:cs="Arial"/>
          <w:sz w:val="22"/>
          <w:szCs w:val="22"/>
        </w:rPr>
        <w:t>(For example fewer Aboriginal people in prison, the elimination of violence against women and children, and the reduction of the number of children being removed from unsafe homes.)</w:t>
      </w:r>
    </w:p>
    <w:p w14:paraId="5F48626D" w14:textId="77777777" w:rsidR="002E065C" w:rsidRDefault="002E065C" w:rsidP="00F65790">
      <w:pPr>
        <w:rPr>
          <w:rFonts w:cs="Arial"/>
          <w:sz w:val="22"/>
          <w:szCs w:val="22"/>
        </w:rPr>
      </w:pPr>
    </w:p>
    <w:p w14:paraId="0E6D5D97" w14:textId="77777777" w:rsidR="00B81A18" w:rsidRPr="001C2AFE" w:rsidRDefault="00B81A18" w:rsidP="00F65790">
      <w:pPr>
        <w:rPr>
          <w:rFonts w:cs="Arial"/>
          <w:sz w:val="22"/>
          <w:szCs w:val="22"/>
        </w:rPr>
      </w:pPr>
    </w:p>
    <w:p w14:paraId="1EB1AE25" w14:textId="422108D5" w:rsidR="00775444" w:rsidRPr="001C2AFE" w:rsidRDefault="00775444" w:rsidP="00F65790">
      <w:pPr>
        <w:rPr>
          <w:rFonts w:cs="Arial"/>
          <w:b/>
          <w:sz w:val="22"/>
          <w:szCs w:val="22"/>
        </w:rPr>
      </w:pPr>
      <w:r w:rsidRPr="001C2AFE">
        <w:rPr>
          <w:rFonts w:cs="Arial"/>
          <w:b/>
          <w:sz w:val="22"/>
          <w:szCs w:val="22"/>
        </w:rPr>
        <w:t>Rationale for the reform</w:t>
      </w:r>
    </w:p>
    <w:p w14:paraId="217289E6" w14:textId="77777777" w:rsidR="00775444" w:rsidRPr="001C2AFE" w:rsidRDefault="00775444" w:rsidP="00F65790">
      <w:pPr>
        <w:rPr>
          <w:rFonts w:cs="Arial"/>
          <w:sz w:val="22"/>
          <w:szCs w:val="22"/>
        </w:rPr>
      </w:pPr>
    </w:p>
    <w:p w14:paraId="7CC21A0C" w14:textId="586CF49D" w:rsidR="00893527" w:rsidRPr="001C2AFE" w:rsidRDefault="00417CD7" w:rsidP="00F65790">
      <w:pPr>
        <w:rPr>
          <w:rFonts w:cs="Arial"/>
          <w:sz w:val="22"/>
          <w:szCs w:val="22"/>
        </w:rPr>
      </w:pPr>
      <w:r w:rsidRPr="001C2AFE">
        <w:rPr>
          <w:rFonts w:cs="Arial"/>
          <w:sz w:val="22"/>
          <w:szCs w:val="22"/>
        </w:rPr>
        <w:t xml:space="preserve">The development of national aspirational justice goals could have the effect of galvanizing the profession to strategically harness our effort to make a difference in specific areas. The fragmentation of effort and the centralization of </w:t>
      </w:r>
      <w:r w:rsidR="008563C5" w:rsidRPr="001C2AFE">
        <w:rPr>
          <w:rFonts w:cs="Arial"/>
          <w:sz w:val="22"/>
          <w:szCs w:val="22"/>
        </w:rPr>
        <w:t>decision making</w:t>
      </w:r>
      <w:r w:rsidRPr="001C2AFE">
        <w:rPr>
          <w:rFonts w:cs="Arial"/>
          <w:sz w:val="22"/>
          <w:szCs w:val="22"/>
        </w:rPr>
        <w:t xml:space="preserve">, which in my view currently characterizes our profession, could be overcome. </w:t>
      </w:r>
      <w:r w:rsidR="008563C5" w:rsidRPr="001C2AFE">
        <w:rPr>
          <w:rFonts w:cs="Arial"/>
          <w:sz w:val="22"/>
          <w:szCs w:val="22"/>
        </w:rPr>
        <w:t xml:space="preserve">When a goal is set, each lawyer can work towards achieving that goal in their own way. </w:t>
      </w:r>
      <w:r w:rsidR="00893527" w:rsidRPr="001C2AFE">
        <w:rPr>
          <w:rFonts w:cs="Arial"/>
          <w:sz w:val="22"/>
          <w:szCs w:val="22"/>
        </w:rPr>
        <w:t xml:space="preserve">Each legal practice can consider the national justice goals in their strategic planning. </w:t>
      </w:r>
      <w:r w:rsidR="008563C5" w:rsidRPr="001C2AFE">
        <w:rPr>
          <w:rFonts w:cs="Arial"/>
          <w:sz w:val="22"/>
          <w:szCs w:val="22"/>
        </w:rPr>
        <w:t>Th</w:t>
      </w:r>
      <w:r w:rsidR="00B90ED9">
        <w:rPr>
          <w:rFonts w:cs="Arial"/>
          <w:sz w:val="22"/>
          <w:szCs w:val="22"/>
        </w:rPr>
        <w:t>e</w:t>
      </w:r>
      <w:r w:rsidR="008563C5" w:rsidRPr="001C2AFE">
        <w:rPr>
          <w:rFonts w:cs="Arial"/>
          <w:sz w:val="22"/>
          <w:szCs w:val="22"/>
        </w:rPr>
        <w:t xml:space="preserve"> ‘subsidiarity principle’ – the principle of professional autonomy where </w:t>
      </w:r>
      <w:r w:rsidR="005D5BBB" w:rsidRPr="001C2AFE">
        <w:rPr>
          <w:rFonts w:cs="Arial"/>
          <w:sz w:val="22"/>
          <w:szCs w:val="22"/>
        </w:rPr>
        <w:t>decision-making</w:t>
      </w:r>
      <w:r w:rsidR="008563C5" w:rsidRPr="001C2AFE">
        <w:rPr>
          <w:rFonts w:cs="Arial"/>
          <w:sz w:val="22"/>
          <w:szCs w:val="22"/>
        </w:rPr>
        <w:t xml:space="preserve"> is devolved to each actor – can be promoted </w:t>
      </w:r>
      <w:r w:rsidR="00893527" w:rsidRPr="001C2AFE">
        <w:rPr>
          <w:rFonts w:cs="Arial"/>
          <w:sz w:val="22"/>
          <w:szCs w:val="22"/>
        </w:rPr>
        <w:t xml:space="preserve">to encourage each Australian lawyer to take action. With 70,000 lawyers in Australia, each working to achieve justice in their own way, </w:t>
      </w:r>
      <w:r w:rsidR="00B90ED9">
        <w:rPr>
          <w:rFonts w:cs="Arial"/>
          <w:sz w:val="22"/>
          <w:szCs w:val="22"/>
        </w:rPr>
        <w:t>would make a difference.</w:t>
      </w:r>
      <w:r w:rsidR="00893527" w:rsidRPr="001C2AFE">
        <w:rPr>
          <w:rFonts w:cs="Arial"/>
          <w:sz w:val="22"/>
          <w:szCs w:val="22"/>
        </w:rPr>
        <w:t xml:space="preserve"> </w:t>
      </w:r>
    </w:p>
    <w:p w14:paraId="49C4A7A9" w14:textId="77777777" w:rsidR="00893527" w:rsidRPr="001C2AFE" w:rsidRDefault="00893527" w:rsidP="00F65790">
      <w:pPr>
        <w:rPr>
          <w:rFonts w:cs="Arial"/>
          <w:sz w:val="22"/>
          <w:szCs w:val="22"/>
        </w:rPr>
      </w:pPr>
    </w:p>
    <w:p w14:paraId="32DC1DF3" w14:textId="41590089" w:rsidR="008563C5" w:rsidRPr="001C2AFE" w:rsidRDefault="008563C5" w:rsidP="00F65790">
      <w:pPr>
        <w:rPr>
          <w:rFonts w:cs="Arial"/>
          <w:sz w:val="22"/>
          <w:szCs w:val="22"/>
        </w:rPr>
      </w:pPr>
      <w:r w:rsidRPr="001C2AFE">
        <w:rPr>
          <w:rFonts w:cs="Arial"/>
          <w:sz w:val="22"/>
          <w:szCs w:val="22"/>
        </w:rPr>
        <w:t xml:space="preserve"> Three examples of national and international issues</w:t>
      </w:r>
      <w:r w:rsidR="001C2AFE" w:rsidRPr="001C2AFE">
        <w:rPr>
          <w:rFonts w:cs="Arial"/>
          <w:sz w:val="22"/>
          <w:szCs w:val="22"/>
        </w:rPr>
        <w:t>,</w:t>
      </w:r>
      <w:r w:rsidRPr="001C2AFE">
        <w:rPr>
          <w:rFonts w:cs="Arial"/>
          <w:sz w:val="22"/>
          <w:szCs w:val="22"/>
        </w:rPr>
        <w:t xml:space="preserve"> </w:t>
      </w:r>
      <w:r w:rsidR="001C2AFE" w:rsidRPr="001C2AFE">
        <w:rPr>
          <w:rFonts w:cs="Arial"/>
          <w:sz w:val="22"/>
          <w:szCs w:val="22"/>
        </w:rPr>
        <w:t xml:space="preserve">with aspirational justice goals, </w:t>
      </w:r>
      <w:r w:rsidRPr="001C2AFE">
        <w:rPr>
          <w:rFonts w:cs="Arial"/>
          <w:sz w:val="22"/>
          <w:szCs w:val="22"/>
        </w:rPr>
        <w:t xml:space="preserve">which </w:t>
      </w:r>
      <w:r w:rsidR="001C2AFE" w:rsidRPr="001C2AFE">
        <w:rPr>
          <w:rFonts w:cs="Arial"/>
          <w:sz w:val="22"/>
          <w:szCs w:val="22"/>
        </w:rPr>
        <w:t>could be</w:t>
      </w:r>
      <w:r w:rsidRPr="001C2AFE">
        <w:rPr>
          <w:rFonts w:cs="Arial"/>
          <w:sz w:val="22"/>
          <w:szCs w:val="22"/>
        </w:rPr>
        <w:t xml:space="preserve"> align</w:t>
      </w:r>
      <w:r w:rsidR="001C2AFE" w:rsidRPr="001C2AFE">
        <w:rPr>
          <w:rFonts w:cs="Arial"/>
          <w:sz w:val="22"/>
          <w:szCs w:val="22"/>
        </w:rPr>
        <w:t>ed</w:t>
      </w:r>
      <w:r w:rsidRPr="001C2AFE">
        <w:rPr>
          <w:rFonts w:cs="Arial"/>
          <w:sz w:val="22"/>
          <w:szCs w:val="22"/>
        </w:rPr>
        <w:t xml:space="preserve"> </w:t>
      </w:r>
      <w:r w:rsidR="001C2AFE" w:rsidRPr="001C2AFE">
        <w:rPr>
          <w:rFonts w:cs="Arial"/>
          <w:sz w:val="22"/>
          <w:szCs w:val="22"/>
        </w:rPr>
        <w:t xml:space="preserve">within </w:t>
      </w:r>
      <w:r w:rsidRPr="001C2AFE">
        <w:rPr>
          <w:rFonts w:cs="Arial"/>
          <w:sz w:val="22"/>
          <w:szCs w:val="22"/>
        </w:rPr>
        <w:t>everyday legal practice</w:t>
      </w:r>
      <w:r w:rsidR="001C2AFE" w:rsidRPr="001C2AFE">
        <w:rPr>
          <w:rFonts w:cs="Arial"/>
          <w:sz w:val="22"/>
          <w:szCs w:val="22"/>
        </w:rPr>
        <w:t xml:space="preserve"> </w:t>
      </w:r>
      <w:r w:rsidRPr="001C2AFE">
        <w:rPr>
          <w:rFonts w:cs="Arial"/>
          <w:sz w:val="22"/>
          <w:szCs w:val="22"/>
        </w:rPr>
        <w:t>are;</w:t>
      </w:r>
    </w:p>
    <w:p w14:paraId="5C52DDEC" w14:textId="0E767073" w:rsidR="008563C5" w:rsidRPr="001C2AFE" w:rsidRDefault="008563C5" w:rsidP="00893527">
      <w:pPr>
        <w:pStyle w:val="ListParagraph"/>
        <w:numPr>
          <w:ilvl w:val="0"/>
          <w:numId w:val="16"/>
        </w:numPr>
        <w:rPr>
          <w:rFonts w:ascii="Arial" w:hAnsi="Arial" w:cs="Arial"/>
          <w:sz w:val="22"/>
          <w:szCs w:val="22"/>
        </w:rPr>
      </w:pPr>
      <w:r w:rsidRPr="001C2AFE">
        <w:rPr>
          <w:rFonts w:ascii="Arial" w:hAnsi="Arial" w:cs="Arial"/>
          <w:sz w:val="22"/>
          <w:szCs w:val="22"/>
        </w:rPr>
        <w:t xml:space="preserve">the UN Guiding Principles on Business and Human Rights </w:t>
      </w:r>
    </w:p>
    <w:p w14:paraId="003110E2" w14:textId="70C495BC" w:rsidR="008563C5" w:rsidRPr="001C2AFE" w:rsidRDefault="008563C5" w:rsidP="00893527">
      <w:pPr>
        <w:pStyle w:val="ListParagraph"/>
        <w:numPr>
          <w:ilvl w:val="0"/>
          <w:numId w:val="16"/>
        </w:numPr>
        <w:rPr>
          <w:rFonts w:ascii="Arial" w:hAnsi="Arial" w:cs="Arial"/>
          <w:sz w:val="22"/>
          <w:szCs w:val="22"/>
        </w:rPr>
      </w:pPr>
      <w:r w:rsidRPr="001C2AFE">
        <w:rPr>
          <w:rFonts w:ascii="Arial" w:hAnsi="Arial" w:cs="Arial"/>
          <w:sz w:val="22"/>
          <w:szCs w:val="22"/>
        </w:rPr>
        <w:t>the eight UN Mi</w:t>
      </w:r>
      <w:r w:rsidR="00893527" w:rsidRPr="001C2AFE">
        <w:rPr>
          <w:rFonts w:ascii="Arial" w:hAnsi="Arial" w:cs="Arial"/>
          <w:sz w:val="22"/>
          <w:szCs w:val="22"/>
        </w:rPr>
        <w:t>l</w:t>
      </w:r>
      <w:r w:rsidRPr="001C2AFE">
        <w:rPr>
          <w:rFonts w:ascii="Arial" w:hAnsi="Arial" w:cs="Arial"/>
          <w:sz w:val="22"/>
          <w:szCs w:val="22"/>
        </w:rPr>
        <w:t xml:space="preserve">lennium Development Goals </w:t>
      </w:r>
    </w:p>
    <w:p w14:paraId="0589011B" w14:textId="40B142B6" w:rsidR="00417CD7" w:rsidRPr="001C2AFE" w:rsidRDefault="008563C5" w:rsidP="00893527">
      <w:pPr>
        <w:pStyle w:val="ListParagraph"/>
        <w:numPr>
          <w:ilvl w:val="0"/>
          <w:numId w:val="16"/>
        </w:numPr>
        <w:rPr>
          <w:rFonts w:ascii="Arial" w:hAnsi="Arial" w:cs="Arial"/>
          <w:sz w:val="22"/>
          <w:szCs w:val="22"/>
        </w:rPr>
      </w:pPr>
      <w:r w:rsidRPr="001C2AFE">
        <w:rPr>
          <w:rFonts w:ascii="Arial" w:hAnsi="Arial" w:cs="Arial"/>
          <w:sz w:val="22"/>
          <w:szCs w:val="22"/>
        </w:rPr>
        <w:t xml:space="preserve">the </w:t>
      </w:r>
      <w:r w:rsidR="00893527" w:rsidRPr="001C2AFE">
        <w:rPr>
          <w:rFonts w:ascii="Arial" w:hAnsi="Arial" w:cs="Arial"/>
          <w:sz w:val="22"/>
          <w:szCs w:val="22"/>
        </w:rPr>
        <w:t>six</w:t>
      </w:r>
      <w:r w:rsidRPr="001C2AFE">
        <w:rPr>
          <w:rFonts w:ascii="Arial" w:hAnsi="Arial" w:cs="Arial"/>
          <w:sz w:val="22"/>
          <w:szCs w:val="22"/>
        </w:rPr>
        <w:t xml:space="preserve"> Closing the Gap initiatives designed to measure progress to redress Aboriginal disadvantage. </w:t>
      </w:r>
    </w:p>
    <w:p w14:paraId="2865FEBF" w14:textId="77777777" w:rsidR="00417CD7" w:rsidRPr="001C2AFE" w:rsidRDefault="00417CD7" w:rsidP="00F65790">
      <w:pPr>
        <w:rPr>
          <w:rFonts w:cs="Arial"/>
          <w:sz w:val="22"/>
          <w:szCs w:val="22"/>
        </w:rPr>
      </w:pPr>
    </w:p>
    <w:p w14:paraId="6B590BDE" w14:textId="3F7DEB79" w:rsidR="001C2AFE" w:rsidRDefault="00A75A27" w:rsidP="00F65790">
      <w:pPr>
        <w:rPr>
          <w:rFonts w:cs="Arial"/>
          <w:noProof/>
          <w:sz w:val="22"/>
          <w:szCs w:val="22"/>
          <w:u w:color="0000E9"/>
        </w:rPr>
      </w:pPr>
      <w:r>
        <w:rPr>
          <w:rFonts w:cs="Arial"/>
          <w:noProof/>
          <w:sz w:val="22"/>
          <w:szCs w:val="22"/>
          <w:u w:color="0000E9"/>
        </w:rPr>
        <w:t xml:space="preserve">Aspirational justice goals could be a trigger for increasing collegiality within our profession, and a means to work across geographical location, and across the public and private divide. As educated, privileged and creative professionals skilled in problem solving, an opportunity to turn our minds to the ‘wicked problems’ which prevail in our community, is a challenge worthy of our public serving professional commitment. </w:t>
      </w:r>
    </w:p>
    <w:p w14:paraId="4D12BD21" w14:textId="77777777" w:rsidR="001C2AFE" w:rsidRDefault="001C2AFE" w:rsidP="00F65790">
      <w:pPr>
        <w:rPr>
          <w:rFonts w:cs="Arial"/>
          <w:noProof/>
          <w:sz w:val="22"/>
          <w:szCs w:val="22"/>
          <w:u w:color="0000E9"/>
        </w:rPr>
      </w:pPr>
    </w:p>
    <w:p w14:paraId="522935FD" w14:textId="001BFF03" w:rsidR="001C2AFE" w:rsidRPr="001C2AFE" w:rsidRDefault="001C2AFE" w:rsidP="00F65790">
      <w:pPr>
        <w:rPr>
          <w:rFonts w:cs="Arial"/>
          <w:b/>
          <w:noProof/>
          <w:sz w:val="22"/>
          <w:szCs w:val="22"/>
          <w:u w:color="0000E9"/>
        </w:rPr>
      </w:pPr>
      <w:r w:rsidRPr="001C2AFE">
        <w:rPr>
          <w:rFonts w:cs="Arial"/>
          <w:b/>
          <w:noProof/>
          <w:sz w:val="22"/>
          <w:szCs w:val="22"/>
          <w:u w:color="0000E9"/>
        </w:rPr>
        <w:t>CONCLUSION</w:t>
      </w:r>
    </w:p>
    <w:p w14:paraId="12090BF2" w14:textId="77777777" w:rsidR="001C2AFE" w:rsidRDefault="001C2AFE" w:rsidP="00F65790">
      <w:pPr>
        <w:rPr>
          <w:rFonts w:cs="Arial"/>
          <w:sz w:val="22"/>
          <w:szCs w:val="22"/>
        </w:rPr>
      </w:pPr>
    </w:p>
    <w:p w14:paraId="7A9EFC86" w14:textId="43676E57" w:rsidR="00B22954" w:rsidRDefault="00FD1E98" w:rsidP="00F65790">
      <w:pPr>
        <w:rPr>
          <w:rFonts w:cs="Arial"/>
          <w:sz w:val="22"/>
          <w:szCs w:val="22"/>
        </w:rPr>
      </w:pPr>
      <w:r>
        <w:rPr>
          <w:rFonts w:cs="Arial"/>
          <w:sz w:val="22"/>
          <w:szCs w:val="22"/>
        </w:rPr>
        <w:lastRenderedPageBreak/>
        <w:t xml:space="preserve">This submission offers four proposals in response to the public inquiry into Access to Justice Arrangements. The first proposal suggests the development of a public private partnership, </w:t>
      </w:r>
      <w:r w:rsidR="00B22954">
        <w:rPr>
          <w:rFonts w:cs="Arial"/>
          <w:sz w:val="22"/>
          <w:szCs w:val="22"/>
        </w:rPr>
        <w:t>Law</w:t>
      </w:r>
      <w:r w:rsidR="00571795">
        <w:rPr>
          <w:rFonts w:cs="Arial"/>
          <w:sz w:val="22"/>
          <w:szCs w:val="22"/>
        </w:rPr>
        <w:t xml:space="preserve"> for Australia</w:t>
      </w:r>
      <w:r>
        <w:rPr>
          <w:rFonts w:cs="Arial"/>
          <w:sz w:val="22"/>
          <w:szCs w:val="22"/>
        </w:rPr>
        <w:t xml:space="preserve">, </w:t>
      </w:r>
      <w:r w:rsidR="00B22954">
        <w:rPr>
          <w:rFonts w:cs="Arial"/>
          <w:sz w:val="22"/>
          <w:szCs w:val="22"/>
        </w:rPr>
        <w:t xml:space="preserve">which uses a national secretariat to match lawyers to areas of legal need. This proposal leverages off the rich resources available to the profession, including our shared commitment to pro bono, and similar legal systems of law, to redress disadvantage and injustice. The second proposal encourages the inclusion of an exemption which protects lawyers offering limited legal services, from the prohibition within the conflict of interest rule. Although the professional duty to avoid conflicting interests is accepted, when the lawyer has no actual knowledge of a conflict, they should be able to act in specific circumstances. Next is a request that in the design of data collection systems, we include coding of geographical remoteness areas. This inclusion allows for a more nuanced understanding of the factors affecting service delivery, beyond the binary of city and country. Finally, </w:t>
      </w:r>
      <w:r w:rsidR="00571795">
        <w:rPr>
          <w:rFonts w:cs="Arial"/>
          <w:sz w:val="22"/>
          <w:szCs w:val="22"/>
        </w:rPr>
        <w:t xml:space="preserve">I propose that the profession collaborate on the development of national aspirational justice goals. These goals would provide a focus for lawyer’s efforts, and with regular measures to provide timely accurate feedback, our professional commitment to the administration of justice can be incrementally actualised. </w:t>
      </w:r>
    </w:p>
    <w:p w14:paraId="36529B87" w14:textId="77777777" w:rsidR="00A75A27" w:rsidRDefault="00A75A27" w:rsidP="00F65790">
      <w:pPr>
        <w:rPr>
          <w:rFonts w:cs="Arial"/>
          <w:sz w:val="22"/>
          <w:szCs w:val="22"/>
        </w:rPr>
      </w:pPr>
    </w:p>
    <w:p w14:paraId="6679BEEF" w14:textId="77777777" w:rsidR="007370C4" w:rsidRPr="00571795" w:rsidRDefault="00FB7E30" w:rsidP="00F65790">
      <w:pPr>
        <w:rPr>
          <w:rFonts w:cs="Arial"/>
          <w:i/>
          <w:sz w:val="22"/>
          <w:szCs w:val="22"/>
        </w:rPr>
      </w:pPr>
      <w:r w:rsidRPr="00571795">
        <w:rPr>
          <w:rFonts w:cs="Arial"/>
          <w:i/>
          <w:sz w:val="22"/>
          <w:szCs w:val="22"/>
        </w:rPr>
        <w:t>Ends</w:t>
      </w:r>
    </w:p>
    <w:p w14:paraId="4F0BAE7F" w14:textId="77777777" w:rsidR="007370C4" w:rsidRDefault="007370C4" w:rsidP="00F65790">
      <w:pPr>
        <w:rPr>
          <w:rFonts w:cs="Arial"/>
          <w:sz w:val="22"/>
          <w:szCs w:val="22"/>
        </w:rPr>
      </w:pPr>
    </w:p>
    <w:p w14:paraId="00E33F63" w14:textId="77777777" w:rsidR="00571795" w:rsidRDefault="00571795" w:rsidP="00F65790">
      <w:pPr>
        <w:rPr>
          <w:rFonts w:cs="Arial"/>
          <w:sz w:val="22"/>
          <w:szCs w:val="22"/>
        </w:rPr>
      </w:pPr>
    </w:p>
    <w:p w14:paraId="3DE5D8BC" w14:textId="77777777" w:rsidR="00496A50" w:rsidRDefault="00496A50" w:rsidP="00F65790">
      <w:pPr>
        <w:rPr>
          <w:rFonts w:cs="Arial"/>
          <w:sz w:val="22"/>
          <w:szCs w:val="22"/>
        </w:rPr>
      </w:pPr>
    </w:p>
    <w:p w14:paraId="35B868DB" w14:textId="77777777" w:rsidR="00496A50" w:rsidRDefault="00496A50" w:rsidP="00F65790">
      <w:pPr>
        <w:rPr>
          <w:rFonts w:cs="Arial"/>
          <w:sz w:val="22"/>
          <w:szCs w:val="22"/>
        </w:rPr>
      </w:pPr>
    </w:p>
    <w:p w14:paraId="7E9B7B1D" w14:textId="77777777" w:rsidR="00496A50" w:rsidRDefault="00496A50" w:rsidP="00F65790">
      <w:pPr>
        <w:rPr>
          <w:rFonts w:cs="Arial"/>
          <w:sz w:val="22"/>
          <w:szCs w:val="22"/>
        </w:rPr>
      </w:pPr>
    </w:p>
    <w:p w14:paraId="2DCEF468" w14:textId="77777777" w:rsidR="00496A50" w:rsidRDefault="00496A50" w:rsidP="00F65790">
      <w:pPr>
        <w:rPr>
          <w:rFonts w:cs="Arial"/>
          <w:sz w:val="22"/>
          <w:szCs w:val="22"/>
        </w:rPr>
      </w:pPr>
    </w:p>
    <w:p w14:paraId="778310C5" w14:textId="77777777" w:rsidR="00496A50" w:rsidRDefault="00496A50" w:rsidP="00F65790">
      <w:pPr>
        <w:rPr>
          <w:rFonts w:cs="Arial"/>
          <w:sz w:val="22"/>
          <w:szCs w:val="22"/>
        </w:rPr>
      </w:pPr>
    </w:p>
    <w:p w14:paraId="7A275158" w14:textId="77777777" w:rsidR="00496A50" w:rsidRDefault="00496A50" w:rsidP="00F65790">
      <w:pPr>
        <w:rPr>
          <w:rFonts w:cs="Arial"/>
          <w:sz w:val="22"/>
          <w:szCs w:val="22"/>
        </w:rPr>
      </w:pPr>
    </w:p>
    <w:p w14:paraId="51689FDE" w14:textId="77777777" w:rsidR="00496A50" w:rsidRPr="001C2AFE" w:rsidRDefault="00496A50" w:rsidP="00F65790">
      <w:pPr>
        <w:rPr>
          <w:rFonts w:cs="Arial"/>
          <w:sz w:val="22"/>
          <w:szCs w:val="22"/>
        </w:rPr>
      </w:pPr>
    </w:p>
    <w:p w14:paraId="7E7B3BEA" w14:textId="77777777" w:rsidR="004B5BF5" w:rsidRPr="004B5BF5" w:rsidRDefault="007370C4" w:rsidP="004B5BF5">
      <w:pPr>
        <w:jc w:val="center"/>
        <w:rPr>
          <w:rFonts w:cs="Arial"/>
          <w:noProof/>
          <w:szCs w:val="22"/>
        </w:rPr>
      </w:pPr>
      <w:r w:rsidRPr="001C2AFE">
        <w:rPr>
          <w:rFonts w:cs="Arial"/>
          <w:sz w:val="22"/>
          <w:szCs w:val="22"/>
        </w:rPr>
        <w:fldChar w:fldCharType="begin"/>
      </w:r>
      <w:r w:rsidRPr="001C2AFE">
        <w:rPr>
          <w:rFonts w:cs="Arial"/>
          <w:sz w:val="22"/>
          <w:szCs w:val="22"/>
        </w:rPr>
        <w:instrText xml:space="preserve"> ADDIN EN.REFLIST </w:instrText>
      </w:r>
      <w:r w:rsidRPr="001C2AFE">
        <w:rPr>
          <w:rFonts w:cs="Arial"/>
          <w:sz w:val="22"/>
          <w:szCs w:val="22"/>
        </w:rPr>
        <w:fldChar w:fldCharType="separate"/>
      </w:r>
      <w:r w:rsidR="004B5BF5" w:rsidRPr="004B5BF5">
        <w:rPr>
          <w:rFonts w:cs="Arial"/>
          <w:noProof/>
          <w:szCs w:val="22"/>
        </w:rPr>
        <w:t>Bibiliography</w:t>
      </w:r>
    </w:p>
    <w:p w14:paraId="6AF459B6" w14:textId="77777777" w:rsidR="004B5BF5" w:rsidRPr="004B5BF5" w:rsidRDefault="004B5BF5" w:rsidP="004B5BF5">
      <w:pPr>
        <w:jc w:val="center"/>
        <w:rPr>
          <w:rFonts w:cs="Arial"/>
          <w:noProof/>
          <w:szCs w:val="22"/>
        </w:rPr>
      </w:pPr>
    </w:p>
    <w:p w14:paraId="378E230E" w14:textId="77777777" w:rsidR="004B5BF5" w:rsidRDefault="004B5BF5" w:rsidP="004B5BF5">
      <w:pPr>
        <w:rPr>
          <w:rFonts w:cs="Arial"/>
          <w:noProof/>
          <w:szCs w:val="22"/>
        </w:rPr>
      </w:pPr>
      <w:bookmarkStart w:id="1" w:name="_ENREF_1"/>
      <w:r>
        <w:rPr>
          <w:rFonts w:cs="Arial"/>
          <w:noProof/>
          <w:szCs w:val="22"/>
        </w:rPr>
        <w:t xml:space="preserve">Australian Bureau of Statistics, '1370.0 Measures of Australia's Progress' (2013)  </w:t>
      </w:r>
    </w:p>
    <w:bookmarkEnd w:id="1"/>
    <w:p w14:paraId="50FDF1A9" w14:textId="77777777" w:rsidR="004B5BF5" w:rsidRDefault="004B5BF5" w:rsidP="004B5BF5">
      <w:pPr>
        <w:rPr>
          <w:rFonts w:cs="Arial"/>
          <w:noProof/>
          <w:szCs w:val="22"/>
        </w:rPr>
      </w:pPr>
    </w:p>
    <w:p w14:paraId="03F44158" w14:textId="77777777" w:rsidR="004B5BF5" w:rsidRDefault="004B5BF5" w:rsidP="004B5BF5">
      <w:pPr>
        <w:rPr>
          <w:rFonts w:cs="Arial"/>
          <w:noProof/>
          <w:szCs w:val="22"/>
        </w:rPr>
      </w:pPr>
      <w:bookmarkStart w:id="2" w:name="_ENREF_2"/>
      <w:r>
        <w:rPr>
          <w:rFonts w:cs="Arial"/>
          <w:noProof/>
          <w:szCs w:val="22"/>
        </w:rPr>
        <w:t xml:space="preserve">Australian Bureau of Statistics, 'Australian Statistical Geography Standard (ASGS): Volume 5 - Remoteness Structure. ' (July 2011) 1270.0.55.055 </w:t>
      </w:r>
    </w:p>
    <w:bookmarkEnd w:id="2"/>
    <w:p w14:paraId="384C0EFA" w14:textId="77777777" w:rsidR="004B5BF5" w:rsidRDefault="004B5BF5" w:rsidP="004B5BF5">
      <w:pPr>
        <w:rPr>
          <w:rFonts w:cs="Arial"/>
          <w:noProof/>
          <w:szCs w:val="22"/>
        </w:rPr>
      </w:pPr>
    </w:p>
    <w:p w14:paraId="24C2B843" w14:textId="77777777" w:rsidR="004B5BF5" w:rsidRDefault="004B5BF5" w:rsidP="004B5BF5">
      <w:pPr>
        <w:rPr>
          <w:rFonts w:cs="Arial"/>
          <w:noProof/>
          <w:szCs w:val="22"/>
        </w:rPr>
      </w:pPr>
      <w:bookmarkStart w:id="3" w:name="_ENREF_3"/>
      <w:r>
        <w:rPr>
          <w:rFonts w:cs="Arial"/>
          <w:noProof/>
          <w:szCs w:val="22"/>
        </w:rPr>
        <w:t xml:space="preserve">Australian Government Productivity Commission, </w:t>
      </w:r>
      <w:r w:rsidRPr="004B5BF5">
        <w:rPr>
          <w:rFonts w:cs="Arial"/>
          <w:i/>
          <w:noProof/>
          <w:szCs w:val="22"/>
        </w:rPr>
        <w:t>Access to Justice Arrangements. Draft Report</w:t>
      </w:r>
      <w:r>
        <w:rPr>
          <w:rFonts w:cs="Arial"/>
          <w:noProof/>
          <w:szCs w:val="22"/>
        </w:rPr>
        <w:t xml:space="preserve"> (April 2014)</w:t>
      </w:r>
    </w:p>
    <w:bookmarkEnd w:id="3"/>
    <w:p w14:paraId="3B8769F5" w14:textId="77777777" w:rsidR="004B5BF5" w:rsidRDefault="004B5BF5" w:rsidP="004B5BF5">
      <w:pPr>
        <w:rPr>
          <w:rFonts w:cs="Arial"/>
          <w:noProof/>
          <w:szCs w:val="22"/>
        </w:rPr>
      </w:pPr>
    </w:p>
    <w:p w14:paraId="6395FA73" w14:textId="77777777" w:rsidR="004B5BF5" w:rsidRDefault="004B5BF5" w:rsidP="004B5BF5">
      <w:pPr>
        <w:rPr>
          <w:rFonts w:cs="Arial"/>
          <w:noProof/>
          <w:szCs w:val="22"/>
        </w:rPr>
      </w:pPr>
      <w:bookmarkStart w:id="4" w:name="_ENREF_4"/>
      <w:r>
        <w:rPr>
          <w:rFonts w:cs="Arial"/>
          <w:noProof/>
          <w:szCs w:val="22"/>
        </w:rPr>
        <w:t xml:space="preserve">Australian Law Reform Commission, 'Managing Justice. Review of the adversarial system of litigation. ALRC 89' (2000)  </w:t>
      </w:r>
    </w:p>
    <w:bookmarkEnd w:id="4"/>
    <w:p w14:paraId="60AAFA38" w14:textId="77777777" w:rsidR="004B5BF5" w:rsidRDefault="004B5BF5" w:rsidP="004B5BF5">
      <w:pPr>
        <w:rPr>
          <w:rFonts w:cs="Arial"/>
          <w:noProof/>
          <w:szCs w:val="22"/>
        </w:rPr>
      </w:pPr>
    </w:p>
    <w:p w14:paraId="073E3F39" w14:textId="77777777" w:rsidR="004B5BF5" w:rsidRDefault="004B5BF5" w:rsidP="004B5BF5">
      <w:pPr>
        <w:rPr>
          <w:rFonts w:cs="Arial"/>
          <w:noProof/>
          <w:szCs w:val="22"/>
        </w:rPr>
      </w:pPr>
      <w:bookmarkStart w:id="5" w:name="_ENREF_5"/>
      <w:r>
        <w:rPr>
          <w:rFonts w:cs="Arial"/>
          <w:noProof/>
          <w:szCs w:val="22"/>
        </w:rPr>
        <w:t xml:space="preserve">Centres, National Association of Community Legal, 'National Census of Community Legal Centres. 2013 Report' (2014)  </w:t>
      </w:r>
    </w:p>
    <w:bookmarkEnd w:id="5"/>
    <w:p w14:paraId="3DDABFD3" w14:textId="77777777" w:rsidR="004B5BF5" w:rsidRDefault="004B5BF5" w:rsidP="004B5BF5">
      <w:pPr>
        <w:rPr>
          <w:rFonts w:cs="Arial"/>
          <w:noProof/>
          <w:szCs w:val="22"/>
        </w:rPr>
      </w:pPr>
    </w:p>
    <w:p w14:paraId="2513BFDC" w14:textId="77777777" w:rsidR="004B5BF5" w:rsidRDefault="004B5BF5" w:rsidP="004B5BF5">
      <w:pPr>
        <w:rPr>
          <w:rFonts w:cs="Arial"/>
          <w:noProof/>
          <w:szCs w:val="22"/>
        </w:rPr>
      </w:pPr>
      <w:bookmarkStart w:id="6" w:name="_ENREF_6"/>
      <w:r>
        <w:rPr>
          <w:rFonts w:cs="Arial"/>
          <w:noProof/>
          <w:szCs w:val="22"/>
        </w:rPr>
        <w:t xml:space="preserve">Kyle, Louise, Richard Coverdale and Tim Powers, </w:t>
      </w:r>
      <w:r w:rsidRPr="004B5BF5">
        <w:rPr>
          <w:rFonts w:cs="Arial"/>
          <w:i/>
          <w:noProof/>
          <w:szCs w:val="22"/>
        </w:rPr>
        <w:t>Conflicts of Interest in Victorian Rural and Regional Legal Practice</w:t>
      </w:r>
      <w:r>
        <w:rPr>
          <w:rFonts w:cs="Arial"/>
          <w:noProof/>
          <w:szCs w:val="22"/>
        </w:rPr>
        <w:t xml:space="preserve"> (Deakin University, 2014)</w:t>
      </w:r>
    </w:p>
    <w:bookmarkEnd w:id="6"/>
    <w:p w14:paraId="786D391D" w14:textId="77777777" w:rsidR="004B5BF5" w:rsidRDefault="004B5BF5" w:rsidP="004B5BF5">
      <w:pPr>
        <w:rPr>
          <w:rFonts w:cs="Arial"/>
          <w:noProof/>
          <w:szCs w:val="22"/>
        </w:rPr>
      </w:pPr>
    </w:p>
    <w:p w14:paraId="2B7B52F0" w14:textId="77777777" w:rsidR="004B5BF5" w:rsidRDefault="004B5BF5" w:rsidP="004B5BF5">
      <w:pPr>
        <w:rPr>
          <w:rFonts w:cs="Arial"/>
          <w:noProof/>
          <w:szCs w:val="22"/>
        </w:rPr>
      </w:pPr>
      <w:bookmarkStart w:id="7" w:name="_ENREF_7"/>
      <w:r>
        <w:rPr>
          <w:rFonts w:cs="Arial"/>
          <w:noProof/>
          <w:szCs w:val="22"/>
        </w:rPr>
        <w:lastRenderedPageBreak/>
        <w:t xml:space="preserve">McDougall, Kevin and Reid Mortensen, 'Bush Lawyers in New South Wales and Queensland: A Spatial Analysis' (2011) 16(1) </w:t>
      </w:r>
      <w:r w:rsidRPr="004B5BF5">
        <w:rPr>
          <w:rFonts w:cs="Arial"/>
          <w:i/>
          <w:noProof/>
          <w:szCs w:val="22"/>
        </w:rPr>
        <w:t>Deakin Law Review</w:t>
      </w:r>
      <w:r>
        <w:rPr>
          <w:rFonts w:cs="Arial"/>
          <w:noProof/>
          <w:szCs w:val="22"/>
        </w:rPr>
        <w:t xml:space="preserve"> 75</w:t>
      </w:r>
    </w:p>
    <w:bookmarkEnd w:id="7"/>
    <w:p w14:paraId="167840E0" w14:textId="77777777" w:rsidR="004B5BF5" w:rsidRDefault="004B5BF5" w:rsidP="004B5BF5">
      <w:pPr>
        <w:rPr>
          <w:rFonts w:cs="Arial"/>
          <w:noProof/>
          <w:szCs w:val="22"/>
        </w:rPr>
      </w:pPr>
    </w:p>
    <w:p w14:paraId="06901BEC" w14:textId="77777777" w:rsidR="004B5BF5" w:rsidRDefault="004B5BF5" w:rsidP="004B5BF5">
      <w:pPr>
        <w:rPr>
          <w:rFonts w:cs="Arial"/>
          <w:noProof/>
          <w:szCs w:val="22"/>
        </w:rPr>
      </w:pPr>
      <w:bookmarkStart w:id="8" w:name="_ENREF_8"/>
      <w:r>
        <w:rPr>
          <w:rFonts w:cs="Arial"/>
          <w:noProof/>
          <w:szCs w:val="22"/>
        </w:rPr>
        <w:t xml:space="preserve">National Association of Community Legal Centres, </w:t>
      </w:r>
      <w:r w:rsidRPr="004B5BF5">
        <w:rPr>
          <w:rFonts w:cs="Arial"/>
          <w:i/>
          <w:noProof/>
          <w:szCs w:val="22"/>
        </w:rPr>
        <w:t>Risk Management and CLC Practice</w:t>
      </w:r>
      <w:r>
        <w:rPr>
          <w:rFonts w:cs="Arial"/>
          <w:noProof/>
          <w:szCs w:val="22"/>
        </w:rPr>
        <w:t xml:space="preserve"> (NACLC, 2011)</w:t>
      </w:r>
    </w:p>
    <w:bookmarkEnd w:id="8"/>
    <w:p w14:paraId="4BC3E4B5" w14:textId="77777777" w:rsidR="004B5BF5" w:rsidRDefault="004B5BF5" w:rsidP="004B5BF5">
      <w:pPr>
        <w:rPr>
          <w:rFonts w:cs="Arial"/>
          <w:noProof/>
          <w:szCs w:val="22"/>
        </w:rPr>
      </w:pPr>
    </w:p>
    <w:p w14:paraId="5F285921" w14:textId="618BD053" w:rsidR="004B5BF5" w:rsidRDefault="004B5BF5" w:rsidP="004B5BF5">
      <w:pPr>
        <w:rPr>
          <w:rFonts w:cs="Arial"/>
          <w:noProof/>
          <w:szCs w:val="22"/>
        </w:rPr>
      </w:pPr>
    </w:p>
    <w:p w14:paraId="612095AC" w14:textId="31031AD0" w:rsidR="00FB7E30" w:rsidRPr="001C2AFE" w:rsidRDefault="007370C4" w:rsidP="00F65790">
      <w:pPr>
        <w:rPr>
          <w:rFonts w:cs="Arial"/>
          <w:sz w:val="22"/>
          <w:szCs w:val="22"/>
        </w:rPr>
      </w:pPr>
      <w:r w:rsidRPr="001C2AFE">
        <w:rPr>
          <w:rFonts w:cs="Arial"/>
          <w:sz w:val="22"/>
          <w:szCs w:val="22"/>
        </w:rPr>
        <w:fldChar w:fldCharType="end"/>
      </w:r>
    </w:p>
    <w:sectPr w:rsidR="00FB7E30" w:rsidRPr="001C2AFE" w:rsidSect="007370C4">
      <w:headerReference w:type="default" r:id="rId9"/>
      <w:footerReference w:type="even" r:id="rId10"/>
      <w:footerReference w:type="default" r:id="rId11"/>
      <w:pgSz w:w="11909" w:h="16834" w:code="9"/>
      <w:pgMar w:top="284" w:right="2411" w:bottom="284" w:left="179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007D3" w14:textId="77777777" w:rsidR="00B22954" w:rsidRDefault="00B22954">
      <w:r>
        <w:separator/>
      </w:r>
    </w:p>
  </w:endnote>
  <w:endnote w:type="continuationSeparator" w:id="0">
    <w:p w14:paraId="527D9056" w14:textId="77777777" w:rsidR="00B22954" w:rsidRDefault="00B2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B3848" w14:textId="77777777" w:rsidR="00B22954" w:rsidRDefault="00B22954" w:rsidP="00417C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D6474" w14:textId="77777777" w:rsidR="00B22954" w:rsidRDefault="00B22954" w:rsidP="00417CD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2712DDD" w14:textId="77777777" w:rsidR="00B22954" w:rsidRDefault="00B22954" w:rsidP="00417C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AF16F" w14:textId="77777777" w:rsidR="00B22954" w:rsidRDefault="00B22954" w:rsidP="00417C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6C6">
      <w:rPr>
        <w:rStyle w:val="PageNumber"/>
        <w:noProof/>
      </w:rPr>
      <w:t>1</w:t>
    </w:r>
    <w:r>
      <w:rPr>
        <w:rStyle w:val="PageNumber"/>
      </w:rPr>
      <w:fldChar w:fldCharType="end"/>
    </w:r>
  </w:p>
  <w:p w14:paraId="23E8040F" w14:textId="5FA27E4B" w:rsidR="00B22954" w:rsidRDefault="00B22954" w:rsidP="00417CD7">
    <w:pPr>
      <w:pStyle w:val="Footer"/>
      <w:ind w:right="360"/>
      <w:jc w:val="center"/>
      <w:rPr>
        <w:rFonts w:ascii="Arial" w:hAnsi="Arial" w:cs="Arial"/>
        <w:sz w:val="20"/>
        <w:szCs w:val="20"/>
        <w:lang w:val="en-US"/>
      </w:rPr>
    </w:pPr>
    <w:r w:rsidRPr="00F746C0">
      <w:rPr>
        <w:rFonts w:ascii="Arial" w:hAnsi="Arial" w:cs="Arial"/>
        <w:sz w:val="20"/>
        <w:szCs w:val="20"/>
        <w:lang w:val="en-US"/>
      </w:rPr>
      <w:t xml:space="preserve">Transpiration is the Business Name of </w:t>
    </w:r>
    <w:r>
      <w:rPr>
        <w:rFonts w:ascii="Arial" w:hAnsi="Arial" w:cs="Arial"/>
        <w:sz w:val="20"/>
        <w:szCs w:val="20"/>
        <w:lang w:val="en-US"/>
      </w:rPr>
      <w:t xml:space="preserve">the Incorporated Legal Practice of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14:paraId="16F07ED4" w14:textId="77777777" w:rsidR="00B22954" w:rsidRDefault="00B22954" w:rsidP="00C767A5">
    <w:pPr>
      <w:pStyle w:val="Footer"/>
      <w:jc w:val="center"/>
      <w:rPr>
        <w:rFonts w:ascii="Arial" w:hAnsi="Arial" w:cs="Arial"/>
        <w:sz w:val="20"/>
        <w:szCs w:val="20"/>
        <w:lang w:val="en-US"/>
      </w:rPr>
    </w:pPr>
    <w:r w:rsidRPr="00F746C0">
      <w:rPr>
        <w:rFonts w:ascii="Arial" w:hAnsi="Arial" w:cs="Arial"/>
        <w:sz w:val="20"/>
        <w:szCs w:val="20"/>
        <w:lang w:val="en-US"/>
      </w:rPr>
      <w:t xml:space="preserve">Koan Strategies Pty Ltd </w:t>
    </w:r>
    <w:r>
      <w:rPr>
        <w:rFonts w:ascii="Arial" w:hAnsi="Arial" w:cs="Arial"/>
        <w:sz w:val="20"/>
        <w:szCs w:val="20"/>
        <w:lang w:val="en-US"/>
      </w:rPr>
      <w:t>ACN 147 598 721 ABN 66 147 598 721</w:t>
    </w:r>
  </w:p>
  <w:p w14:paraId="233E5A84" w14:textId="77777777" w:rsidR="00B22954" w:rsidRDefault="00B22954" w:rsidP="006953AD">
    <w:pPr>
      <w:pStyle w:val="Footer"/>
      <w:jc w:val="center"/>
      <w:rPr>
        <w:rFonts w:ascii="Arial" w:hAnsi="Arial" w:cs="Arial"/>
        <w:sz w:val="20"/>
        <w:szCs w:val="20"/>
        <w:lang w:val="en-US"/>
      </w:rPr>
    </w:pPr>
    <w:r>
      <w:rPr>
        <w:rFonts w:ascii="Arial" w:hAnsi="Arial" w:cs="Arial"/>
        <w:sz w:val="20"/>
        <w:szCs w:val="20"/>
        <w:lang w:val="en-US"/>
      </w:rPr>
      <w:t>Legal Practitioner Director Helen McGowan</w:t>
    </w:r>
  </w:p>
  <w:p w14:paraId="2A234914" w14:textId="77777777" w:rsidR="00B22954" w:rsidRDefault="00B22954" w:rsidP="006953AD">
    <w:pPr>
      <w:pStyle w:val="Footer"/>
      <w:jc w:val="center"/>
      <w:rPr>
        <w:rFonts w:ascii="Arial" w:hAnsi="Arial" w:cs="Arial"/>
        <w:sz w:val="20"/>
        <w:szCs w:val="20"/>
        <w:lang w:val="en-US"/>
      </w:rPr>
    </w:pPr>
    <w:r>
      <w:rPr>
        <w:rFonts w:ascii="Arial" w:hAnsi="Arial" w:cs="Arial"/>
        <w:sz w:val="20"/>
        <w:szCs w:val="20"/>
        <w:lang w:val="en-US"/>
      </w:rPr>
      <w:t>80 Dicksons Road, Indigo Valley Vic 3688</w:t>
    </w:r>
  </w:p>
  <w:p w14:paraId="7F04A991" w14:textId="77777777" w:rsidR="00B22954" w:rsidRPr="00C767A5" w:rsidRDefault="00B22954" w:rsidP="006953AD">
    <w:pPr>
      <w:pStyle w:val="Footer"/>
      <w:jc w:val="center"/>
      <w:rPr>
        <w:rFonts w:ascii="Arial" w:hAnsi="Arial" w:cs="Arial"/>
        <w:i/>
        <w:sz w:val="20"/>
        <w:szCs w:val="20"/>
        <w:lang w:val="en-US"/>
      </w:rPr>
    </w:pPr>
    <w:r w:rsidRPr="00C767A5">
      <w:rPr>
        <w:rFonts w:ascii="Arial" w:hAnsi="Arial"/>
        <w:i/>
        <w:sz w:val="22"/>
        <w:szCs w:val="22"/>
      </w:rPr>
      <w:t>Liability limited by a scheme approved under Professional Standards Legislation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ADC00" w14:textId="77777777" w:rsidR="00B22954" w:rsidRDefault="00B22954">
      <w:r>
        <w:separator/>
      </w:r>
    </w:p>
  </w:footnote>
  <w:footnote w:type="continuationSeparator" w:id="0">
    <w:p w14:paraId="6B68DF1E" w14:textId="77777777" w:rsidR="00B22954" w:rsidRDefault="00B22954">
      <w:r>
        <w:continuationSeparator/>
      </w:r>
    </w:p>
  </w:footnote>
  <w:footnote w:id="1">
    <w:p w14:paraId="47666829" w14:textId="7563C086" w:rsidR="00B22954" w:rsidRPr="00B22954" w:rsidRDefault="00B22954">
      <w:pPr>
        <w:pStyle w:val="FootnoteText"/>
        <w:rPr>
          <w:lang w:val="en-US"/>
        </w:rPr>
      </w:pPr>
      <w:r>
        <w:rPr>
          <w:rStyle w:val="FootnoteReference"/>
        </w:rPr>
        <w:footnoteRef/>
      </w:r>
      <w:r>
        <w:t xml:space="preserve"> See </w:t>
      </w:r>
      <w:r w:rsidRPr="00B22954">
        <w:t>http://www.teachforaustralia.org</w:t>
      </w:r>
    </w:p>
  </w:footnote>
  <w:footnote w:id="2">
    <w:p w14:paraId="4F011E61" w14:textId="4F17115A" w:rsidR="00B22954" w:rsidRPr="00286C51" w:rsidRDefault="00B22954">
      <w:pPr>
        <w:pStyle w:val="FootnoteText"/>
        <w:rPr>
          <w:lang w:val="en-US"/>
        </w:rPr>
      </w:pPr>
      <w:r>
        <w:rPr>
          <w:rStyle w:val="FootnoteReference"/>
        </w:rPr>
        <w:footnoteRef/>
      </w:r>
      <w:r>
        <w:t xml:space="preserve"> See Appendix A: According to my research there are 8 Aboriginal and Torres Strait Islander Legal Services, 13 Family Violence Prevention Legal Services, 8 Legal Aid Commissions and 116 Community Legal Centres working in the ASGS remoteness areas coded as inner regional, outer regional, remote and very remote</w:t>
      </w:r>
    </w:p>
  </w:footnote>
  <w:footnote w:id="3">
    <w:p w14:paraId="1DE24721" w14:textId="420C0D85" w:rsidR="00B22954" w:rsidRPr="00930775" w:rsidRDefault="00B22954">
      <w:pPr>
        <w:pStyle w:val="FootnoteText"/>
        <w:rPr>
          <w:lang w:val="en-US"/>
        </w:rPr>
      </w:pPr>
      <w:r>
        <w:rPr>
          <w:rStyle w:val="FootnoteReference"/>
        </w:rPr>
        <w:footnoteRef/>
      </w:r>
      <w:r>
        <w:t xml:space="preserve"> </w:t>
      </w:r>
      <w:r>
        <w:fldChar w:fldCharType="begin"/>
      </w:r>
      <w:r>
        <w:instrText xml:space="preserve"> ADDIN EN.CITE &lt;EndNote&gt;&lt;Cite&gt;&lt;Author&gt;McDougall&lt;/Author&gt;&lt;Year&gt;2011&lt;/Year&gt;&lt;RecNum&gt;58&lt;/RecNum&gt;&lt;DisplayText&gt;Kevin McDougall and Reid Mortensen, &amp;apos;Bush Lawyers in New South Wales and Queensland: A Spatial Analysis&amp;apos; (2011) 16(1) &lt;style face="italic"&gt;Deakin Law Review&lt;/style&gt; 75&lt;/DisplayText&gt;&lt;record&gt;&lt;rec-number&gt;58&lt;/rec-number&gt;&lt;foreign-keys&gt;&lt;key app="EN" db-id="sprtpzxepztf0heff03xdsa9twwer2xz052v"&gt;58&lt;/key&gt;&lt;/foreign-keys&gt;&lt;ref-type name="Journal Article"&gt;17&lt;/ref-type&gt;&lt;contributors&gt;&lt;authors&gt;&lt;author&gt;Kevin McDougall&lt;/author&gt;&lt;author&gt;Reid Mortensen&lt;/author&gt;&lt;/authors&gt;&lt;/contributors&gt;&lt;titles&gt;&lt;title&gt;Bush Lawyers in New South Wales and Queensland: A Spatial Analysis&lt;/title&gt;&lt;secondary-title&gt;Deakin Law Review&lt;/secondary-title&gt;&lt;/titles&gt;&lt;periodical&gt;&lt;full-title&gt;Deakin Law Review&lt;/full-title&gt;&lt;/periodical&gt;&lt;pages&gt;75-109&lt;/pages&gt;&lt;volume&gt;16&lt;/volume&gt;&lt;number&gt;1&lt;/number&gt;&lt;section&gt;75&lt;/section&gt;&lt;dates&gt;&lt;year&gt;2011&lt;/year&gt;&lt;/dates&gt;&lt;pub-location&gt;Warrnambool, Victoria&lt;/pub-location&gt;&lt;urls&gt;&lt;/urls&gt;&lt;/record&gt;&lt;/Cite&gt;&lt;/EndNote&gt;</w:instrText>
      </w:r>
      <w:r>
        <w:fldChar w:fldCharType="separate"/>
      </w:r>
      <w:r>
        <w:rPr>
          <w:noProof/>
        </w:rPr>
        <w:t xml:space="preserve">Kevin McDougall and Reid Mortensen, 'Bush Lawyers in New South Wales and Queensland: A Spatial Analysis' (2011) 16(1) </w:t>
      </w:r>
      <w:r w:rsidRPr="00930775">
        <w:rPr>
          <w:i/>
          <w:noProof/>
        </w:rPr>
        <w:t>Deakin Law Review</w:t>
      </w:r>
      <w:r>
        <w:rPr>
          <w:noProof/>
        </w:rPr>
        <w:t xml:space="preserve"> 75</w:t>
      </w:r>
      <w:r>
        <w:fldChar w:fldCharType="end"/>
      </w:r>
    </w:p>
  </w:footnote>
  <w:footnote w:id="4">
    <w:p w14:paraId="7D8EE9B3" w14:textId="7E7DBF7D" w:rsidR="00B22954" w:rsidRPr="00FC3CEF" w:rsidRDefault="00B22954">
      <w:pPr>
        <w:pStyle w:val="FootnoteText"/>
        <w:rPr>
          <w:lang w:val="en-US"/>
        </w:rPr>
      </w:pPr>
      <w:r>
        <w:rPr>
          <w:rStyle w:val="FootnoteReference"/>
        </w:rPr>
        <w:footnoteRef/>
      </w:r>
      <w:r>
        <w:t xml:space="preserve"> </w:t>
      </w:r>
      <w:r>
        <w:rPr>
          <w:lang w:val="en-US"/>
        </w:rPr>
        <w:t xml:space="preserve"> Australian Solicitors Conduct Rules R3 </w:t>
      </w:r>
    </w:p>
  </w:footnote>
  <w:footnote w:id="5">
    <w:p w14:paraId="6B946843" w14:textId="62C6FEF1" w:rsidR="00B22954" w:rsidRPr="00FC3CEF" w:rsidRDefault="00B22954">
      <w:pPr>
        <w:pStyle w:val="FootnoteText"/>
        <w:rPr>
          <w:lang w:val="en-US"/>
        </w:rPr>
      </w:pPr>
      <w:r>
        <w:rPr>
          <w:rStyle w:val="FootnoteReference"/>
        </w:rPr>
        <w:footnoteRef/>
      </w:r>
      <w:r>
        <w:t xml:space="preserve"> </w:t>
      </w:r>
      <w:r>
        <w:rPr>
          <w:lang w:val="en-US"/>
        </w:rPr>
        <w:t>See the relationship between Ashurst and NAAJA.</w:t>
      </w:r>
    </w:p>
  </w:footnote>
  <w:footnote w:id="6">
    <w:p w14:paraId="4E4A5E6B" w14:textId="46D721C6" w:rsidR="00B22954" w:rsidRPr="00FC3CEF" w:rsidRDefault="00B22954">
      <w:pPr>
        <w:pStyle w:val="FootnoteText"/>
        <w:rPr>
          <w:lang w:val="en-US"/>
        </w:rPr>
      </w:pPr>
      <w:r>
        <w:rPr>
          <w:rStyle w:val="FootnoteReference"/>
        </w:rPr>
        <w:footnoteRef/>
      </w:r>
      <w:r>
        <w:t xml:space="preserve"> ‘Real Law. Real People’ is a promotional activity of the Western NSW RRRLaw project which tells the stories of lawyers working in challenging conditions.</w:t>
      </w:r>
    </w:p>
  </w:footnote>
  <w:footnote w:id="7">
    <w:p w14:paraId="2C1EE982" w14:textId="77777777" w:rsidR="00B22954" w:rsidRPr="00DD240B" w:rsidRDefault="00B22954" w:rsidP="00C37F35">
      <w:pPr>
        <w:pStyle w:val="FootnoteText"/>
      </w:pPr>
      <w:r>
        <w:rPr>
          <w:rStyle w:val="FootnoteReference"/>
        </w:rPr>
        <w:footnoteRef/>
      </w:r>
      <w:r>
        <w:t xml:space="preserve"> See more about the NACLC RRR PLT project here </w:t>
      </w:r>
      <w:hyperlink r:id="rId1" w:history="1">
        <w:r w:rsidRPr="00651B5F">
          <w:rPr>
            <w:rStyle w:val="Hyperlink"/>
          </w:rPr>
          <w:t>http://placements.naclc.org.au/index.php</w:t>
        </w:r>
      </w:hyperlink>
      <w:r>
        <w:t xml:space="preserve"> This project is referred to in the NACLC response (21 May 2014) p12.</w:t>
      </w:r>
    </w:p>
  </w:footnote>
  <w:footnote w:id="8">
    <w:p w14:paraId="1481CC4A" w14:textId="6FC37BD1" w:rsidR="00B22954" w:rsidRPr="00DF748D" w:rsidRDefault="00B22954" w:rsidP="00BD37A6">
      <w:pPr>
        <w:pStyle w:val="FootnoteText"/>
        <w:rPr>
          <w:lang w:val="en-US"/>
        </w:rPr>
      </w:pPr>
      <w:r>
        <w:rPr>
          <w:rStyle w:val="FootnoteReference"/>
        </w:rPr>
        <w:footnoteRef/>
      </w:r>
      <w:r>
        <w:t xml:space="preserve"> </w:t>
      </w:r>
      <w:r>
        <w:rPr>
          <w:lang w:val="en-US"/>
        </w:rPr>
        <w:t>See Appendix B for list of the various initiatives</w:t>
      </w:r>
    </w:p>
  </w:footnote>
  <w:footnote w:id="9">
    <w:p w14:paraId="33F4E6A2" w14:textId="00945813" w:rsidR="00B22954" w:rsidRPr="004B5BF5" w:rsidRDefault="00B22954">
      <w:pPr>
        <w:pStyle w:val="FootnoteText"/>
      </w:pPr>
      <w:r>
        <w:rPr>
          <w:rStyle w:val="FootnoteReference"/>
        </w:rPr>
        <w:footnoteRef/>
      </w:r>
      <w:r>
        <w:t xml:space="preserve"> </w:t>
      </w:r>
      <w:r w:rsidRPr="004B5BF5">
        <w:t>http://www.rrlen.net.au</w:t>
      </w:r>
    </w:p>
  </w:footnote>
  <w:footnote w:id="10">
    <w:p w14:paraId="4B52D68C" w14:textId="22157D6B" w:rsidR="00B22954" w:rsidRPr="00B2550D" w:rsidRDefault="00B22954">
      <w:pPr>
        <w:pStyle w:val="FootnoteText"/>
        <w:rPr>
          <w:lang w:val="en-US"/>
        </w:rPr>
      </w:pPr>
      <w:r>
        <w:rPr>
          <w:rStyle w:val="FootnoteReference"/>
        </w:rPr>
        <w:footnoteRef/>
      </w:r>
      <w:r>
        <w:t xml:space="preserve"> </w:t>
      </w:r>
      <w:r>
        <w:rPr>
          <w:lang w:val="en-US"/>
        </w:rPr>
        <w:t xml:space="preserve">See the Australian Solicitors Conduct Rules 10 and 11. Rule 9 on confidentiality also influences this issue with the rule in </w:t>
      </w:r>
      <w:r w:rsidRPr="003F0979">
        <w:rPr>
          <w:u w:val="single"/>
          <w:lang w:val="en-US"/>
        </w:rPr>
        <w:t>Bolk</w:t>
      </w:r>
      <w:r w:rsidRPr="003F0979">
        <w:rPr>
          <w:lang w:val="en-US"/>
        </w:rPr>
        <w:t>iah</w:t>
      </w:r>
      <w:r>
        <w:rPr>
          <w:lang w:val="en-US"/>
        </w:rPr>
        <w:t xml:space="preserve"> [1999] 2AC 222 about assumed knowledge and ‘effective information barriers’.</w:t>
      </w:r>
    </w:p>
  </w:footnote>
  <w:footnote w:id="11">
    <w:p w14:paraId="227944C8" w14:textId="4565BE6F" w:rsidR="00B22954" w:rsidRPr="00B2550D" w:rsidRDefault="00B22954">
      <w:pPr>
        <w:pStyle w:val="FootnoteText"/>
        <w:rPr>
          <w:lang w:val="en-US"/>
        </w:rPr>
      </w:pPr>
      <w:r>
        <w:rPr>
          <w:rStyle w:val="FootnoteReference"/>
        </w:rPr>
        <w:footnoteRef/>
      </w:r>
      <w:r>
        <w:t xml:space="preserve"> </w:t>
      </w:r>
      <w:r>
        <w:fldChar w:fldCharType="begin"/>
      </w:r>
      <w:r>
        <w:instrText xml:space="preserve"> ADDIN EN.CITE &lt;EndNote&gt;&lt;Cite&gt;&lt;Author&gt;Centres&lt;/Author&gt;&lt;Year&gt;2014&lt;/Year&gt;&lt;RecNum&gt;639&lt;/RecNum&gt;&lt;DisplayText&gt;National Association of Community Legal Centres, &amp;apos;National Census of Community Legal Centres. 2013 Report&amp;apos; (2014)  &lt;/DisplayText&gt;&lt;record&gt;&lt;rec-number&gt;639&lt;/rec-number&gt;&lt;foreign-keys&gt;&lt;key app="EN" db-id="sprtpzxepztf0heff03xdsa9twwer2xz052v"&gt;639&lt;/key&gt;&lt;/foreign-keys&gt;&lt;ref-type name="Journal Article"&gt;17&lt;/ref-type&gt;&lt;contributors&gt;&lt;authors&gt;&lt;author&gt;National Association of Community Legal Centres&lt;/author&gt;&lt;/authors&gt;&lt;/contributors&gt;&lt;titles&gt;&lt;title&gt;National Census of Community Legal Centres. 2013 Report&lt;/title&gt;&lt;/titles&gt;&lt;dates&gt;&lt;year&gt;2014&lt;/year&gt;&lt;/dates&gt;&lt;urls&gt;&lt;/urls&gt;&lt;/record&gt;&lt;/Cite&gt;&lt;/EndNote&gt;</w:instrText>
      </w:r>
      <w:r>
        <w:fldChar w:fldCharType="separate"/>
      </w:r>
      <w:r>
        <w:rPr>
          <w:noProof/>
        </w:rPr>
        <w:t xml:space="preserve">National Association of Community Legal Centres, 'National Census of Community Legal Centres. 2013 Report' (2014)  </w:t>
      </w:r>
      <w:r>
        <w:fldChar w:fldCharType="end"/>
      </w:r>
      <w:r>
        <w:rPr>
          <w:lang w:val="en-US"/>
        </w:rPr>
        <w:t>11</w:t>
      </w:r>
    </w:p>
  </w:footnote>
  <w:footnote w:id="12">
    <w:p w14:paraId="19C98932" w14:textId="65DE6A5C" w:rsidR="00B22954" w:rsidRPr="00B2550D" w:rsidRDefault="00B22954">
      <w:pPr>
        <w:pStyle w:val="FootnoteText"/>
        <w:rPr>
          <w:lang w:val="en-US"/>
        </w:rPr>
      </w:pPr>
      <w:r>
        <w:rPr>
          <w:rStyle w:val="FootnoteReference"/>
        </w:rPr>
        <w:footnoteRef/>
      </w:r>
      <w:r>
        <w:t xml:space="preserve"> </w:t>
      </w:r>
      <w:r>
        <w:fldChar w:fldCharType="begin"/>
      </w:r>
      <w:r>
        <w:instrText xml:space="preserve"> ADDIN EN.CITE &lt;EndNote&gt;&lt;Cite&gt;&lt;Author&gt;National Association of Community Legal Centres&lt;/Author&gt;&lt;Year&gt;2011&lt;/Year&gt;&lt;RecNum&gt;298&lt;/RecNum&gt;&lt;DisplayText&gt;National Association of Community Legal Centres, &lt;style face="italic"&gt;Risk Management and CLC Practice&lt;/style&gt; (NACLC, 2011)&lt;/DisplayText&gt;&lt;record&gt;&lt;rec-number&gt;298&lt;/rec-number&gt;&lt;foreign-keys&gt;&lt;key app="EN" db-id="sprtpzxepztf0heff03xdsa9twwer2xz052v"&gt;298&lt;/key&gt;&lt;/foreign-keys&gt;&lt;ref-type name="Book"&gt;6&lt;/ref-type&gt;&lt;contributors&gt;&lt;authors&gt;&lt;author&gt;National Association of Community Legal Centres,&lt;/author&gt;&lt;/authors&gt;&lt;/contributors&gt;&lt;titles&gt;&lt;title&gt;Risk Management and CLC Practice&lt;/title&gt;&lt;/titles&gt;&lt;keywords&gt;&lt;keyword&gt;Legal Education&lt;/keyword&gt;&lt;/keywords&gt;&lt;dates&gt;&lt;year&gt;2011&lt;/year&gt;&lt;/dates&gt;&lt;publisher&gt;NACLC&lt;/publisher&gt;&lt;label&gt;Articles&lt;/label&gt;&lt;urls&gt;&lt;/urls&gt;&lt;/record&gt;&lt;/Cite&gt;&lt;/EndNote&gt;</w:instrText>
      </w:r>
      <w:r>
        <w:fldChar w:fldCharType="separate"/>
      </w:r>
      <w:r>
        <w:rPr>
          <w:noProof/>
        </w:rPr>
        <w:t xml:space="preserve">National Association of Community Legal Centres, </w:t>
      </w:r>
      <w:r w:rsidRPr="007370C4">
        <w:rPr>
          <w:i/>
          <w:noProof/>
        </w:rPr>
        <w:t>Risk Management and CLC Practice</w:t>
      </w:r>
      <w:r>
        <w:rPr>
          <w:noProof/>
        </w:rPr>
        <w:t xml:space="preserve"> (NACLC, 2011)</w:t>
      </w:r>
      <w:r>
        <w:fldChar w:fldCharType="end"/>
      </w:r>
    </w:p>
  </w:footnote>
  <w:footnote w:id="13">
    <w:p w14:paraId="2F22C5B1" w14:textId="77777777" w:rsidR="00B22954" w:rsidRPr="00BD3D29" w:rsidRDefault="00B22954" w:rsidP="00A15B1C">
      <w:pPr>
        <w:pStyle w:val="FootnoteText"/>
        <w:rPr>
          <w:lang w:val="en-US"/>
        </w:rPr>
      </w:pPr>
      <w:r>
        <w:rPr>
          <w:rStyle w:val="FootnoteReference"/>
        </w:rPr>
        <w:footnoteRef/>
      </w:r>
      <w:r>
        <w:t xml:space="preserve"> </w:t>
      </w:r>
      <w:r>
        <w:fldChar w:fldCharType="begin"/>
      </w:r>
      <w:r>
        <w:instrText xml:space="preserve"> ADDIN EN.CITE &lt;EndNote&gt;&lt;Cite&gt;&lt;Author&gt;Kyle&lt;/Author&gt;&lt;Year&gt;2014&lt;/Year&gt;&lt;RecNum&gt;577&lt;/RecNum&gt;&lt;DisplayText&gt;Louise Kyle, Richard Coverdale and Tim Powers, &lt;style face="italic"&gt;Conflicts of Interest in Victorian Rural and Regional Legal Practice&lt;/style&gt; (Deakin University, 2014)&lt;/DisplayText&gt;&lt;record&gt;&lt;rec-number&gt;577&lt;/rec-number&gt;&lt;foreign-keys&gt;&lt;key app="EN" db-id="sprtpzxepztf0heff03xdsa9twwer2xz052v"&gt;577&lt;/key&gt;&lt;/foreign-keys&gt;&lt;ref-type name="Book"&gt;6&lt;/ref-type&gt;&lt;contributors&gt;&lt;authors&gt;&lt;author&gt;Kyle, Louise&lt;/author&gt;&lt;author&gt;Coverdale, Richard&lt;/author&gt;&lt;author&gt;Powers, Tim&lt;/author&gt;&lt;/authors&gt;&lt;/contributors&gt;&lt;titles&gt;&lt;title&gt;Conflicts of Interest in Victorian Rural and Regional Legal Practice&lt;/title&gt;&lt;/titles&gt;&lt;dates&gt;&lt;year&gt;2014&lt;/year&gt;&lt;/dates&gt;&lt;publisher&gt;Deakin University&lt;/publisher&gt;&lt;urls&gt;&lt;/urls&gt;&lt;/record&gt;&lt;/Cite&gt;&lt;/EndNote&gt;</w:instrText>
      </w:r>
      <w:r>
        <w:fldChar w:fldCharType="separate"/>
      </w:r>
      <w:r>
        <w:rPr>
          <w:noProof/>
        </w:rPr>
        <w:t xml:space="preserve">Louise Kyle, Richard Coverdale and Tim Powers, </w:t>
      </w:r>
      <w:r w:rsidRPr="007370C4">
        <w:rPr>
          <w:i/>
          <w:noProof/>
        </w:rPr>
        <w:t>Conflicts of Interest in Victorian Rural and Regional Legal Practice</w:t>
      </w:r>
      <w:r>
        <w:rPr>
          <w:noProof/>
        </w:rPr>
        <w:t xml:space="preserve"> (Deakin University, 2014)</w:t>
      </w:r>
      <w:r>
        <w:fldChar w:fldCharType="end"/>
      </w:r>
    </w:p>
  </w:footnote>
  <w:footnote w:id="14">
    <w:p w14:paraId="1FD0D181" w14:textId="24E39DD7" w:rsidR="00B22954" w:rsidRPr="00CB4B7C" w:rsidRDefault="00B22954">
      <w:pPr>
        <w:pStyle w:val="FootnoteText"/>
        <w:rPr>
          <w:lang w:val="en-US"/>
        </w:rPr>
      </w:pPr>
      <w:r>
        <w:rPr>
          <w:rStyle w:val="FootnoteReference"/>
        </w:rPr>
        <w:footnoteRef/>
      </w:r>
      <w:r>
        <w:t xml:space="preserve"> Legal Profession Uniform Law (Vic) s 298 (b)</w:t>
      </w:r>
    </w:p>
  </w:footnote>
  <w:footnote w:id="15">
    <w:p w14:paraId="34DFE323" w14:textId="2434259C" w:rsidR="00B22954" w:rsidRPr="00356FF5" w:rsidRDefault="00B22954">
      <w:pPr>
        <w:pStyle w:val="FootnoteText"/>
        <w:rPr>
          <w:lang w:val="en-US"/>
        </w:rPr>
      </w:pPr>
      <w:r>
        <w:rPr>
          <w:rStyle w:val="FootnoteReference"/>
        </w:rPr>
        <w:footnoteRef/>
      </w:r>
      <w:r>
        <w:t xml:space="preserve"> </w:t>
      </w:r>
      <w:r>
        <w:fldChar w:fldCharType="begin"/>
      </w:r>
      <w:r>
        <w:instrText xml:space="preserve"> ADDIN EN.CITE &lt;EndNote&gt;&lt;Cite&gt;&lt;Author&gt;Australian Bureau of Statistics&lt;/Author&gt;&lt;Year&gt;July 2011&lt;/Year&gt;&lt;RecNum&gt;588&lt;/RecNum&gt;&lt;DisplayText&gt;Australian Bureau of Statistics, &amp;apos;Australian Statistical Geography Standard (ASGS): Volume 5 - Remoteness Structure. &amp;apos; (July 2011) 1270.0.55.055 &lt;/DisplayText&gt;&lt;record&gt;&lt;rec-number&gt;588&lt;/rec-number&gt;&lt;foreign-keys&gt;&lt;key app="EN" db-id="sprtpzxepztf0heff03xdsa9twwer2xz052v"&gt;588&lt;/key&gt;&lt;/foreign-keys&gt;&lt;ref-type name="Journal Article"&gt;17&lt;/ref-type&gt;&lt;contributors&gt;&lt;authors&gt;&lt;author&gt;Australian Bureau of Statistics,&lt;/author&gt;&lt;/authors&gt;&lt;/contributors&gt;&lt;titles&gt;&lt;title&gt;Australian Statistical Geography Standard (ASGS): Volume 5 - Remoteness Structure. &lt;/title&gt;&lt;/titles&gt;&lt;volume&gt;1270.0.55.055&lt;/volume&gt;&lt;dates&gt;&lt;year&gt;July 2011&lt;/year&gt;&lt;/dates&gt;&lt;urls&gt;&lt;/urls&gt;&lt;/record&gt;&lt;/Cite&gt;&lt;/EndNote&gt;</w:instrText>
      </w:r>
      <w:r>
        <w:fldChar w:fldCharType="separate"/>
      </w:r>
      <w:r>
        <w:rPr>
          <w:noProof/>
        </w:rPr>
        <w:t xml:space="preserve">Australian Bureau of Statistics, 'Australian Statistical Geography Standard (ASGS): Volume 5 - Remoteness Structure. ' (July 2011) 1270.0.55.055 </w:t>
      </w:r>
      <w:r>
        <w:fldChar w:fldCharType="end"/>
      </w:r>
      <w:r w:rsidRPr="00356FF5">
        <w:rPr>
          <w:rFonts w:cs="Arial"/>
          <w:sz w:val="22"/>
          <w:szCs w:val="22"/>
        </w:rPr>
        <w:t xml:space="preserve"> </w:t>
      </w:r>
      <w:r>
        <w:rPr>
          <w:rFonts w:cs="Arial"/>
          <w:sz w:val="22"/>
          <w:szCs w:val="22"/>
        </w:rPr>
        <w:t>p</w:t>
      </w:r>
      <w:r w:rsidRPr="004B02C3">
        <w:rPr>
          <w:rFonts w:cs="Arial"/>
          <w:sz w:val="22"/>
          <w:szCs w:val="22"/>
        </w:rPr>
        <w:t>vii.</w:t>
      </w:r>
    </w:p>
  </w:footnote>
  <w:footnote w:id="16">
    <w:p w14:paraId="66886ACD" w14:textId="0DB7326A" w:rsidR="00B22954" w:rsidRPr="003B523F" w:rsidRDefault="00B22954">
      <w:pPr>
        <w:pStyle w:val="FootnoteText"/>
        <w:rPr>
          <w:lang w:val="en-US"/>
        </w:rPr>
      </w:pPr>
      <w:r>
        <w:rPr>
          <w:rStyle w:val="FootnoteReference"/>
        </w:rPr>
        <w:footnoteRef/>
      </w:r>
      <w:r>
        <w:t xml:space="preserve">  </w:t>
      </w:r>
      <w:r>
        <w:fldChar w:fldCharType="begin"/>
      </w:r>
      <w:r>
        <w:instrText xml:space="preserve"> ADDIN EN.CITE &lt;EndNote&gt;&lt;Cite&gt;&lt;Author&gt;Australian Government Productivity Commission&lt;/Author&gt;&lt;Year&gt;April 2014&lt;/Year&gt;&lt;RecNum&gt;644&lt;/RecNum&gt;&lt;DisplayText&gt;Australian Government Productivity Commission, &lt;style face="italic"&gt;Access to Justice Arrangements. Draft Report&lt;/style&gt; (April 2014)&lt;/DisplayText&gt;&lt;record&gt;&lt;rec-number&gt;644&lt;/rec-number&gt;&lt;foreign-keys&gt;&lt;key app="EN" db-id="sprtpzxepztf0heff03xdsa9twwer2xz052v"&gt;644&lt;/key&gt;&lt;/foreign-keys&gt;&lt;ref-type name="Book"&gt;6&lt;/ref-type&gt;&lt;contributors&gt;&lt;authors&gt;&lt;author&gt;Australian Government Productivity Commission,&lt;/author&gt;&lt;/authors&gt;&lt;/contributors&gt;&lt;titles&gt;&lt;title&gt;Access to Justice Arrangements. Draft Report&lt;/title&gt;&lt;/titles&gt;&lt;dates&gt;&lt;year&gt;April 2014&lt;/year&gt;&lt;/dates&gt;&lt;pub-location&gt;Canberra&lt;/pub-location&gt;&lt;urls&gt;&lt;/urls&gt;&lt;/record&gt;&lt;/Cite&gt;&lt;/EndNote&gt;</w:instrText>
      </w:r>
      <w:r>
        <w:fldChar w:fldCharType="separate"/>
      </w:r>
      <w:r>
        <w:rPr>
          <w:noProof/>
        </w:rPr>
        <w:t xml:space="preserve">Australian Government Productivity Commission, </w:t>
      </w:r>
      <w:r w:rsidRPr="003B523F">
        <w:rPr>
          <w:i/>
          <w:noProof/>
        </w:rPr>
        <w:t>Access to Justice Arrangements. Draft Report</w:t>
      </w:r>
      <w:r>
        <w:rPr>
          <w:noProof/>
        </w:rPr>
        <w:t xml:space="preserve"> (April 2014)</w:t>
      </w:r>
      <w:r>
        <w:fldChar w:fldCharType="end"/>
      </w:r>
      <w:r>
        <w:t xml:space="preserve"> </w:t>
      </w:r>
      <w:r w:rsidRPr="004B02C3">
        <w:t xml:space="preserve">Box 21.9 p 635 </w:t>
      </w:r>
    </w:p>
  </w:footnote>
  <w:footnote w:id="17">
    <w:p w14:paraId="18897DCD" w14:textId="49DA7E6F" w:rsidR="00B22954" w:rsidRPr="002E065C" w:rsidRDefault="00B22954">
      <w:pPr>
        <w:pStyle w:val="FootnoteText"/>
        <w:rPr>
          <w:lang w:val="en-US"/>
        </w:rPr>
      </w:pPr>
      <w:r>
        <w:rPr>
          <w:rStyle w:val="FootnoteReference"/>
        </w:rPr>
        <w:footnoteRef/>
      </w:r>
      <w:r>
        <w:t xml:space="preserve"> </w:t>
      </w:r>
      <w:r>
        <w:fldChar w:fldCharType="begin"/>
      </w:r>
      <w:r>
        <w:instrText xml:space="preserve"> ADDIN EN.CITE &lt;EndNote&gt;&lt;Cite&gt;&lt;Author&gt;Australian Law Reform Commission&lt;/Author&gt;&lt;Year&gt;2000&lt;/Year&gt;&lt;RecNum&gt;513&lt;/RecNum&gt;&lt;DisplayText&gt;Australian Law Reform Commission, &amp;apos;Managing Justice. Review of the adversarial system of litigation. ALRC 89&amp;apos; (2000)  &lt;/DisplayText&gt;&lt;record&gt;&lt;rec-number&gt;513&lt;/rec-number&gt;&lt;foreign-keys&gt;&lt;key app="EN" db-id="sprtpzxepztf0heff03xdsa9twwer2xz052v"&gt;513&lt;/key&gt;&lt;/foreign-keys&gt;&lt;ref-type name="Journal Article"&gt;17&lt;/ref-type&gt;&lt;contributors&gt;&lt;authors&gt;&lt;author&gt;Australian Law Reform Commission,&lt;/author&gt;&lt;/authors&gt;&lt;/contributors&gt;&lt;titles&gt;&lt;title&gt;Managing Justice. Review of the adversarial system of litigation. ALRC 89&lt;/title&gt;&lt;/titles&gt;&lt;dates&gt;&lt;year&gt;2000&lt;/year&gt;&lt;/dates&gt;&lt;urls&gt;&lt;/urls&gt;&lt;/record&gt;&lt;/Cite&gt;&lt;/EndNote&gt;</w:instrText>
      </w:r>
      <w:r>
        <w:fldChar w:fldCharType="separate"/>
      </w:r>
      <w:r>
        <w:rPr>
          <w:noProof/>
        </w:rPr>
        <w:t xml:space="preserve">Australian Law Reform Commission, 'Managing Justice. Review of the adversarial system of litigation. ALRC 89' (2000)  </w:t>
      </w:r>
      <w:r>
        <w:fldChar w:fldCharType="end"/>
      </w:r>
      <w:r>
        <w:t>Recommendation 6. See 2.77, 2.115.</w:t>
      </w:r>
    </w:p>
  </w:footnote>
  <w:footnote w:id="18">
    <w:p w14:paraId="44AC11DC" w14:textId="744EBCEE" w:rsidR="00B22954" w:rsidRPr="008F3DC2" w:rsidRDefault="00B22954">
      <w:pPr>
        <w:pStyle w:val="FootnoteText"/>
        <w:rPr>
          <w:lang w:val="en-US"/>
        </w:rPr>
      </w:pPr>
      <w:r>
        <w:rPr>
          <w:rStyle w:val="FootnoteReference"/>
        </w:rPr>
        <w:footnoteRef/>
      </w:r>
      <w:r>
        <w:t xml:space="preserve"> </w:t>
      </w:r>
      <w:r>
        <w:rPr>
          <w:lang w:val="en-US"/>
        </w:rPr>
        <w:t>The Law Institute of Victoria has dedicated public sector ‘seats’ on its governing Council, and offers free practicing certificates to lawyers working as volunteers in CLCs.</w:t>
      </w:r>
    </w:p>
  </w:footnote>
  <w:footnote w:id="19">
    <w:p w14:paraId="4C62663E" w14:textId="77777777" w:rsidR="00B22954" w:rsidRPr="003B523F" w:rsidRDefault="00B22954" w:rsidP="00893527">
      <w:pPr>
        <w:pStyle w:val="FootnoteText"/>
        <w:rPr>
          <w:lang w:val="en-US"/>
        </w:rPr>
      </w:pPr>
      <w:r>
        <w:rPr>
          <w:rStyle w:val="FootnoteReference"/>
        </w:rPr>
        <w:footnoteRef/>
      </w:r>
      <w:r>
        <w:t xml:space="preserve"> </w:t>
      </w:r>
      <w:r>
        <w:fldChar w:fldCharType="begin"/>
      </w:r>
      <w:r>
        <w:instrText xml:space="preserve"> ADDIN EN.CITE &lt;EndNote&gt;&lt;Cite&gt;&lt;Author&gt;Australian Bureau of Statistics&lt;/Author&gt;&lt;Year&gt;2013&lt;/Year&gt;&lt;RecNum&gt;625&lt;/RecNum&gt;&lt;DisplayText&gt;Australian Bureau of Statistics, &amp;apos;1370.0 Measures of Australia&amp;apos;s Progress&amp;apos; (2013)  &lt;/DisplayText&gt;&lt;record&gt;&lt;rec-number&gt;625&lt;/rec-number&gt;&lt;foreign-keys&gt;&lt;key app="EN" db-id="sprtpzxepztf0heff03xdsa9twwer2xz052v"&gt;625&lt;/key&gt;&lt;/foreign-keys&gt;&lt;ref-type name="Journal Article"&gt;17&lt;/ref-type&gt;&lt;contributors&gt;&lt;authors&gt;&lt;author&gt;Australian Bureau of Statistics,&lt;/author&gt;&lt;/authors&gt;&lt;/contributors&gt;&lt;titles&gt;&lt;title&gt;1370.0 Measures of Australia&amp;apos;s Progress&lt;/title&gt;&lt;/titles&gt;&lt;dates&gt;&lt;year&gt;2013&lt;/year&gt;&lt;/dates&gt;&lt;urls&gt;&lt;related-urls&gt;&lt;url&gt;http://www.abs.gov.au/ausstats/abs@.nsf/Lookup/by%20Subject/1370.0~2013~Main%20Features~Homepage~1&lt;/url&gt;&lt;/related-urls&gt;&lt;/urls&gt;&lt;/record&gt;&lt;/Cite&gt;&lt;/EndNote&gt;</w:instrText>
      </w:r>
      <w:r>
        <w:fldChar w:fldCharType="separate"/>
      </w:r>
      <w:r>
        <w:rPr>
          <w:noProof/>
        </w:rPr>
        <w:t xml:space="preserve">Australian Bureau of Statistics, '1370.0 Measures of Australia's Progress' (2013)  </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9D186" w14:textId="77777777" w:rsidR="00B22954" w:rsidRDefault="00B22954" w:rsidP="006953AD">
    <w:pPr>
      <w:jc w:val="center"/>
      <w:rPr>
        <w:rFonts w:cs="Arial"/>
        <w:sz w:val="28"/>
        <w:szCs w:val="28"/>
      </w:rPr>
    </w:pPr>
    <w:r w:rsidRPr="00F746C0">
      <w:rPr>
        <w:rFonts w:cs="Arial"/>
        <w:sz w:val="28"/>
        <w:szCs w:val="28"/>
      </w:rPr>
      <w:t>T</w:t>
    </w:r>
    <w:r>
      <w:rPr>
        <w:rFonts w:cs="Arial"/>
        <w:sz w:val="28"/>
        <w:szCs w:val="28"/>
      </w:rPr>
      <w:t>ransp</w:t>
    </w:r>
    <w:r w:rsidRPr="00F746C0">
      <w:rPr>
        <w:rFonts w:cs="Arial"/>
        <w:sz w:val="28"/>
        <w:szCs w:val="28"/>
      </w:rPr>
      <w:t>iration</w:t>
    </w:r>
  </w:p>
  <w:p w14:paraId="03B7C558" w14:textId="77777777" w:rsidR="00B22954" w:rsidRPr="00F746C0" w:rsidRDefault="00B22954" w:rsidP="006953AD">
    <w:pPr>
      <w:jc w:val="center"/>
      <w:rPr>
        <w:rFonts w:cs="Arial"/>
        <w:sz w:val="28"/>
        <w:szCs w:val="28"/>
      </w:rPr>
    </w:pPr>
  </w:p>
  <w:p w14:paraId="3C1A7545" w14:textId="77777777" w:rsidR="00B22954" w:rsidRPr="00F746C0" w:rsidRDefault="00B22954" w:rsidP="00C67EFC">
    <w:pPr>
      <w:jc w:val="center"/>
      <w:rPr>
        <w:rFonts w:cs="Arial"/>
        <w:sz w:val="20"/>
        <w:szCs w:val="20"/>
      </w:rPr>
    </w:pPr>
    <w:r w:rsidRPr="00F746C0">
      <w:rPr>
        <w:rFonts w:cs="Arial"/>
        <w:sz w:val="20"/>
        <w:szCs w:val="20"/>
      </w:rPr>
      <w:t xml:space="preserve">New </w:t>
    </w:r>
    <w:r>
      <w:rPr>
        <w:rFonts w:cs="Arial"/>
        <w:sz w:val="20"/>
        <w:szCs w:val="20"/>
      </w:rPr>
      <w:t>l</w:t>
    </w:r>
    <w:r w:rsidRPr="00F746C0">
      <w:rPr>
        <w:rFonts w:cs="Arial"/>
        <w:sz w:val="20"/>
        <w:szCs w:val="20"/>
      </w:rPr>
      <w:t>ife</w:t>
    </w:r>
    <w:r>
      <w:rPr>
        <w:rFonts w:cs="Arial"/>
        <w:sz w:val="20"/>
        <w:szCs w:val="20"/>
      </w:rPr>
      <w:t xml:space="preserve"> in</w:t>
    </w:r>
    <w:r w:rsidRPr="00F746C0">
      <w:rPr>
        <w:rFonts w:cs="Arial"/>
        <w:sz w:val="20"/>
        <w:szCs w:val="20"/>
      </w:rPr>
      <w:t xml:space="preserve"> rural law</w:t>
    </w:r>
  </w:p>
  <w:p w14:paraId="5E11A9A9" w14:textId="77777777" w:rsidR="00B22954" w:rsidRPr="00F746C0" w:rsidRDefault="00B2295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0EB"/>
    <w:multiLevelType w:val="hybridMultilevel"/>
    <w:tmpl w:val="22D0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3078A"/>
    <w:multiLevelType w:val="hybridMultilevel"/>
    <w:tmpl w:val="CCC0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37173"/>
    <w:multiLevelType w:val="hybridMultilevel"/>
    <w:tmpl w:val="433CB4CE"/>
    <w:lvl w:ilvl="0" w:tplc="0C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8BC3085"/>
    <w:multiLevelType w:val="hybridMultilevel"/>
    <w:tmpl w:val="3CD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31E01"/>
    <w:multiLevelType w:val="hybridMultilevel"/>
    <w:tmpl w:val="85DA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66621"/>
    <w:multiLevelType w:val="hybridMultilevel"/>
    <w:tmpl w:val="8C4E0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477BD8"/>
    <w:multiLevelType w:val="hybridMultilevel"/>
    <w:tmpl w:val="D9E60EB6"/>
    <w:lvl w:ilvl="0" w:tplc="0C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F9B3C37"/>
    <w:multiLevelType w:val="hybridMultilevel"/>
    <w:tmpl w:val="A0D47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5055230C"/>
    <w:multiLevelType w:val="hybridMultilevel"/>
    <w:tmpl w:val="607A95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225896"/>
    <w:multiLevelType w:val="hybridMultilevel"/>
    <w:tmpl w:val="832A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F747F3"/>
    <w:multiLevelType w:val="hybridMultilevel"/>
    <w:tmpl w:val="DEE48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11265"/>
    <w:multiLevelType w:val="hybridMultilevel"/>
    <w:tmpl w:val="AA26132C"/>
    <w:lvl w:ilvl="0" w:tplc="0C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D6C282C"/>
    <w:multiLevelType w:val="hybridMultilevel"/>
    <w:tmpl w:val="1D2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5945F0"/>
    <w:multiLevelType w:val="hybridMultilevel"/>
    <w:tmpl w:val="BC1AC62C"/>
    <w:lvl w:ilvl="0" w:tplc="0C090003">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5907026"/>
    <w:multiLevelType w:val="hybridMultilevel"/>
    <w:tmpl w:val="678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E1536E"/>
    <w:multiLevelType w:val="hybridMultilevel"/>
    <w:tmpl w:val="B72EDAB8"/>
    <w:lvl w:ilvl="0" w:tplc="0C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1"/>
  </w:num>
  <w:num w:numId="4">
    <w:abstractNumId w:val="13"/>
  </w:num>
  <w:num w:numId="5">
    <w:abstractNumId w:val="2"/>
  </w:num>
  <w:num w:numId="6">
    <w:abstractNumId w:val="15"/>
  </w:num>
  <w:num w:numId="7">
    <w:abstractNumId w:val="7"/>
  </w:num>
  <w:num w:numId="8">
    <w:abstractNumId w:val="5"/>
  </w:num>
  <w:num w:numId="9">
    <w:abstractNumId w:val="3"/>
  </w:num>
  <w:num w:numId="10">
    <w:abstractNumId w:val="4"/>
  </w:num>
  <w:num w:numId="11">
    <w:abstractNumId w:val="14"/>
  </w:num>
  <w:num w:numId="12">
    <w:abstractNumId w:val="1"/>
  </w:num>
  <w:num w:numId="13">
    <w:abstractNumId w:val="12"/>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lc_3rd_uq_footnotes_plus_bibliog&lt;/Style&gt;&lt;LeftDelim&gt;{&lt;/LeftDelim&gt;&lt;RightDelim&gt;}&lt;/RightDelim&gt;&lt;FontName&gt;Arial&lt;/FontName&gt;&lt;FontSize&gt;12&lt;/FontSize&gt;&lt;ReflistTitle&gt;Bibiliography&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prtpzxepztf0heff03xdsa9twwer2xz052v&quot;&gt;Helen&amp;apos;s PhD 2011&lt;record-ids&gt;&lt;item&gt;58&lt;/item&gt;&lt;item&gt;298&lt;/item&gt;&lt;item&gt;513&lt;/item&gt;&lt;item&gt;577&lt;/item&gt;&lt;item&gt;588&lt;/item&gt;&lt;item&gt;625&lt;/item&gt;&lt;item&gt;639&lt;/item&gt;&lt;item&gt;644&lt;/item&gt;&lt;/record-ids&gt;&lt;/item&gt;&lt;/Libraries&gt;"/>
  </w:docVars>
  <w:rsids>
    <w:rsidRoot w:val="00FB7E30"/>
    <w:rsid w:val="00033D27"/>
    <w:rsid w:val="000D6F83"/>
    <w:rsid w:val="0014717A"/>
    <w:rsid w:val="00165A0D"/>
    <w:rsid w:val="001B0491"/>
    <w:rsid w:val="001C2AFE"/>
    <w:rsid w:val="00207A42"/>
    <w:rsid w:val="00240E59"/>
    <w:rsid w:val="00286C51"/>
    <w:rsid w:val="002A284E"/>
    <w:rsid w:val="002E065C"/>
    <w:rsid w:val="00356FF5"/>
    <w:rsid w:val="00370FC2"/>
    <w:rsid w:val="00397DD1"/>
    <w:rsid w:val="003B523F"/>
    <w:rsid w:val="003D2B28"/>
    <w:rsid w:val="003F0979"/>
    <w:rsid w:val="00410927"/>
    <w:rsid w:val="00417CD7"/>
    <w:rsid w:val="00496A50"/>
    <w:rsid w:val="004B02C3"/>
    <w:rsid w:val="004B5BF5"/>
    <w:rsid w:val="00510CDB"/>
    <w:rsid w:val="00557721"/>
    <w:rsid w:val="00571795"/>
    <w:rsid w:val="005B2D26"/>
    <w:rsid w:val="005D5BBB"/>
    <w:rsid w:val="005E5676"/>
    <w:rsid w:val="00647FB5"/>
    <w:rsid w:val="006571C9"/>
    <w:rsid w:val="006953AD"/>
    <w:rsid w:val="007006C6"/>
    <w:rsid w:val="007267F6"/>
    <w:rsid w:val="007370C4"/>
    <w:rsid w:val="007544FD"/>
    <w:rsid w:val="00771A8B"/>
    <w:rsid w:val="00775444"/>
    <w:rsid w:val="008143EF"/>
    <w:rsid w:val="00836A87"/>
    <w:rsid w:val="008478DB"/>
    <w:rsid w:val="008563C5"/>
    <w:rsid w:val="00893527"/>
    <w:rsid w:val="008D4704"/>
    <w:rsid w:val="008F3DC2"/>
    <w:rsid w:val="00915C4A"/>
    <w:rsid w:val="00930775"/>
    <w:rsid w:val="00947046"/>
    <w:rsid w:val="00995414"/>
    <w:rsid w:val="009E230A"/>
    <w:rsid w:val="009F2587"/>
    <w:rsid w:val="00A05DB4"/>
    <w:rsid w:val="00A15B1C"/>
    <w:rsid w:val="00A24C60"/>
    <w:rsid w:val="00A652B6"/>
    <w:rsid w:val="00A75A27"/>
    <w:rsid w:val="00AC224D"/>
    <w:rsid w:val="00B12862"/>
    <w:rsid w:val="00B22954"/>
    <w:rsid w:val="00B2550D"/>
    <w:rsid w:val="00B81A18"/>
    <w:rsid w:val="00B90ED9"/>
    <w:rsid w:val="00BD37A6"/>
    <w:rsid w:val="00BD3D29"/>
    <w:rsid w:val="00C37F35"/>
    <w:rsid w:val="00C67EFC"/>
    <w:rsid w:val="00C767A5"/>
    <w:rsid w:val="00CB0EAF"/>
    <w:rsid w:val="00CB4B7C"/>
    <w:rsid w:val="00D43033"/>
    <w:rsid w:val="00DD240B"/>
    <w:rsid w:val="00DF748D"/>
    <w:rsid w:val="00E8743F"/>
    <w:rsid w:val="00EE734D"/>
    <w:rsid w:val="00EF7F81"/>
    <w:rsid w:val="00F0351D"/>
    <w:rsid w:val="00F035AA"/>
    <w:rsid w:val="00F65790"/>
    <w:rsid w:val="00FB7E30"/>
    <w:rsid w:val="00FC3CEF"/>
    <w:rsid w:val="00FD1E9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072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30"/>
    <w:rPr>
      <w:rFonts w:ascii="Arial" w:eastAsiaTheme="minorEastAsia" w:hAnsi="Arial"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6C0"/>
    <w:pPr>
      <w:tabs>
        <w:tab w:val="center" w:pos="4320"/>
        <w:tab w:val="right" w:pos="8640"/>
      </w:tabs>
    </w:pPr>
    <w:rPr>
      <w:rFonts w:ascii="Times New Roman" w:eastAsia="Times New Roman" w:hAnsi="Times New Roman" w:cs="Times New Roman"/>
      <w:lang w:val="en-AU" w:eastAsia="en-US"/>
    </w:rPr>
  </w:style>
  <w:style w:type="paragraph" w:styleId="Footer">
    <w:name w:val="footer"/>
    <w:basedOn w:val="Normal"/>
    <w:rsid w:val="00F746C0"/>
    <w:pPr>
      <w:tabs>
        <w:tab w:val="center" w:pos="4320"/>
        <w:tab w:val="right" w:pos="8640"/>
      </w:tabs>
    </w:pPr>
    <w:rPr>
      <w:rFonts w:ascii="Times New Roman" w:eastAsia="Times New Roman" w:hAnsi="Times New Roman" w:cs="Times New Roman"/>
      <w:lang w:val="en-AU" w:eastAsia="en-US"/>
    </w:rPr>
  </w:style>
  <w:style w:type="paragraph" w:styleId="NormalWeb">
    <w:name w:val="Normal (Web)"/>
    <w:basedOn w:val="Normal"/>
    <w:rsid w:val="00D402F8"/>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rsid w:val="00D402F8"/>
    <w:rPr>
      <w:rFonts w:cs="Times New Roman"/>
      <w:color w:val="0000FF"/>
      <w:u w:val="single"/>
    </w:rPr>
  </w:style>
  <w:style w:type="table" w:styleId="TableGrid">
    <w:name w:val="Table Grid"/>
    <w:basedOn w:val="TableNormal"/>
    <w:rsid w:val="0088071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8C6789"/>
    <w:rPr>
      <w:rFonts w:ascii="Times New Roman" w:eastAsia="Times New Roman" w:hAnsi="Times New Roman" w:cs="Times New Roman"/>
      <w:sz w:val="20"/>
      <w:szCs w:val="20"/>
      <w:lang w:val="en-AU" w:eastAsia="en-US"/>
    </w:rPr>
  </w:style>
  <w:style w:type="character" w:styleId="EndnoteReference">
    <w:name w:val="endnote reference"/>
    <w:basedOn w:val="DefaultParagraphFont"/>
    <w:semiHidden/>
    <w:rsid w:val="008C6789"/>
    <w:rPr>
      <w:rFonts w:cs="Times New Roman"/>
      <w:vertAlign w:val="superscript"/>
    </w:rPr>
  </w:style>
  <w:style w:type="paragraph" w:styleId="ListParagraph">
    <w:name w:val="List Paragraph"/>
    <w:basedOn w:val="Normal"/>
    <w:qFormat/>
    <w:rsid w:val="001A4587"/>
    <w:pPr>
      <w:ind w:left="720"/>
    </w:pPr>
    <w:rPr>
      <w:rFonts w:ascii="Times New Roman" w:eastAsia="Times New Roman" w:hAnsi="Times New Roman" w:cs="Times New Roman"/>
      <w:lang w:val="en-AU" w:eastAsia="en-US"/>
    </w:rPr>
  </w:style>
  <w:style w:type="paragraph" w:styleId="FootnoteText">
    <w:name w:val="footnote text"/>
    <w:basedOn w:val="Normal"/>
    <w:link w:val="FootnoteTextChar"/>
    <w:semiHidden/>
    <w:rsid w:val="001A4587"/>
    <w:rPr>
      <w:rFonts w:ascii="Times New Roman" w:eastAsia="Times New Roman" w:hAnsi="Times New Roman" w:cs="Times New Roman"/>
      <w:sz w:val="20"/>
      <w:szCs w:val="20"/>
      <w:lang w:val="en-AU" w:eastAsia="en-US"/>
    </w:rPr>
  </w:style>
  <w:style w:type="character" w:customStyle="1" w:styleId="FootnoteTextChar">
    <w:name w:val="Footnote Text Char"/>
    <w:basedOn w:val="DefaultParagraphFont"/>
    <w:link w:val="FootnoteText"/>
    <w:semiHidden/>
    <w:rsid w:val="001A4587"/>
    <w:rPr>
      <w:rFonts w:cs="Times New Roman"/>
      <w:lang w:eastAsia="en-US"/>
    </w:rPr>
  </w:style>
  <w:style w:type="character" w:styleId="FootnoteReference">
    <w:name w:val="footnote reference"/>
    <w:basedOn w:val="DefaultParagraphFont"/>
    <w:semiHidden/>
    <w:rsid w:val="001A4587"/>
    <w:rPr>
      <w:rFonts w:cs="Times New Roman"/>
      <w:vertAlign w:val="superscript"/>
    </w:rPr>
  </w:style>
  <w:style w:type="character" w:styleId="PageNumber">
    <w:name w:val="page number"/>
    <w:basedOn w:val="DefaultParagraphFont"/>
    <w:uiPriority w:val="99"/>
    <w:semiHidden/>
    <w:unhideWhenUsed/>
    <w:rsid w:val="00417CD7"/>
  </w:style>
  <w:style w:type="paragraph" w:styleId="Title">
    <w:name w:val="Title"/>
    <w:basedOn w:val="Normal"/>
    <w:next w:val="Normal"/>
    <w:link w:val="TitleChar"/>
    <w:uiPriority w:val="10"/>
    <w:qFormat/>
    <w:rsid w:val="00370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0FC2"/>
    <w:rPr>
      <w:rFonts w:asciiTheme="majorHAnsi" w:eastAsiaTheme="majorEastAsia" w:hAnsiTheme="majorHAnsi" w:cstheme="majorBidi"/>
      <w:color w:val="17365D" w:themeColor="text2" w:themeShade="BF"/>
      <w:spacing w:val="5"/>
      <w:kern w:val="28"/>
      <w:sz w:val="52"/>
      <w:szCs w:val="5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30"/>
    <w:rPr>
      <w:rFonts w:ascii="Arial" w:eastAsiaTheme="minorEastAsia" w:hAnsi="Arial"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6C0"/>
    <w:pPr>
      <w:tabs>
        <w:tab w:val="center" w:pos="4320"/>
        <w:tab w:val="right" w:pos="8640"/>
      </w:tabs>
    </w:pPr>
    <w:rPr>
      <w:rFonts w:ascii="Times New Roman" w:eastAsia="Times New Roman" w:hAnsi="Times New Roman" w:cs="Times New Roman"/>
      <w:lang w:val="en-AU" w:eastAsia="en-US"/>
    </w:rPr>
  </w:style>
  <w:style w:type="paragraph" w:styleId="Footer">
    <w:name w:val="footer"/>
    <w:basedOn w:val="Normal"/>
    <w:rsid w:val="00F746C0"/>
    <w:pPr>
      <w:tabs>
        <w:tab w:val="center" w:pos="4320"/>
        <w:tab w:val="right" w:pos="8640"/>
      </w:tabs>
    </w:pPr>
    <w:rPr>
      <w:rFonts w:ascii="Times New Roman" w:eastAsia="Times New Roman" w:hAnsi="Times New Roman" w:cs="Times New Roman"/>
      <w:lang w:val="en-AU" w:eastAsia="en-US"/>
    </w:rPr>
  </w:style>
  <w:style w:type="paragraph" w:styleId="NormalWeb">
    <w:name w:val="Normal (Web)"/>
    <w:basedOn w:val="Normal"/>
    <w:rsid w:val="00D402F8"/>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rsid w:val="00D402F8"/>
    <w:rPr>
      <w:rFonts w:cs="Times New Roman"/>
      <w:color w:val="0000FF"/>
      <w:u w:val="single"/>
    </w:rPr>
  </w:style>
  <w:style w:type="table" w:styleId="TableGrid">
    <w:name w:val="Table Grid"/>
    <w:basedOn w:val="TableNormal"/>
    <w:rsid w:val="0088071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8C6789"/>
    <w:rPr>
      <w:rFonts w:ascii="Times New Roman" w:eastAsia="Times New Roman" w:hAnsi="Times New Roman" w:cs="Times New Roman"/>
      <w:sz w:val="20"/>
      <w:szCs w:val="20"/>
      <w:lang w:val="en-AU" w:eastAsia="en-US"/>
    </w:rPr>
  </w:style>
  <w:style w:type="character" w:styleId="EndnoteReference">
    <w:name w:val="endnote reference"/>
    <w:basedOn w:val="DefaultParagraphFont"/>
    <w:semiHidden/>
    <w:rsid w:val="008C6789"/>
    <w:rPr>
      <w:rFonts w:cs="Times New Roman"/>
      <w:vertAlign w:val="superscript"/>
    </w:rPr>
  </w:style>
  <w:style w:type="paragraph" w:styleId="ListParagraph">
    <w:name w:val="List Paragraph"/>
    <w:basedOn w:val="Normal"/>
    <w:qFormat/>
    <w:rsid w:val="001A4587"/>
    <w:pPr>
      <w:ind w:left="720"/>
    </w:pPr>
    <w:rPr>
      <w:rFonts w:ascii="Times New Roman" w:eastAsia="Times New Roman" w:hAnsi="Times New Roman" w:cs="Times New Roman"/>
      <w:lang w:val="en-AU" w:eastAsia="en-US"/>
    </w:rPr>
  </w:style>
  <w:style w:type="paragraph" w:styleId="FootnoteText">
    <w:name w:val="footnote text"/>
    <w:basedOn w:val="Normal"/>
    <w:link w:val="FootnoteTextChar"/>
    <w:semiHidden/>
    <w:rsid w:val="001A4587"/>
    <w:rPr>
      <w:rFonts w:ascii="Times New Roman" w:eastAsia="Times New Roman" w:hAnsi="Times New Roman" w:cs="Times New Roman"/>
      <w:sz w:val="20"/>
      <w:szCs w:val="20"/>
      <w:lang w:val="en-AU" w:eastAsia="en-US"/>
    </w:rPr>
  </w:style>
  <w:style w:type="character" w:customStyle="1" w:styleId="FootnoteTextChar">
    <w:name w:val="Footnote Text Char"/>
    <w:basedOn w:val="DefaultParagraphFont"/>
    <w:link w:val="FootnoteText"/>
    <w:semiHidden/>
    <w:rsid w:val="001A4587"/>
    <w:rPr>
      <w:rFonts w:cs="Times New Roman"/>
      <w:lang w:eastAsia="en-US"/>
    </w:rPr>
  </w:style>
  <w:style w:type="character" w:styleId="FootnoteReference">
    <w:name w:val="footnote reference"/>
    <w:basedOn w:val="DefaultParagraphFont"/>
    <w:semiHidden/>
    <w:rsid w:val="001A4587"/>
    <w:rPr>
      <w:rFonts w:cs="Times New Roman"/>
      <w:vertAlign w:val="superscript"/>
    </w:rPr>
  </w:style>
  <w:style w:type="character" w:styleId="PageNumber">
    <w:name w:val="page number"/>
    <w:basedOn w:val="DefaultParagraphFont"/>
    <w:uiPriority w:val="99"/>
    <w:semiHidden/>
    <w:unhideWhenUsed/>
    <w:rsid w:val="00417CD7"/>
  </w:style>
  <w:style w:type="paragraph" w:styleId="Title">
    <w:name w:val="Title"/>
    <w:basedOn w:val="Normal"/>
    <w:next w:val="Normal"/>
    <w:link w:val="TitleChar"/>
    <w:uiPriority w:val="10"/>
    <w:qFormat/>
    <w:rsid w:val="00370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0FC2"/>
    <w:rPr>
      <w:rFonts w:asciiTheme="majorHAnsi" w:eastAsiaTheme="majorEastAsia" w:hAnsiTheme="majorHAnsi" w:cstheme="majorBidi"/>
      <w:color w:val="17365D" w:themeColor="text2" w:themeShade="BF"/>
      <w:spacing w:val="5"/>
      <w:kern w:val="28"/>
      <w:sz w:val="52"/>
      <w:szCs w:val="5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lacements.naclc.org.au/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181C-3CE1-4F94-97C1-4B8A67FB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3315</Words>
  <Characters>18916</Characters>
  <Application>Microsoft Office Word</Application>
  <DocSecurity>0</DocSecurity>
  <Lines>445</Lines>
  <Paragraphs>97</Paragraphs>
  <ScaleCrop>false</ScaleCrop>
  <HeadingPairs>
    <vt:vector size="2" baseType="variant">
      <vt:variant>
        <vt:lpstr>Title</vt:lpstr>
      </vt:variant>
      <vt:variant>
        <vt:i4>1</vt:i4>
      </vt:variant>
    </vt:vector>
  </HeadingPairs>
  <TitlesOfParts>
    <vt:vector size="1" baseType="lpstr">
      <vt:lpstr>Submission DR284 - Helen McGowan - Access to Justice Arrangements - Public inquiry</vt:lpstr>
    </vt:vector>
  </TitlesOfParts>
  <Company>Helen McGowan</Company>
  <LinksUpToDate>false</LinksUpToDate>
  <CharactersWithSpaces>22201</CharactersWithSpaces>
  <SharedDoc>false</SharedDoc>
  <HLinks>
    <vt:vector size="12" baseType="variant">
      <vt:variant>
        <vt:i4>1769599</vt:i4>
      </vt:variant>
      <vt:variant>
        <vt:i4>3</vt:i4>
      </vt:variant>
      <vt:variant>
        <vt:i4>0</vt:i4>
      </vt:variant>
      <vt:variant>
        <vt:i4>5</vt:i4>
      </vt:variant>
      <vt:variant>
        <vt:lpwstr>mailto:helen.mcgowan@bigpond.com</vt:lpwstr>
      </vt:variant>
      <vt:variant>
        <vt:lpwstr/>
      </vt:variant>
      <vt:variant>
        <vt:i4>3997823</vt:i4>
      </vt:variant>
      <vt:variant>
        <vt:i4>0</vt:i4>
      </vt:variant>
      <vt:variant>
        <vt:i4>0</vt:i4>
      </vt:variant>
      <vt:variant>
        <vt:i4>5</vt:i4>
      </vt:variant>
      <vt:variant>
        <vt:lpwstr>mailto:julia_hall@clc.net.au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DR284 - Helen McGowan - Access to Justice Arrangements - Public inquiry</dc:title>
  <dc:creator>Helen McGowan</dc:creator>
  <cp:lastModifiedBy>Productivity Commission</cp:lastModifiedBy>
  <cp:revision>2</cp:revision>
  <cp:lastPrinted>2014-06-03T01:32:00Z</cp:lastPrinted>
  <dcterms:created xsi:type="dcterms:W3CDTF">2014-06-23T04:57:00Z</dcterms:created>
  <dcterms:modified xsi:type="dcterms:W3CDTF">2014-06-23T04:57:00Z</dcterms:modified>
</cp:coreProperties>
</file>