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Pr="00325370" w:rsidRDefault="00D824A0" w:rsidP="00CD5E6B">
      <w:pPr>
        <w:pStyle w:val="BodyText"/>
        <w:rPr>
          <w:b/>
          <w:szCs w:val="26"/>
        </w:rPr>
      </w:pPr>
      <w:r>
        <w:rPr>
          <w:noProof/>
          <w:lang w:eastAsia="en-AU"/>
        </w:rPr>
        <w:drawing>
          <wp:anchor distT="0" distB="0" distL="114300" distR="114300" simplePos="0" relativeHeight="251658240" behindDoc="1" locked="0" layoutInCell="1" allowOverlap="1">
            <wp:simplePos x="1146412" y="968991"/>
            <wp:positionH relativeFrom="page">
              <wp:align>center</wp:align>
            </wp:positionH>
            <wp:positionV relativeFrom="page">
              <wp:align>bottom</wp:align>
            </wp:positionV>
            <wp:extent cx="7560000" cy="10126800"/>
            <wp:effectExtent l="0" t="0" r="3175" b="8255"/>
            <wp:wrapNone/>
            <wp:docPr id="3" name="Picture 3" descr="Cover image for the Australian Government Productivity Commission Inquiry Report titled 'National Access Regime'. Report number 66. 25 October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ional-access-final-cover-we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10126800"/>
                    </a:xfrm>
                    <a:prstGeom prst="rect">
                      <a:avLst/>
                    </a:prstGeom>
                  </pic:spPr>
                </pic:pic>
              </a:graphicData>
            </a:graphic>
            <wp14:sizeRelH relativeFrom="margin">
              <wp14:pctWidth>0</wp14:pctWidth>
            </wp14:sizeRelH>
            <wp14:sizeRelV relativeFrom="margin">
              <wp14:pctHeight>0</wp14:pctHeight>
            </wp14:sizeRelV>
          </wp:anchor>
        </w:drawing>
      </w:r>
      <w:r w:rsidR="00B04D19" w:rsidRPr="00325370">
        <w:br w:type="page"/>
      </w:r>
    </w:p>
    <w:p w:rsidR="003E7802" w:rsidRPr="00325370" w:rsidRDefault="003E7802" w:rsidP="001D4B1F">
      <w:pPr>
        <w:pStyle w:val="TOC1"/>
      </w:pPr>
      <w:r w:rsidRPr="00325370">
        <w:lastRenderedPageBreak/>
        <w:fldChar w:fldCharType="begin"/>
      </w:r>
      <w:r w:rsidRPr="00325370">
        <w:instrText>SYMBOL 227 \f "Symbol"</w:instrText>
      </w:r>
      <w:r w:rsidRPr="00325370">
        <w:fldChar w:fldCharType="end"/>
      </w:r>
      <w:r w:rsidRPr="00325370">
        <w:t xml:space="preserve"> Commonwealth of Australia </w:t>
      </w:r>
      <w:r w:rsidR="00766DFB" w:rsidRPr="00325370">
        <w:t>2013</w:t>
      </w:r>
    </w:p>
    <w:p w:rsidR="00870F3F" w:rsidRPr="00325370" w:rsidRDefault="00870F3F">
      <w:pPr>
        <w:pStyle w:val="BodyText"/>
        <w:tabs>
          <w:tab w:val="left" w:pos="851"/>
        </w:tabs>
        <w:spacing w:before="200" w:after="120"/>
        <w:jc w:val="left"/>
        <w:rPr>
          <w:b/>
          <w:sz w:val="24"/>
        </w:rPr>
      </w:pPr>
      <w:bookmarkStart w:id="0" w:name="ISSN"/>
      <w:bookmarkEnd w:id="0"/>
      <w:r w:rsidRPr="00325370">
        <w:rPr>
          <w:b/>
          <w:sz w:val="24"/>
        </w:rPr>
        <w:t>ISSN</w:t>
      </w:r>
      <w:r w:rsidRPr="00325370">
        <w:rPr>
          <w:b/>
          <w:sz w:val="24"/>
        </w:rPr>
        <w:tab/>
      </w:r>
      <w:r w:rsidR="008B1465" w:rsidRPr="00325370">
        <w:rPr>
          <w:b/>
          <w:sz w:val="24"/>
        </w:rPr>
        <w:t>1447-1329</w:t>
      </w:r>
      <w:r w:rsidRPr="00325370">
        <w:rPr>
          <w:b/>
          <w:sz w:val="24"/>
        </w:rPr>
        <w:br/>
        <w:t>ISBN</w:t>
      </w:r>
      <w:r w:rsidRPr="00325370">
        <w:rPr>
          <w:b/>
          <w:sz w:val="24"/>
        </w:rPr>
        <w:tab/>
      </w:r>
      <w:r w:rsidR="008B1465" w:rsidRPr="00325370">
        <w:rPr>
          <w:b/>
          <w:sz w:val="24"/>
        </w:rPr>
        <w:t>978-1-74037-454-5</w:t>
      </w:r>
    </w:p>
    <w:p w:rsidR="003E7802" w:rsidRPr="00325370" w:rsidRDefault="003E7802" w:rsidP="00F4234E">
      <w:pPr>
        <w:pStyle w:val="BodyText"/>
      </w:pPr>
      <w:r w:rsidRPr="00325370">
        <w:t>This work is copyright. Apart from any use as permitted under the</w:t>
      </w:r>
      <w:r w:rsidR="00766DFB" w:rsidRPr="00325370">
        <w:rPr>
          <w:i/>
        </w:rPr>
        <w:t xml:space="preserve"> Copyright Act </w:t>
      </w:r>
      <w:r w:rsidRPr="00325370">
        <w:rPr>
          <w:i/>
        </w:rPr>
        <w:t>1968</w:t>
      </w:r>
      <w:r w:rsidRPr="00325370">
        <w:t xml:space="preserve">, the work may be reproduced in whole or in part for study or training purposes, subject to the inclusion of an acknowledgment of the source. Reproduction for commercial use or sale requires prior written permission from the </w:t>
      </w:r>
      <w:r w:rsidR="009B12EF" w:rsidRPr="00325370">
        <w:t>Productivity Commission</w:t>
      </w:r>
      <w:r w:rsidRPr="00325370">
        <w:t xml:space="preserve">. Requests and inquiries concerning reproduction and rights should be addressed to </w:t>
      </w:r>
      <w:r w:rsidR="009B12EF" w:rsidRPr="00325370">
        <w:t>Media and Publications (see below)</w:t>
      </w:r>
      <w:r w:rsidR="00734127" w:rsidRPr="00325370">
        <w:t>.</w:t>
      </w:r>
    </w:p>
    <w:p w:rsidR="003E7802" w:rsidRPr="00325370" w:rsidRDefault="003E7802" w:rsidP="00F4234E">
      <w:pPr>
        <w:pStyle w:val="BodyText"/>
        <w:rPr>
          <w:i/>
        </w:rPr>
      </w:pPr>
      <w:r w:rsidRPr="00325370">
        <w:rPr>
          <w:i/>
        </w:rPr>
        <w:t>This publication is available from the Productivity Commission website at www.pc.gov.au. If you require part or all of this publication in a different format, please contact Me</w:t>
      </w:r>
      <w:r w:rsidR="00734127" w:rsidRPr="00325370">
        <w:rPr>
          <w:i/>
        </w:rPr>
        <w:t>dia and Publications.</w:t>
      </w:r>
    </w:p>
    <w:p w:rsidR="003E7802" w:rsidRPr="00325370" w:rsidRDefault="009D10AC" w:rsidP="003E7802">
      <w:pPr>
        <w:pStyle w:val="BodyText"/>
        <w:spacing w:before="320"/>
        <w:rPr>
          <w:b/>
          <w:sz w:val="24"/>
        </w:rPr>
      </w:pPr>
      <w:r w:rsidRPr="00325370">
        <w:rPr>
          <w:b/>
          <w:sz w:val="24"/>
        </w:rPr>
        <w:t>Publications e</w:t>
      </w:r>
      <w:r w:rsidR="003E7802" w:rsidRPr="00325370">
        <w:rPr>
          <w:b/>
          <w:sz w:val="24"/>
        </w:rPr>
        <w:t>nquiries:</w:t>
      </w:r>
    </w:p>
    <w:p w:rsidR="003E7802" w:rsidRPr="00325370" w:rsidRDefault="003E7802" w:rsidP="003E7802">
      <w:pPr>
        <w:pStyle w:val="BodyText"/>
        <w:spacing w:before="0" w:line="240" w:lineRule="auto"/>
        <w:rPr>
          <w:sz w:val="24"/>
        </w:rPr>
      </w:pPr>
      <w:r w:rsidRPr="00325370">
        <w:rPr>
          <w:sz w:val="24"/>
        </w:rPr>
        <w:t xml:space="preserve">Media and </w:t>
      </w:r>
      <w:r w:rsidRPr="00325370">
        <w:rPr>
          <w:snapToGrid w:val="0"/>
          <w:sz w:val="24"/>
        </w:rPr>
        <w:t>Publications</w:t>
      </w:r>
    </w:p>
    <w:p w:rsidR="003E7802" w:rsidRPr="00325370" w:rsidRDefault="003E7802" w:rsidP="003E7802">
      <w:pPr>
        <w:pStyle w:val="BodyText"/>
        <w:spacing w:before="0" w:line="240" w:lineRule="auto"/>
        <w:rPr>
          <w:sz w:val="24"/>
        </w:rPr>
      </w:pPr>
      <w:r w:rsidRPr="00325370">
        <w:rPr>
          <w:sz w:val="24"/>
        </w:rPr>
        <w:t xml:space="preserve">Productivity </w:t>
      </w:r>
      <w:r w:rsidRPr="00325370">
        <w:rPr>
          <w:snapToGrid w:val="0"/>
          <w:sz w:val="24"/>
        </w:rPr>
        <w:t>Commission</w:t>
      </w:r>
    </w:p>
    <w:p w:rsidR="003E7802" w:rsidRPr="00325370" w:rsidRDefault="003E7802" w:rsidP="003E7802">
      <w:pPr>
        <w:pStyle w:val="BodyText"/>
        <w:spacing w:before="0" w:line="240" w:lineRule="auto"/>
        <w:rPr>
          <w:sz w:val="24"/>
        </w:rPr>
      </w:pPr>
      <w:r w:rsidRPr="00325370">
        <w:rPr>
          <w:sz w:val="24"/>
        </w:rPr>
        <w:t xml:space="preserve">Locked Bag 2 Collins </w:t>
      </w:r>
      <w:r w:rsidRPr="00325370">
        <w:rPr>
          <w:snapToGrid w:val="0"/>
          <w:sz w:val="24"/>
        </w:rPr>
        <w:t>Street</w:t>
      </w:r>
      <w:r w:rsidRPr="00325370">
        <w:rPr>
          <w:sz w:val="24"/>
        </w:rPr>
        <w:t xml:space="preserve"> East</w:t>
      </w:r>
    </w:p>
    <w:p w:rsidR="003E7802" w:rsidRPr="00325370" w:rsidRDefault="003E7802" w:rsidP="003E7802">
      <w:pPr>
        <w:pStyle w:val="BodyText"/>
        <w:spacing w:before="0" w:after="120" w:line="240" w:lineRule="auto"/>
        <w:rPr>
          <w:sz w:val="24"/>
        </w:rPr>
      </w:pPr>
      <w:r w:rsidRPr="00325370">
        <w:rPr>
          <w:sz w:val="24"/>
        </w:rPr>
        <w:t xml:space="preserve">Melbourne    VIC    </w:t>
      </w:r>
      <w:r w:rsidRPr="00325370">
        <w:rPr>
          <w:snapToGrid w:val="0"/>
          <w:sz w:val="24"/>
        </w:rPr>
        <w:t>8003</w:t>
      </w:r>
    </w:p>
    <w:p w:rsidR="003E7802" w:rsidRPr="00325370" w:rsidRDefault="003E7802" w:rsidP="003E7802">
      <w:pPr>
        <w:pStyle w:val="BodyText"/>
        <w:tabs>
          <w:tab w:val="left" w:pos="1134"/>
        </w:tabs>
        <w:spacing w:before="0" w:line="240" w:lineRule="auto"/>
        <w:rPr>
          <w:sz w:val="24"/>
          <w:szCs w:val="24"/>
        </w:rPr>
      </w:pPr>
      <w:r w:rsidRPr="00325370">
        <w:rPr>
          <w:sz w:val="24"/>
          <w:szCs w:val="24"/>
        </w:rPr>
        <w:t>Tel:</w:t>
      </w:r>
      <w:r w:rsidRPr="00325370">
        <w:rPr>
          <w:sz w:val="24"/>
          <w:szCs w:val="24"/>
        </w:rPr>
        <w:tab/>
        <w:t>(03) 9653 2244</w:t>
      </w:r>
    </w:p>
    <w:p w:rsidR="003E7802" w:rsidRPr="00325370" w:rsidRDefault="003E7802" w:rsidP="003E7802">
      <w:pPr>
        <w:pStyle w:val="BodyText"/>
        <w:tabs>
          <w:tab w:val="left" w:pos="1134"/>
        </w:tabs>
        <w:spacing w:before="0" w:line="240" w:lineRule="auto"/>
        <w:jc w:val="left"/>
      </w:pPr>
      <w:r w:rsidRPr="00325370">
        <w:rPr>
          <w:sz w:val="24"/>
          <w:szCs w:val="24"/>
        </w:rPr>
        <w:t>Fax:</w:t>
      </w:r>
      <w:r w:rsidRPr="00325370">
        <w:rPr>
          <w:sz w:val="24"/>
          <w:szCs w:val="24"/>
        </w:rPr>
        <w:tab/>
        <w:t>(03) 9653 2303</w:t>
      </w:r>
      <w:r w:rsidRPr="00325370">
        <w:rPr>
          <w:sz w:val="24"/>
          <w:szCs w:val="24"/>
        </w:rPr>
        <w:br/>
        <w:t>Email:</w:t>
      </w:r>
      <w:r w:rsidRPr="00325370">
        <w:rPr>
          <w:sz w:val="24"/>
          <w:szCs w:val="24"/>
        </w:rPr>
        <w:tab/>
      </w:r>
      <w:proofErr w:type="spellStart"/>
      <w:r w:rsidRPr="00325370">
        <w:rPr>
          <w:sz w:val="24"/>
          <w:szCs w:val="24"/>
        </w:rPr>
        <w:t>maps@pc.gov.au</w:t>
      </w:r>
      <w:proofErr w:type="spellEnd"/>
    </w:p>
    <w:p w:rsidR="003E7802" w:rsidRPr="00325370" w:rsidRDefault="009D10AC" w:rsidP="003E7802">
      <w:pPr>
        <w:pStyle w:val="BodyText"/>
        <w:spacing w:before="320"/>
        <w:rPr>
          <w:b/>
          <w:sz w:val="24"/>
        </w:rPr>
      </w:pPr>
      <w:r w:rsidRPr="00325370">
        <w:rPr>
          <w:b/>
          <w:sz w:val="24"/>
        </w:rPr>
        <w:t>General e</w:t>
      </w:r>
      <w:r w:rsidR="003E7802" w:rsidRPr="00325370">
        <w:rPr>
          <w:b/>
          <w:sz w:val="24"/>
        </w:rPr>
        <w:t>nquiries:</w:t>
      </w:r>
    </w:p>
    <w:p w:rsidR="003E7802" w:rsidRPr="00325370" w:rsidRDefault="003E7802" w:rsidP="003E7802">
      <w:pPr>
        <w:pStyle w:val="BodyText"/>
        <w:tabs>
          <w:tab w:val="left" w:pos="1134"/>
        </w:tabs>
        <w:spacing w:before="0" w:line="240" w:lineRule="auto"/>
        <w:rPr>
          <w:sz w:val="24"/>
          <w:szCs w:val="24"/>
        </w:rPr>
      </w:pPr>
      <w:r w:rsidRPr="00325370">
        <w:rPr>
          <w:sz w:val="24"/>
          <w:szCs w:val="24"/>
        </w:rPr>
        <w:t>Tel:</w:t>
      </w:r>
      <w:r w:rsidRPr="00325370">
        <w:rPr>
          <w:sz w:val="24"/>
          <w:szCs w:val="24"/>
        </w:rPr>
        <w:tab/>
        <w:t>(03) 9653 2100 or (02) 6240 3200</w:t>
      </w:r>
    </w:p>
    <w:p w:rsidR="003E7802" w:rsidRPr="00325370" w:rsidRDefault="003E7802" w:rsidP="003E7802">
      <w:pPr>
        <w:pStyle w:val="BodyText"/>
        <w:spacing w:before="360" w:line="240" w:lineRule="auto"/>
        <w:rPr>
          <w:b/>
          <w:sz w:val="24"/>
          <w:szCs w:val="24"/>
        </w:rPr>
      </w:pPr>
      <w:r w:rsidRPr="00325370">
        <w:rPr>
          <w:b/>
          <w:sz w:val="24"/>
          <w:szCs w:val="24"/>
        </w:rPr>
        <w:t>An appropriate citation for this paper is:</w:t>
      </w:r>
    </w:p>
    <w:p w:rsidR="003E7802" w:rsidRPr="00325370" w:rsidRDefault="00263B06" w:rsidP="003E7802">
      <w:pPr>
        <w:pStyle w:val="BodyText"/>
        <w:spacing w:before="160" w:after="120" w:line="240" w:lineRule="auto"/>
        <w:rPr>
          <w:sz w:val="24"/>
          <w:szCs w:val="24"/>
        </w:rPr>
      </w:pPr>
      <w:r w:rsidRPr="00325370">
        <w:rPr>
          <w:sz w:val="24"/>
          <w:szCs w:val="24"/>
        </w:rPr>
        <w:t xml:space="preserve">Productivity Commission 2013, </w:t>
      </w:r>
      <w:r w:rsidRPr="00325370">
        <w:rPr>
          <w:i/>
          <w:sz w:val="24"/>
          <w:szCs w:val="24"/>
        </w:rPr>
        <w:t>National Access Regime</w:t>
      </w:r>
      <w:r w:rsidR="008B1465" w:rsidRPr="00325370">
        <w:rPr>
          <w:sz w:val="24"/>
          <w:szCs w:val="24"/>
        </w:rPr>
        <w:t xml:space="preserve">, </w:t>
      </w:r>
      <w:r w:rsidR="00EF52AF">
        <w:rPr>
          <w:sz w:val="24"/>
          <w:szCs w:val="24"/>
        </w:rPr>
        <w:t xml:space="preserve">Inquiry </w:t>
      </w:r>
      <w:r w:rsidR="008B1465" w:rsidRPr="00325370">
        <w:rPr>
          <w:sz w:val="24"/>
          <w:szCs w:val="24"/>
        </w:rPr>
        <w:t>Report</w:t>
      </w:r>
      <w:r w:rsidR="00E20B77">
        <w:rPr>
          <w:sz w:val="24"/>
          <w:szCs w:val="24"/>
        </w:rPr>
        <w:t xml:space="preserve"> n</w:t>
      </w:r>
      <w:r w:rsidR="008B1465" w:rsidRPr="00325370">
        <w:rPr>
          <w:sz w:val="24"/>
          <w:szCs w:val="24"/>
        </w:rPr>
        <w:t>o. 66</w:t>
      </w:r>
      <w:r w:rsidR="007F62F0" w:rsidRPr="00325370">
        <w:rPr>
          <w:sz w:val="24"/>
          <w:szCs w:val="24"/>
        </w:rPr>
        <w:t>,</w:t>
      </w:r>
      <w:r w:rsidRPr="00325370">
        <w:rPr>
          <w:sz w:val="24"/>
          <w:szCs w:val="24"/>
        </w:rPr>
        <w:t xml:space="preserve"> Canberra.</w:t>
      </w:r>
    </w:p>
    <w:p w:rsidR="00FC67CF" w:rsidRPr="00507F3C" w:rsidRDefault="00FC67CF" w:rsidP="00FB71C5">
      <w:pPr>
        <w:pStyle w:val="BodyText"/>
        <w:spacing w:before="160" w:after="360" w:line="240" w:lineRule="auto"/>
        <w:rPr>
          <w:sz w:val="20"/>
        </w:rPr>
      </w:pPr>
      <w:bookmarkStart w:id="1" w:name="JEL"/>
      <w:bookmarkEnd w:id="1"/>
      <w:proofErr w:type="spellStart"/>
      <w:r w:rsidRPr="00507F3C">
        <w:rPr>
          <w:sz w:val="20"/>
        </w:rPr>
        <w:t>JEL</w:t>
      </w:r>
      <w:proofErr w:type="spellEnd"/>
      <w:r w:rsidRPr="00507F3C">
        <w:rPr>
          <w:sz w:val="20"/>
        </w:rPr>
        <w:t xml:space="preserve"> code</w:t>
      </w:r>
      <w:r>
        <w:rPr>
          <w:sz w:val="20"/>
        </w:rPr>
        <w:t xml:space="preserve">: </w:t>
      </w:r>
      <w:proofErr w:type="spellStart"/>
      <w:r>
        <w:rPr>
          <w:sz w:val="20"/>
        </w:rPr>
        <w:t>L50</w:t>
      </w:r>
      <w:proofErr w:type="spellEnd"/>
    </w:p>
    <w:p w:rsidR="003E7802" w:rsidRPr="00325370" w:rsidRDefault="003E7802" w:rsidP="00B304A7">
      <w:pPr>
        <w:pStyle w:val="PCBoxHeading"/>
        <w:pBdr>
          <w:top w:val="single" w:sz="4" w:space="14" w:color="auto"/>
          <w:left w:val="single" w:sz="4" w:space="14" w:color="auto"/>
          <w:right w:val="single" w:sz="4" w:space="14" w:color="auto"/>
        </w:pBdr>
        <w:spacing w:before="0"/>
      </w:pPr>
      <w:r w:rsidRPr="00325370">
        <w:t>The Productivity Commission</w:t>
      </w:r>
    </w:p>
    <w:p w:rsidR="003E7802" w:rsidRPr="00325370" w:rsidRDefault="003E7802" w:rsidP="00B304A7">
      <w:pPr>
        <w:pStyle w:val="PCBoxtext"/>
        <w:pBdr>
          <w:top w:val="single" w:sz="4" w:space="14" w:color="auto"/>
          <w:left w:val="single" w:sz="4" w:space="14" w:color="auto"/>
          <w:right w:val="single" w:sz="4" w:space="14" w:color="auto"/>
        </w:pBdr>
      </w:pPr>
      <w:r w:rsidRPr="00325370">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325370" w:rsidRDefault="003E7802" w:rsidP="00B304A7">
      <w:pPr>
        <w:pStyle w:val="PCBoxtext"/>
        <w:pBdr>
          <w:top w:val="single" w:sz="4" w:space="14" w:color="auto"/>
          <w:left w:val="single" w:sz="4" w:space="14" w:color="auto"/>
          <w:right w:val="single" w:sz="4" w:space="14" w:color="auto"/>
        </w:pBdr>
      </w:pPr>
      <w:r w:rsidRPr="00325370">
        <w:t>The Commission’s independence is underpinned by an Act of Parliament. Its processes and outputs are open to public scrutiny and are driven by concern for the wellbeing of the community as a whole.</w:t>
      </w:r>
    </w:p>
    <w:p w:rsidR="00637FCC" w:rsidRPr="00325370" w:rsidRDefault="003E7802" w:rsidP="00637FCC">
      <w:pPr>
        <w:pStyle w:val="BodyText"/>
        <w:pBdr>
          <w:top w:val="single" w:sz="4" w:space="14" w:color="auto"/>
          <w:left w:val="single" w:sz="4" w:space="14" w:color="auto"/>
          <w:bottom w:val="single" w:sz="4" w:space="14" w:color="auto"/>
          <w:right w:val="single" w:sz="4" w:space="14" w:color="auto"/>
        </w:pBdr>
        <w:spacing w:before="160" w:line="240" w:lineRule="auto"/>
        <w:ind w:left="284" w:right="284"/>
        <w:rPr>
          <w:sz w:val="24"/>
          <w:szCs w:val="24"/>
        </w:rPr>
      </w:pPr>
      <w:r w:rsidRPr="00325370">
        <w:rPr>
          <w:sz w:val="24"/>
          <w:szCs w:val="24"/>
        </w:rPr>
        <w:t xml:space="preserve">Further information on the Productivity Commission can be obtained from the Commission’s website (www.pc.gov.au) or by contacting Media and Publications on (03) 9653 2244 or email: </w:t>
      </w:r>
      <w:proofErr w:type="spellStart"/>
      <w:r w:rsidR="00637FCC" w:rsidRPr="006B52EE">
        <w:rPr>
          <w:sz w:val="24"/>
          <w:szCs w:val="24"/>
        </w:rPr>
        <w:t>maps@pc.gov.au</w:t>
      </w:r>
      <w:bookmarkStart w:id="2" w:name="cov"/>
      <w:bookmarkEnd w:id="2"/>
      <w:proofErr w:type="spellEnd"/>
    </w:p>
    <w:p w:rsidR="00637FCC" w:rsidRPr="00325370" w:rsidRDefault="00637FCC" w:rsidP="00637FCC">
      <w:pPr>
        <w:pStyle w:val="BodyText"/>
        <w:sectPr w:rsidR="00637FCC" w:rsidRPr="00325370" w:rsidSect="00637FCC">
          <w:type w:val="oddPage"/>
          <w:pgSz w:w="11907" w:h="16840" w:code="9"/>
          <w:pgMar w:top="1276" w:right="1304" w:bottom="851" w:left="1814" w:header="1701" w:footer="567" w:gutter="0"/>
          <w:pgNumType w:fmt="lowerRoman"/>
          <w:cols w:space="720"/>
        </w:sectPr>
      </w:pPr>
    </w:p>
    <w:tbl>
      <w:tblPr>
        <w:tblW w:w="9073" w:type="dxa"/>
        <w:tblInd w:w="-34" w:type="dxa"/>
        <w:tblLayout w:type="fixed"/>
        <w:tblLook w:val="0000" w:firstRow="0" w:lastRow="0" w:firstColumn="0" w:lastColumn="0" w:noHBand="0" w:noVBand="0"/>
      </w:tblPr>
      <w:tblGrid>
        <w:gridCol w:w="2434"/>
        <w:gridCol w:w="1824"/>
        <w:gridCol w:w="1696"/>
        <w:gridCol w:w="3119"/>
      </w:tblGrid>
      <w:tr w:rsidR="00870F3F" w:rsidRPr="00325370" w:rsidTr="00537BB4">
        <w:trPr>
          <w:cantSplit/>
          <w:trHeight w:hRule="exact" w:val="996"/>
        </w:trPr>
        <w:tc>
          <w:tcPr>
            <w:tcW w:w="2434" w:type="dxa"/>
          </w:tcPr>
          <w:p w:rsidR="00870F3F" w:rsidRPr="00325370" w:rsidRDefault="00870F3F">
            <w:pPr>
              <w:pStyle w:val="PCAddress"/>
              <w:ind w:left="709"/>
              <w:rPr>
                <w:rFonts w:ascii="Goudy Old Style" w:hAnsi="Goudy Old Style"/>
                <w:b/>
                <w:i/>
              </w:rPr>
            </w:pPr>
          </w:p>
        </w:tc>
        <w:tc>
          <w:tcPr>
            <w:tcW w:w="1824" w:type="dxa"/>
          </w:tcPr>
          <w:p w:rsidR="00870F3F" w:rsidRPr="00325370" w:rsidRDefault="00870F3F">
            <w:pPr>
              <w:pStyle w:val="PCAddress"/>
              <w:ind w:left="709"/>
              <w:rPr>
                <w:rFonts w:ascii="Goudy Old Style" w:hAnsi="Goudy Old Style"/>
                <w:b/>
                <w:i/>
              </w:rPr>
            </w:pPr>
          </w:p>
        </w:tc>
        <w:tc>
          <w:tcPr>
            <w:tcW w:w="4815" w:type="dxa"/>
            <w:gridSpan w:val="2"/>
          </w:tcPr>
          <w:p w:rsidR="00870F3F" w:rsidRPr="00325370" w:rsidRDefault="00870F3F" w:rsidP="00537BB4">
            <w:pPr>
              <w:pStyle w:val="PCAddress"/>
              <w:ind w:left="709" w:right="176"/>
              <w:jc w:val="right"/>
              <w:rPr>
                <w:rFonts w:ascii="Goudy Old Style" w:hAnsi="Goudy Old Style"/>
                <w:b/>
                <w:i/>
              </w:rPr>
            </w:pPr>
            <w:r w:rsidRPr="00325370">
              <w:rPr>
                <w:rFonts w:ascii="Goudy Old Style" w:hAnsi="Goudy Old Style"/>
                <w:noProof/>
                <w:sz w:val="20"/>
              </w:rPr>
              <w:drawing>
                <wp:inline distT="0" distB="0" distL="0" distR="0" wp14:anchorId="02846427" wp14:editId="2C02EFC1">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10"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870F3F" w:rsidRPr="00325370" w:rsidTr="00537BB4">
        <w:trPr>
          <w:cantSplit/>
          <w:trHeight w:hRule="exact" w:val="2793"/>
        </w:trPr>
        <w:tc>
          <w:tcPr>
            <w:tcW w:w="5954" w:type="dxa"/>
            <w:gridSpan w:val="3"/>
            <w:vAlign w:val="bottom"/>
          </w:tcPr>
          <w:p w:rsidR="00870F3F" w:rsidRPr="00325370" w:rsidRDefault="00B943A4" w:rsidP="008B1465">
            <w:pPr>
              <w:ind w:left="34"/>
            </w:pPr>
            <w:bookmarkStart w:id="3" w:name="YourRef"/>
            <w:bookmarkStart w:id="4" w:name="OurRef"/>
            <w:bookmarkStart w:id="5" w:name="graphics" w:colFirst="1" w:colLast="1"/>
            <w:bookmarkEnd w:id="3"/>
            <w:bookmarkEnd w:id="4"/>
            <w:r w:rsidRPr="00325370">
              <w:rPr>
                <w:sz w:val="24"/>
                <w:lang w:eastAsia="en-AU"/>
              </w:rPr>
              <w:t>25 October 2013</w:t>
            </w:r>
          </w:p>
        </w:tc>
        <w:tc>
          <w:tcPr>
            <w:tcW w:w="3119" w:type="dxa"/>
            <w:vAlign w:val="center"/>
          </w:tcPr>
          <w:p w:rsidR="00870F3F" w:rsidRPr="00325370" w:rsidRDefault="00870F3F">
            <w:pPr>
              <w:pStyle w:val="PCAddress"/>
              <w:ind w:left="709"/>
              <w:rPr>
                <w:rFonts w:ascii="Goudy Old Style" w:hAnsi="Goudy Old Style"/>
                <w:b/>
                <w:i/>
              </w:rPr>
            </w:pPr>
            <w:r w:rsidRPr="00325370">
              <w:rPr>
                <w:rFonts w:ascii="Goudy Old Style" w:hAnsi="Goudy Old Style"/>
                <w:b/>
                <w:i/>
              </w:rPr>
              <w:t>Melbourne Office</w:t>
            </w:r>
          </w:p>
          <w:p w:rsidR="00870F3F" w:rsidRPr="00325370" w:rsidRDefault="00870F3F">
            <w:pPr>
              <w:pStyle w:val="PCAddress"/>
              <w:spacing w:after="0"/>
              <w:ind w:left="709"/>
              <w:rPr>
                <w:rFonts w:ascii="Goudy Old Style" w:hAnsi="Goudy Old Style"/>
              </w:rPr>
            </w:pPr>
            <w:r w:rsidRPr="00325370">
              <w:rPr>
                <w:rFonts w:ascii="Goudy Old Style" w:hAnsi="Goudy Old Style"/>
              </w:rPr>
              <w:t>Level 12, 530 Collins Street</w:t>
            </w:r>
          </w:p>
          <w:p w:rsidR="00870F3F" w:rsidRPr="00325370" w:rsidRDefault="00870F3F">
            <w:pPr>
              <w:pStyle w:val="PCAddress"/>
              <w:ind w:left="709"/>
              <w:rPr>
                <w:rFonts w:ascii="Goudy Old Style" w:hAnsi="Goudy Old Style"/>
              </w:rPr>
            </w:pPr>
            <w:r w:rsidRPr="00325370">
              <w:rPr>
                <w:rFonts w:ascii="Goudy Old Style" w:hAnsi="Goudy Old Style"/>
              </w:rPr>
              <w:t>Melbourne  VIC  3000</w:t>
            </w:r>
          </w:p>
          <w:p w:rsidR="00870F3F" w:rsidRPr="00325370" w:rsidRDefault="00870F3F">
            <w:pPr>
              <w:pStyle w:val="PCAddress"/>
              <w:spacing w:after="0"/>
              <w:ind w:left="709"/>
              <w:rPr>
                <w:rFonts w:ascii="Goudy Old Style" w:hAnsi="Goudy Old Style"/>
              </w:rPr>
            </w:pPr>
            <w:r w:rsidRPr="00325370">
              <w:rPr>
                <w:rFonts w:ascii="Goudy Old Style" w:hAnsi="Goudy Old Style"/>
              </w:rPr>
              <w:t xml:space="preserve">Locked Bag 2 Collins Street East </w:t>
            </w:r>
          </w:p>
          <w:p w:rsidR="00870F3F" w:rsidRPr="00325370" w:rsidRDefault="00870F3F">
            <w:pPr>
              <w:pStyle w:val="PCAddress"/>
              <w:ind w:left="709"/>
              <w:rPr>
                <w:rFonts w:ascii="Goudy Old Style" w:hAnsi="Goudy Old Style"/>
              </w:rPr>
            </w:pPr>
            <w:r w:rsidRPr="00325370">
              <w:rPr>
                <w:rFonts w:ascii="Goudy Old Style" w:hAnsi="Goudy Old Style"/>
              </w:rPr>
              <w:t>Melbourne  VIC  8003</w:t>
            </w:r>
          </w:p>
          <w:p w:rsidR="00870F3F" w:rsidRPr="00325370" w:rsidRDefault="00870F3F">
            <w:pPr>
              <w:pStyle w:val="PCAddress"/>
              <w:spacing w:after="0"/>
              <w:ind w:left="709"/>
              <w:rPr>
                <w:rFonts w:ascii="Goudy Old Style" w:hAnsi="Goudy Old Style"/>
              </w:rPr>
            </w:pPr>
            <w:r w:rsidRPr="00325370">
              <w:rPr>
                <w:rFonts w:ascii="Goudy Old Style" w:hAnsi="Goudy Old Style"/>
              </w:rPr>
              <w:t>Telephone</w:t>
            </w:r>
            <w:r w:rsidRPr="00325370">
              <w:rPr>
                <w:rFonts w:ascii="Goudy Old Style" w:hAnsi="Goudy Old Style"/>
              </w:rPr>
              <w:tab/>
              <w:t>03 9653 2100</w:t>
            </w:r>
          </w:p>
          <w:p w:rsidR="00870F3F" w:rsidRPr="00325370" w:rsidRDefault="00870F3F">
            <w:pPr>
              <w:pStyle w:val="PCAddress"/>
              <w:ind w:left="709"/>
              <w:rPr>
                <w:rFonts w:ascii="Goudy Old Style" w:hAnsi="Goudy Old Style"/>
              </w:rPr>
            </w:pPr>
            <w:r w:rsidRPr="00325370">
              <w:rPr>
                <w:rFonts w:ascii="Goudy Old Style" w:hAnsi="Goudy Old Style"/>
              </w:rPr>
              <w:t>Facsimile</w:t>
            </w:r>
            <w:r w:rsidRPr="00325370">
              <w:rPr>
                <w:rFonts w:ascii="Goudy Old Style" w:hAnsi="Goudy Old Style"/>
              </w:rPr>
              <w:tab/>
              <w:t>03 9653 2199</w:t>
            </w:r>
          </w:p>
          <w:p w:rsidR="00870F3F" w:rsidRPr="00325370" w:rsidRDefault="00870F3F">
            <w:pPr>
              <w:pStyle w:val="PCAddress"/>
              <w:ind w:left="709"/>
              <w:rPr>
                <w:rFonts w:ascii="Goudy Old Style" w:hAnsi="Goudy Old Style"/>
                <w:b/>
                <w:i/>
              </w:rPr>
            </w:pPr>
            <w:r w:rsidRPr="00325370">
              <w:rPr>
                <w:rFonts w:ascii="Goudy Old Style" w:hAnsi="Goudy Old Style"/>
                <w:b/>
                <w:i/>
              </w:rPr>
              <w:t>Canberra Office</w:t>
            </w:r>
          </w:p>
          <w:p w:rsidR="00870F3F" w:rsidRPr="00325370" w:rsidRDefault="00870F3F">
            <w:pPr>
              <w:pStyle w:val="PCAddress"/>
              <w:ind w:left="709"/>
              <w:rPr>
                <w:rFonts w:ascii="Goudy Old Style" w:hAnsi="Goudy Old Style"/>
              </w:rPr>
            </w:pPr>
            <w:r w:rsidRPr="00325370">
              <w:rPr>
                <w:rFonts w:ascii="Goudy Old Style" w:hAnsi="Goudy Old Style"/>
              </w:rPr>
              <w:t>Telephone</w:t>
            </w:r>
            <w:r w:rsidRPr="00325370">
              <w:rPr>
                <w:rFonts w:ascii="Goudy Old Style" w:hAnsi="Goudy Old Style"/>
              </w:rPr>
              <w:tab/>
              <w:t>02 6240 3200</w:t>
            </w:r>
          </w:p>
          <w:p w:rsidR="00870F3F" w:rsidRPr="00325370" w:rsidRDefault="00870F3F">
            <w:pPr>
              <w:pStyle w:val="PCAddress"/>
              <w:ind w:left="709"/>
              <w:rPr>
                <w:rFonts w:ascii="Goudy Old Style" w:hAnsi="Goudy Old Style"/>
              </w:rPr>
            </w:pPr>
            <w:r w:rsidRPr="00325370">
              <w:rPr>
                <w:rFonts w:ascii="Goudy Old Style" w:hAnsi="Goudy Old Style"/>
              </w:rPr>
              <w:t>www.pc.gov.au</w:t>
            </w:r>
          </w:p>
        </w:tc>
      </w:tr>
      <w:bookmarkEnd w:id="5"/>
    </w:tbl>
    <w:p w:rsidR="00870F3F" w:rsidRPr="00325370" w:rsidRDefault="00870F3F" w:rsidP="00537BB4">
      <w:pPr>
        <w:pStyle w:val="LetterAddress"/>
      </w:pPr>
    </w:p>
    <w:p w:rsidR="00450A4D" w:rsidRPr="00325370" w:rsidRDefault="00450A4D">
      <w:pPr>
        <w:pStyle w:val="LetterAddress"/>
      </w:pPr>
    </w:p>
    <w:p w:rsidR="00450A4D" w:rsidRPr="00325370" w:rsidRDefault="00450A4D">
      <w:pPr>
        <w:pStyle w:val="LetterAddress"/>
      </w:pPr>
    </w:p>
    <w:p w:rsidR="00870F3F" w:rsidRPr="00325370" w:rsidRDefault="007A3E8E">
      <w:pPr>
        <w:pStyle w:val="LetterAddress"/>
      </w:pPr>
      <w:r w:rsidRPr="00325370">
        <w:t xml:space="preserve">The Hon </w:t>
      </w:r>
      <w:r w:rsidR="00B943A4" w:rsidRPr="00325370">
        <w:t>Joe Hockey</w:t>
      </w:r>
      <w:r w:rsidRPr="00325370">
        <w:t xml:space="preserve"> </w:t>
      </w:r>
      <w:r w:rsidR="00B943A4" w:rsidRPr="00325370">
        <w:t>MP</w:t>
      </w:r>
      <w:r w:rsidR="00186BBC" w:rsidRPr="00325370">
        <w:br/>
      </w:r>
      <w:r w:rsidR="00870F3F" w:rsidRPr="00325370">
        <w:t>Treasurer</w:t>
      </w:r>
    </w:p>
    <w:p w:rsidR="00870F3F" w:rsidRPr="00325370" w:rsidRDefault="00870F3F">
      <w:pPr>
        <w:pStyle w:val="LetterAddress"/>
      </w:pPr>
      <w:r w:rsidRPr="00325370">
        <w:t>Parliament House</w:t>
      </w:r>
    </w:p>
    <w:p w:rsidR="00870F3F" w:rsidRPr="00325370" w:rsidRDefault="00870F3F">
      <w:pPr>
        <w:pStyle w:val="LetterAddress"/>
      </w:pPr>
      <w:r w:rsidRPr="00325370">
        <w:t>CANBERRA  ACT  2600</w:t>
      </w:r>
    </w:p>
    <w:p w:rsidR="00870F3F" w:rsidRPr="00325370" w:rsidRDefault="00870F3F">
      <w:pPr>
        <w:pStyle w:val="Salutation"/>
      </w:pPr>
      <w:bookmarkStart w:id="6" w:name="Salutation"/>
      <w:bookmarkEnd w:id="6"/>
    </w:p>
    <w:p w:rsidR="00450A4D" w:rsidRPr="00325370" w:rsidRDefault="00450A4D">
      <w:pPr>
        <w:pStyle w:val="Salutation"/>
      </w:pPr>
    </w:p>
    <w:p w:rsidR="00450A4D" w:rsidRPr="00325370" w:rsidRDefault="00450A4D">
      <w:pPr>
        <w:pStyle w:val="Salutation"/>
      </w:pPr>
    </w:p>
    <w:p w:rsidR="00870F3F" w:rsidRPr="00325370" w:rsidRDefault="00870F3F">
      <w:pPr>
        <w:pStyle w:val="Salutation"/>
      </w:pPr>
      <w:r w:rsidRPr="00325370">
        <w:t>Dear Treasurer</w:t>
      </w:r>
    </w:p>
    <w:p w:rsidR="00870F3F" w:rsidRPr="00325370" w:rsidRDefault="00870F3F" w:rsidP="00537BB4">
      <w:pPr>
        <w:pStyle w:val="BodyText"/>
        <w:ind w:right="142"/>
        <w:rPr>
          <w:sz w:val="24"/>
          <w:szCs w:val="24"/>
        </w:rPr>
      </w:pPr>
      <w:bookmarkStart w:id="7" w:name="Body"/>
      <w:bookmarkEnd w:id="7"/>
      <w:r w:rsidRPr="00325370">
        <w:rPr>
          <w:sz w:val="24"/>
          <w:szCs w:val="24"/>
        </w:rPr>
        <w:t xml:space="preserve">In accordance with Section 11 of the </w:t>
      </w:r>
      <w:r w:rsidRPr="00325370">
        <w:rPr>
          <w:i/>
          <w:sz w:val="24"/>
          <w:szCs w:val="24"/>
        </w:rPr>
        <w:t>Productivity Commission Act 1998</w:t>
      </w:r>
      <w:r w:rsidRPr="00325370">
        <w:rPr>
          <w:sz w:val="24"/>
          <w:szCs w:val="24"/>
        </w:rPr>
        <w:t xml:space="preserve">, we have pleasure in submitting to you the Commission’s final report into </w:t>
      </w:r>
      <w:r w:rsidR="00CB7FBD" w:rsidRPr="00325370">
        <w:rPr>
          <w:sz w:val="24"/>
          <w:szCs w:val="24"/>
        </w:rPr>
        <w:t>the National Access Regime</w:t>
      </w:r>
      <w:r w:rsidRPr="00325370">
        <w:rPr>
          <w:sz w:val="24"/>
          <w:szCs w:val="24"/>
        </w:rPr>
        <w:t>.</w:t>
      </w:r>
    </w:p>
    <w:p w:rsidR="00870F3F" w:rsidRPr="00325370" w:rsidRDefault="00870F3F" w:rsidP="003E295C">
      <w:pPr>
        <w:pStyle w:val="Signoff"/>
      </w:pPr>
      <w:bookmarkStart w:id="8" w:name="signoff"/>
      <w:bookmarkEnd w:id="8"/>
      <w:r w:rsidRPr="00325370">
        <w:t>Yours sincerely</w:t>
      </w:r>
    </w:p>
    <w:tbl>
      <w:tblPr>
        <w:tblStyle w:val="TableGrid"/>
        <w:tblW w:w="86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3002"/>
        <w:gridCol w:w="683"/>
      </w:tblGrid>
      <w:tr w:rsidR="003E295C" w:rsidRPr="00325370" w:rsidTr="00BA3E76">
        <w:tc>
          <w:tcPr>
            <w:tcW w:w="4928" w:type="dxa"/>
            <w:vAlign w:val="center"/>
          </w:tcPr>
          <w:p w:rsidR="006B4F3B" w:rsidRPr="00325370" w:rsidRDefault="00125A72" w:rsidP="00BA3E76">
            <w:pPr>
              <w:pStyle w:val="BodyText"/>
              <w:jc w:val="lef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ignature of Patriciia Scott" style="width:111.75pt;height:30.1pt;mso-position-horizontal:absolute">
                  <v:imagedata r:id="rId11" o:title=""/>
                </v:shape>
              </w:pict>
            </w:r>
          </w:p>
        </w:tc>
        <w:tc>
          <w:tcPr>
            <w:tcW w:w="3002" w:type="dxa"/>
            <w:vAlign w:val="center"/>
          </w:tcPr>
          <w:p w:rsidR="003E295C" w:rsidRPr="00325370" w:rsidRDefault="00163C81" w:rsidP="00BA3E76">
            <w:pPr>
              <w:pStyle w:val="BodyText"/>
              <w:jc w:val="left"/>
              <w:rPr>
                <w:sz w:val="24"/>
                <w:szCs w:val="24"/>
              </w:rPr>
            </w:pPr>
            <w:r w:rsidRPr="00325370">
              <w:rPr>
                <w:noProof/>
                <w:lang w:eastAsia="en-AU"/>
              </w:rPr>
              <w:drawing>
                <wp:inline distT="0" distB="0" distL="0" distR="0" wp14:anchorId="07B492D0" wp14:editId="3570FBEC">
                  <wp:extent cx="1257300" cy="510540"/>
                  <wp:effectExtent l="0" t="0" r="0" b="3810"/>
                  <wp:docPr id="2" name="Picture 2" descr="Signature of Angela MacR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gela-macra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57300" cy="510540"/>
                          </a:xfrm>
                          <a:prstGeom prst="rect">
                            <a:avLst/>
                          </a:prstGeom>
                          <a:noFill/>
                          <a:ln>
                            <a:noFill/>
                          </a:ln>
                        </pic:spPr>
                      </pic:pic>
                    </a:graphicData>
                  </a:graphic>
                </wp:inline>
              </w:drawing>
            </w:r>
          </w:p>
        </w:tc>
        <w:tc>
          <w:tcPr>
            <w:tcW w:w="683" w:type="dxa"/>
          </w:tcPr>
          <w:p w:rsidR="003E295C" w:rsidRPr="00325370" w:rsidRDefault="003E295C" w:rsidP="00537BB4">
            <w:pPr>
              <w:pStyle w:val="LetterAddress"/>
              <w:rPr>
                <w:szCs w:val="24"/>
              </w:rPr>
            </w:pPr>
          </w:p>
        </w:tc>
      </w:tr>
      <w:tr w:rsidR="00870F3F" w:rsidRPr="00325370" w:rsidTr="00D255F2">
        <w:tc>
          <w:tcPr>
            <w:tcW w:w="4928" w:type="dxa"/>
          </w:tcPr>
          <w:p w:rsidR="00870F3F" w:rsidRPr="00325370" w:rsidRDefault="00D255F2" w:rsidP="00537BB4">
            <w:pPr>
              <w:pStyle w:val="BodyText"/>
              <w:rPr>
                <w:sz w:val="24"/>
                <w:szCs w:val="24"/>
              </w:rPr>
            </w:pPr>
            <w:bookmarkStart w:id="9" w:name="author"/>
            <w:bookmarkEnd w:id="9"/>
            <w:r w:rsidRPr="00325370">
              <w:rPr>
                <w:sz w:val="24"/>
                <w:szCs w:val="24"/>
              </w:rPr>
              <w:t>Patricia Scott</w:t>
            </w:r>
          </w:p>
          <w:p w:rsidR="00870F3F" w:rsidRPr="00325370" w:rsidRDefault="00870F3F" w:rsidP="00537BB4">
            <w:pPr>
              <w:pStyle w:val="LetterAddress"/>
              <w:rPr>
                <w:szCs w:val="24"/>
              </w:rPr>
            </w:pPr>
            <w:r w:rsidRPr="00325370">
              <w:t>Presiding Commissioner</w:t>
            </w:r>
          </w:p>
        </w:tc>
        <w:tc>
          <w:tcPr>
            <w:tcW w:w="3002" w:type="dxa"/>
          </w:tcPr>
          <w:p w:rsidR="00870F3F" w:rsidRPr="00325370" w:rsidRDefault="00D255F2" w:rsidP="00537BB4">
            <w:pPr>
              <w:pStyle w:val="BodyText"/>
              <w:rPr>
                <w:sz w:val="24"/>
                <w:szCs w:val="24"/>
              </w:rPr>
            </w:pPr>
            <w:r w:rsidRPr="00325370">
              <w:rPr>
                <w:sz w:val="24"/>
                <w:szCs w:val="24"/>
              </w:rPr>
              <w:t>Angela MacRae</w:t>
            </w:r>
          </w:p>
          <w:p w:rsidR="00870F3F" w:rsidRPr="00325370" w:rsidRDefault="00870F3F" w:rsidP="00537BB4">
            <w:pPr>
              <w:pStyle w:val="LetterAddress"/>
              <w:rPr>
                <w:szCs w:val="24"/>
              </w:rPr>
            </w:pPr>
            <w:r w:rsidRPr="00325370">
              <w:t>Commissioner</w:t>
            </w:r>
          </w:p>
        </w:tc>
        <w:tc>
          <w:tcPr>
            <w:tcW w:w="683" w:type="dxa"/>
          </w:tcPr>
          <w:p w:rsidR="00870F3F" w:rsidRPr="00325370" w:rsidRDefault="00870F3F" w:rsidP="00537BB4">
            <w:pPr>
              <w:pStyle w:val="LetterAddress"/>
              <w:rPr>
                <w:szCs w:val="24"/>
              </w:rPr>
            </w:pPr>
          </w:p>
        </w:tc>
      </w:tr>
    </w:tbl>
    <w:p w:rsidR="00450A4D" w:rsidRPr="00325370" w:rsidRDefault="00450A4D" w:rsidP="00450A4D">
      <w:pPr>
        <w:rPr>
          <w:kern w:val="28"/>
          <w:sz w:val="52"/>
        </w:rPr>
        <w:sectPr w:rsidR="00450A4D" w:rsidRPr="00325370" w:rsidSect="00FB71C5">
          <w:headerReference w:type="default" r:id="rId13"/>
          <w:footerReference w:type="default" r:id="rId14"/>
          <w:type w:val="oddPage"/>
          <w:pgSz w:w="11907" w:h="16840" w:code="9"/>
          <w:pgMar w:top="1134" w:right="1304" w:bottom="1418" w:left="1814" w:header="1644" w:footer="567" w:gutter="0"/>
          <w:pgNumType w:fmt="lowerRoman"/>
          <w:cols w:space="720"/>
          <w:docGrid w:linePitch="354"/>
        </w:sectPr>
      </w:pPr>
    </w:p>
    <w:p w:rsidR="00870F3F" w:rsidRPr="00325370" w:rsidRDefault="00870F3F" w:rsidP="000B4F15">
      <w:pPr>
        <w:pStyle w:val="Heading1"/>
      </w:pPr>
      <w:bookmarkStart w:id="10" w:name="_Toc370213941"/>
      <w:r w:rsidRPr="00325370">
        <w:lastRenderedPageBreak/>
        <w:t>Terms of reference</w:t>
      </w:r>
      <w:bookmarkEnd w:id="10"/>
    </w:p>
    <w:p w:rsidR="00AC507A" w:rsidRPr="00325370" w:rsidRDefault="00AC507A" w:rsidP="00AC507A">
      <w:pPr>
        <w:pStyle w:val="BodyText"/>
      </w:pPr>
      <w:r w:rsidRPr="00325370">
        <w:t xml:space="preserve">I, David Bradbury, Assistant Treasurer, pursuant to Parts 2 and 3 of the </w:t>
      </w:r>
      <w:r w:rsidRPr="00325370">
        <w:rPr>
          <w:i/>
        </w:rPr>
        <w:t>Productivity Commission Act 1998</w:t>
      </w:r>
      <w:r w:rsidRPr="00325370">
        <w:t>, hereby refer clause 6 of the Competition Principles Agreement (CPA), Part </w:t>
      </w:r>
      <w:proofErr w:type="spellStart"/>
      <w:r w:rsidRPr="00325370">
        <w:t>IIIA</w:t>
      </w:r>
      <w:proofErr w:type="spellEnd"/>
      <w:r w:rsidRPr="00325370">
        <w:t xml:space="preserve"> of the </w:t>
      </w:r>
      <w:r w:rsidRPr="00325370">
        <w:rPr>
          <w:i/>
        </w:rPr>
        <w:t>Competition and Consumer Act 2010</w:t>
      </w:r>
      <w:r w:rsidRPr="00325370">
        <w:t xml:space="preserve"> (</w:t>
      </w:r>
      <w:proofErr w:type="spellStart"/>
      <w:r w:rsidRPr="00325370">
        <w:t>CCA</w:t>
      </w:r>
      <w:proofErr w:type="spellEnd"/>
      <w:r w:rsidRPr="00325370">
        <w:t>) and the operation and terms of the Competition and Infrastructure Reform Agreement (</w:t>
      </w:r>
      <w:proofErr w:type="spellStart"/>
      <w:r w:rsidRPr="00325370">
        <w:t>CIRA</w:t>
      </w:r>
      <w:proofErr w:type="spellEnd"/>
      <w:r w:rsidRPr="00325370">
        <w:t xml:space="preserve">) to the Productivity Commission (Commission) for inquiry and report within twelve months of receipt of this reference.  </w:t>
      </w:r>
    </w:p>
    <w:p w:rsidR="00AC507A" w:rsidRPr="00325370" w:rsidRDefault="00AC507A" w:rsidP="00AC507A">
      <w:pPr>
        <w:pStyle w:val="BodyText"/>
      </w:pPr>
      <w:r w:rsidRPr="00325370">
        <w:t xml:space="preserve">Through this inquiry, which is a milestone in the Seamless National Economy National Partnership, the Commission is to assess the role and efficacy of the National Access Regime (the Regime) and propose ways of improving its operation to ensure the efficient operation of and investment in essential infrastructure to promote competition and efficient investment in dependent markets.  </w:t>
      </w:r>
    </w:p>
    <w:p w:rsidR="00AC507A" w:rsidRPr="00325370" w:rsidRDefault="00AC507A" w:rsidP="000B4F15">
      <w:pPr>
        <w:pStyle w:val="Heading3"/>
      </w:pPr>
      <w:r w:rsidRPr="00325370">
        <w:t>Background</w:t>
      </w:r>
    </w:p>
    <w:p w:rsidR="00AC507A" w:rsidRPr="00325370" w:rsidRDefault="00AC507A" w:rsidP="00AC507A">
      <w:pPr>
        <w:pStyle w:val="BodyText"/>
      </w:pPr>
      <w:r w:rsidRPr="00325370">
        <w:t>The Regime is a regulatory framework that provides an avenue for firms to access certain ‘essential’ infrastructure services owned and operated by others, when commercial negotiations on access are unsuccessful. The Regime is intended to promote the economically efficient operation of, use of and investment in the infrastructure by which services are provided, thereby promoting effective competition in upstream and downstream markets.</w:t>
      </w:r>
    </w:p>
    <w:p w:rsidR="00AC507A" w:rsidRPr="00325370" w:rsidRDefault="00AC507A" w:rsidP="00AC507A">
      <w:pPr>
        <w:pStyle w:val="BodyText"/>
      </w:pPr>
      <w:r w:rsidRPr="00325370">
        <w:t>The Regime was introduced in 1995 as a key part of the National Competition Policy (NCP), which brought in broad-ranging reforms to enhance productivity and growth in the Australian economy. The regulatory provisions of the Regime are contained in Part </w:t>
      </w:r>
      <w:proofErr w:type="spellStart"/>
      <w:r w:rsidRPr="00325370">
        <w:t>IIIA</w:t>
      </w:r>
      <w:proofErr w:type="spellEnd"/>
      <w:r w:rsidRPr="00325370">
        <w:t xml:space="preserve"> of the </w:t>
      </w:r>
      <w:proofErr w:type="spellStart"/>
      <w:r w:rsidRPr="00325370">
        <w:t>CCA</w:t>
      </w:r>
      <w:proofErr w:type="spellEnd"/>
      <w:r w:rsidRPr="00325370">
        <w:t xml:space="preserve"> and clause 6 of the CPA, which was signed by the Commonwealth and States and Territories in April 1995 to underpin the NCP.  </w:t>
      </w:r>
    </w:p>
    <w:p w:rsidR="00AC507A" w:rsidRPr="00325370" w:rsidRDefault="00AC507A" w:rsidP="00AC507A">
      <w:pPr>
        <w:pStyle w:val="BodyText"/>
      </w:pPr>
      <w:r w:rsidRPr="00325370">
        <w:t>In 2001, the Commission conducted an inquiry into the operation of the Regime.  The Commission supported continuation of the Regime and made a number of recommendations to improve its operation — including in relation to clarifying the Regime’s objectives and scope, encouraging efficient infrastructure investment, strengthening incentives for commercial negotiation, and improving the certainty and transparency of regulatory process</w:t>
      </w:r>
      <w:bookmarkStart w:id="11" w:name="_GoBack"/>
      <w:bookmarkEnd w:id="11"/>
      <w:r w:rsidRPr="00325370">
        <w:t>es. The Australian Government supported most of the Commission’s proposed measures and a number of operational reforms to Part </w:t>
      </w:r>
      <w:proofErr w:type="spellStart"/>
      <w:r w:rsidRPr="00325370">
        <w:t>IIIA</w:t>
      </w:r>
      <w:proofErr w:type="spellEnd"/>
      <w:r w:rsidRPr="00325370">
        <w:t xml:space="preserve"> have since been introduced.  </w:t>
      </w:r>
    </w:p>
    <w:p w:rsidR="00AC507A" w:rsidRPr="00325370" w:rsidRDefault="00AC507A" w:rsidP="00AC507A">
      <w:pPr>
        <w:pStyle w:val="BodyText"/>
        <w:rPr>
          <w:szCs w:val="24"/>
        </w:rPr>
      </w:pPr>
      <w:r w:rsidRPr="00325370">
        <w:lastRenderedPageBreak/>
        <w:t xml:space="preserve">The Council of Australian Governments (COAG) agreed on a new National Reform Agenda in February 2006. As part of that Agenda, COAG signed the </w:t>
      </w:r>
      <w:proofErr w:type="spellStart"/>
      <w:r w:rsidRPr="00325370">
        <w:t>CIRA</w:t>
      </w:r>
      <w:proofErr w:type="spellEnd"/>
      <w:r w:rsidRPr="00325370">
        <w:t xml:space="preserve"> to provide for a simpler and more consistent national system of economic regulation for nationally</w:t>
      </w:r>
      <w:r w:rsidRPr="00325370">
        <w:noBreakHyphen/>
        <w:t xml:space="preserve">significant infrastructure, including for ports, railways and other key infrastructure. The </w:t>
      </w:r>
      <w:proofErr w:type="spellStart"/>
      <w:r w:rsidRPr="00325370">
        <w:t>CIRA</w:t>
      </w:r>
      <w:proofErr w:type="spellEnd"/>
      <w:r w:rsidRPr="00325370">
        <w:t xml:space="preserve"> included some specific reforms to improve the operation of the Regime, building on the Commission’s 2001 recommendations. Clause 8.1 of the </w:t>
      </w:r>
      <w:proofErr w:type="spellStart"/>
      <w:r w:rsidRPr="00325370">
        <w:t>CIRA</w:t>
      </w:r>
      <w:proofErr w:type="spellEnd"/>
      <w:r w:rsidRPr="00325370">
        <w:t xml:space="preserve"> provides that once it has operated for five years, the Parties will review its operation and terms. </w:t>
      </w:r>
    </w:p>
    <w:p w:rsidR="00AC507A" w:rsidRPr="00325370" w:rsidRDefault="00AC507A" w:rsidP="000B4F15">
      <w:pPr>
        <w:pStyle w:val="Heading3"/>
      </w:pPr>
      <w:r w:rsidRPr="00325370">
        <w:t>Scope of the inquiry</w:t>
      </w:r>
    </w:p>
    <w:p w:rsidR="00AC507A" w:rsidRPr="00325370" w:rsidRDefault="00AC507A" w:rsidP="00AC507A">
      <w:pPr>
        <w:pStyle w:val="BodyText"/>
      </w:pPr>
      <w:r w:rsidRPr="00325370">
        <w:t xml:space="preserve">In reporting on the Regime and the </w:t>
      </w:r>
      <w:proofErr w:type="spellStart"/>
      <w:r w:rsidRPr="00325370">
        <w:t>CIRA</w:t>
      </w:r>
      <w:proofErr w:type="spellEnd"/>
      <w:r w:rsidRPr="00325370">
        <w:t>, the Commission is to:</w:t>
      </w:r>
    </w:p>
    <w:p w:rsidR="00AC507A" w:rsidRPr="00325370" w:rsidRDefault="00AC507A" w:rsidP="00AC507A">
      <w:pPr>
        <w:pStyle w:val="ListNumber"/>
        <w:numPr>
          <w:ilvl w:val="0"/>
          <w:numId w:val="25"/>
        </w:numPr>
      </w:pPr>
      <w:r w:rsidRPr="00325370">
        <w:t>examine the rationale, role and objectives of the Regime, and Australia’s overall framework of access regulation, and comment on:</w:t>
      </w:r>
    </w:p>
    <w:p w:rsidR="00AC507A" w:rsidRPr="00325370" w:rsidRDefault="00AC507A" w:rsidP="00AC507A">
      <w:pPr>
        <w:pStyle w:val="ListNumber2"/>
        <w:numPr>
          <w:ilvl w:val="1"/>
          <w:numId w:val="25"/>
        </w:numPr>
        <w:tabs>
          <w:tab w:val="left" w:pos="794"/>
        </w:tabs>
      </w:pPr>
      <w:r w:rsidRPr="00325370">
        <w:t>the full range of economic costs and benefits of infrastructure regulation, including contributions to economic growth and productivity;</w:t>
      </w:r>
    </w:p>
    <w:p w:rsidR="00AC507A" w:rsidRPr="00325370" w:rsidRDefault="00AC507A" w:rsidP="00AC507A">
      <w:pPr>
        <w:pStyle w:val="ListNumber2"/>
        <w:numPr>
          <w:ilvl w:val="1"/>
          <w:numId w:val="25"/>
        </w:numPr>
        <w:tabs>
          <w:tab w:val="left" w:pos="794"/>
        </w:tabs>
      </w:pPr>
      <w:r w:rsidRPr="00325370">
        <w:t xml:space="preserve">the operation of the Regime relative to other access regimes, including its consistency with those regimes and the effectiveness of the certification process; and </w:t>
      </w:r>
    </w:p>
    <w:p w:rsidR="00AC507A" w:rsidRPr="00325370" w:rsidRDefault="00AC507A" w:rsidP="00AC507A">
      <w:pPr>
        <w:pStyle w:val="ListNumber2"/>
        <w:numPr>
          <w:ilvl w:val="1"/>
          <w:numId w:val="25"/>
        </w:numPr>
        <w:tabs>
          <w:tab w:val="left" w:pos="794"/>
        </w:tabs>
      </w:pPr>
      <w:r w:rsidRPr="00325370">
        <w:t xml:space="preserve">the roles of the National Competition Council, the Australian Competition and Consumer Commission and the Australian Competition Tribunal in the administration of the Regime, and the Minister as decision maker, and the relationship between the institutions; </w:t>
      </w:r>
    </w:p>
    <w:p w:rsidR="00AC507A" w:rsidRPr="00325370" w:rsidRDefault="00AC507A" w:rsidP="00AC507A">
      <w:pPr>
        <w:pStyle w:val="ListNumber"/>
        <w:numPr>
          <w:ilvl w:val="0"/>
          <w:numId w:val="25"/>
        </w:numPr>
      </w:pPr>
      <w:r w:rsidRPr="00325370">
        <w:t>assess the performance of the Regime in meeting its rationale and objectives, including:</w:t>
      </w:r>
    </w:p>
    <w:p w:rsidR="00AC507A" w:rsidRPr="00325370" w:rsidRDefault="00AC507A" w:rsidP="00AC507A">
      <w:pPr>
        <w:pStyle w:val="ListNumber2"/>
        <w:numPr>
          <w:ilvl w:val="1"/>
          <w:numId w:val="25"/>
        </w:numPr>
        <w:tabs>
          <w:tab w:val="left" w:pos="794"/>
        </w:tabs>
      </w:pPr>
      <w:r w:rsidRPr="00325370">
        <w:t>the effectiveness of enhancements made to the Regime and the regulatory reforms agreed under COAG’s National Reform Agenda; and</w:t>
      </w:r>
    </w:p>
    <w:p w:rsidR="00AC507A" w:rsidRPr="00325370" w:rsidRDefault="00AC507A" w:rsidP="00AC507A">
      <w:pPr>
        <w:pStyle w:val="ListNumber2"/>
        <w:numPr>
          <w:ilvl w:val="1"/>
          <w:numId w:val="25"/>
        </w:numPr>
        <w:tabs>
          <w:tab w:val="left" w:pos="794"/>
        </w:tabs>
      </w:pPr>
      <w:r w:rsidRPr="00325370">
        <w:t xml:space="preserve">how the Regime has been variously applied by decision makers, but not so as to constitute a review or reconsideration of particular decisions;  </w:t>
      </w:r>
    </w:p>
    <w:p w:rsidR="00AC507A" w:rsidRPr="00325370" w:rsidRDefault="00AC507A" w:rsidP="00AC507A">
      <w:pPr>
        <w:pStyle w:val="ListNumber"/>
        <w:numPr>
          <w:ilvl w:val="0"/>
          <w:numId w:val="25"/>
        </w:numPr>
      </w:pPr>
      <w:r w:rsidRPr="00325370">
        <w:t xml:space="preserve">report on whether the implementation of the Regime adequately ensures that its economic efficiency objectives are met, including:  </w:t>
      </w:r>
    </w:p>
    <w:p w:rsidR="00AC507A" w:rsidRPr="00325370" w:rsidRDefault="00AC507A" w:rsidP="00AC507A">
      <w:pPr>
        <w:pStyle w:val="ListNumber2"/>
        <w:numPr>
          <w:ilvl w:val="1"/>
          <w:numId w:val="25"/>
        </w:numPr>
        <w:tabs>
          <w:tab w:val="left" w:pos="794"/>
        </w:tabs>
      </w:pPr>
      <w:r w:rsidRPr="00325370">
        <w:t>whether the criteria for declaration strike an appropriate balance between promoting efficient investment in infrastructure and ensuring its efficient operation and use;</w:t>
      </w:r>
    </w:p>
    <w:p w:rsidR="00AC507A" w:rsidRPr="00325370" w:rsidRDefault="00AC507A" w:rsidP="00AC507A">
      <w:pPr>
        <w:pStyle w:val="ListNumber2"/>
        <w:numPr>
          <w:ilvl w:val="1"/>
          <w:numId w:val="25"/>
        </w:numPr>
        <w:tabs>
          <w:tab w:val="left" w:pos="794"/>
        </w:tabs>
      </w:pPr>
      <w:r w:rsidRPr="00325370">
        <w:t>whether the criteria for declaration are sufficiently well drafted in the legislation to ensure that its objectives will be met;</w:t>
      </w:r>
    </w:p>
    <w:p w:rsidR="00AC507A" w:rsidRPr="00325370" w:rsidRDefault="00AC507A" w:rsidP="00AC507A">
      <w:pPr>
        <w:pStyle w:val="ListNumber"/>
        <w:numPr>
          <w:ilvl w:val="0"/>
          <w:numId w:val="25"/>
        </w:numPr>
      </w:pPr>
      <w:r w:rsidRPr="00325370">
        <w:lastRenderedPageBreak/>
        <w:t xml:space="preserve">provide advice on ways to improve processes and decisions for facilitating third party access to essential infrastructure, including in relation to:  </w:t>
      </w:r>
    </w:p>
    <w:p w:rsidR="00AC507A" w:rsidRPr="00325370" w:rsidRDefault="00AC507A" w:rsidP="00AC507A">
      <w:pPr>
        <w:pStyle w:val="ListNumber2"/>
        <w:numPr>
          <w:ilvl w:val="1"/>
          <w:numId w:val="25"/>
        </w:numPr>
        <w:tabs>
          <w:tab w:val="left" w:pos="794"/>
        </w:tabs>
      </w:pPr>
      <w:r w:rsidRPr="00325370">
        <w:t xml:space="preserve">promoting best-practice regulatory principles, such as those pertaining to regulatory certainty, transparency, accountability and effectiveness;  </w:t>
      </w:r>
    </w:p>
    <w:p w:rsidR="00AC507A" w:rsidRPr="00325370" w:rsidRDefault="00AC507A" w:rsidP="00AC507A">
      <w:pPr>
        <w:pStyle w:val="ListNumber2"/>
        <w:numPr>
          <w:ilvl w:val="1"/>
          <w:numId w:val="25"/>
        </w:numPr>
        <w:tabs>
          <w:tab w:val="left" w:pos="794"/>
        </w:tabs>
      </w:pPr>
      <w:r w:rsidRPr="00325370">
        <w:t xml:space="preserve">measures to improve flexibility and reduce complexity, costs and time for all parties; </w:t>
      </w:r>
    </w:p>
    <w:p w:rsidR="00AC507A" w:rsidRPr="00325370" w:rsidRDefault="00AC507A" w:rsidP="00AC507A">
      <w:pPr>
        <w:pStyle w:val="ListNumber2"/>
        <w:numPr>
          <w:ilvl w:val="1"/>
          <w:numId w:val="25"/>
        </w:numPr>
        <w:tabs>
          <w:tab w:val="left" w:pos="794"/>
        </w:tabs>
      </w:pPr>
      <w:r w:rsidRPr="00325370">
        <w:t xml:space="preserve">options to ensure that, as far as possible, efficient investments in infrastructure are achieved; and </w:t>
      </w:r>
    </w:p>
    <w:p w:rsidR="00AC507A" w:rsidRPr="00325370" w:rsidRDefault="00AC507A" w:rsidP="00AC507A">
      <w:pPr>
        <w:pStyle w:val="ListNumber2"/>
        <w:numPr>
          <w:ilvl w:val="1"/>
          <w:numId w:val="25"/>
        </w:numPr>
        <w:tabs>
          <w:tab w:val="left" w:pos="794"/>
        </w:tabs>
      </w:pPr>
      <w:r w:rsidRPr="00325370">
        <w:t xml:space="preserve">‘greenfield’ infrastructure projects and private sector infrastructure provision;  </w:t>
      </w:r>
    </w:p>
    <w:p w:rsidR="00AC507A" w:rsidRPr="00325370" w:rsidRDefault="00AC507A" w:rsidP="00AC507A">
      <w:pPr>
        <w:pStyle w:val="ListNumber"/>
        <w:numPr>
          <w:ilvl w:val="0"/>
          <w:numId w:val="25"/>
        </w:numPr>
      </w:pPr>
      <w:r w:rsidRPr="00325370">
        <w:t xml:space="preserve">review the effectiveness of the reforms outlined in the </w:t>
      </w:r>
      <w:proofErr w:type="spellStart"/>
      <w:r w:rsidRPr="00325370">
        <w:t>CIRA</w:t>
      </w:r>
      <w:proofErr w:type="spellEnd"/>
      <w:r w:rsidRPr="00325370">
        <w:t xml:space="preserve">, and the actions and reforms undertaken by governments in giving effect to the </w:t>
      </w:r>
      <w:proofErr w:type="spellStart"/>
      <w:r w:rsidRPr="00325370">
        <w:t>CIRA</w:t>
      </w:r>
      <w:proofErr w:type="spellEnd"/>
      <w:r w:rsidRPr="00325370">
        <w:t>; and</w:t>
      </w:r>
    </w:p>
    <w:p w:rsidR="00AC507A" w:rsidRPr="00325370" w:rsidRDefault="00AC507A" w:rsidP="00AC507A">
      <w:pPr>
        <w:pStyle w:val="ListNumber"/>
        <w:numPr>
          <w:ilvl w:val="0"/>
          <w:numId w:val="25"/>
        </w:numPr>
      </w:pPr>
      <w:r w:rsidRPr="00325370">
        <w:t xml:space="preserve">comment on other relevant policy measures, including any non-legislative approaches, which would help ensure effective and responsive delivery of infrastructure services over both the short and long term.  </w:t>
      </w:r>
    </w:p>
    <w:p w:rsidR="00AC507A" w:rsidRPr="00325370" w:rsidRDefault="00AC507A" w:rsidP="000B4F15">
      <w:pPr>
        <w:pStyle w:val="Heading3"/>
      </w:pPr>
      <w:r w:rsidRPr="00325370">
        <w:t>Process</w:t>
      </w:r>
    </w:p>
    <w:p w:rsidR="00AC507A" w:rsidRPr="00325370" w:rsidRDefault="00AC507A" w:rsidP="00AC507A">
      <w:pPr>
        <w:pStyle w:val="BodyText"/>
      </w:pPr>
      <w:r w:rsidRPr="00325370">
        <w:t xml:space="preserve">The Commission is to undertake an appropriate public consultation process including holding hearings, inviting public submissions and releasing a draft report.  </w:t>
      </w:r>
    </w:p>
    <w:p w:rsidR="00AC507A" w:rsidRPr="00325370" w:rsidRDefault="00AC507A" w:rsidP="00AC507A">
      <w:pPr>
        <w:pStyle w:val="BodyText"/>
      </w:pPr>
      <w:r w:rsidRPr="00325370">
        <w:t xml:space="preserve">The Government will consider the Commission’s recommendations, and the Government’s response will be announced as soon as possible after the receipt of the Commission’s final report. </w:t>
      </w:r>
    </w:p>
    <w:p w:rsidR="00AC507A" w:rsidRPr="00325370" w:rsidRDefault="00AC507A" w:rsidP="00AC507A">
      <w:pPr>
        <w:pStyle w:val="BodyText"/>
      </w:pPr>
    </w:p>
    <w:p w:rsidR="00AC507A" w:rsidRPr="00325370" w:rsidRDefault="00AC507A" w:rsidP="00AC507A">
      <w:pPr>
        <w:pStyle w:val="BodyText"/>
      </w:pPr>
      <w:r w:rsidRPr="00325370">
        <w:t>David Bradbury</w:t>
      </w:r>
      <w:r w:rsidRPr="00325370">
        <w:br/>
        <w:t xml:space="preserve">Assistant Treasurer </w:t>
      </w:r>
      <w:r w:rsidRPr="00325370">
        <w:br/>
        <w:t>[Received 25 October 2012]</w:t>
      </w:r>
    </w:p>
    <w:p w:rsidR="00870F3F" w:rsidRPr="00325370" w:rsidRDefault="00870F3F" w:rsidP="00CC666E">
      <w:pPr>
        <w:pStyle w:val="BodyText"/>
        <w:sectPr w:rsidR="00870F3F" w:rsidRPr="00325370" w:rsidSect="00450A4D">
          <w:headerReference w:type="even" r:id="rId15"/>
          <w:headerReference w:type="default" r:id="rId16"/>
          <w:footerReference w:type="even" r:id="rId17"/>
          <w:footerReference w:type="default" r:id="rId18"/>
          <w:pgSz w:w="11907" w:h="16840" w:code="9"/>
          <w:pgMar w:top="1985" w:right="1304" w:bottom="1418" w:left="1814" w:header="1701" w:footer="567" w:gutter="0"/>
          <w:pgNumType w:fmt="lowerRoman"/>
          <w:cols w:space="720"/>
        </w:sectPr>
      </w:pPr>
    </w:p>
    <w:p w:rsidR="00B304A7" w:rsidRPr="00325370" w:rsidRDefault="00735FEA" w:rsidP="008065A0">
      <w:pPr>
        <w:pStyle w:val="Heading1"/>
        <w:rPr>
          <w:noProof/>
        </w:rPr>
      </w:pPr>
      <w:bookmarkStart w:id="12" w:name="Contents"/>
      <w:bookmarkStart w:id="13" w:name="_Toc370213942"/>
      <w:bookmarkEnd w:id="12"/>
      <w:r w:rsidRPr="00325370">
        <w:lastRenderedPageBreak/>
        <w:t>Contents</w:t>
      </w:r>
      <w:bookmarkStart w:id="14" w:name="InsertContents"/>
      <w:bookmarkEnd w:id="13"/>
      <w:bookmarkEnd w:id="14"/>
    </w:p>
    <w:p w:rsidR="00B304A7" w:rsidRPr="00325370" w:rsidRDefault="00B304A7">
      <w:pPr>
        <w:pStyle w:val="TOC1"/>
        <w:rPr>
          <w:rFonts w:asciiTheme="minorHAnsi" w:eastAsiaTheme="minorEastAsia" w:hAnsiTheme="minorHAnsi" w:cstheme="minorBidi"/>
          <w:b w:val="0"/>
          <w:noProof/>
          <w:sz w:val="22"/>
          <w:szCs w:val="22"/>
          <w:lang w:eastAsia="en-AU"/>
        </w:rPr>
      </w:pPr>
      <w:r w:rsidRPr="00325370">
        <w:rPr>
          <w:noProof/>
        </w:rPr>
        <w:t>Terms of reference</w:t>
      </w:r>
      <w:r w:rsidRPr="00325370">
        <w:rPr>
          <w:noProof/>
        </w:rPr>
        <w:tab/>
      </w:r>
      <w:r w:rsidR="004F2566">
        <w:rPr>
          <w:noProof/>
        </w:rPr>
        <w:t>iv</w:t>
      </w:r>
    </w:p>
    <w:p w:rsidR="00B304A7" w:rsidRPr="00325370" w:rsidRDefault="00B304A7">
      <w:pPr>
        <w:pStyle w:val="TOC1"/>
        <w:rPr>
          <w:rFonts w:asciiTheme="minorHAnsi" w:eastAsiaTheme="minorEastAsia" w:hAnsiTheme="minorHAnsi" w:cstheme="minorBidi"/>
          <w:b w:val="0"/>
          <w:noProof/>
          <w:sz w:val="22"/>
          <w:szCs w:val="22"/>
          <w:lang w:eastAsia="en-AU"/>
        </w:rPr>
      </w:pPr>
      <w:r w:rsidRPr="00325370">
        <w:rPr>
          <w:noProof/>
        </w:rPr>
        <w:t>Contents</w:t>
      </w:r>
      <w:r w:rsidRPr="00325370">
        <w:rPr>
          <w:noProof/>
        </w:rPr>
        <w:tab/>
      </w:r>
      <w:r w:rsidR="004F2566">
        <w:rPr>
          <w:noProof/>
        </w:rPr>
        <w:t>vii</w:t>
      </w:r>
    </w:p>
    <w:p w:rsidR="00B304A7" w:rsidRPr="00325370" w:rsidRDefault="00B304A7">
      <w:pPr>
        <w:pStyle w:val="TOC1"/>
        <w:rPr>
          <w:rFonts w:asciiTheme="minorHAnsi" w:eastAsiaTheme="minorEastAsia" w:hAnsiTheme="minorHAnsi" w:cstheme="minorBidi"/>
          <w:b w:val="0"/>
          <w:noProof/>
          <w:sz w:val="22"/>
          <w:szCs w:val="22"/>
          <w:lang w:eastAsia="en-AU"/>
        </w:rPr>
      </w:pPr>
      <w:r w:rsidRPr="00325370">
        <w:rPr>
          <w:noProof/>
        </w:rPr>
        <w:t>Abbreviations</w:t>
      </w:r>
      <w:r w:rsidRPr="00325370">
        <w:rPr>
          <w:noProof/>
        </w:rPr>
        <w:tab/>
      </w:r>
      <w:r w:rsidR="004F2566">
        <w:rPr>
          <w:noProof/>
        </w:rPr>
        <w:t>x</w:t>
      </w:r>
    </w:p>
    <w:p w:rsidR="00B304A7" w:rsidRPr="00325370" w:rsidRDefault="00B304A7">
      <w:pPr>
        <w:pStyle w:val="TOC1"/>
        <w:rPr>
          <w:noProof/>
        </w:rPr>
      </w:pPr>
      <w:r w:rsidRPr="00325370">
        <w:rPr>
          <w:noProof/>
        </w:rPr>
        <w:t>Overview</w:t>
      </w:r>
      <w:r w:rsidRPr="00325370">
        <w:rPr>
          <w:noProof/>
        </w:rPr>
        <w:tab/>
        <w:t>1</w:t>
      </w:r>
    </w:p>
    <w:p w:rsidR="00EB0B6B" w:rsidRPr="00325370" w:rsidRDefault="00EB0B6B" w:rsidP="00EB0B6B">
      <w:pPr>
        <w:pStyle w:val="TOC2"/>
        <w:rPr>
          <w:rFonts w:eastAsiaTheme="minorEastAsia"/>
        </w:rPr>
      </w:pPr>
      <w:r w:rsidRPr="00325370">
        <w:rPr>
          <w:rFonts w:eastAsiaTheme="minorEastAsia"/>
        </w:rPr>
        <w:t>Key points</w:t>
      </w:r>
      <w:r w:rsidRPr="00325370">
        <w:rPr>
          <w:rFonts w:eastAsiaTheme="minorEastAsia"/>
        </w:rPr>
        <w:tab/>
        <w:t>2</w:t>
      </w:r>
    </w:p>
    <w:p w:rsidR="00B304A7" w:rsidRPr="00325370" w:rsidRDefault="00B304A7">
      <w:pPr>
        <w:pStyle w:val="TOC1"/>
        <w:rPr>
          <w:rFonts w:asciiTheme="minorHAnsi" w:eastAsiaTheme="minorEastAsia" w:hAnsiTheme="minorHAnsi" w:cstheme="minorBidi"/>
          <w:b w:val="0"/>
          <w:noProof/>
          <w:sz w:val="22"/>
          <w:szCs w:val="22"/>
          <w:lang w:eastAsia="en-AU"/>
        </w:rPr>
      </w:pPr>
      <w:r w:rsidRPr="00325370">
        <w:rPr>
          <w:noProof/>
        </w:rPr>
        <w:t>Recommendations</w:t>
      </w:r>
      <w:r w:rsidRPr="00325370">
        <w:rPr>
          <w:noProof/>
        </w:rPr>
        <w:tab/>
        <w:t>33</w:t>
      </w:r>
    </w:p>
    <w:p w:rsidR="00B304A7" w:rsidRPr="00325370" w:rsidRDefault="00B304A7">
      <w:pPr>
        <w:pStyle w:val="TOC1"/>
        <w:rPr>
          <w:rFonts w:asciiTheme="minorHAnsi" w:eastAsiaTheme="minorEastAsia" w:hAnsiTheme="minorHAnsi" w:cstheme="minorBidi"/>
          <w:b w:val="0"/>
          <w:noProof/>
          <w:sz w:val="22"/>
          <w:szCs w:val="22"/>
          <w:lang w:eastAsia="en-AU"/>
        </w:rPr>
      </w:pPr>
      <w:r w:rsidRPr="00325370">
        <w:rPr>
          <w:noProof/>
        </w:rPr>
        <w:t>1</w:t>
      </w:r>
      <w:r w:rsidRPr="00325370">
        <w:rPr>
          <w:rFonts w:asciiTheme="minorHAnsi" w:eastAsiaTheme="minorEastAsia" w:hAnsiTheme="minorHAnsi" w:cstheme="minorBidi"/>
          <w:b w:val="0"/>
          <w:noProof/>
          <w:sz w:val="22"/>
          <w:szCs w:val="22"/>
          <w:lang w:eastAsia="en-AU"/>
        </w:rPr>
        <w:tab/>
      </w:r>
      <w:r w:rsidRPr="00325370">
        <w:rPr>
          <w:noProof/>
        </w:rPr>
        <w:t>Introduction</w:t>
      </w:r>
      <w:r w:rsidRPr="00325370">
        <w:rPr>
          <w:noProof/>
        </w:rPr>
        <w:tab/>
        <w:t>37</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1.1</w:t>
      </w:r>
      <w:r w:rsidRPr="00325370">
        <w:rPr>
          <w:rFonts w:asciiTheme="minorHAnsi" w:eastAsiaTheme="minorEastAsia" w:hAnsiTheme="minorHAnsi" w:cstheme="minorBidi"/>
          <w:sz w:val="22"/>
          <w:szCs w:val="22"/>
          <w:lang w:eastAsia="en-AU"/>
        </w:rPr>
        <w:tab/>
      </w:r>
      <w:r w:rsidRPr="00325370">
        <w:t>The scope of the inquiry</w:t>
      </w:r>
      <w:r w:rsidRPr="00325370">
        <w:tab/>
        <w:t>38</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1.2</w:t>
      </w:r>
      <w:r w:rsidRPr="00325370">
        <w:rPr>
          <w:rFonts w:asciiTheme="minorHAnsi" w:eastAsiaTheme="minorEastAsia" w:hAnsiTheme="minorHAnsi" w:cstheme="minorBidi"/>
          <w:sz w:val="22"/>
          <w:szCs w:val="22"/>
          <w:lang w:eastAsia="en-AU"/>
        </w:rPr>
        <w:tab/>
      </w:r>
      <w:r w:rsidRPr="00325370">
        <w:t>The importance of infrastructure</w:t>
      </w:r>
      <w:r w:rsidRPr="00325370">
        <w:tab/>
        <w:t>39</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1.3</w:t>
      </w:r>
      <w:r w:rsidRPr="00325370">
        <w:rPr>
          <w:rFonts w:asciiTheme="minorHAnsi" w:eastAsiaTheme="minorEastAsia" w:hAnsiTheme="minorHAnsi" w:cstheme="minorBidi"/>
          <w:sz w:val="22"/>
          <w:szCs w:val="22"/>
          <w:lang w:eastAsia="en-AU"/>
        </w:rPr>
        <w:tab/>
      </w:r>
      <w:r w:rsidRPr="00325370">
        <w:t>The Commission’s approach</w:t>
      </w:r>
      <w:r w:rsidRPr="00325370">
        <w:tab/>
        <w:t>41</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1.4</w:t>
      </w:r>
      <w:r w:rsidRPr="00325370">
        <w:rPr>
          <w:rFonts w:asciiTheme="minorHAnsi" w:eastAsiaTheme="minorEastAsia" w:hAnsiTheme="minorHAnsi" w:cstheme="minorBidi"/>
          <w:sz w:val="22"/>
          <w:szCs w:val="22"/>
          <w:lang w:eastAsia="en-AU"/>
        </w:rPr>
        <w:tab/>
      </w:r>
      <w:r w:rsidRPr="00325370">
        <w:t>The inquiry process</w:t>
      </w:r>
      <w:r w:rsidRPr="00325370">
        <w:tab/>
        <w:t>44</w:t>
      </w:r>
    </w:p>
    <w:p w:rsidR="00B304A7" w:rsidRPr="00325370" w:rsidRDefault="00B304A7">
      <w:pPr>
        <w:pStyle w:val="TOC1"/>
        <w:rPr>
          <w:rFonts w:asciiTheme="minorHAnsi" w:eastAsiaTheme="minorEastAsia" w:hAnsiTheme="minorHAnsi" w:cstheme="minorBidi"/>
          <w:b w:val="0"/>
          <w:noProof/>
          <w:sz w:val="22"/>
          <w:szCs w:val="22"/>
          <w:lang w:eastAsia="en-AU"/>
        </w:rPr>
      </w:pPr>
      <w:r w:rsidRPr="00325370">
        <w:rPr>
          <w:noProof/>
        </w:rPr>
        <w:t>2</w:t>
      </w:r>
      <w:r w:rsidRPr="00325370">
        <w:rPr>
          <w:rFonts w:asciiTheme="minorHAnsi" w:eastAsiaTheme="minorEastAsia" w:hAnsiTheme="minorHAnsi" w:cstheme="minorBidi"/>
          <w:b w:val="0"/>
          <w:noProof/>
          <w:sz w:val="22"/>
          <w:szCs w:val="22"/>
          <w:lang w:eastAsia="en-AU"/>
        </w:rPr>
        <w:tab/>
      </w:r>
      <w:r w:rsidRPr="00325370">
        <w:rPr>
          <w:noProof/>
        </w:rPr>
        <w:t>What is the National Access Regime?</w:t>
      </w:r>
      <w:r w:rsidRPr="00325370">
        <w:rPr>
          <w:noProof/>
        </w:rPr>
        <w:tab/>
        <w:t>45</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2.1</w:t>
      </w:r>
      <w:r w:rsidRPr="00325370">
        <w:rPr>
          <w:rFonts w:asciiTheme="minorHAnsi" w:eastAsiaTheme="minorEastAsia" w:hAnsiTheme="minorHAnsi" w:cstheme="minorBidi"/>
          <w:sz w:val="22"/>
          <w:szCs w:val="22"/>
          <w:lang w:eastAsia="en-AU"/>
        </w:rPr>
        <w:tab/>
      </w:r>
      <w:r w:rsidRPr="00325370">
        <w:t>Introduction</w:t>
      </w:r>
      <w:r w:rsidRPr="00325370">
        <w:tab/>
        <w:t>46</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2.2</w:t>
      </w:r>
      <w:r w:rsidRPr="00325370">
        <w:rPr>
          <w:rFonts w:asciiTheme="minorHAnsi" w:eastAsiaTheme="minorEastAsia" w:hAnsiTheme="minorHAnsi" w:cstheme="minorBidi"/>
          <w:sz w:val="22"/>
          <w:szCs w:val="22"/>
          <w:lang w:eastAsia="en-AU"/>
        </w:rPr>
        <w:tab/>
      </w:r>
      <w:r w:rsidRPr="00325370">
        <w:t>The National Access Regime in practice</w:t>
      </w:r>
      <w:r w:rsidRPr="00325370">
        <w:tab/>
        <w:t>51</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2.3</w:t>
      </w:r>
      <w:r w:rsidRPr="00325370">
        <w:rPr>
          <w:rFonts w:asciiTheme="minorHAnsi" w:eastAsiaTheme="minorEastAsia" w:hAnsiTheme="minorHAnsi" w:cstheme="minorBidi"/>
          <w:sz w:val="22"/>
          <w:szCs w:val="22"/>
          <w:lang w:eastAsia="en-AU"/>
        </w:rPr>
        <w:tab/>
      </w:r>
      <w:r w:rsidRPr="00325370">
        <w:t>Part IV of the CCA</w:t>
      </w:r>
      <w:r w:rsidRPr="00325370">
        <w:tab/>
        <w:t>67</w:t>
      </w:r>
    </w:p>
    <w:p w:rsidR="00B304A7" w:rsidRPr="00325370" w:rsidRDefault="00B304A7">
      <w:pPr>
        <w:pStyle w:val="TOC1"/>
        <w:rPr>
          <w:rFonts w:asciiTheme="minorHAnsi" w:eastAsiaTheme="minorEastAsia" w:hAnsiTheme="minorHAnsi" w:cstheme="minorBidi"/>
          <w:b w:val="0"/>
          <w:noProof/>
          <w:sz w:val="22"/>
          <w:szCs w:val="22"/>
          <w:lang w:eastAsia="en-AU"/>
        </w:rPr>
      </w:pPr>
      <w:r w:rsidRPr="00325370">
        <w:rPr>
          <w:noProof/>
        </w:rPr>
        <w:t>3</w:t>
      </w:r>
      <w:r w:rsidRPr="00325370">
        <w:rPr>
          <w:rFonts w:asciiTheme="minorHAnsi" w:eastAsiaTheme="minorEastAsia" w:hAnsiTheme="minorHAnsi" w:cstheme="minorBidi"/>
          <w:b w:val="0"/>
          <w:noProof/>
          <w:sz w:val="22"/>
          <w:szCs w:val="22"/>
          <w:lang w:eastAsia="en-AU"/>
        </w:rPr>
        <w:tab/>
      </w:r>
      <w:r w:rsidRPr="00325370">
        <w:rPr>
          <w:noProof/>
        </w:rPr>
        <w:t>Why do we need access regulation?</w:t>
      </w:r>
      <w:r w:rsidRPr="00325370">
        <w:rPr>
          <w:noProof/>
        </w:rPr>
        <w:tab/>
        <w:t>71</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3.1</w:t>
      </w:r>
      <w:r w:rsidRPr="00325370">
        <w:rPr>
          <w:rFonts w:asciiTheme="minorHAnsi" w:eastAsiaTheme="minorEastAsia" w:hAnsiTheme="minorHAnsi" w:cstheme="minorBidi"/>
          <w:sz w:val="22"/>
          <w:szCs w:val="22"/>
          <w:lang w:eastAsia="en-AU"/>
        </w:rPr>
        <w:tab/>
      </w:r>
      <w:r w:rsidRPr="00325370">
        <w:t>The economic problem</w:t>
      </w:r>
      <w:r w:rsidRPr="00325370">
        <w:tab/>
        <w:t>72</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3.2</w:t>
      </w:r>
      <w:r w:rsidRPr="00325370">
        <w:rPr>
          <w:rFonts w:asciiTheme="minorHAnsi" w:eastAsiaTheme="minorEastAsia" w:hAnsiTheme="minorHAnsi" w:cstheme="minorBidi"/>
          <w:sz w:val="22"/>
          <w:szCs w:val="22"/>
          <w:lang w:eastAsia="en-AU"/>
        </w:rPr>
        <w:tab/>
      </w:r>
      <w:r w:rsidRPr="00325370">
        <w:t>What policy tools could address the economic problem?</w:t>
      </w:r>
      <w:r w:rsidRPr="00325370">
        <w:tab/>
        <w:t>94</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3.3</w:t>
      </w:r>
      <w:r w:rsidRPr="00325370">
        <w:rPr>
          <w:rFonts w:asciiTheme="minorHAnsi" w:eastAsiaTheme="minorEastAsia" w:hAnsiTheme="minorHAnsi" w:cstheme="minorBidi"/>
          <w:sz w:val="22"/>
          <w:szCs w:val="22"/>
          <w:lang w:eastAsia="en-AU"/>
        </w:rPr>
        <w:tab/>
      </w:r>
      <w:r w:rsidRPr="00325370">
        <w:t>The Regime’s economic efficiency objective</w:t>
      </w:r>
      <w:r w:rsidRPr="00325370">
        <w:tab/>
        <w:t>99</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3.4</w:t>
      </w:r>
      <w:r w:rsidRPr="00325370">
        <w:rPr>
          <w:rFonts w:asciiTheme="minorHAnsi" w:eastAsiaTheme="minorEastAsia" w:hAnsiTheme="minorHAnsi" w:cstheme="minorBidi"/>
          <w:sz w:val="22"/>
          <w:szCs w:val="22"/>
          <w:lang w:eastAsia="en-AU"/>
        </w:rPr>
        <w:tab/>
      </w:r>
      <w:r w:rsidRPr="00325370">
        <w:t>Potential economic effects of access regulation</w:t>
      </w:r>
      <w:r w:rsidRPr="00325370">
        <w:tab/>
        <w:t>100</w:t>
      </w:r>
    </w:p>
    <w:p w:rsidR="00B304A7" w:rsidRPr="00325370" w:rsidRDefault="00B304A7">
      <w:pPr>
        <w:pStyle w:val="TOC1"/>
        <w:rPr>
          <w:rFonts w:asciiTheme="minorHAnsi" w:eastAsiaTheme="minorEastAsia" w:hAnsiTheme="minorHAnsi" w:cstheme="minorBidi"/>
          <w:b w:val="0"/>
          <w:noProof/>
          <w:sz w:val="22"/>
          <w:szCs w:val="22"/>
          <w:lang w:eastAsia="en-AU"/>
        </w:rPr>
      </w:pPr>
      <w:r w:rsidRPr="00325370">
        <w:rPr>
          <w:noProof/>
        </w:rPr>
        <w:t>4</w:t>
      </w:r>
      <w:r w:rsidRPr="00325370">
        <w:rPr>
          <w:rFonts w:asciiTheme="minorHAnsi" w:eastAsiaTheme="minorEastAsia" w:hAnsiTheme="minorHAnsi" w:cstheme="minorBidi"/>
          <w:b w:val="0"/>
          <w:noProof/>
          <w:sz w:val="22"/>
          <w:szCs w:val="22"/>
          <w:lang w:eastAsia="en-AU"/>
        </w:rPr>
        <w:tab/>
      </w:r>
      <w:r w:rsidRPr="00325370">
        <w:rPr>
          <w:noProof/>
        </w:rPr>
        <w:t>The declaration, negotiation and arbitration process</w:t>
      </w:r>
      <w:r w:rsidRPr="00325370">
        <w:rPr>
          <w:noProof/>
        </w:rPr>
        <w:tab/>
        <w:t>109</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4.1</w:t>
      </w:r>
      <w:r w:rsidRPr="00325370">
        <w:rPr>
          <w:rFonts w:asciiTheme="minorHAnsi" w:eastAsiaTheme="minorEastAsia" w:hAnsiTheme="minorHAnsi" w:cstheme="minorBidi"/>
          <w:sz w:val="22"/>
          <w:szCs w:val="22"/>
          <w:lang w:eastAsia="en-AU"/>
        </w:rPr>
        <w:tab/>
      </w:r>
      <w:r w:rsidRPr="00325370">
        <w:t>The decision to declare</w:t>
      </w:r>
      <w:r w:rsidRPr="00325370">
        <w:tab/>
        <w:t>110</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4.2</w:t>
      </w:r>
      <w:r w:rsidRPr="00325370">
        <w:rPr>
          <w:rFonts w:asciiTheme="minorHAnsi" w:eastAsiaTheme="minorEastAsia" w:hAnsiTheme="minorHAnsi" w:cstheme="minorBidi"/>
          <w:sz w:val="22"/>
          <w:szCs w:val="22"/>
          <w:lang w:eastAsia="en-AU"/>
        </w:rPr>
        <w:tab/>
      </w:r>
      <w:r w:rsidRPr="00325370">
        <w:t>The negotiate–arbitrate framework</w:t>
      </w:r>
      <w:r w:rsidRPr="00325370">
        <w:tab/>
        <w:t>115</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4.3</w:t>
      </w:r>
      <w:r w:rsidRPr="00325370">
        <w:rPr>
          <w:rFonts w:asciiTheme="minorHAnsi" w:eastAsiaTheme="minorEastAsia" w:hAnsiTheme="minorHAnsi" w:cstheme="minorBidi"/>
          <w:sz w:val="22"/>
          <w:szCs w:val="22"/>
          <w:lang w:eastAsia="en-AU"/>
        </w:rPr>
        <w:tab/>
      </w:r>
      <w:r w:rsidRPr="00325370">
        <w:t>Should the negotiate–arbitrate framework be retained?</w:t>
      </w:r>
      <w:r w:rsidRPr="00325370">
        <w:tab/>
        <w:t>120</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4.4</w:t>
      </w:r>
      <w:r w:rsidRPr="00325370">
        <w:rPr>
          <w:rFonts w:asciiTheme="minorHAnsi" w:eastAsiaTheme="minorEastAsia" w:hAnsiTheme="minorHAnsi" w:cstheme="minorBidi"/>
          <w:sz w:val="22"/>
          <w:szCs w:val="22"/>
          <w:lang w:eastAsia="en-AU"/>
        </w:rPr>
        <w:tab/>
      </w:r>
      <w:r w:rsidRPr="00325370">
        <w:t>Directions to extend and expand facilities</w:t>
      </w:r>
      <w:r w:rsidRPr="00325370">
        <w:tab/>
        <w:t>129</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4.5</w:t>
      </w:r>
      <w:r w:rsidRPr="00325370">
        <w:rPr>
          <w:rFonts w:asciiTheme="minorHAnsi" w:eastAsiaTheme="minorEastAsia" w:hAnsiTheme="minorHAnsi" w:cstheme="minorBidi"/>
          <w:sz w:val="22"/>
          <w:szCs w:val="22"/>
          <w:lang w:eastAsia="en-AU"/>
        </w:rPr>
        <w:tab/>
      </w:r>
      <w:r w:rsidRPr="00325370">
        <w:t>Other arbitration powers and responsibilities</w:t>
      </w:r>
      <w:r w:rsidRPr="00325370">
        <w:tab/>
        <w:t>142</w:t>
      </w:r>
    </w:p>
    <w:p w:rsidR="00B304A7" w:rsidRPr="00325370" w:rsidRDefault="00B304A7" w:rsidP="00B304A7">
      <w:pPr>
        <w:pStyle w:val="TOC1"/>
        <w:pageBreakBefore/>
        <w:rPr>
          <w:rFonts w:asciiTheme="minorHAnsi" w:eastAsiaTheme="minorEastAsia" w:hAnsiTheme="minorHAnsi" w:cstheme="minorBidi"/>
          <w:b w:val="0"/>
          <w:noProof/>
          <w:sz w:val="22"/>
          <w:szCs w:val="22"/>
          <w:lang w:eastAsia="en-AU"/>
        </w:rPr>
      </w:pPr>
      <w:r w:rsidRPr="00325370">
        <w:rPr>
          <w:noProof/>
        </w:rPr>
        <w:lastRenderedPageBreak/>
        <w:t>5</w:t>
      </w:r>
      <w:r w:rsidRPr="00325370">
        <w:rPr>
          <w:rFonts w:asciiTheme="minorHAnsi" w:eastAsiaTheme="minorEastAsia" w:hAnsiTheme="minorHAnsi" w:cstheme="minorBidi"/>
          <w:b w:val="0"/>
          <w:noProof/>
          <w:sz w:val="22"/>
          <w:szCs w:val="22"/>
          <w:lang w:eastAsia="en-AU"/>
        </w:rPr>
        <w:tab/>
      </w:r>
      <w:r w:rsidRPr="00325370">
        <w:rPr>
          <w:noProof/>
        </w:rPr>
        <w:t>Declaration criteria</w:t>
      </w:r>
      <w:r w:rsidRPr="00325370">
        <w:rPr>
          <w:noProof/>
        </w:rPr>
        <w:tab/>
        <w:t>145</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5.1</w:t>
      </w:r>
      <w:r w:rsidRPr="00325370">
        <w:rPr>
          <w:rFonts w:asciiTheme="minorHAnsi" w:eastAsiaTheme="minorEastAsia" w:hAnsiTheme="minorHAnsi" w:cstheme="minorBidi"/>
          <w:sz w:val="22"/>
          <w:szCs w:val="22"/>
          <w:lang w:eastAsia="en-AU"/>
        </w:rPr>
        <w:tab/>
      </w:r>
      <w:r w:rsidRPr="00325370">
        <w:t>Definition of a service</w:t>
      </w:r>
      <w:r w:rsidRPr="00325370">
        <w:tab/>
        <w:t>146</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5.2</w:t>
      </w:r>
      <w:r w:rsidRPr="00325370">
        <w:rPr>
          <w:rFonts w:asciiTheme="minorHAnsi" w:eastAsiaTheme="minorEastAsia" w:hAnsiTheme="minorHAnsi" w:cstheme="minorBidi"/>
          <w:sz w:val="22"/>
          <w:szCs w:val="22"/>
          <w:lang w:eastAsia="en-AU"/>
        </w:rPr>
        <w:tab/>
      </w:r>
      <w:r w:rsidRPr="00325370">
        <w:t>Declaration criteria</w:t>
      </w:r>
      <w:r w:rsidRPr="00325370">
        <w:tab/>
        <w:t>150</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5.3</w:t>
      </w:r>
      <w:r w:rsidRPr="00325370">
        <w:rPr>
          <w:rFonts w:asciiTheme="minorHAnsi" w:eastAsiaTheme="minorEastAsia" w:hAnsiTheme="minorHAnsi" w:cstheme="minorBidi"/>
          <w:sz w:val="22"/>
          <w:szCs w:val="22"/>
          <w:lang w:eastAsia="en-AU"/>
        </w:rPr>
        <w:tab/>
      </w:r>
      <w:r w:rsidRPr="00325370">
        <w:t>Criterion (b) — the uneconomical to develop another facility test</w:t>
      </w:r>
      <w:r w:rsidRPr="00325370">
        <w:tab/>
        <w:t>151</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5.4</w:t>
      </w:r>
      <w:r w:rsidRPr="00325370">
        <w:rPr>
          <w:rFonts w:asciiTheme="minorHAnsi" w:eastAsiaTheme="minorEastAsia" w:hAnsiTheme="minorHAnsi" w:cstheme="minorBidi"/>
          <w:sz w:val="22"/>
          <w:szCs w:val="22"/>
          <w:lang w:eastAsia="en-AU"/>
        </w:rPr>
        <w:tab/>
      </w:r>
      <w:r w:rsidRPr="00325370">
        <w:t>Criterion (a) — the competition test</w:t>
      </w:r>
      <w:r w:rsidRPr="00325370">
        <w:tab/>
        <w:t>16</w:t>
      </w:r>
      <w:r w:rsidR="00325370" w:rsidRPr="00325370">
        <w:t>7</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5.5</w:t>
      </w:r>
      <w:r w:rsidRPr="00325370">
        <w:rPr>
          <w:rFonts w:asciiTheme="minorHAnsi" w:eastAsiaTheme="minorEastAsia" w:hAnsiTheme="minorHAnsi" w:cstheme="minorBidi"/>
          <w:sz w:val="22"/>
          <w:szCs w:val="22"/>
          <w:lang w:eastAsia="en-AU"/>
        </w:rPr>
        <w:tab/>
      </w:r>
      <w:r w:rsidRPr="00325370">
        <w:t>Criterion (c) — the national significance test</w:t>
      </w:r>
      <w:r w:rsidRPr="00325370">
        <w:tab/>
        <w:t>174</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5.6</w:t>
      </w:r>
      <w:r w:rsidRPr="00325370">
        <w:rPr>
          <w:rFonts w:asciiTheme="minorHAnsi" w:eastAsiaTheme="minorEastAsia" w:hAnsiTheme="minorHAnsi" w:cstheme="minorBidi"/>
          <w:sz w:val="22"/>
          <w:szCs w:val="22"/>
          <w:lang w:eastAsia="en-AU"/>
        </w:rPr>
        <w:tab/>
      </w:r>
      <w:r w:rsidRPr="00325370">
        <w:t>Criterion (f) — the public interest test</w:t>
      </w:r>
      <w:r w:rsidRPr="00325370">
        <w:tab/>
        <w:t>175</w:t>
      </w:r>
    </w:p>
    <w:p w:rsidR="00B304A7" w:rsidRPr="00325370" w:rsidRDefault="00B304A7">
      <w:pPr>
        <w:pStyle w:val="TOC1"/>
        <w:rPr>
          <w:rFonts w:asciiTheme="minorHAnsi" w:eastAsiaTheme="minorEastAsia" w:hAnsiTheme="minorHAnsi" w:cstheme="minorBidi"/>
          <w:b w:val="0"/>
          <w:noProof/>
          <w:sz w:val="22"/>
          <w:szCs w:val="22"/>
          <w:lang w:eastAsia="en-AU"/>
        </w:rPr>
      </w:pPr>
      <w:r w:rsidRPr="00325370">
        <w:rPr>
          <w:noProof/>
        </w:rPr>
        <w:t>6</w:t>
      </w:r>
      <w:r w:rsidRPr="00325370">
        <w:rPr>
          <w:rFonts w:asciiTheme="minorHAnsi" w:eastAsiaTheme="minorEastAsia" w:hAnsiTheme="minorHAnsi" w:cstheme="minorBidi"/>
          <w:b w:val="0"/>
          <w:noProof/>
          <w:sz w:val="22"/>
          <w:szCs w:val="22"/>
          <w:lang w:eastAsia="en-AU"/>
        </w:rPr>
        <w:tab/>
      </w:r>
      <w:r w:rsidRPr="00325370">
        <w:rPr>
          <w:noProof/>
        </w:rPr>
        <w:t>Certification and undertakings</w:t>
      </w:r>
      <w:r w:rsidRPr="00325370">
        <w:rPr>
          <w:noProof/>
        </w:rPr>
        <w:tab/>
        <w:t>183</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6.1</w:t>
      </w:r>
      <w:r w:rsidRPr="00325370">
        <w:rPr>
          <w:rFonts w:asciiTheme="minorHAnsi" w:eastAsiaTheme="minorEastAsia" w:hAnsiTheme="minorHAnsi" w:cstheme="minorBidi"/>
          <w:sz w:val="22"/>
          <w:szCs w:val="22"/>
          <w:lang w:eastAsia="en-AU"/>
        </w:rPr>
        <w:tab/>
      </w:r>
      <w:r w:rsidRPr="00325370">
        <w:t>Certification</w:t>
      </w:r>
      <w:r w:rsidRPr="00325370">
        <w:tab/>
        <w:t>184</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6.2</w:t>
      </w:r>
      <w:r w:rsidRPr="00325370">
        <w:rPr>
          <w:rFonts w:asciiTheme="minorHAnsi" w:eastAsiaTheme="minorEastAsia" w:hAnsiTheme="minorHAnsi" w:cstheme="minorBidi"/>
          <w:sz w:val="22"/>
          <w:szCs w:val="22"/>
          <w:lang w:eastAsia="en-AU"/>
        </w:rPr>
        <w:tab/>
      </w:r>
      <w:r w:rsidRPr="00325370">
        <w:t>Undertakings and access codes</w:t>
      </w:r>
      <w:r w:rsidRPr="00325370">
        <w:tab/>
        <w:t>202</w:t>
      </w:r>
    </w:p>
    <w:p w:rsidR="00B304A7" w:rsidRPr="00325370" w:rsidRDefault="00B304A7">
      <w:pPr>
        <w:pStyle w:val="TOC1"/>
        <w:rPr>
          <w:rFonts w:asciiTheme="minorHAnsi" w:eastAsiaTheme="minorEastAsia" w:hAnsiTheme="minorHAnsi" w:cstheme="minorBidi"/>
          <w:b w:val="0"/>
          <w:noProof/>
          <w:sz w:val="22"/>
          <w:szCs w:val="22"/>
          <w:lang w:eastAsia="en-AU"/>
        </w:rPr>
      </w:pPr>
      <w:r w:rsidRPr="00325370">
        <w:rPr>
          <w:noProof/>
        </w:rPr>
        <w:t>7</w:t>
      </w:r>
      <w:r w:rsidRPr="00325370">
        <w:rPr>
          <w:rFonts w:asciiTheme="minorHAnsi" w:eastAsiaTheme="minorEastAsia" w:hAnsiTheme="minorHAnsi" w:cstheme="minorBidi"/>
          <w:b w:val="0"/>
          <w:noProof/>
          <w:sz w:val="22"/>
          <w:szCs w:val="22"/>
          <w:lang w:eastAsia="en-AU"/>
        </w:rPr>
        <w:tab/>
      </w:r>
      <w:r w:rsidRPr="00325370">
        <w:rPr>
          <w:noProof/>
        </w:rPr>
        <w:t>Is the National Access Regime achieving its objectives?</w:t>
      </w:r>
      <w:r w:rsidRPr="00325370">
        <w:rPr>
          <w:noProof/>
        </w:rPr>
        <w:tab/>
        <w:t>211</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7.1</w:t>
      </w:r>
      <w:r w:rsidRPr="00325370">
        <w:rPr>
          <w:rFonts w:asciiTheme="minorHAnsi" w:eastAsiaTheme="minorEastAsia" w:hAnsiTheme="minorHAnsi" w:cstheme="minorBidi"/>
          <w:sz w:val="22"/>
          <w:szCs w:val="22"/>
          <w:lang w:eastAsia="en-AU"/>
        </w:rPr>
        <w:tab/>
      </w:r>
      <w:r w:rsidRPr="00325370">
        <w:t>The Commission’s approach</w:t>
      </w:r>
      <w:r w:rsidRPr="00325370">
        <w:tab/>
        <w:t>212</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7.2</w:t>
      </w:r>
      <w:r w:rsidRPr="00325370">
        <w:rPr>
          <w:rFonts w:asciiTheme="minorHAnsi" w:eastAsiaTheme="minorEastAsia" w:hAnsiTheme="minorHAnsi" w:cstheme="minorBidi"/>
          <w:sz w:val="22"/>
          <w:szCs w:val="22"/>
          <w:lang w:eastAsia="en-AU"/>
        </w:rPr>
        <w:tab/>
      </w:r>
      <w:r w:rsidRPr="00325370">
        <w:t>The effect of declaration on the efficient operation and use of infrastructure</w:t>
      </w:r>
      <w:r w:rsidRPr="00325370">
        <w:tab/>
        <w:t>221</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7.3</w:t>
      </w:r>
      <w:r w:rsidRPr="00325370">
        <w:rPr>
          <w:rFonts w:asciiTheme="minorHAnsi" w:eastAsiaTheme="minorEastAsia" w:hAnsiTheme="minorHAnsi" w:cstheme="minorBidi"/>
          <w:sz w:val="22"/>
          <w:szCs w:val="22"/>
          <w:lang w:eastAsia="en-AU"/>
        </w:rPr>
        <w:tab/>
      </w:r>
      <w:r w:rsidRPr="00325370">
        <w:t>The effect of declaration on investment</w:t>
      </w:r>
      <w:r w:rsidRPr="00325370">
        <w:tab/>
        <w:t>227</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7.4</w:t>
      </w:r>
      <w:r w:rsidRPr="00325370">
        <w:rPr>
          <w:rFonts w:asciiTheme="minorHAnsi" w:eastAsiaTheme="minorEastAsia" w:hAnsiTheme="minorHAnsi" w:cstheme="minorBidi"/>
          <w:sz w:val="22"/>
          <w:szCs w:val="22"/>
          <w:lang w:eastAsia="en-AU"/>
        </w:rPr>
        <w:tab/>
      </w:r>
      <w:r w:rsidRPr="00325370">
        <w:t>Administrative, compliance and other costs of declaration</w:t>
      </w:r>
      <w:r w:rsidRPr="00325370">
        <w:tab/>
        <w:t>236</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7.5</w:t>
      </w:r>
      <w:r w:rsidRPr="00325370">
        <w:rPr>
          <w:rFonts w:asciiTheme="minorHAnsi" w:eastAsiaTheme="minorEastAsia" w:hAnsiTheme="minorHAnsi" w:cstheme="minorBidi"/>
          <w:sz w:val="22"/>
          <w:szCs w:val="22"/>
          <w:lang w:eastAsia="en-AU"/>
        </w:rPr>
        <w:tab/>
      </w:r>
      <w:r w:rsidRPr="00325370">
        <w:t>The National Access Regime as an overarching framework</w:t>
      </w:r>
      <w:r w:rsidRPr="00325370">
        <w:tab/>
        <w:t>241</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7.6</w:t>
      </w:r>
      <w:r w:rsidRPr="00325370">
        <w:rPr>
          <w:rFonts w:asciiTheme="minorHAnsi" w:eastAsiaTheme="minorEastAsia" w:hAnsiTheme="minorHAnsi" w:cstheme="minorBidi"/>
          <w:sz w:val="22"/>
          <w:szCs w:val="22"/>
          <w:lang w:eastAsia="en-AU"/>
        </w:rPr>
        <w:tab/>
      </w:r>
      <w:r w:rsidRPr="00325370">
        <w:t>The Commission’s assessment</w:t>
      </w:r>
      <w:r w:rsidRPr="00325370">
        <w:tab/>
        <w:t>244</w:t>
      </w:r>
    </w:p>
    <w:p w:rsidR="00B304A7" w:rsidRPr="00325370" w:rsidRDefault="00B304A7">
      <w:pPr>
        <w:pStyle w:val="TOC1"/>
        <w:rPr>
          <w:rFonts w:asciiTheme="minorHAnsi" w:eastAsiaTheme="minorEastAsia" w:hAnsiTheme="minorHAnsi" w:cstheme="minorBidi"/>
          <w:b w:val="0"/>
          <w:noProof/>
          <w:sz w:val="22"/>
          <w:szCs w:val="22"/>
          <w:lang w:eastAsia="en-AU"/>
        </w:rPr>
      </w:pPr>
      <w:r w:rsidRPr="00325370">
        <w:rPr>
          <w:noProof/>
        </w:rPr>
        <w:t>8</w:t>
      </w:r>
      <w:r w:rsidRPr="00325370">
        <w:rPr>
          <w:rFonts w:asciiTheme="minorHAnsi" w:eastAsiaTheme="minorEastAsia" w:hAnsiTheme="minorHAnsi" w:cstheme="minorBidi"/>
          <w:b w:val="0"/>
          <w:noProof/>
          <w:sz w:val="22"/>
          <w:szCs w:val="22"/>
          <w:lang w:eastAsia="en-AU"/>
        </w:rPr>
        <w:tab/>
      </w:r>
      <w:r w:rsidRPr="00325370">
        <w:rPr>
          <w:noProof/>
        </w:rPr>
        <w:t>Reforming the National Access Regime</w:t>
      </w:r>
      <w:r w:rsidRPr="00325370">
        <w:rPr>
          <w:noProof/>
        </w:rPr>
        <w:tab/>
        <w:t>247</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8.1</w:t>
      </w:r>
      <w:r w:rsidRPr="00325370">
        <w:rPr>
          <w:rFonts w:asciiTheme="minorHAnsi" w:eastAsiaTheme="minorEastAsia" w:hAnsiTheme="minorHAnsi" w:cstheme="minorBidi"/>
          <w:sz w:val="22"/>
          <w:szCs w:val="22"/>
          <w:lang w:eastAsia="en-AU"/>
        </w:rPr>
        <w:tab/>
      </w:r>
      <w:r w:rsidRPr="00325370">
        <w:t>A package of reforms</w:t>
      </w:r>
      <w:r w:rsidRPr="00325370">
        <w:tab/>
        <w:t>248</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8.2</w:t>
      </w:r>
      <w:r w:rsidRPr="00325370">
        <w:rPr>
          <w:rFonts w:asciiTheme="minorHAnsi" w:eastAsiaTheme="minorEastAsia" w:hAnsiTheme="minorHAnsi" w:cstheme="minorBidi"/>
          <w:sz w:val="22"/>
          <w:szCs w:val="22"/>
          <w:lang w:eastAsia="en-AU"/>
        </w:rPr>
        <w:tab/>
      </w:r>
      <w:r w:rsidRPr="00325370">
        <w:t>Targeting the declaration criteria at the economic problem</w:t>
      </w:r>
      <w:r w:rsidRPr="00325370">
        <w:tab/>
        <w:t>248</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8.3</w:t>
      </w:r>
      <w:r w:rsidRPr="00325370">
        <w:rPr>
          <w:rFonts w:asciiTheme="minorHAnsi" w:eastAsiaTheme="minorEastAsia" w:hAnsiTheme="minorHAnsi" w:cstheme="minorBidi"/>
          <w:sz w:val="22"/>
          <w:szCs w:val="22"/>
          <w:lang w:eastAsia="en-AU"/>
        </w:rPr>
        <w:tab/>
      </w:r>
      <w:r w:rsidRPr="00325370">
        <w:t>Improving certification arrangements</w:t>
      </w:r>
      <w:r w:rsidRPr="00325370">
        <w:tab/>
        <w:t>252</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8.4</w:t>
      </w:r>
      <w:r w:rsidRPr="00325370">
        <w:rPr>
          <w:rFonts w:asciiTheme="minorHAnsi" w:eastAsiaTheme="minorEastAsia" w:hAnsiTheme="minorHAnsi" w:cstheme="minorBidi"/>
          <w:sz w:val="22"/>
          <w:szCs w:val="22"/>
          <w:lang w:eastAsia="en-AU"/>
        </w:rPr>
        <w:tab/>
      </w:r>
      <w:r w:rsidRPr="00325370">
        <w:t>Ensuring undertakings are used to target the economic problem</w:t>
      </w:r>
      <w:r w:rsidRPr="00325370">
        <w:tab/>
        <w:t>257</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8.5</w:t>
      </w:r>
      <w:r w:rsidRPr="00325370">
        <w:rPr>
          <w:rFonts w:asciiTheme="minorHAnsi" w:eastAsiaTheme="minorEastAsia" w:hAnsiTheme="minorHAnsi" w:cstheme="minorBidi"/>
          <w:sz w:val="22"/>
          <w:szCs w:val="22"/>
          <w:lang w:eastAsia="en-AU"/>
        </w:rPr>
        <w:tab/>
      </w:r>
      <w:r w:rsidRPr="00325370">
        <w:t>Safeguards should apply to directed expansions</w:t>
      </w:r>
      <w:r w:rsidRPr="00325370">
        <w:tab/>
        <w:t>257</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8.6</w:t>
      </w:r>
      <w:r w:rsidRPr="00325370">
        <w:rPr>
          <w:rFonts w:asciiTheme="minorHAnsi" w:eastAsiaTheme="minorEastAsia" w:hAnsiTheme="minorHAnsi" w:cstheme="minorBidi"/>
          <w:sz w:val="22"/>
          <w:szCs w:val="22"/>
          <w:lang w:eastAsia="en-AU"/>
        </w:rPr>
        <w:tab/>
      </w:r>
      <w:r w:rsidRPr="00325370">
        <w:t>Facilitating efficient investment in infrastructure</w:t>
      </w:r>
      <w:r w:rsidRPr="00325370">
        <w:tab/>
        <w:t>259</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8.7</w:t>
      </w:r>
      <w:r w:rsidRPr="00325370">
        <w:rPr>
          <w:rFonts w:asciiTheme="minorHAnsi" w:eastAsiaTheme="minorEastAsia" w:hAnsiTheme="minorHAnsi" w:cstheme="minorBidi"/>
          <w:sz w:val="22"/>
          <w:szCs w:val="22"/>
          <w:lang w:eastAsia="en-AU"/>
        </w:rPr>
        <w:tab/>
      </w:r>
      <w:r w:rsidRPr="00325370">
        <w:t>The balance between Part IIIA and industry-specific access regimes</w:t>
      </w:r>
      <w:r w:rsidRPr="00325370">
        <w:tab/>
        <w:t>267</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8.8</w:t>
      </w:r>
      <w:r w:rsidRPr="00325370">
        <w:rPr>
          <w:rFonts w:asciiTheme="minorHAnsi" w:eastAsiaTheme="minorEastAsia" w:hAnsiTheme="minorHAnsi" w:cstheme="minorBidi"/>
          <w:sz w:val="22"/>
          <w:szCs w:val="22"/>
          <w:lang w:eastAsia="en-AU"/>
        </w:rPr>
        <w:tab/>
      </w:r>
      <w:r w:rsidRPr="00325370">
        <w:t>Facility-based access regulation</w:t>
      </w:r>
      <w:r w:rsidRPr="00325370">
        <w:tab/>
        <w:t>279</w:t>
      </w:r>
    </w:p>
    <w:p w:rsidR="00B304A7" w:rsidRPr="00325370" w:rsidRDefault="00B304A7" w:rsidP="00B304A7">
      <w:pPr>
        <w:pStyle w:val="TOC1"/>
        <w:pageBreakBefore/>
        <w:rPr>
          <w:rFonts w:asciiTheme="minorHAnsi" w:eastAsiaTheme="minorEastAsia" w:hAnsiTheme="minorHAnsi" w:cstheme="minorBidi"/>
          <w:b w:val="0"/>
          <w:noProof/>
          <w:sz w:val="22"/>
          <w:szCs w:val="22"/>
          <w:lang w:eastAsia="en-AU"/>
        </w:rPr>
      </w:pPr>
      <w:r w:rsidRPr="00325370">
        <w:rPr>
          <w:noProof/>
        </w:rPr>
        <w:lastRenderedPageBreak/>
        <w:t>9</w:t>
      </w:r>
      <w:r w:rsidRPr="00325370">
        <w:rPr>
          <w:rFonts w:asciiTheme="minorHAnsi" w:eastAsiaTheme="minorEastAsia" w:hAnsiTheme="minorHAnsi" w:cstheme="minorBidi"/>
          <w:b w:val="0"/>
          <w:noProof/>
          <w:sz w:val="22"/>
          <w:szCs w:val="22"/>
          <w:lang w:eastAsia="en-AU"/>
        </w:rPr>
        <w:tab/>
      </w:r>
      <w:r w:rsidRPr="00325370">
        <w:rPr>
          <w:noProof/>
        </w:rPr>
        <w:t>Institutional arrangements</w:t>
      </w:r>
      <w:r w:rsidRPr="00325370">
        <w:rPr>
          <w:noProof/>
        </w:rPr>
        <w:tab/>
        <w:t>283</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9.1</w:t>
      </w:r>
      <w:r w:rsidRPr="00325370">
        <w:rPr>
          <w:rFonts w:asciiTheme="minorHAnsi" w:eastAsiaTheme="minorEastAsia" w:hAnsiTheme="minorHAnsi" w:cstheme="minorBidi"/>
          <w:sz w:val="22"/>
          <w:szCs w:val="22"/>
          <w:lang w:eastAsia="en-AU"/>
        </w:rPr>
        <w:tab/>
      </w:r>
      <w:r w:rsidRPr="00325370">
        <w:t>Are there too many institutions and steps?</w:t>
      </w:r>
      <w:r w:rsidRPr="00325370">
        <w:tab/>
        <w:t>285</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9.2</w:t>
      </w:r>
      <w:r w:rsidRPr="00325370">
        <w:rPr>
          <w:rFonts w:asciiTheme="minorHAnsi" w:eastAsiaTheme="minorEastAsia" w:hAnsiTheme="minorHAnsi" w:cstheme="minorBidi"/>
          <w:sz w:val="22"/>
          <w:szCs w:val="22"/>
          <w:lang w:eastAsia="en-AU"/>
        </w:rPr>
        <w:tab/>
      </w:r>
      <w:r w:rsidRPr="00325370">
        <w:t>The National Competition Council</w:t>
      </w:r>
      <w:r w:rsidRPr="00325370">
        <w:tab/>
        <w:t>287</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9.3</w:t>
      </w:r>
      <w:r w:rsidRPr="00325370">
        <w:rPr>
          <w:rFonts w:asciiTheme="minorHAnsi" w:eastAsiaTheme="minorEastAsia" w:hAnsiTheme="minorHAnsi" w:cstheme="minorBidi"/>
          <w:sz w:val="22"/>
          <w:szCs w:val="22"/>
          <w:lang w:eastAsia="en-AU"/>
        </w:rPr>
        <w:tab/>
      </w:r>
      <w:r w:rsidRPr="00325370">
        <w:t>The role of ministers</w:t>
      </w:r>
      <w:r w:rsidRPr="00325370">
        <w:tab/>
        <w:t>295</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9.4</w:t>
      </w:r>
      <w:r w:rsidRPr="00325370">
        <w:rPr>
          <w:rFonts w:asciiTheme="minorHAnsi" w:eastAsiaTheme="minorEastAsia" w:hAnsiTheme="minorHAnsi" w:cstheme="minorBidi"/>
          <w:sz w:val="22"/>
          <w:szCs w:val="22"/>
          <w:lang w:eastAsia="en-AU"/>
        </w:rPr>
        <w:tab/>
      </w:r>
      <w:r w:rsidRPr="00325370">
        <w:t>The role of the Australian Competition and Consumer Commission</w:t>
      </w:r>
      <w:r w:rsidRPr="00325370">
        <w:tab/>
        <w:t>304</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9.5</w:t>
      </w:r>
      <w:r w:rsidRPr="00325370">
        <w:rPr>
          <w:rFonts w:asciiTheme="minorHAnsi" w:eastAsiaTheme="minorEastAsia" w:hAnsiTheme="minorHAnsi" w:cstheme="minorBidi"/>
          <w:sz w:val="22"/>
          <w:szCs w:val="22"/>
          <w:lang w:eastAsia="en-AU"/>
        </w:rPr>
        <w:tab/>
      </w:r>
      <w:r w:rsidRPr="00325370">
        <w:t>Review of decisions made under Part IIIA</w:t>
      </w:r>
      <w:r w:rsidRPr="00325370">
        <w:tab/>
        <w:t>305</w:t>
      </w:r>
    </w:p>
    <w:p w:rsidR="00B304A7" w:rsidRPr="00325370" w:rsidRDefault="00B304A7">
      <w:pPr>
        <w:pStyle w:val="TOC1"/>
        <w:rPr>
          <w:rFonts w:asciiTheme="minorHAnsi" w:eastAsiaTheme="minorEastAsia" w:hAnsiTheme="minorHAnsi" w:cstheme="minorBidi"/>
          <w:b w:val="0"/>
          <w:noProof/>
          <w:sz w:val="22"/>
          <w:szCs w:val="22"/>
          <w:lang w:eastAsia="en-AU"/>
        </w:rPr>
      </w:pPr>
      <w:r w:rsidRPr="00325370">
        <w:rPr>
          <w:noProof/>
        </w:rPr>
        <w:t>10</w:t>
      </w:r>
      <w:r w:rsidRPr="00325370">
        <w:rPr>
          <w:rFonts w:asciiTheme="minorHAnsi" w:eastAsiaTheme="minorEastAsia" w:hAnsiTheme="minorHAnsi" w:cstheme="minorBidi"/>
          <w:b w:val="0"/>
          <w:noProof/>
          <w:sz w:val="22"/>
          <w:szCs w:val="22"/>
          <w:lang w:eastAsia="en-AU"/>
        </w:rPr>
        <w:tab/>
      </w:r>
      <w:r w:rsidRPr="00325370">
        <w:rPr>
          <w:noProof/>
        </w:rPr>
        <w:t>The broader policy context</w:t>
      </w:r>
      <w:r w:rsidRPr="00325370">
        <w:rPr>
          <w:noProof/>
        </w:rPr>
        <w:tab/>
        <w:t>317</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10.1</w:t>
      </w:r>
      <w:r w:rsidRPr="00325370">
        <w:rPr>
          <w:rFonts w:asciiTheme="minorHAnsi" w:eastAsiaTheme="minorEastAsia" w:hAnsiTheme="minorHAnsi" w:cstheme="minorBidi"/>
          <w:sz w:val="22"/>
          <w:szCs w:val="22"/>
          <w:lang w:eastAsia="en-AU"/>
        </w:rPr>
        <w:tab/>
      </w:r>
      <w:r w:rsidRPr="00325370">
        <w:t>The Competition and Infrastructure Reform Agreement</w:t>
      </w:r>
      <w:r w:rsidRPr="00325370">
        <w:tab/>
        <w:t>318</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10.2</w:t>
      </w:r>
      <w:r w:rsidRPr="00325370">
        <w:rPr>
          <w:rFonts w:asciiTheme="minorHAnsi" w:eastAsiaTheme="minorEastAsia" w:hAnsiTheme="minorHAnsi" w:cstheme="minorBidi"/>
          <w:sz w:val="22"/>
          <w:szCs w:val="22"/>
          <w:lang w:eastAsia="en-AU"/>
        </w:rPr>
        <w:tab/>
      </w:r>
      <w:r w:rsidRPr="00325370">
        <w:t>Private sector provision of infrastructure services</w:t>
      </w:r>
      <w:r w:rsidRPr="00325370">
        <w:tab/>
        <w:t>329</w:t>
      </w:r>
    </w:p>
    <w:p w:rsidR="00B304A7" w:rsidRPr="00325370" w:rsidRDefault="00B304A7" w:rsidP="0053742F">
      <w:pPr>
        <w:pStyle w:val="TOC2"/>
        <w:rPr>
          <w:rFonts w:asciiTheme="minorHAnsi" w:eastAsiaTheme="minorEastAsia" w:hAnsiTheme="minorHAnsi" w:cstheme="minorBidi"/>
          <w:sz w:val="22"/>
          <w:szCs w:val="22"/>
          <w:lang w:eastAsia="en-AU"/>
        </w:rPr>
      </w:pPr>
      <w:r w:rsidRPr="00325370">
        <w:t>10.3</w:t>
      </w:r>
      <w:r w:rsidRPr="00325370">
        <w:rPr>
          <w:rFonts w:asciiTheme="minorHAnsi" w:eastAsiaTheme="minorEastAsia" w:hAnsiTheme="minorHAnsi" w:cstheme="minorBidi"/>
          <w:sz w:val="22"/>
          <w:szCs w:val="22"/>
          <w:lang w:eastAsia="en-AU"/>
        </w:rPr>
        <w:tab/>
      </w:r>
      <w:r w:rsidRPr="00325370">
        <w:t>Further review of the Regime</w:t>
      </w:r>
      <w:r w:rsidRPr="00325370">
        <w:tab/>
        <w:t>339</w:t>
      </w:r>
    </w:p>
    <w:p w:rsidR="00B304A7" w:rsidRPr="00325370" w:rsidRDefault="00B304A7">
      <w:pPr>
        <w:pStyle w:val="TOC1"/>
        <w:rPr>
          <w:rFonts w:asciiTheme="minorHAnsi" w:eastAsiaTheme="minorEastAsia" w:hAnsiTheme="minorHAnsi" w:cstheme="minorBidi"/>
          <w:b w:val="0"/>
          <w:noProof/>
          <w:sz w:val="22"/>
          <w:szCs w:val="22"/>
          <w:lang w:eastAsia="en-AU"/>
        </w:rPr>
      </w:pPr>
      <w:r w:rsidRPr="00325370">
        <w:rPr>
          <w:noProof/>
        </w:rPr>
        <w:t>A</w:t>
      </w:r>
      <w:r w:rsidRPr="00325370">
        <w:rPr>
          <w:rFonts w:asciiTheme="minorHAnsi" w:eastAsiaTheme="minorEastAsia" w:hAnsiTheme="minorHAnsi" w:cstheme="minorBidi"/>
          <w:b w:val="0"/>
          <w:noProof/>
          <w:sz w:val="22"/>
          <w:szCs w:val="22"/>
          <w:lang w:eastAsia="en-AU"/>
        </w:rPr>
        <w:tab/>
      </w:r>
      <w:r w:rsidRPr="00325370">
        <w:rPr>
          <w:noProof/>
        </w:rPr>
        <w:t>Conduct of the inquiry</w:t>
      </w:r>
      <w:r w:rsidRPr="00325370">
        <w:rPr>
          <w:noProof/>
        </w:rPr>
        <w:tab/>
        <w:t>341</w:t>
      </w:r>
    </w:p>
    <w:p w:rsidR="00B304A7" w:rsidRPr="00325370" w:rsidRDefault="00B304A7">
      <w:pPr>
        <w:pStyle w:val="TOC1"/>
        <w:rPr>
          <w:rFonts w:asciiTheme="minorHAnsi" w:eastAsiaTheme="minorEastAsia" w:hAnsiTheme="minorHAnsi" w:cstheme="minorBidi"/>
          <w:b w:val="0"/>
          <w:noProof/>
          <w:sz w:val="22"/>
          <w:szCs w:val="22"/>
          <w:lang w:eastAsia="en-AU"/>
        </w:rPr>
      </w:pPr>
      <w:r w:rsidRPr="00325370">
        <w:rPr>
          <w:noProof/>
        </w:rPr>
        <w:t>References</w:t>
      </w:r>
      <w:r w:rsidRPr="00325370">
        <w:rPr>
          <w:noProof/>
        </w:rPr>
        <w:tab/>
        <w:t>347</w:t>
      </w:r>
    </w:p>
    <w:p w:rsidR="00735FEA" w:rsidRPr="00325370" w:rsidRDefault="00735FEA" w:rsidP="00637FCC">
      <w:pPr>
        <w:pStyle w:val="BodyText"/>
      </w:pPr>
    </w:p>
    <w:p w:rsidR="00B304A7" w:rsidRPr="00325370" w:rsidRDefault="00B304A7" w:rsidP="00B304A7">
      <w:pPr>
        <w:pStyle w:val="BodyText"/>
      </w:pPr>
    </w:p>
    <w:p w:rsidR="00DE4391" w:rsidRPr="00325370" w:rsidRDefault="00DE4391" w:rsidP="00DE4391">
      <w:pPr>
        <w:pStyle w:val="BodyText"/>
      </w:pPr>
    </w:p>
    <w:p w:rsidR="00B304A7" w:rsidRPr="00325370" w:rsidRDefault="00B304A7" w:rsidP="00DE4391">
      <w:pPr>
        <w:pStyle w:val="BodyText"/>
        <w:sectPr w:rsidR="00B304A7" w:rsidRPr="00325370" w:rsidSect="005537F6">
          <w:headerReference w:type="even" r:id="rId19"/>
          <w:headerReference w:type="default" r:id="rId20"/>
          <w:footerReference w:type="even" r:id="rId21"/>
          <w:footerReference w:type="default" r:id="rId22"/>
          <w:type w:val="oddPage"/>
          <w:pgSz w:w="11907" w:h="16840" w:code="9"/>
          <w:pgMar w:top="1985" w:right="1304" w:bottom="1418" w:left="1814" w:header="1701" w:footer="567" w:gutter="0"/>
          <w:pgNumType w:fmt="lowerRoman"/>
          <w:cols w:space="720"/>
        </w:sectPr>
      </w:pPr>
    </w:p>
    <w:p w:rsidR="00735FEA" w:rsidRPr="00325370" w:rsidRDefault="00735FEA" w:rsidP="008A7051">
      <w:pPr>
        <w:pStyle w:val="Heading1"/>
      </w:pPr>
      <w:bookmarkStart w:id="15" w:name="Abbreviations"/>
      <w:bookmarkStart w:id="16" w:name="EndContents"/>
      <w:bookmarkStart w:id="17" w:name="RDnote"/>
      <w:bookmarkStart w:id="18" w:name="_Toc370213943"/>
      <w:bookmarkEnd w:id="15"/>
      <w:bookmarkEnd w:id="16"/>
      <w:bookmarkEnd w:id="17"/>
      <w:r w:rsidRPr="00325370">
        <w:lastRenderedPageBreak/>
        <w:t>Abbreviations</w:t>
      </w:r>
      <w:bookmarkEnd w:id="18"/>
      <w:r w:rsidRPr="00325370">
        <w:t xml:space="preserve"> </w:t>
      </w:r>
    </w:p>
    <w:p w:rsidR="00592A63" w:rsidRPr="00325370" w:rsidRDefault="00592A63" w:rsidP="00592A63">
      <w:pPr>
        <w:pStyle w:val="Abbreviation"/>
        <w:spacing w:before="100"/>
        <w:ind w:left="1985" w:hanging="1985"/>
      </w:pPr>
      <w:proofErr w:type="spellStart"/>
      <w:r w:rsidRPr="00325370">
        <w:t>ACCC</w:t>
      </w:r>
      <w:proofErr w:type="spellEnd"/>
      <w:r w:rsidRPr="00325370">
        <w:tab/>
        <w:t>Australian Competition and Consumer Commission</w:t>
      </w:r>
    </w:p>
    <w:p w:rsidR="00592A63" w:rsidRPr="00325370" w:rsidRDefault="00592A63" w:rsidP="00592A63">
      <w:pPr>
        <w:pStyle w:val="Abbreviation"/>
        <w:spacing w:before="100"/>
        <w:ind w:left="1985" w:hanging="1985"/>
      </w:pPr>
      <w:r w:rsidRPr="00325370">
        <w:t>access seeker</w:t>
      </w:r>
      <w:r w:rsidRPr="00325370">
        <w:tab/>
        <w:t xml:space="preserve">a third party (as defined in the </w:t>
      </w:r>
      <w:proofErr w:type="spellStart"/>
      <w:r w:rsidRPr="00325370">
        <w:t>CCA</w:t>
      </w:r>
      <w:proofErr w:type="spellEnd"/>
      <w:r w:rsidRPr="00325370">
        <w:t xml:space="preserve">, which provides that a third party is a person who wants access to an infrastructure service) </w:t>
      </w:r>
    </w:p>
    <w:p w:rsidR="00592A63" w:rsidRPr="00325370" w:rsidRDefault="00592A63" w:rsidP="00592A63">
      <w:pPr>
        <w:pStyle w:val="Abbreviation"/>
        <w:spacing w:before="100"/>
        <w:ind w:left="1985" w:hanging="1985"/>
      </w:pPr>
      <w:proofErr w:type="spellStart"/>
      <w:r w:rsidRPr="00325370">
        <w:t>ACTO</w:t>
      </w:r>
      <w:proofErr w:type="spellEnd"/>
      <w:r w:rsidRPr="00325370">
        <w:tab/>
        <w:t>Australian Cargo Terminal Operators</w:t>
      </w:r>
    </w:p>
    <w:p w:rsidR="00592A63" w:rsidRPr="00325370" w:rsidRDefault="00592A63" w:rsidP="00592A63">
      <w:pPr>
        <w:pStyle w:val="Abbreviation"/>
        <w:spacing w:before="100"/>
        <w:ind w:left="1985" w:hanging="1985"/>
      </w:pPr>
      <w:proofErr w:type="spellStart"/>
      <w:r w:rsidRPr="00325370">
        <w:t>AEMC</w:t>
      </w:r>
      <w:proofErr w:type="spellEnd"/>
      <w:r w:rsidRPr="00325370">
        <w:tab/>
        <w:t>Australian Energy Market Commission</w:t>
      </w:r>
    </w:p>
    <w:p w:rsidR="00592A63" w:rsidRPr="00325370" w:rsidRDefault="00592A63" w:rsidP="00592A63">
      <w:pPr>
        <w:pStyle w:val="Abbreviation"/>
        <w:spacing w:before="100"/>
        <w:ind w:left="1985" w:hanging="1985"/>
      </w:pPr>
      <w:proofErr w:type="spellStart"/>
      <w:r w:rsidRPr="00325370">
        <w:t>AER</w:t>
      </w:r>
      <w:proofErr w:type="spellEnd"/>
      <w:r w:rsidRPr="00325370">
        <w:tab/>
        <w:t>Australian Energy Regulator</w:t>
      </w:r>
    </w:p>
    <w:p w:rsidR="00592A63" w:rsidRPr="00325370" w:rsidRDefault="00592A63" w:rsidP="00592A63">
      <w:pPr>
        <w:pStyle w:val="Abbreviation"/>
        <w:spacing w:before="100"/>
        <w:ind w:left="1985" w:hanging="1985"/>
        <w:rPr>
          <w:sz w:val="25"/>
          <w:szCs w:val="25"/>
        </w:rPr>
      </w:pPr>
      <w:r w:rsidRPr="00325370">
        <w:t>AGCNCO</w:t>
      </w:r>
      <w:r w:rsidRPr="00325370">
        <w:tab/>
      </w:r>
      <w:r w:rsidRPr="00325370">
        <w:rPr>
          <w:sz w:val="25"/>
          <w:szCs w:val="25"/>
        </w:rPr>
        <w:t>Australian Government Competitive Neutrality Complaints Office</w:t>
      </w:r>
    </w:p>
    <w:p w:rsidR="00592A63" w:rsidRPr="00325370" w:rsidRDefault="00592A63" w:rsidP="00592A63">
      <w:pPr>
        <w:pStyle w:val="Abbreviation"/>
        <w:spacing w:before="100"/>
        <w:ind w:left="1985" w:hanging="1985"/>
      </w:pPr>
      <w:r w:rsidRPr="00325370">
        <w:t>AGS</w:t>
      </w:r>
      <w:r w:rsidRPr="00325370">
        <w:tab/>
        <w:t>Australian Government Solicitor</w:t>
      </w:r>
    </w:p>
    <w:p w:rsidR="00B752CC" w:rsidRPr="00325370" w:rsidRDefault="00B752CC" w:rsidP="00592A63">
      <w:pPr>
        <w:pStyle w:val="Abbreviation"/>
        <w:spacing w:before="100"/>
        <w:ind w:left="1985" w:hanging="1985"/>
      </w:pPr>
      <w:r w:rsidRPr="00325370">
        <w:t>APIA</w:t>
      </w:r>
      <w:r w:rsidRPr="00325370">
        <w:tab/>
        <w:t>Australian Pipeline Industry Association</w:t>
      </w:r>
    </w:p>
    <w:p w:rsidR="00592A63" w:rsidRPr="00325370" w:rsidRDefault="00592A63" w:rsidP="00592A63">
      <w:pPr>
        <w:pStyle w:val="Abbreviation"/>
        <w:spacing w:before="100"/>
        <w:ind w:left="1985" w:hanging="1985"/>
      </w:pPr>
      <w:proofErr w:type="spellStart"/>
      <w:r w:rsidRPr="00325370">
        <w:t>ARTC</w:t>
      </w:r>
      <w:proofErr w:type="spellEnd"/>
      <w:r w:rsidRPr="00325370">
        <w:tab/>
        <w:t>Australian Rail Track Corporation</w:t>
      </w:r>
    </w:p>
    <w:p w:rsidR="00B752CC" w:rsidRPr="00325370" w:rsidRDefault="00B752CC" w:rsidP="00592A63">
      <w:pPr>
        <w:pStyle w:val="Abbreviation"/>
        <w:spacing w:before="100"/>
        <w:ind w:left="1985" w:hanging="1985"/>
      </w:pPr>
      <w:r w:rsidRPr="00325370">
        <w:t>BCA</w:t>
      </w:r>
      <w:r w:rsidRPr="00325370">
        <w:tab/>
        <w:t>Business Council of Australia</w:t>
      </w:r>
    </w:p>
    <w:p w:rsidR="00592A63" w:rsidRPr="00325370" w:rsidRDefault="00592A63" w:rsidP="00592A63">
      <w:pPr>
        <w:pStyle w:val="Abbreviation"/>
        <w:spacing w:before="100"/>
        <w:ind w:left="1985" w:hanging="1985"/>
      </w:pPr>
      <w:proofErr w:type="spellStart"/>
      <w:r w:rsidRPr="00325370">
        <w:t>CCA</w:t>
      </w:r>
      <w:proofErr w:type="spellEnd"/>
      <w:r w:rsidRPr="00325370">
        <w:tab/>
      </w:r>
      <w:r w:rsidRPr="00325370">
        <w:rPr>
          <w:i/>
        </w:rPr>
        <w:t>Competition and Consumer Act 2010</w:t>
      </w:r>
      <w:r w:rsidRPr="00325370">
        <w:t xml:space="preserve"> (</w:t>
      </w:r>
      <w:proofErr w:type="spellStart"/>
      <w:r w:rsidRPr="00325370">
        <w:t>Cwlth</w:t>
      </w:r>
      <w:proofErr w:type="spellEnd"/>
      <w:r w:rsidRPr="00325370">
        <w:t xml:space="preserve">) (formerly the </w:t>
      </w:r>
      <w:r w:rsidRPr="00325370">
        <w:rPr>
          <w:i/>
        </w:rPr>
        <w:t>Trade Practices Act 1974</w:t>
      </w:r>
      <w:r w:rsidRPr="00325370">
        <w:t>)</w:t>
      </w:r>
    </w:p>
    <w:p w:rsidR="00592A63" w:rsidRPr="00325370" w:rsidRDefault="00592A63" w:rsidP="00592A63">
      <w:pPr>
        <w:pStyle w:val="Abbreviation"/>
        <w:spacing w:before="100"/>
        <w:ind w:left="1985" w:hanging="1985"/>
      </w:pPr>
      <w:proofErr w:type="spellStart"/>
      <w:r w:rsidRPr="00325370">
        <w:t>CIRA</w:t>
      </w:r>
      <w:proofErr w:type="spellEnd"/>
      <w:r w:rsidRPr="00325370">
        <w:tab/>
        <w:t>Competition and Infrastructure Reform Agreement</w:t>
      </w:r>
    </w:p>
    <w:p w:rsidR="00592A63" w:rsidRPr="00325370" w:rsidRDefault="00592A63" w:rsidP="00592A63">
      <w:pPr>
        <w:pStyle w:val="Abbreviation"/>
        <w:spacing w:before="100"/>
        <w:ind w:left="1985" w:hanging="1985"/>
      </w:pPr>
      <w:r w:rsidRPr="00325370">
        <w:t>COAG</w:t>
      </w:r>
      <w:r w:rsidRPr="00325370">
        <w:tab/>
        <w:t>Council of Australian Governments</w:t>
      </w:r>
    </w:p>
    <w:p w:rsidR="00592A63" w:rsidRPr="00325370" w:rsidRDefault="00592A63" w:rsidP="00592A63">
      <w:pPr>
        <w:pStyle w:val="Abbreviation"/>
        <w:spacing w:before="100"/>
        <w:ind w:left="1985" w:hanging="1985"/>
      </w:pPr>
      <w:r w:rsidRPr="00325370">
        <w:t>CPA</w:t>
      </w:r>
      <w:r w:rsidRPr="00325370">
        <w:tab/>
        <w:t>Competition Principles Agreement</w:t>
      </w:r>
    </w:p>
    <w:p w:rsidR="00592A63" w:rsidRPr="00325370" w:rsidRDefault="00592A63" w:rsidP="00592A63">
      <w:pPr>
        <w:pStyle w:val="Abbreviation"/>
        <w:spacing w:before="100"/>
        <w:ind w:left="1985" w:hanging="1985"/>
      </w:pPr>
      <w:r w:rsidRPr="00325370">
        <w:t>GDP</w:t>
      </w:r>
      <w:r w:rsidRPr="00325370">
        <w:tab/>
        <w:t>Gross Domestic Product</w:t>
      </w:r>
    </w:p>
    <w:p w:rsidR="00592A63" w:rsidRPr="00325370" w:rsidRDefault="00592A63" w:rsidP="00592A63">
      <w:pPr>
        <w:pStyle w:val="Abbreviation"/>
        <w:spacing w:before="100"/>
        <w:ind w:left="1985" w:hanging="1985"/>
      </w:pPr>
      <w:proofErr w:type="spellStart"/>
      <w:r w:rsidRPr="00325370">
        <w:t>HVCCC</w:t>
      </w:r>
      <w:proofErr w:type="spellEnd"/>
      <w:r w:rsidRPr="00325370">
        <w:tab/>
        <w:t>Hunter Valley Coal Chain Coordinator</w:t>
      </w:r>
    </w:p>
    <w:p w:rsidR="00592A63" w:rsidRPr="00325370" w:rsidRDefault="00592A63" w:rsidP="00592A63">
      <w:pPr>
        <w:pStyle w:val="Abbreviation"/>
        <w:spacing w:before="100"/>
        <w:ind w:left="1985" w:hanging="1985"/>
      </w:pPr>
      <w:proofErr w:type="spellStart"/>
      <w:r w:rsidRPr="00325370">
        <w:t>IPART</w:t>
      </w:r>
      <w:proofErr w:type="spellEnd"/>
      <w:r w:rsidRPr="00325370">
        <w:tab/>
      </w:r>
      <w:r w:rsidRPr="00325370">
        <w:rPr>
          <w:spacing w:val="-2"/>
        </w:rPr>
        <w:t>Independent Pricing and Regulatory Tribunal (New South Wales)</w:t>
      </w:r>
    </w:p>
    <w:p w:rsidR="00592A63" w:rsidRPr="00325370" w:rsidRDefault="00592A63" w:rsidP="00592A63">
      <w:pPr>
        <w:pStyle w:val="Abbreviation"/>
        <w:spacing w:before="100"/>
        <w:ind w:left="1985" w:hanging="1985"/>
      </w:pPr>
      <w:proofErr w:type="spellStart"/>
      <w:r w:rsidRPr="00325370">
        <w:t>NCC</w:t>
      </w:r>
      <w:proofErr w:type="spellEnd"/>
      <w:r w:rsidRPr="00325370">
        <w:tab/>
        <w:t>National Competition Council</w:t>
      </w:r>
    </w:p>
    <w:p w:rsidR="001C6ECF" w:rsidRPr="00325370" w:rsidRDefault="001C6ECF" w:rsidP="00592A63">
      <w:pPr>
        <w:pStyle w:val="Abbreviation"/>
        <w:spacing w:before="100"/>
        <w:ind w:left="1985" w:hanging="1985"/>
      </w:pPr>
      <w:proofErr w:type="spellStart"/>
      <w:r w:rsidRPr="00325370">
        <w:t>NPA</w:t>
      </w:r>
      <w:proofErr w:type="spellEnd"/>
      <w:r w:rsidRPr="00325370">
        <w:t>–</w:t>
      </w:r>
      <w:proofErr w:type="spellStart"/>
      <w:r w:rsidRPr="00325370">
        <w:t>SNE</w:t>
      </w:r>
      <w:proofErr w:type="spellEnd"/>
      <w:r w:rsidRPr="00325370">
        <w:tab/>
        <w:t>National Partnership Agreement to Deliver a Seamless National Economy</w:t>
      </w:r>
    </w:p>
    <w:p w:rsidR="00592A63" w:rsidRPr="00325370" w:rsidRDefault="00592A63" w:rsidP="00592A63">
      <w:pPr>
        <w:pStyle w:val="Abbreviation"/>
        <w:spacing w:before="100"/>
        <w:ind w:left="1985" w:hanging="1985"/>
      </w:pPr>
      <w:proofErr w:type="spellStart"/>
      <w:r w:rsidRPr="00325370">
        <w:t>QCA</w:t>
      </w:r>
      <w:proofErr w:type="spellEnd"/>
      <w:r w:rsidRPr="00325370">
        <w:tab/>
        <w:t>Queensland Competition Authority</w:t>
      </w:r>
    </w:p>
    <w:p w:rsidR="00592A63" w:rsidRPr="00325370" w:rsidRDefault="00592A63" w:rsidP="00592A63">
      <w:pPr>
        <w:pStyle w:val="Abbreviation"/>
        <w:spacing w:before="100"/>
        <w:ind w:left="1985" w:hanging="1985"/>
      </w:pPr>
      <w:proofErr w:type="spellStart"/>
      <w:r w:rsidRPr="00325370">
        <w:t>QCA</w:t>
      </w:r>
      <w:proofErr w:type="spellEnd"/>
      <w:r w:rsidRPr="00325370">
        <w:t xml:space="preserve"> Act</w:t>
      </w:r>
      <w:r w:rsidRPr="00325370">
        <w:tab/>
      </w:r>
      <w:r w:rsidRPr="00325370">
        <w:rPr>
          <w:i/>
        </w:rPr>
        <w:t>Queensland Competition Authority Act 1997</w:t>
      </w:r>
    </w:p>
    <w:p w:rsidR="00592A63" w:rsidRPr="00325370" w:rsidRDefault="00592A63" w:rsidP="00592A63">
      <w:pPr>
        <w:pStyle w:val="Abbreviation"/>
        <w:spacing w:before="100"/>
        <w:ind w:left="1985" w:hanging="1985"/>
      </w:pPr>
      <w:r w:rsidRPr="00325370">
        <w:t>the Regime</w:t>
      </w:r>
      <w:r w:rsidRPr="00325370">
        <w:tab/>
        <w:t>the National Access Regime</w:t>
      </w:r>
    </w:p>
    <w:p w:rsidR="00C518F0" w:rsidRPr="00C518F0" w:rsidRDefault="00592A63" w:rsidP="006563A2">
      <w:pPr>
        <w:pStyle w:val="Abbreviation"/>
        <w:spacing w:before="100"/>
        <w:ind w:left="1985" w:hanging="1985"/>
      </w:pPr>
      <w:r w:rsidRPr="00325370">
        <w:t>the Tribunal</w:t>
      </w:r>
      <w:r w:rsidRPr="00325370">
        <w:tab/>
        <w:t>the Australian Competition Tribunal</w:t>
      </w:r>
      <w:r w:rsidR="006563A2">
        <w:t xml:space="preserve"> </w:t>
      </w:r>
      <w:bookmarkStart w:id="19" w:name="Glossary"/>
      <w:bookmarkEnd w:id="19"/>
    </w:p>
    <w:sectPr w:rsidR="00C518F0" w:rsidRPr="00C518F0" w:rsidSect="00C55A45">
      <w:headerReference w:type="even" r:id="rId23"/>
      <w:headerReference w:type="default" r:id="rId24"/>
      <w:footerReference w:type="even" r:id="rId25"/>
      <w:footerReference w:type="default" r:id="rId26"/>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F3F" w:rsidRDefault="00870F3F">
      <w:r>
        <w:separator/>
      </w:r>
    </w:p>
    <w:p w:rsidR="00870F3F" w:rsidRDefault="00870F3F"/>
    <w:p w:rsidR="00870F3F" w:rsidRDefault="00870F3F"/>
  </w:endnote>
  <w:endnote w:type="continuationSeparator" w:id="0">
    <w:p w:rsidR="00870F3F" w:rsidRDefault="00870F3F">
      <w:r>
        <w:continuationSeparator/>
      </w:r>
    </w:p>
    <w:p w:rsidR="00870F3F" w:rsidRDefault="00870F3F"/>
    <w:p w:rsidR="00870F3F" w:rsidRDefault="00870F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FCC" w:rsidRDefault="00637F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50A4D">
      <w:trPr>
        <w:trHeight w:hRule="exact" w:val="740"/>
      </w:trPr>
      <w:tc>
        <w:tcPr>
          <w:tcW w:w="510" w:type="dxa"/>
          <w:tcBorders>
            <w:top w:val="single" w:sz="6" w:space="0" w:color="auto"/>
          </w:tcBorders>
        </w:tcPr>
        <w:p w:rsidR="00450A4D" w:rsidRPr="008206EE" w:rsidRDefault="00450A4D">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1A4C95">
            <w:rPr>
              <w:rStyle w:val="PageNumber"/>
              <w:caps w:val="0"/>
              <w:noProof/>
            </w:rPr>
            <w:t>iv</w:t>
          </w:r>
          <w:r w:rsidRPr="008206EE">
            <w:rPr>
              <w:rStyle w:val="PageNumber"/>
              <w:caps w:val="0"/>
              <w:noProof/>
            </w:rPr>
            <w:fldChar w:fldCharType="end"/>
          </w:r>
        </w:p>
      </w:tc>
      <w:tc>
        <w:tcPr>
          <w:tcW w:w="1644" w:type="dxa"/>
          <w:tcBorders>
            <w:top w:val="single" w:sz="6" w:space="0" w:color="auto"/>
          </w:tcBorders>
        </w:tcPr>
        <w:p w:rsidR="00450A4D" w:rsidRPr="00603344" w:rsidRDefault="00AF2F66" w:rsidP="00603344">
          <w:pPr>
            <w:pStyle w:val="Footer"/>
          </w:pPr>
          <w:r>
            <w:fldChar w:fldCharType="begin"/>
          </w:r>
          <w:r>
            <w:instrText xml:space="preserve"> STYLEREF "Heading 1" \* MERGEFORMAT </w:instrText>
          </w:r>
          <w:r>
            <w:fldChar w:fldCharType="separate"/>
          </w:r>
          <w:r w:rsidR="001A4C95">
            <w:rPr>
              <w:noProof/>
            </w:rPr>
            <w:t>Terms of reference</w:t>
          </w:r>
          <w:r>
            <w:rPr>
              <w:noProof/>
            </w:rPr>
            <w:fldChar w:fldCharType="end"/>
          </w:r>
        </w:p>
      </w:tc>
      <w:tc>
        <w:tcPr>
          <w:tcW w:w="6634" w:type="dxa"/>
        </w:tcPr>
        <w:p w:rsidR="00450A4D" w:rsidRPr="00603344" w:rsidRDefault="00450A4D">
          <w:pPr>
            <w:pStyle w:val="Footer"/>
            <w:rPr>
              <w:caps w:val="0"/>
            </w:rPr>
          </w:pPr>
        </w:p>
      </w:tc>
    </w:tr>
  </w:tbl>
  <w:p w:rsidR="00450A4D" w:rsidRDefault="00450A4D">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50A4D" w:rsidTr="008F7DB7">
      <w:trPr>
        <w:trHeight w:hRule="exact" w:val="740"/>
      </w:trPr>
      <w:tc>
        <w:tcPr>
          <w:tcW w:w="6634" w:type="dxa"/>
        </w:tcPr>
        <w:p w:rsidR="00450A4D" w:rsidRPr="00B3203C" w:rsidRDefault="00450A4D">
          <w:pPr>
            <w:pStyle w:val="Footer"/>
          </w:pPr>
        </w:p>
      </w:tc>
      <w:tc>
        <w:tcPr>
          <w:tcW w:w="1644" w:type="dxa"/>
          <w:tcBorders>
            <w:top w:val="single" w:sz="6" w:space="0" w:color="auto"/>
          </w:tcBorders>
        </w:tcPr>
        <w:p w:rsidR="00450A4D" w:rsidRPr="00B3203C" w:rsidRDefault="00450A4D" w:rsidP="00B3203C">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1A4C95">
            <w:rPr>
              <w:noProof/>
            </w:rPr>
            <w:t>Terms of reference</w:t>
          </w:r>
          <w:r w:rsidRPr="00B3203C">
            <w:rPr>
              <w:noProof/>
            </w:rPr>
            <w:fldChar w:fldCharType="end"/>
          </w:r>
        </w:p>
      </w:tc>
      <w:tc>
        <w:tcPr>
          <w:tcW w:w="510" w:type="dxa"/>
          <w:tcBorders>
            <w:top w:val="single" w:sz="6" w:space="0" w:color="auto"/>
          </w:tcBorders>
        </w:tcPr>
        <w:p w:rsidR="00450A4D" w:rsidRPr="00C55A45" w:rsidRDefault="00450A4D">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1A4C95">
            <w:rPr>
              <w:rStyle w:val="PageNumber"/>
              <w:caps w:val="0"/>
              <w:noProof/>
            </w:rPr>
            <w:t>v</w:t>
          </w:r>
          <w:r w:rsidRPr="00C55A45">
            <w:rPr>
              <w:rStyle w:val="PageNumber"/>
              <w:caps w:val="0"/>
              <w:noProof/>
            </w:rPr>
            <w:fldChar w:fldCharType="end"/>
          </w:r>
        </w:p>
      </w:tc>
    </w:tr>
  </w:tbl>
  <w:p w:rsidR="00450A4D" w:rsidRDefault="00450A4D">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37AC2">
      <w:trPr>
        <w:trHeight w:hRule="exact" w:val="740"/>
      </w:trPr>
      <w:tc>
        <w:tcPr>
          <w:tcW w:w="510" w:type="dxa"/>
          <w:tcBorders>
            <w:top w:val="single" w:sz="6" w:space="0" w:color="auto"/>
          </w:tcBorders>
        </w:tcPr>
        <w:p w:rsidR="00D37AC2" w:rsidRPr="008206EE" w:rsidRDefault="00D37AC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125A72">
            <w:rPr>
              <w:rStyle w:val="PageNumber"/>
              <w:caps w:val="0"/>
              <w:noProof/>
            </w:rPr>
            <w:t>viii</w:t>
          </w:r>
          <w:r w:rsidRPr="008206EE">
            <w:rPr>
              <w:rStyle w:val="PageNumber"/>
              <w:caps w:val="0"/>
              <w:noProof/>
            </w:rPr>
            <w:fldChar w:fldCharType="end"/>
          </w:r>
        </w:p>
      </w:tc>
      <w:tc>
        <w:tcPr>
          <w:tcW w:w="1644" w:type="dxa"/>
          <w:tcBorders>
            <w:top w:val="single" w:sz="6" w:space="0" w:color="auto"/>
          </w:tcBorders>
        </w:tcPr>
        <w:p w:rsidR="00D37AC2" w:rsidRDefault="00C518F0">
          <w:pPr>
            <w:pStyle w:val="Footer"/>
          </w:pPr>
          <w:r>
            <w:t>CONTENTS</w:t>
          </w:r>
        </w:p>
      </w:tc>
      <w:tc>
        <w:tcPr>
          <w:tcW w:w="6634" w:type="dxa"/>
        </w:tcPr>
        <w:p w:rsidR="00D37AC2" w:rsidRDefault="00D37AC2">
          <w:pPr>
            <w:pStyle w:val="Footer"/>
            <w:rPr>
              <w:caps w:val="0"/>
            </w:rPr>
          </w:pPr>
        </w:p>
      </w:tc>
    </w:tr>
  </w:tbl>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37AC2" w:rsidTr="008F7DB7">
      <w:trPr>
        <w:trHeight w:hRule="exact" w:val="740"/>
      </w:trPr>
      <w:tc>
        <w:tcPr>
          <w:tcW w:w="6634" w:type="dxa"/>
        </w:tcPr>
        <w:p w:rsidR="00D37AC2" w:rsidRDefault="00D37AC2">
          <w:pPr>
            <w:pStyle w:val="Footer"/>
          </w:pPr>
        </w:p>
      </w:tc>
      <w:tc>
        <w:tcPr>
          <w:tcW w:w="1644" w:type="dxa"/>
          <w:tcBorders>
            <w:top w:val="single" w:sz="6" w:space="0" w:color="auto"/>
          </w:tcBorders>
        </w:tcPr>
        <w:p w:rsidR="00C15A75" w:rsidRPr="00C518F0" w:rsidRDefault="00225390" w:rsidP="00C15A75">
          <w:pPr>
            <w:pStyle w:val="Footer"/>
          </w:pPr>
          <w:r w:rsidRPr="00C518F0">
            <w:t>CONTENTS</w:t>
          </w:r>
        </w:p>
        <w:p w:rsidR="00D37AC2" w:rsidRPr="00C15A75" w:rsidRDefault="00D37AC2" w:rsidP="00C15A75">
          <w:pPr>
            <w:jc w:val="center"/>
          </w:pPr>
        </w:p>
      </w:tc>
      <w:tc>
        <w:tcPr>
          <w:tcW w:w="510" w:type="dxa"/>
          <w:tcBorders>
            <w:top w:val="single" w:sz="6" w:space="0" w:color="auto"/>
          </w:tcBorders>
        </w:tcPr>
        <w:p w:rsidR="00D37AC2" w:rsidRPr="00C55A45" w:rsidRDefault="00D37AC2">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1A4C95">
            <w:rPr>
              <w:rStyle w:val="PageNumber"/>
              <w:caps w:val="0"/>
              <w:noProof/>
            </w:rPr>
            <w:t>ix</w:t>
          </w:r>
          <w:r w:rsidRPr="00C55A45">
            <w:rPr>
              <w:rStyle w:val="PageNumber"/>
              <w:caps w:val="0"/>
              <w:noProof/>
            </w:rPr>
            <w:fldChar w:fldCharType="end"/>
          </w:r>
        </w:p>
      </w:tc>
    </w:tr>
  </w:tbl>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518F0">
      <w:trPr>
        <w:trHeight w:hRule="exact" w:val="740"/>
      </w:trPr>
      <w:tc>
        <w:tcPr>
          <w:tcW w:w="510" w:type="dxa"/>
          <w:tcBorders>
            <w:top w:val="single" w:sz="6" w:space="0" w:color="auto"/>
          </w:tcBorders>
        </w:tcPr>
        <w:p w:rsidR="00C518F0" w:rsidRPr="008206EE" w:rsidRDefault="00C518F0">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1A4C95">
            <w:rPr>
              <w:rStyle w:val="PageNumber"/>
              <w:caps w:val="0"/>
              <w:noProof/>
            </w:rPr>
            <w:t>x</w:t>
          </w:r>
          <w:r w:rsidRPr="008206EE">
            <w:rPr>
              <w:rStyle w:val="PageNumber"/>
              <w:caps w:val="0"/>
              <w:noProof/>
            </w:rPr>
            <w:fldChar w:fldCharType="end"/>
          </w:r>
        </w:p>
      </w:tc>
      <w:tc>
        <w:tcPr>
          <w:tcW w:w="1644" w:type="dxa"/>
          <w:tcBorders>
            <w:top w:val="single" w:sz="6" w:space="0" w:color="auto"/>
          </w:tcBorders>
        </w:tcPr>
        <w:p w:rsidR="00C518F0" w:rsidRDefault="00C518F0">
          <w:pPr>
            <w:pStyle w:val="Footer"/>
          </w:pPr>
          <w:r>
            <w:t>ABBREVIATIONS</w:t>
          </w:r>
        </w:p>
      </w:tc>
      <w:tc>
        <w:tcPr>
          <w:tcW w:w="6634" w:type="dxa"/>
        </w:tcPr>
        <w:p w:rsidR="00C518F0" w:rsidRDefault="00C518F0">
          <w:pPr>
            <w:pStyle w:val="Footer"/>
            <w:rPr>
              <w:caps w:val="0"/>
            </w:rPr>
          </w:pPr>
        </w:p>
      </w:tc>
    </w:tr>
  </w:tbl>
  <w:p w:rsidR="00C518F0" w:rsidRDefault="00C518F0">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C518F0" w:rsidTr="008F7DB7">
      <w:trPr>
        <w:trHeight w:hRule="exact" w:val="740"/>
      </w:trPr>
      <w:tc>
        <w:tcPr>
          <w:tcW w:w="6634" w:type="dxa"/>
        </w:tcPr>
        <w:p w:rsidR="00C518F0" w:rsidRDefault="00C518F0">
          <w:pPr>
            <w:pStyle w:val="Footer"/>
          </w:pPr>
        </w:p>
      </w:tc>
      <w:tc>
        <w:tcPr>
          <w:tcW w:w="1644" w:type="dxa"/>
          <w:tcBorders>
            <w:top w:val="single" w:sz="6" w:space="0" w:color="auto"/>
          </w:tcBorders>
        </w:tcPr>
        <w:p w:rsidR="00C518F0" w:rsidRPr="00C518F0" w:rsidRDefault="00C518F0" w:rsidP="00C15A75">
          <w:pPr>
            <w:pStyle w:val="Footer"/>
          </w:pPr>
          <w:r>
            <w:t>ABBREVIATIONS</w:t>
          </w:r>
        </w:p>
        <w:p w:rsidR="00C518F0" w:rsidRPr="00C15A75" w:rsidRDefault="00C518F0" w:rsidP="00C15A75">
          <w:pPr>
            <w:jc w:val="center"/>
          </w:pPr>
        </w:p>
      </w:tc>
      <w:tc>
        <w:tcPr>
          <w:tcW w:w="510" w:type="dxa"/>
          <w:tcBorders>
            <w:top w:val="single" w:sz="6" w:space="0" w:color="auto"/>
          </w:tcBorders>
        </w:tcPr>
        <w:p w:rsidR="00C518F0" w:rsidRPr="00C55A45" w:rsidRDefault="00C518F0">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6B52EE">
            <w:rPr>
              <w:rStyle w:val="PageNumber"/>
              <w:caps w:val="0"/>
              <w:noProof/>
            </w:rPr>
            <w:t>xi</w:t>
          </w:r>
          <w:r w:rsidRPr="00C55A45">
            <w:rPr>
              <w:rStyle w:val="PageNumber"/>
              <w:caps w:val="0"/>
              <w:noProof/>
            </w:rPr>
            <w:fldChar w:fldCharType="end"/>
          </w:r>
        </w:p>
      </w:tc>
    </w:tr>
  </w:tbl>
  <w:p w:rsidR="00C518F0" w:rsidRDefault="00C518F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F3F" w:rsidRDefault="00870F3F">
      <w:r>
        <w:separator/>
      </w:r>
    </w:p>
    <w:p w:rsidR="00870F3F" w:rsidRDefault="00870F3F"/>
    <w:p w:rsidR="00870F3F" w:rsidRDefault="00870F3F"/>
  </w:footnote>
  <w:footnote w:type="continuationSeparator" w:id="0">
    <w:p w:rsidR="00870F3F" w:rsidRDefault="00870F3F">
      <w:r>
        <w:continuationSeparator/>
      </w:r>
    </w:p>
    <w:p w:rsidR="00870F3F" w:rsidRDefault="00870F3F"/>
    <w:p w:rsidR="00870F3F" w:rsidRDefault="00870F3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FCC" w:rsidRDefault="00637FCC" w:rsidP="00C83926">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450A4D">
      <w:tc>
        <w:tcPr>
          <w:tcW w:w="2155" w:type="dxa"/>
          <w:tcBorders>
            <w:top w:val="single" w:sz="24" w:space="0" w:color="auto"/>
          </w:tcBorders>
        </w:tcPr>
        <w:p w:rsidR="00450A4D" w:rsidRDefault="00450A4D">
          <w:pPr>
            <w:pStyle w:val="Header"/>
          </w:pPr>
        </w:p>
      </w:tc>
      <w:tc>
        <w:tcPr>
          <w:tcW w:w="6634" w:type="dxa"/>
          <w:tcBorders>
            <w:top w:val="single" w:sz="6" w:space="0" w:color="auto"/>
          </w:tcBorders>
        </w:tcPr>
        <w:p w:rsidR="00450A4D" w:rsidRDefault="00450A4D">
          <w:pPr>
            <w:pStyle w:val="Header"/>
          </w:pPr>
        </w:p>
      </w:tc>
    </w:tr>
  </w:tbl>
  <w:p w:rsidR="00450A4D" w:rsidRDefault="00450A4D">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50A4D" w:rsidTr="005C68FE">
      <w:tc>
        <w:tcPr>
          <w:tcW w:w="6634" w:type="dxa"/>
          <w:tcBorders>
            <w:top w:val="single" w:sz="6" w:space="0" w:color="auto"/>
          </w:tcBorders>
        </w:tcPr>
        <w:p w:rsidR="00450A4D" w:rsidRDefault="00450A4D" w:rsidP="005C68FE">
          <w:pPr>
            <w:pStyle w:val="HeaderOdd"/>
          </w:pPr>
        </w:p>
      </w:tc>
      <w:tc>
        <w:tcPr>
          <w:tcW w:w="2155" w:type="dxa"/>
          <w:tcBorders>
            <w:top w:val="single" w:sz="24" w:space="0" w:color="auto"/>
          </w:tcBorders>
        </w:tcPr>
        <w:p w:rsidR="00450A4D" w:rsidRDefault="00450A4D" w:rsidP="005C68FE">
          <w:pPr>
            <w:pStyle w:val="HeaderOdd"/>
          </w:pPr>
        </w:p>
      </w:tc>
    </w:tr>
  </w:tbl>
  <w:p w:rsidR="00450A4D" w:rsidRPr="005C68FE" w:rsidRDefault="00450A4D" w:rsidP="005C68F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F3F"/>
    <w:rsid w:val="00017AFC"/>
    <w:rsid w:val="00025878"/>
    <w:rsid w:val="00026080"/>
    <w:rsid w:val="0002678B"/>
    <w:rsid w:val="00026B38"/>
    <w:rsid w:val="000502D3"/>
    <w:rsid w:val="000623BF"/>
    <w:rsid w:val="00095EEA"/>
    <w:rsid w:val="00097C15"/>
    <w:rsid w:val="000B416E"/>
    <w:rsid w:val="000B4F15"/>
    <w:rsid w:val="000D19B7"/>
    <w:rsid w:val="000F185F"/>
    <w:rsid w:val="000F2F5F"/>
    <w:rsid w:val="00106041"/>
    <w:rsid w:val="00117172"/>
    <w:rsid w:val="00125A72"/>
    <w:rsid w:val="00131494"/>
    <w:rsid w:val="0013399B"/>
    <w:rsid w:val="00163C81"/>
    <w:rsid w:val="00181F4B"/>
    <w:rsid w:val="00186BBC"/>
    <w:rsid w:val="00196FB3"/>
    <w:rsid w:val="001A4C95"/>
    <w:rsid w:val="001A5071"/>
    <w:rsid w:val="001B4E73"/>
    <w:rsid w:val="001B6C8C"/>
    <w:rsid w:val="001B7F1E"/>
    <w:rsid w:val="001C6ECF"/>
    <w:rsid w:val="001D4B1F"/>
    <w:rsid w:val="001D6629"/>
    <w:rsid w:val="001E736D"/>
    <w:rsid w:val="001F2270"/>
    <w:rsid w:val="00205A82"/>
    <w:rsid w:val="00211BEE"/>
    <w:rsid w:val="002179C6"/>
    <w:rsid w:val="00225390"/>
    <w:rsid w:val="00261607"/>
    <w:rsid w:val="00263B06"/>
    <w:rsid w:val="00263DD1"/>
    <w:rsid w:val="00264D3B"/>
    <w:rsid w:val="00265685"/>
    <w:rsid w:val="00281D5F"/>
    <w:rsid w:val="00290B32"/>
    <w:rsid w:val="002923AD"/>
    <w:rsid w:val="00296592"/>
    <w:rsid w:val="002A0A4B"/>
    <w:rsid w:val="002B636E"/>
    <w:rsid w:val="002B64D6"/>
    <w:rsid w:val="002C12F5"/>
    <w:rsid w:val="002D6FCE"/>
    <w:rsid w:val="002E6937"/>
    <w:rsid w:val="002F3434"/>
    <w:rsid w:val="00325370"/>
    <w:rsid w:val="003B41E0"/>
    <w:rsid w:val="003D624D"/>
    <w:rsid w:val="003D7D76"/>
    <w:rsid w:val="003E295C"/>
    <w:rsid w:val="003E7802"/>
    <w:rsid w:val="00433C81"/>
    <w:rsid w:val="004458D1"/>
    <w:rsid w:val="00446D6B"/>
    <w:rsid w:val="00450A4D"/>
    <w:rsid w:val="00457B3F"/>
    <w:rsid w:val="00461A1A"/>
    <w:rsid w:val="00463022"/>
    <w:rsid w:val="00481CF0"/>
    <w:rsid w:val="004B492A"/>
    <w:rsid w:val="004C0B0C"/>
    <w:rsid w:val="004E52E2"/>
    <w:rsid w:val="004E6BB4"/>
    <w:rsid w:val="004F2566"/>
    <w:rsid w:val="00515D43"/>
    <w:rsid w:val="00516F19"/>
    <w:rsid w:val="0052544D"/>
    <w:rsid w:val="005331E1"/>
    <w:rsid w:val="0053742F"/>
    <w:rsid w:val="00551FB8"/>
    <w:rsid w:val="005537F6"/>
    <w:rsid w:val="00560F43"/>
    <w:rsid w:val="005654D0"/>
    <w:rsid w:val="00573051"/>
    <w:rsid w:val="00592A63"/>
    <w:rsid w:val="00594002"/>
    <w:rsid w:val="005B17AB"/>
    <w:rsid w:val="005C68FE"/>
    <w:rsid w:val="00602523"/>
    <w:rsid w:val="00604351"/>
    <w:rsid w:val="00607D8A"/>
    <w:rsid w:val="0061590F"/>
    <w:rsid w:val="00636497"/>
    <w:rsid w:val="00637FCC"/>
    <w:rsid w:val="00641AE2"/>
    <w:rsid w:val="0064456A"/>
    <w:rsid w:val="00650DDA"/>
    <w:rsid w:val="0065126A"/>
    <w:rsid w:val="006563A2"/>
    <w:rsid w:val="006802D4"/>
    <w:rsid w:val="00683849"/>
    <w:rsid w:val="00691AB5"/>
    <w:rsid w:val="006B4F3B"/>
    <w:rsid w:val="006B52EE"/>
    <w:rsid w:val="006E1E6B"/>
    <w:rsid w:val="006F0EAC"/>
    <w:rsid w:val="006F6A85"/>
    <w:rsid w:val="0070328D"/>
    <w:rsid w:val="00731F96"/>
    <w:rsid w:val="00734127"/>
    <w:rsid w:val="00735FEA"/>
    <w:rsid w:val="00743460"/>
    <w:rsid w:val="00743A27"/>
    <w:rsid w:val="00753DC6"/>
    <w:rsid w:val="0075578C"/>
    <w:rsid w:val="00766DFB"/>
    <w:rsid w:val="007734B5"/>
    <w:rsid w:val="007809B8"/>
    <w:rsid w:val="007A3E8E"/>
    <w:rsid w:val="007F62F0"/>
    <w:rsid w:val="008065A0"/>
    <w:rsid w:val="00806E54"/>
    <w:rsid w:val="008206EE"/>
    <w:rsid w:val="008214B1"/>
    <w:rsid w:val="00836ED7"/>
    <w:rsid w:val="008453AC"/>
    <w:rsid w:val="00860D09"/>
    <w:rsid w:val="00862044"/>
    <w:rsid w:val="00870F3F"/>
    <w:rsid w:val="008740DE"/>
    <w:rsid w:val="008817B1"/>
    <w:rsid w:val="00893579"/>
    <w:rsid w:val="008A454F"/>
    <w:rsid w:val="008A7051"/>
    <w:rsid w:val="008B1465"/>
    <w:rsid w:val="008C305F"/>
    <w:rsid w:val="008C3AD2"/>
    <w:rsid w:val="008C7C3D"/>
    <w:rsid w:val="008D6F66"/>
    <w:rsid w:val="008E1BEA"/>
    <w:rsid w:val="008E43D2"/>
    <w:rsid w:val="008F04C9"/>
    <w:rsid w:val="008F7C50"/>
    <w:rsid w:val="008F7DB7"/>
    <w:rsid w:val="009064D3"/>
    <w:rsid w:val="00915300"/>
    <w:rsid w:val="00933B0C"/>
    <w:rsid w:val="00935676"/>
    <w:rsid w:val="00941C79"/>
    <w:rsid w:val="009705BF"/>
    <w:rsid w:val="0098401D"/>
    <w:rsid w:val="009A789F"/>
    <w:rsid w:val="009B12EF"/>
    <w:rsid w:val="009B6185"/>
    <w:rsid w:val="009D10AC"/>
    <w:rsid w:val="009E1E78"/>
    <w:rsid w:val="00A1597D"/>
    <w:rsid w:val="00A46989"/>
    <w:rsid w:val="00A71CE9"/>
    <w:rsid w:val="00A72A19"/>
    <w:rsid w:val="00A75A30"/>
    <w:rsid w:val="00A93C82"/>
    <w:rsid w:val="00AB2A48"/>
    <w:rsid w:val="00AC3236"/>
    <w:rsid w:val="00AC507A"/>
    <w:rsid w:val="00AD4874"/>
    <w:rsid w:val="00AE1F8A"/>
    <w:rsid w:val="00B036B2"/>
    <w:rsid w:val="00B04D19"/>
    <w:rsid w:val="00B153C3"/>
    <w:rsid w:val="00B22087"/>
    <w:rsid w:val="00B304A7"/>
    <w:rsid w:val="00B722F2"/>
    <w:rsid w:val="00B752CC"/>
    <w:rsid w:val="00B943A4"/>
    <w:rsid w:val="00B95339"/>
    <w:rsid w:val="00BA3E76"/>
    <w:rsid w:val="00BB03EE"/>
    <w:rsid w:val="00BB334E"/>
    <w:rsid w:val="00BB5DCF"/>
    <w:rsid w:val="00BF59EA"/>
    <w:rsid w:val="00BF79CD"/>
    <w:rsid w:val="00C0721B"/>
    <w:rsid w:val="00C15A75"/>
    <w:rsid w:val="00C34C8C"/>
    <w:rsid w:val="00C50792"/>
    <w:rsid w:val="00C518F0"/>
    <w:rsid w:val="00C55A45"/>
    <w:rsid w:val="00C83926"/>
    <w:rsid w:val="00C904D9"/>
    <w:rsid w:val="00C94C06"/>
    <w:rsid w:val="00CA48BF"/>
    <w:rsid w:val="00CA6A73"/>
    <w:rsid w:val="00CB3ACC"/>
    <w:rsid w:val="00CB4745"/>
    <w:rsid w:val="00CB7FBD"/>
    <w:rsid w:val="00CD2163"/>
    <w:rsid w:val="00CD4FE7"/>
    <w:rsid w:val="00CD5E6B"/>
    <w:rsid w:val="00CE5D96"/>
    <w:rsid w:val="00CE7344"/>
    <w:rsid w:val="00CF26EE"/>
    <w:rsid w:val="00D03E8A"/>
    <w:rsid w:val="00D255F2"/>
    <w:rsid w:val="00D310F0"/>
    <w:rsid w:val="00D37AC2"/>
    <w:rsid w:val="00D500A9"/>
    <w:rsid w:val="00D64121"/>
    <w:rsid w:val="00D732FE"/>
    <w:rsid w:val="00D772E9"/>
    <w:rsid w:val="00D824A0"/>
    <w:rsid w:val="00DA31AB"/>
    <w:rsid w:val="00DA3281"/>
    <w:rsid w:val="00DA6D3E"/>
    <w:rsid w:val="00DC02E8"/>
    <w:rsid w:val="00DC75C7"/>
    <w:rsid w:val="00DC78D3"/>
    <w:rsid w:val="00DE4391"/>
    <w:rsid w:val="00DF4592"/>
    <w:rsid w:val="00E046BB"/>
    <w:rsid w:val="00E15FDC"/>
    <w:rsid w:val="00E20B77"/>
    <w:rsid w:val="00E2651B"/>
    <w:rsid w:val="00E6632E"/>
    <w:rsid w:val="00E90CF2"/>
    <w:rsid w:val="00EB0B6B"/>
    <w:rsid w:val="00ED0F61"/>
    <w:rsid w:val="00EE73E1"/>
    <w:rsid w:val="00EF52AF"/>
    <w:rsid w:val="00F12107"/>
    <w:rsid w:val="00F13165"/>
    <w:rsid w:val="00F26793"/>
    <w:rsid w:val="00F4234E"/>
    <w:rsid w:val="00F7477E"/>
    <w:rsid w:val="00F85393"/>
    <w:rsid w:val="00F9449F"/>
    <w:rsid w:val="00FA4A24"/>
    <w:rsid w:val="00FB71C5"/>
    <w:rsid w:val="00FC41B4"/>
    <w:rsid w:val="00FC5A6B"/>
    <w:rsid w:val="00FC67CF"/>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0B4F15"/>
    <w:pPr>
      <w:keepNext/>
      <w:spacing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53742F"/>
    <w:pPr>
      <w:tabs>
        <w:tab w:val="left" w:pos="1190"/>
      </w:tabs>
      <w:ind w:left="1134" w:hanging="624"/>
    </w:pPr>
    <w:rPr>
      <w:b w:val="0"/>
      <w:noProof/>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clear" w:pos="1190"/>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E295C"/>
    <w:pPr>
      <w:spacing w:before="480" w:after="6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870F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870F3F"/>
    <w:rPr>
      <w:caps/>
      <w:spacing w:val="-4"/>
      <w:sz w:val="16"/>
      <w:lang w:eastAsia="en-US"/>
    </w:rPr>
  </w:style>
  <w:style w:type="character" w:customStyle="1" w:styleId="Heading1Char">
    <w:name w:val="Heading 1 Char"/>
    <w:basedOn w:val="DefaultParagraphFont"/>
    <w:link w:val="Heading1"/>
    <w:rsid w:val="000B4F15"/>
    <w:rPr>
      <w:kern w:val="28"/>
      <w:sz w:val="52"/>
      <w:lang w:eastAsia="en-US"/>
    </w:rPr>
  </w:style>
  <w:style w:type="paragraph" w:styleId="CommentSubject">
    <w:name w:val="annotation subject"/>
    <w:basedOn w:val="CommentText"/>
    <w:next w:val="CommentText"/>
    <w:link w:val="CommentSubjectChar"/>
    <w:rsid w:val="009705BF"/>
    <w:pPr>
      <w:spacing w:before="0" w:line="240" w:lineRule="auto"/>
      <w:ind w:left="0" w:firstLine="0"/>
    </w:pPr>
    <w:rPr>
      <w:b/>
      <w:bCs/>
    </w:rPr>
  </w:style>
  <w:style w:type="character" w:customStyle="1" w:styleId="CommentTextChar">
    <w:name w:val="Comment Text Char"/>
    <w:basedOn w:val="DefaultParagraphFont"/>
    <w:link w:val="CommentText"/>
    <w:semiHidden/>
    <w:rsid w:val="009705BF"/>
    <w:rPr>
      <w:lang w:eastAsia="en-US"/>
    </w:rPr>
  </w:style>
  <w:style w:type="character" w:customStyle="1" w:styleId="CommentSubjectChar">
    <w:name w:val="Comment Subject Char"/>
    <w:basedOn w:val="CommentTextChar"/>
    <w:link w:val="CommentSubject"/>
    <w:rsid w:val="009705BF"/>
    <w:rPr>
      <w:b/>
      <w:bCs/>
      <w:lang w:eastAsia="en-US"/>
    </w:rPr>
  </w:style>
  <w:style w:type="paragraph" w:styleId="Revision">
    <w:name w:val="Revision"/>
    <w:hidden/>
    <w:uiPriority w:val="99"/>
    <w:semiHidden/>
    <w:rsid w:val="00516F19"/>
    <w:rPr>
      <w:sz w:val="26"/>
      <w:lang w:eastAsia="en-US"/>
    </w:rPr>
  </w:style>
  <w:style w:type="character" w:styleId="FollowedHyperlink">
    <w:name w:val="FollowedHyperlink"/>
    <w:basedOn w:val="DefaultParagraphFont"/>
    <w:rsid w:val="00D03E8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0B4F15"/>
    <w:pPr>
      <w:keepNext/>
      <w:spacing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53742F"/>
    <w:pPr>
      <w:tabs>
        <w:tab w:val="left" w:pos="1190"/>
      </w:tabs>
      <w:ind w:left="1134" w:hanging="624"/>
    </w:pPr>
    <w:rPr>
      <w:b w:val="0"/>
      <w:noProof/>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clear" w:pos="1190"/>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E295C"/>
    <w:pPr>
      <w:spacing w:before="480" w:after="6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870F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870F3F"/>
    <w:rPr>
      <w:caps/>
      <w:spacing w:val="-4"/>
      <w:sz w:val="16"/>
      <w:lang w:eastAsia="en-US"/>
    </w:rPr>
  </w:style>
  <w:style w:type="character" w:customStyle="1" w:styleId="Heading1Char">
    <w:name w:val="Heading 1 Char"/>
    <w:basedOn w:val="DefaultParagraphFont"/>
    <w:link w:val="Heading1"/>
    <w:rsid w:val="000B4F15"/>
    <w:rPr>
      <w:kern w:val="28"/>
      <w:sz w:val="52"/>
      <w:lang w:eastAsia="en-US"/>
    </w:rPr>
  </w:style>
  <w:style w:type="paragraph" w:styleId="CommentSubject">
    <w:name w:val="annotation subject"/>
    <w:basedOn w:val="CommentText"/>
    <w:next w:val="CommentText"/>
    <w:link w:val="CommentSubjectChar"/>
    <w:rsid w:val="009705BF"/>
    <w:pPr>
      <w:spacing w:before="0" w:line="240" w:lineRule="auto"/>
      <w:ind w:left="0" w:firstLine="0"/>
    </w:pPr>
    <w:rPr>
      <w:b/>
      <w:bCs/>
    </w:rPr>
  </w:style>
  <w:style w:type="character" w:customStyle="1" w:styleId="CommentTextChar">
    <w:name w:val="Comment Text Char"/>
    <w:basedOn w:val="DefaultParagraphFont"/>
    <w:link w:val="CommentText"/>
    <w:semiHidden/>
    <w:rsid w:val="009705BF"/>
    <w:rPr>
      <w:lang w:eastAsia="en-US"/>
    </w:rPr>
  </w:style>
  <w:style w:type="character" w:customStyle="1" w:styleId="CommentSubjectChar">
    <w:name w:val="Comment Subject Char"/>
    <w:basedOn w:val="CommentTextChar"/>
    <w:link w:val="CommentSubject"/>
    <w:rsid w:val="009705BF"/>
    <w:rPr>
      <w:b/>
      <w:bCs/>
      <w:lang w:eastAsia="en-US"/>
    </w:rPr>
  </w:style>
  <w:style w:type="paragraph" w:styleId="Revision">
    <w:name w:val="Revision"/>
    <w:hidden/>
    <w:uiPriority w:val="99"/>
    <w:semiHidden/>
    <w:rsid w:val="00516F19"/>
    <w:rPr>
      <w:sz w:val="26"/>
      <w:lang w:eastAsia="en-US"/>
    </w:rPr>
  </w:style>
  <w:style w:type="character" w:styleId="FollowedHyperlink">
    <w:name w:val="FollowedHyperlink"/>
    <w:basedOn w:val="DefaultParagraphFont"/>
    <w:rsid w:val="00D03E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D5933-BB43-405D-B34D-912FA7AF6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2</TotalTime>
  <Pages>10</Pages>
  <Words>1798</Words>
  <Characters>10355</Characters>
  <Application>Microsoft Office Word</Application>
  <DocSecurity>0</DocSecurity>
  <Lines>267</Lines>
  <Paragraphs>161</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12036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5</cp:revision>
  <cp:lastPrinted>2013-10-25T02:27:00Z</cp:lastPrinted>
  <dcterms:created xsi:type="dcterms:W3CDTF">2013-11-06T03:29:00Z</dcterms:created>
  <dcterms:modified xsi:type="dcterms:W3CDTF">2013-11-06T04:47:00Z</dcterms:modified>
</cp:coreProperties>
</file>