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3EA" w:rsidRPr="00DE53EA" w:rsidRDefault="00DE53EA" w:rsidP="00DE53EA">
      <w:pPr>
        <w:pStyle w:val="BodyText"/>
        <w:spacing w:line="360" w:lineRule="auto"/>
        <w:ind w:left="0"/>
        <w:jc w:val="center"/>
        <w:rPr>
          <w:b/>
          <w:sz w:val="24"/>
        </w:rPr>
      </w:pPr>
    </w:p>
    <w:p w:rsidR="00DE53EA" w:rsidRDefault="00DE53EA" w:rsidP="00DE53EA">
      <w:pPr>
        <w:tabs>
          <w:tab w:val="left" w:pos="1950"/>
        </w:tabs>
        <w:spacing w:line="360" w:lineRule="auto"/>
        <w:jc w:val="center"/>
        <w:rPr>
          <w:b/>
        </w:rPr>
      </w:pPr>
    </w:p>
    <w:p w:rsidR="00DE53EA" w:rsidRDefault="00DE53EA" w:rsidP="00DE53EA">
      <w:pPr>
        <w:tabs>
          <w:tab w:val="left" w:pos="1950"/>
        </w:tabs>
        <w:spacing w:line="360" w:lineRule="auto"/>
        <w:jc w:val="center"/>
        <w:rPr>
          <w:b/>
        </w:rPr>
      </w:pPr>
      <w:bookmarkStart w:id="0" w:name="_GoBack"/>
      <w:bookmarkEnd w:id="0"/>
    </w:p>
    <w:p w:rsidR="00DE53EA" w:rsidRDefault="00DE53EA" w:rsidP="00DE53EA">
      <w:pPr>
        <w:tabs>
          <w:tab w:val="left" w:pos="1950"/>
        </w:tabs>
        <w:spacing w:line="360" w:lineRule="auto"/>
        <w:jc w:val="center"/>
        <w:rPr>
          <w:b/>
        </w:rPr>
      </w:pPr>
      <w:r w:rsidRPr="00702E94">
        <w:rPr>
          <w:b/>
        </w:rPr>
        <w:t xml:space="preserve">PRODUCTIVITY COMMISSION – </w:t>
      </w:r>
      <w:r>
        <w:rPr>
          <w:b/>
        </w:rPr>
        <w:t>THE ACCESS REGIME</w:t>
      </w:r>
    </w:p>
    <w:p w:rsidR="00DE53EA" w:rsidRDefault="00DE53EA" w:rsidP="00DE53EA">
      <w:pPr>
        <w:tabs>
          <w:tab w:val="left" w:pos="1950"/>
        </w:tabs>
        <w:spacing w:line="360" w:lineRule="auto"/>
        <w:jc w:val="center"/>
        <w:rPr>
          <w:b/>
        </w:rPr>
      </w:pPr>
      <w:r>
        <w:rPr>
          <w:b/>
        </w:rPr>
        <w:t xml:space="preserve">(THE </w:t>
      </w:r>
      <w:r w:rsidRPr="00702E94">
        <w:rPr>
          <w:b/>
        </w:rPr>
        <w:t>ISSUES PAPER</w:t>
      </w:r>
      <w:r>
        <w:rPr>
          <w:b/>
        </w:rPr>
        <w:t>)</w:t>
      </w:r>
    </w:p>
    <w:p w:rsidR="00DE53EA" w:rsidRDefault="00DE53EA" w:rsidP="00DE53EA">
      <w:pPr>
        <w:pStyle w:val="BodyText"/>
        <w:spacing w:line="360" w:lineRule="auto"/>
        <w:ind w:left="0"/>
      </w:pPr>
    </w:p>
    <w:p w:rsidR="00DE53EA" w:rsidRPr="002944F4" w:rsidRDefault="00DE53EA" w:rsidP="00DE53EA">
      <w:pPr>
        <w:pStyle w:val="BodyText"/>
        <w:spacing w:line="360" w:lineRule="auto"/>
        <w:ind w:left="0"/>
        <w:jc w:val="center"/>
        <w:rPr>
          <w:b/>
        </w:rPr>
      </w:pPr>
      <w:r w:rsidRPr="00892B7C">
        <w:rPr>
          <w:b/>
        </w:rPr>
        <w:t>A ONE STEP ACCESS APPLICATION</w:t>
      </w:r>
    </w:p>
    <w:p w:rsidR="00DE53EA" w:rsidRDefault="00DE53EA" w:rsidP="00DE53EA">
      <w:pPr>
        <w:pStyle w:val="BodyText"/>
        <w:spacing w:line="360" w:lineRule="auto"/>
        <w:ind w:left="0"/>
      </w:pPr>
    </w:p>
    <w:p w:rsidR="00DE53EA" w:rsidRDefault="00DE53EA" w:rsidP="00DE53EA">
      <w:pPr>
        <w:pStyle w:val="BodyText"/>
        <w:spacing w:line="360" w:lineRule="auto"/>
        <w:ind w:left="0"/>
      </w:pPr>
      <w:r>
        <w:t>As noted in a sepa</w:t>
      </w:r>
      <w:r w:rsidR="006B3259">
        <w:t>rate part of this submission, I</w:t>
      </w:r>
      <w:r>
        <w:t xml:space="preserve"> believe that there are too many layers included in the access regime in Part IIIA of the Competition and Consumer Act (</w:t>
      </w:r>
      <w:r w:rsidRPr="002944F4">
        <w:rPr>
          <w:b/>
        </w:rPr>
        <w:t>the Act</w:t>
      </w:r>
      <w:r>
        <w:t xml:space="preserve">). </w:t>
      </w:r>
    </w:p>
    <w:p w:rsidR="00DE53EA" w:rsidRDefault="00DE53EA" w:rsidP="00DE53EA">
      <w:pPr>
        <w:pStyle w:val="BodyText"/>
        <w:spacing w:line="360" w:lineRule="auto"/>
        <w:ind w:left="0"/>
      </w:pPr>
      <w:r>
        <w:t xml:space="preserve">Recent applications for access have sometimes being progressed fairly speedily and access terms have been settled without a great deal of delay; on the other hand there have been some critical access applications in which the process is taken inordinate length of time before we even get to the stage of access terms being considered. </w:t>
      </w:r>
    </w:p>
    <w:p w:rsidR="00DE53EA" w:rsidRDefault="00DE53EA" w:rsidP="00DE53EA">
      <w:pPr>
        <w:pStyle w:val="BodyText"/>
        <w:spacing w:line="360" w:lineRule="auto"/>
        <w:ind w:left="0"/>
      </w:pPr>
      <w:r>
        <w:t xml:space="preserve">One vital change to the process which could be considered viable is to ‘concertina’ the application access process together with the access terms process. The existence of a review mechanism in relation to both aspects of the current regime in my view is an open invitation for persons who wish to protect their particular access facility from a successful application, to seek to review all stages of the process taking advantage of the rights vested in them. Such temptation would be reduced if in fact the whole access application process was one which the access application contains not only the grounds upon which access should be granted (satisfying the tests currently provided for in the legislation to justify an access being granted, coupled with the terms conditions, prices and related factors involved in granting the application). I argued for this in my paper presented to the University of Melbourne in February 2008 entitled – ‘National Economic Regulation – the cost of (inadequate ?) reform’ </w:t>
      </w:r>
      <w:r w:rsidR="006B3259">
        <w:t>. A</w:t>
      </w:r>
      <w:r w:rsidR="00AC7358">
        <w:t>n edited</w:t>
      </w:r>
      <w:r w:rsidR="006B3259">
        <w:t xml:space="preserve"> copy of this paper is also attached to this email.</w:t>
      </w:r>
    </w:p>
    <w:p w:rsidR="00DE53EA" w:rsidRDefault="00DE53EA" w:rsidP="00DE53EA">
      <w:pPr>
        <w:pStyle w:val="BodyText"/>
        <w:spacing w:line="360" w:lineRule="auto"/>
        <w:ind w:left="0"/>
      </w:pPr>
      <w:r w:rsidRPr="0045413D">
        <w:t xml:space="preserve">When an application for access is being made, the parties seeking access must have </w:t>
      </w:r>
      <w:r>
        <w:t xml:space="preserve">a very good </w:t>
      </w:r>
      <w:r w:rsidRPr="0045413D">
        <w:t xml:space="preserve">idea of the terms under which they would like to apply for access. The party from whom access is being sought must have some idea of the terms which they might be prepared to </w:t>
      </w:r>
      <w:r>
        <w:t xml:space="preserve">accept in agreeing to allow </w:t>
      </w:r>
      <w:r w:rsidRPr="0045413D">
        <w:t>access to be given</w:t>
      </w:r>
      <w:r>
        <w:t>.</w:t>
      </w:r>
      <w:r w:rsidRPr="0045413D">
        <w:t xml:space="preserve"> </w:t>
      </w:r>
      <w:r>
        <w:t>A</w:t>
      </w:r>
      <w:r w:rsidRPr="0045413D">
        <w:t xml:space="preserve">t the same time the application for access is made, the parties should put forward the terms under which they are prepared to accept access (monetary and other terms). These matters should be considered together in the overall application for access. To divide the task up in the way in which the current regime has, leads to frustration and some would suggest confusion. Indeed the Tribunal, in dealing with the application for access to </w:t>
      </w:r>
      <w:r w:rsidRPr="0045413D">
        <w:lastRenderedPageBreak/>
        <w:t>Sydney Airport in a relatively recent decision</w:t>
      </w:r>
      <w:r w:rsidRPr="0045413D">
        <w:rPr>
          <w:rStyle w:val="FootnoteReference"/>
        </w:rPr>
        <w:footnoteReference w:id="1"/>
      </w:r>
      <w:r w:rsidRPr="0045413D">
        <w:t xml:space="preserve"> adopted a somewhat similar approach in dealing with the review of the application for access.</w:t>
      </w:r>
      <w:r>
        <w:t xml:space="preserve"> </w:t>
      </w:r>
    </w:p>
    <w:p w:rsidR="00DE53EA" w:rsidRDefault="00DE53EA" w:rsidP="00DE53EA">
      <w:pPr>
        <w:pStyle w:val="BodyText"/>
        <w:spacing w:line="360" w:lineRule="auto"/>
        <w:ind w:left="0"/>
      </w:pPr>
      <w:r>
        <w:t>It may be argued that until a company knows that it has been granted access that it will not be able to effectively and efficiently estimate what the costs will be in relation to the project. I do not find that argument at all convincing. Businesses do not make decisions on whether they are to go into a major project and to bid for a project, setting out the costs that they believe they can construct the relevant project, without having to do the sums and appropriate calculations which are arguably no different to those that applied to the seeking of access.</w:t>
      </w:r>
      <w:r w:rsidR="00AC7358">
        <w:t xml:space="preserve"> Some of the oral evidence provided by the National Competition Council suggests that some form of gaming may well occur in relation to applications  which may not have been well enough thought through and assessed.</w:t>
      </w:r>
    </w:p>
    <w:p w:rsidR="00DE53EA" w:rsidRDefault="00DE53EA" w:rsidP="00DE53EA">
      <w:pPr>
        <w:pStyle w:val="BodyText"/>
        <w:spacing w:line="360" w:lineRule="auto"/>
        <w:ind w:left="0"/>
      </w:pPr>
      <w:r>
        <w:t>The Australian Competition Consumer Commission (</w:t>
      </w:r>
      <w:r w:rsidRPr="00DE53EA">
        <w:rPr>
          <w:b/>
        </w:rPr>
        <w:t>ACCC</w:t>
      </w:r>
      <w:r>
        <w:t>) has the better experience in dealing with questions of access terms and the broader competition implications in this area (especially as a result of this fairly lengthy history in dealing with the telecommunications industry and may be an even better body to undertake these tasks.</w:t>
      </w:r>
    </w:p>
    <w:p w:rsidR="00DE53EA" w:rsidRDefault="00DE53EA" w:rsidP="00DE53EA">
      <w:pPr>
        <w:pStyle w:val="BodyText"/>
        <w:spacing w:line="360" w:lineRule="auto"/>
        <w:ind w:left="0"/>
      </w:pPr>
      <w:r>
        <w:t xml:space="preserve">Whatever regime is put in place there must always be some flexibility to enable access seekers to provide new information to ensure that the access regime that has been established as a result of the successful application can be tinkered with at the edges to ensure that appropriate accounts to be taken of unforeseen events that have occurred since the application as made and the relevant access regime is being pursued. The Act currently allows for amendments/variations to be made to the terms of authorisations granted where such ‘tinkering’ is warranted. There is no good reason why a similar process should not be introduced into this arena to ensure that having made the more difficult and time consuming decision to grant access and the terms on which access are to be granted of the decision maker should be equipped and ready to vary the arrangements where the appropriate arguments have been put to it for such variation. </w:t>
      </w:r>
    </w:p>
    <w:p w:rsidR="00DE53EA" w:rsidRDefault="00DE53EA" w:rsidP="00DE53EA">
      <w:pPr>
        <w:pStyle w:val="BodyText"/>
        <w:spacing w:line="360" w:lineRule="auto"/>
        <w:ind w:left="0"/>
      </w:pPr>
      <w:r>
        <w:t>It is clear that it would be very difficult to persuade the government to jettison the whole process currently in place and put in place a totally new process which of course maybe more ideal.</w:t>
      </w:r>
    </w:p>
    <w:p w:rsidR="00DE53EA" w:rsidRDefault="00DE53EA">
      <w:r>
        <w:br w:type="page"/>
      </w:r>
    </w:p>
    <w:p w:rsidR="00DE53EA" w:rsidRDefault="00DE53EA" w:rsidP="00DE53EA">
      <w:pPr>
        <w:tabs>
          <w:tab w:val="left" w:pos="1950"/>
        </w:tabs>
        <w:spacing w:line="360" w:lineRule="auto"/>
        <w:jc w:val="center"/>
        <w:rPr>
          <w:b/>
        </w:rPr>
      </w:pPr>
    </w:p>
    <w:p w:rsidR="00DE53EA" w:rsidRPr="009C7E55" w:rsidRDefault="00DE53EA" w:rsidP="00DE53EA">
      <w:pPr>
        <w:pStyle w:val="BodyText"/>
        <w:spacing w:line="360" w:lineRule="auto"/>
        <w:ind w:left="0"/>
        <w:jc w:val="center"/>
        <w:rPr>
          <w:b/>
        </w:rPr>
      </w:pPr>
      <w:r w:rsidRPr="009C7E55">
        <w:rPr>
          <w:b/>
        </w:rPr>
        <w:t>SHOULD THE RIGHT OF REVIEW FROM DECISIONS OF THE COUNCIL AND/OR THE AUSTRALIAN COMPETITION AND CONSUMER COMMISSION BE REMOVED?</w:t>
      </w:r>
    </w:p>
    <w:p w:rsidR="00DE53EA" w:rsidRDefault="00DE53EA" w:rsidP="00DE53EA">
      <w:pPr>
        <w:pStyle w:val="BodyText"/>
        <w:spacing w:line="360" w:lineRule="auto"/>
        <w:ind w:left="0"/>
      </w:pPr>
    </w:p>
    <w:p w:rsidR="00DE53EA" w:rsidRDefault="00DE53EA" w:rsidP="00DE53EA">
      <w:pPr>
        <w:pStyle w:val="BodyText"/>
        <w:spacing w:line="360" w:lineRule="auto"/>
        <w:ind w:left="0"/>
      </w:pPr>
      <w:r>
        <w:t xml:space="preserve">One of the main reasons why the current access regime does results in very lengthy and costly “cases” in dealing with a relevant application, is because there is, and has always been a detailed and many would regard as a counter-productive review process in the legislation. Whilst the layers of review and appeal have been reduced from the first draft of the legislation, there still remain too many layers within the process. </w:t>
      </w:r>
    </w:p>
    <w:p w:rsidR="00DE53EA" w:rsidRDefault="00DE53EA" w:rsidP="00DE53EA">
      <w:pPr>
        <w:pStyle w:val="BodyText"/>
        <w:spacing w:line="360" w:lineRule="auto"/>
        <w:ind w:left="0"/>
      </w:pPr>
      <w:r>
        <w:t>If the government is to reduce the number of decision makers before a final decision on whether access is granted, and the terms of access, once the access application has been granted, it faces the very difficult decision of which of the relevant bodies should be removed from the current regime. We have seen what many agree has been a successful simplification of the review process in relation to the telecommunications access regime under Part XIC of the Act.</w:t>
      </w:r>
    </w:p>
    <w:p w:rsidR="00DE53EA" w:rsidRDefault="00DE53EA" w:rsidP="00DE53EA">
      <w:pPr>
        <w:pStyle w:val="BodyText"/>
        <w:spacing w:line="360" w:lineRule="auto"/>
        <w:ind w:left="0"/>
      </w:pPr>
      <w:r>
        <w:t>Does the Council have the necessary expertise and experience to warrant the removal of the Tribunal from the review process? Would we be confident to leave it to the Federal Court of Australia to decide or review issues including questions of law? (especially as the Federal Court of Australia (</w:t>
      </w:r>
      <w:r w:rsidRPr="002C73D9">
        <w:rPr>
          <w:b/>
        </w:rPr>
        <w:t>the Court)</w:t>
      </w:r>
      <w:r>
        <w:t xml:space="preserve"> does not have sitting on it an economist as the Hi</w:t>
      </w:r>
      <w:r w:rsidR="001C0C86">
        <w:t xml:space="preserve">gh Court of New Zealand does). </w:t>
      </w:r>
      <w:r>
        <w:t xml:space="preserve">Alternatively should we eliminate the Council as a decision maker, but provide it with necessary resources to enable it to play the critical role of Amicus Tribunal/Court.  This would in effect copy the approach taken by Parliament when it simplified the merger authorisation review process. Regrettably we have no examples of the direct application to the Tribunal for the authorisation of mergers since that legislation was amended. But the arguments in favour of such an approach still persuasive. </w:t>
      </w:r>
    </w:p>
    <w:p w:rsidR="00DE53EA" w:rsidRDefault="00DE53EA" w:rsidP="00DE53EA">
      <w:pPr>
        <w:pStyle w:val="BodyText"/>
        <w:spacing w:line="360" w:lineRule="auto"/>
        <w:ind w:left="0"/>
      </w:pPr>
      <w:r>
        <w:t>If the Council is provided with the relevant resources to ensure that all relevant information/arguments are provided/presented to the Tribunal, and all relevant arguments are also presented to the Tribunal in evaluating an application for access, with the Council also taking a neutral role as we believe the ACCC should/would take in any authorisation for a merger, we are likely to see a reduction in the number of applications made for access where there is a genuine doubt as to whether the access application will be successful or not, and the parties realise that the process stops at the Tribunal (other than on questions of law).</w:t>
      </w:r>
    </w:p>
    <w:p w:rsidR="00DE53EA" w:rsidRDefault="00DE53EA" w:rsidP="00DE53EA">
      <w:pPr>
        <w:pStyle w:val="BodyText"/>
        <w:spacing w:line="360" w:lineRule="auto"/>
        <w:ind w:left="0"/>
      </w:pPr>
      <w:r>
        <w:t xml:space="preserve">On reason why the Federal Court is probably not an appropriate body to make the decision on the merits, because these matters involve a large number of economic issues which have to be evaluated. In this context we note that the New Zealand regime provides for lay members to sit on </w:t>
      </w:r>
      <w:r>
        <w:lastRenderedPageBreak/>
        <w:t xml:space="preserve">the High Court of New Zealand (these would usually be economists) providing one of greater confidence that the decision making process will be a balanced one. </w:t>
      </w:r>
    </w:p>
    <w:p w:rsidR="00DE53EA" w:rsidRDefault="00DE53EA" w:rsidP="00DE53EA">
      <w:pPr>
        <w:pStyle w:val="BodyText"/>
        <w:spacing w:line="360" w:lineRule="auto"/>
        <w:ind w:left="0"/>
      </w:pPr>
      <w:r>
        <w:t>I also repeat in essence the comments made on page 21 of my 2008 Melbourne University paper namely that we should have a regime under which the Tribunal should be the sole decision maker on the merits of any access application with the Council for providing appropriate assistance.</w:t>
      </w:r>
      <w:r w:rsidR="00AC7358">
        <w:t xml:space="preserve"> As indicated earlier an edited version of my paper is attached</w:t>
      </w:r>
    </w:p>
    <w:p w:rsidR="00DE53EA" w:rsidRDefault="00DE53EA" w:rsidP="00DE53EA">
      <w:pPr>
        <w:pStyle w:val="BodyText"/>
        <w:spacing w:line="360" w:lineRule="auto"/>
        <w:ind w:left="0"/>
      </w:pPr>
      <w:r>
        <w:t>We then turn to the question of access terms and whether that should have the same structure as the application for access in that relevant regime would be one for the Tribunal to decide the actual terms with the ACCC playing the role of Amicus Tribunal in the same way as it is currently is required to play in relation to merger authorisation applications. However, the process could be even further simplified if, as argued in a separate part of the submission, the application for access should include not only the arguments in favour of granting access but also the terms under which access to be granted, the two matters being considered as part of a global application to the relevant decision maker – in our view the Tribunal. That particular question is discussed in a separate part of this submission.</w:t>
      </w:r>
    </w:p>
    <w:p w:rsidR="00DE53EA" w:rsidRPr="00702E94" w:rsidRDefault="00DE53EA" w:rsidP="00DE53EA"/>
    <w:p w:rsidR="00DE53EA" w:rsidRDefault="00DE53EA">
      <w:pPr>
        <w:rPr>
          <w:b/>
        </w:rPr>
      </w:pPr>
      <w:r>
        <w:rPr>
          <w:b/>
        </w:rPr>
        <w:br w:type="page"/>
      </w:r>
    </w:p>
    <w:p w:rsidR="009B3D44" w:rsidRPr="009B3D44" w:rsidRDefault="00696DE5" w:rsidP="00696DE5">
      <w:pPr>
        <w:pStyle w:val="BodyText"/>
        <w:spacing w:line="360" w:lineRule="auto"/>
        <w:ind w:left="0"/>
        <w:jc w:val="center"/>
        <w:rPr>
          <w:b/>
        </w:rPr>
      </w:pPr>
      <w:r w:rsidRPr="009B3D44">
        <w:rPr>
          <w:b/>
        </w:rPr>
        <w:lastRenderedPageBreak/>
        <w:t xml:space="preserve">WHAT ROLE SHOULD THE RELEVANT MINISTER </w:t>
      </w:r>
      <w:r w:rsidR="00320132">
        <w:rPr>
          <w:b/>
        </w:rPr>
        <w:t>PLAY</w:t>
      </w:r>
      <w:r w:rsidR="00320132" w:rsidRPr="009B3D44">
        <w:rPr>
          <w:b/>
        </w:rPr>
        <w:t xml:space="preserve"> </w:t>
      </w:r>
      <w:r w:rsidRPr="009B3D44">
        <w:rPr>
          <w:b/>
        </w:rPr>
        <w:t>IN THE ACCESS DECISION PROCESS?</w:t>
      </w:r>
    </w:p>
    <w:p w:rsidR="009B3D44" w:rsidRDefault="009B3D44" w:rsidP="009B3D44">
      <w:pPr>
        <w:pStyle w:val="BodyText"/>
        <w:spacing w:line="360" w:lineRule="auto"/>
        <w:ind w:left="0"/>
      </w:pPr>
      <w:r>
        <w:t xml:space="preserve">It is my view that the relevant Minister (either the Commonwealth Minister or the State or Territory Minister) should not </w:t>
      </w:r>
      <w:r w:rsidR="00320132">
        <w:t xml:space="preserve">retain </w:t>
      </w:r>
      <w:r>
        <w:t xml:space="preserve">the power currently </w:t>
      </w:r>
      <w:r w:rsidR="00320132">
        <w:t xml:space="preserve">enjoy </w:t>
      </w:r>
      <w:r>
        <w:t>to the relevant Minister to in effect block or overturn decisions made by the relevant decision makers on question</w:t>
      </w:r>
      <w:r w:rsidR="00320132">
        <w:t>s</w:t>
      </w:r>
      <w:r>
        <w:t xml:space="preserve"> of access.</w:t>
      </w:r>
    </w:p>
    <w:p w:rsidR="009B3D44" w:rsidRDefault="009B3D44" w:rsidP="009B3D44">
      <w:pPr>
        <w:pStyle w:val="BodyText"/>
        <w:spacing w:line="360" w:lineRule="auto"/>
        <w:ind w:left="0"/>
      </w:pPr>
      <w:r>
        <w:t>I make this comment in the context of the ideological basis for an access regime, and to reflect the philosophy behind the current Competition and Consumer Act (</w:t>
      </w:r>
      <w:r w:rsidRPr="009B3D44">
        <w:rPr>
          <w:b/>
        </w:rPr>
        <w:t>the Act</w:t>
      </w:r>
      <w:r>
        <w:t>). When the predecessor to the Act was introduced</w:t>
      </w:r>
      <w:r w:rsidR="00D30775">
        <w:t>,</w:t>
      </w:r>
      <w:r>
        <w:t xml:space="preserve"> the relevant Commonwealth Minister did have power to give directions to the then Trade Practices Commission </w:t>
      </w:r>
      <w:r w:rsidR="00D30775">
        <w:t>(</w:t>
      </w:r>
      <w:r w:rsidR="00D30775" w:rsidRPr="006F7061">
        <w:rPr>
          <w:b/>
        </w:rPr>
        <w:t>Commission</w:t>
      </w:r>
      <w:r w:rsidR="00D30775">
        <w:t xml:space="preserve">) </w:t>
      </w:r>
      <w:r>
        <w:t>to take into account certain matters</w:t>
      </w:r>
      <w:r w:rsidR="00D30775">
        <w:t>,</w:t>
      </w:r>
      <w:r>
        <w:t xml:space="preserve"> or to act in a particular way</w:t>
      </w:r>
      <w:r w:rsidR="00D30775">
        <w:t>,</w:t>
      </w:r>
      <w:r>
        <w:t xml:space="preserve"> in dealing with </w:t>
      </w:r>
      <w:r w:rsidR="00D30775">
        <w:t xml:space="preserve">various matters </w:t>
      </w:r>
      <w:r>
        <w:t>considered by the Commission under that legislation. That power was removed in due course</w:t>
      </w:r>
      <w:r w:rsidR="00D30775">
        <w:t>.</w:t>
      </w:r>
      <w:r>
        <w:t xml:space="preserve"> </w:t>
      </w:r>
      <w:r w:rsidR="00D30775">
        <w:t>Now</w:t>
      </w:r>
      <w:r>
        <w:t xml:space="preserve">, the </w:t>
      </w:r>
      <w:r w:rsidR="00D30775">
        <w:t xml:space="preserve">relevant </w:t>
      </w:r>
      <w:r>
        <w:t>Minister, in line with other persons who may wish to influence decisions to be taken by the Australian Competition Consumer Commission (the ACCC)</w:t>
      </w:r>
      <w:r w:rsidR="00221927">
        <w:t xml:space="preserve">, for example in authorisations or </w:t>
      </w:r>
      <w:r w:rsidR="00D06E4F">
        <w:t>notifications</w:t>
      </w:r>
      <w:r w:rsidR="00221927">
        <w:t xml:space="preserve"> </w:t>
      </w:r>
      <w:proofErr w:type="spellStart"/>
      <w:r w:rsidR="00221927">
        <w:t>etc</w:t>
      </w:r>
      <w:proofErr w:type="spellEnd"/>
      <w:r w:rsidR="00D30775">
        <w:t>,</w:t>
      </w:r>
      <w:r w:rsidR="00221927">
        <w:t xml:space="preserve"> must make a submission in the same way as others do. These matters will be taken into account by the decision makers in </w:t>
      </w:r>
      <w:r w:rsidR="00D30775">
        <w:t xml:space="preserve">any </w:t>
      </w:r>
      <w:r w:rsidR="00221927">
        <w:t>process</w:t>
      </w:r>
      <w:r w:rsidR="00D30775">
        <w:t xml:space="preserve"> – in this context</w:t>
      </w:r>
      <w:r w:rsidR="00221927">
        <w:t>, the National Competition Council (</w:t>
      </w:r>
      <w:r w:rsidR="00221927" w:rsidRPr="00221927">
        <w:rPr>
          <w:b/>
        </w:rPr>
        <w:t>the Council</w:t>
      </w:r>
      <w:r w:rsidR="00221927">
        <w:t>) or the Australian Competition Tribunal (</w:t>
      </w:r>
      <w:r w:rsidR="00221927" w:rsidRPr="00221927">
        <w:rPr>
          <w:b/>
        </w:rPr>
        <w:t>the Tribunal</w:t>
      </w:r>
      <w:r w:rsidR="00221927">
        <w:t xml:space="preserve">). </w:t>
      </w:r>
    </w:p>
    <w:p w:rsidR="00B05E3D" w:rsidRDefault="00221927" w:rsidP="004A5E08">
      <w:pPr>
        <w:pStyle w:val="BodyText"/>
        <w:spacing w:line="360" w:lineRule="auto"/>
        <w:ind w:left="0"/>
      </w:pPr>
      <w:r>
        <w:t xml:space="preserve">Whilst the Commonwealth </w:t>
      </w:r>
      <w:r w:rsidR="00DE788A">
        <w:t xml:space="preserve">Government </w:t>
      </w:r>
      <w:r>
        <w:t xml:space="preserve">still has the power to exclude the operation of the </w:t>
      </w:r>
      <w:r w:rsidR="005D229F">
        <w:t xml:space="preserve">Act </w:t>
      </w:r>
      <w:r>
        <w:t>pursuant to section 51(1) in certain circumstances, and whilst the legislation still recognises the unique position of the overseas cargo shipping industry in Part X</w:t>
      </w:r>
      <w:r w:rsidR="00DE788A">
        <w:t xml:space="preserve"> of the Act</w:t>
      </w:r>
      <w:r>
        <w:t xml:space="preserve">, there is no justification, in </w:t>
      </w:r>
      <w:r w:rsidR="005D229F">
        <w:t xml:space="preserve">my </w:t>
      </w:r>
      <w:r>
        <w:t xml:space="preserve">view, for the Minister </w:t>
      </w:r>
      <w:r w:rsidR="005D229F">
        <w:t xml:space="preserve">(or equivalent person) </w:t>
      </w:r>
      <w:r>
        <w:t xml:space="preserve">to have the influential role that he or she </w:t>
      </w:r>
      <w:r w:rsidR="005D229F">
        <w:t xml:space="preserve">currently enjoys. If </w:t>
      </w:r>
      <w:r>
        <w:t xml:space="preserve">the relevant Minister (representing the views of the particular </w:t>
      </w:r>
      <w:r w:rsidR="00DE788A">
        <w:t xml:space="preserve">Commonwealth, State or Territory </w:t>
      </w:r>
      <w:r>
        <w:t xml:space="preserve">Government) believes that certain criteria or issues are so critical to the particular application for access being considered by the Council </w:t>
      </w:r>
      <w:r w:rsidR="00DE788A">
        <w:t xml:space="preserve">(or arguably the Tribunal) </w:t>
      </w:r>
      <w:r>
        <w:t xml:space="preserve">the Minister should be able to </w:t>
      </w:r>
      <w:r w:rsidR="00DE788A">
        <w:t xml:space="preserve">make submissions or </w:t>
      </w:r>
      <w:r>
        <w:t xml:space="preserve">provide information </w:t>
      </w:r>
      <w:r w:rsidR="00DE788A">
        <w:t>to the Council or Tribunal. The decision maker will no doubt take into account and give appropriate weight to any submission or information provided to it</w:t>
      </w:r>
      <w:r w:rsidR="005D229F">
        <w:t>.</w:t>
      </w:r>
      <w:r w:rsidR="00DE788A">
        <w:t xml:space="preserve"> </w:t>
      </w:r>
      <w:r w:rsidR="005D229F">
        <w:t xml:space="preserve">This is the </w:t>
      </w:r>
      <w:r w:rsidR="00DE788A">
        <w:t xml:space="preserve">way </w:t>
      </w:r>
      <w:r w:rsidR="004A5E08">
        <w:t xml:space="preserve">the ACCC takes into account matters that are relevant in application for authorisation, </w:t>
      </w:r>
      <w:r w:rsidR="005D229F">
        <w:t xml:space="preserve">notification, </w:t>
      </w:r>
      <w:r w:rsidR="004A5E08">
        <w:t>or some other similar decision making process</w:t>
      </w:r>
      <w:r w:rsidR="005D229F">
        <w:t>es</w:t>
      </w:r>
      <w:r w:rsidR="004A5E08">
        <w:t>.</w:t>
      </w:r>
      <w:r w:rsidR="00B05E3D">
        <w:t xml:space="preserve">  </w:t>
      </w:r>
    </w:p>
    <w:p w:rsidR="004A5E08" w:rsidRDefault="004A5E08" w:rsidP="004A5E08">
      <w:pPr>
        <w:pStyle w:val="BodyText"/>
        <w:spacing w:line="360" w:lineRule="auto"/>
        <w:ind w:left="0"/>
      </w:pPr>
      <w:r>
        <w:t xml:space="preserve">If there are particular areas of the Australian economy that are regarded as so important so as to the exclude the operation of the relevant legislation (and I argue that there can be very few if any that should be given that special treatment) then it is more appropriate for the legislation to clearly indicate why that particular area should be excluded from the operation of legislation. In that context, the Government should be asked to provide compelling reasons as to why the legislation is necessary. In my view there should be no reason why the relevant State </w:t>
      </w:r>
      <w:r w:rsidR="00B05E3D">
        <w:t xml:space="preserve">/Territory </w:t>
      </w:r>
      <w:r>
        <w:t xml:space="preserve">government should be given that power in relation to matters that come within the jurisdiction of the Commonwealth. </w:t>
      </w:r>
      <w:r w:rsidR="00963DE3">
        <w:t>A competition/public interest impact statement must be prepared.</w:t>
      </w:r>
    </w:p>
    <w:p w:rsidR="004B158B" w:rsidRDefault="004A5E08" w:rsidP="004A5E08">
      <w:pPr>
        <w:tabs>
          <w:tab w:val="left" w:pos="1950"/>
        </w:tabs>
        <w:spacing w:line="360" w:lineRule="auto"/>
      </w:pPr>
      <w:r>
        <w:lastRenderedPageBreak/>
        <w:t>In the event that this argument is not acceptable</w:t>
      </w:r>
      <w:r w:rsidR="00963DE3">
        <w:t>,</w:t>
      </w:r>
      <w:r>
        <w:t xml:space="preserve"> </w:t>
      </w:r>
      <w:r w:rsidR="00B05E3D">
        <w:t xml:space="preserve">the </w:t>
      </w:r>
      <w:r>
        <w:t xml:space="preserve">legislation should be amended to make it </w:t>
      </w:r>
      <w:r w:rsidR="00B05E3D">
        <w:t>mandatory for the relevant Minister in wishing to override the relevant decision taken by the Council</w:t>
      </w:r>
      <w:r w:rsidR="004B158B">
        <w:t>,</w:t>
      </w:r>
      <w:r w:rsidR="00B05E3D">
        <w:t xml:space="preserve"> the Tribunal</w:t>
      </w:r>
      <w:r w:rsidR="004B158B">
        <w:t xml:space="preserve"> (or whoever is relevant) </w:t>
      </w:r>
      <w:r w:rsidR="00B05E3D">
        <w:t xml:space="preserve">to set out in detail why that decision has been taken. Regrettably the proposition that legislation </w:t>
      </w:r>
      <w:r w:rsidR="004B158B">
        <w:t xml:space="preserve">when proposed should be </w:t>
      </w:r>
      <w:r w:rsidR="00B05E3D">
        <w:t xml:space="preserve">supported by </w:t>
      </w:r>
      <w:r w:rsidR="004B158B">
        <w:t xml:space="preserve">what is in effect a </w:t>
      </w:r>
      <w:r w:rsidR="00B05E3D">
        <w:t>compelling cost benefit analyses and reasons for the legislation</w:t>
      </w:r>
      <w:r w:rsidR="004B158B">
        <w:t xml:space="preserve"> is given lip service to in Australia</w:t>
      </w:r>
      <w:r w:rsidR="00B05E3D">
        <w:t xml:space="preserve">. </w:t>
      </w:r>
    </w:p>
    <w:p w:rsidR="00B05E3D" w:rsidRDefault="00B05E3D" w:rsidP="004A5E08">
      <w:pPr>
        <w:tabs>
          <w:tab w:val="left" w:pos="1950"/>
        </w:tabs>
        <w:spacing w:line="360" w:lineRule="auto"/>
      </w:pPr>
      <w:r>
        <w:t xml:space="preserve">A similar approach in my view should be taken </w:t>
      </w:r>
      <w:r w:rsidR="004B158B">
        <w:t xml:space="preserve">if the </w:t>
      </w:r>
      <w:r>
        <w:t xml:space="preserve">relevant Minister </w:t>
      </w:r>
      <w:r w:rsidR="004B158B">
        <w:t xml:space="preserve">wishes </w:t>
      </w:r>
      <w:r>
        <w:t>to override a</w:t>
      </w:r>
      <w:r w:rsidR="004B158B">
        <w:t>ny</w:t>
      </w:r>
      <w:r>
        <w:t xml:space="preserve"> decision </w:t>
      </w:r>
      <w:r w:rsidR="004B158B">
        <w:t xml:space="preserve">taken by the relevant body. Governments </w:t>
      </w:r>
      <w:r>
        <w:t xml:space="preserve">will always reserve to themselves </w:t>
      </w:r>
      <w:r w:rsidR="004B158B">
        <w:t xml:space="preserve">the </w:t>
      </w:r>
      <w:r>
        <w:t>power to introduce legislation in extreme situation</w:t>
      </w:r>
      <w:r w:rsidR="004B158B">
        <w:t xml:space="preserve">s; </w:t>
      </w:r>
      <w:r>
        <w:t xml:space="preserve">it is unlikely that we should see such extreme situations arising in the context of the access regime. Furthermore, the failure to require </w:t>
      </w:r>
      <w:r w:rsidR="00220B62">
        <w:t xml:space="preserve">proper reasons being given for the veto power being exercised makes mockery of the principles behind the </w:t>
      </w:r>
      <w:r w:rsidR="00E7667F">
        <w:t>philosophy underpinning the current legislation.</w:t>
      </w:r>
    </w:p>
    <w:p w:rsidR="004A5E08" w:rsidRDefault="004A5E08" w:rsidP="004A5E08">
      <w:pPr>
        <w:tabs>
          <w:tab w:val="left" w:pos="1950"/>
        </w:tabs>
        <w:spacing w:line="360" w:lineRule="auto"/>
      </w:pPr>
    </w:p>
    <w:p w:rsidR="00DE53EA" w:rsidRPr="00702E94" w:rsidRDefault="00DE53EA" w:rsidP="004A5E08">
      <w:pPr>
        <w:tabs>
          <w:tab w:val="left" w:pos="1950"/>
        </w:tabs>
        <w:spacing w:line="360" w:lineRule="auto"/>
      </w:pPr>
    </w:p>
    <w:sectPr w:rsidR="00DE53EA" w:rsidRPr="00702E94">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567"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DB2" w:rsidRDefault="003E1DB2">
      <w:pPr>
        <w:spacing w:after="0"/>
      </w:pPr>
      <w:r>
        <w:separator/>
      </w:r>
    </w:p>
  </w:endnote>
  <w:endnote w:type="continuationSeparator" w:id="0">
    <w:p w:rsidR="003E1DB2" w:rsidRDefault="003E1D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B2" w:rsidRDefault="003E1D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3E1DB2">
      <w:trPr>
        <w:cantSplit/>
        <w:trHeight w:hRule="exact" w:val="1134"/>
      </w:trPr>
      <w:tc>
        <w:tcPr>
          <w:tcW w:w="1701" w:type="dxa"/>
          <w:vAlign w:val="bottom"/>
        </w:tcPr>
        <w:p w:rsidR="003E1DB2" w:rsidRDefault="003E1DB2">
          <w:pPr>
            <w:pStyle w:val="Footer7"/>
          </w:pPr>
          <w:r>
            <w:fldChar w:fldCharType="begin"/>
          </w:r>
          <w:r>
            <w:instrText xml:space="preserve"> DOCPROPERTY  "DMS Item ID" </w:instrText>
          </w:r>
          <w:r>
            <w:fldChar w:fldCharType="separate"/>
          </w:r>
          <w:r w:rsidR="00026A63">
            <w:t>20436409</w:t>
          </w:r>
          <w:r>
            <w:fldChar w:fldCharType="end"/>
          </w:r>
        </w:p>
      </w:tc>
      <w:tc>
        <w:tcPr>
          <w:tcW w:w="2835" w:type="dxa"/>
          <w:vAlign w:val="bottom"/>
        </w:tcPr>
        <w:p w:rsidR="003E1DB2" w:rsidRDefault="003E1DB2">
          <w:pPr>
            <w:pStyle w:val="Footer8"/>
          </w:pPr>
        </w:p>
      </w:tc>
      <w:tc>
        <w:tcPr>
          <w:tcW w:w="5103" w:type="dxa"/>
          <w:vAlign w:val="bottom"/>
        </w:tcPr>
        <w:p w:rsidR="003E1DB2" w:rsidRDefault="003D60D6">
          <w:pPr>
            <w:pStyle w:val="Footer2"/>
          </w:pPr>
          <w:r>
            <w:fldChar w:fldCharType="begin"/>
          </w:r>
          <w:r>
            <w:instrText xml:space="preserve"> SUBJECT   \* MERGEFORMAT </w:instrText>
          </w:r>
          <w:r>
            <w:fldChar w:fldCharType="end"/>
          </w:r>
        </w:p>
      </w:tc>
      <w:tc>
        <w:tcPr>
          <w:tcW w:w="1134" w:type="dxa"/>
          <w:vAlign w:val="bottom"/>
        </w:tcPr>
        <w:p w:rsidR="003E1DB2" w:rsidRDefault="003E1DB2">
          <w:pPr>
            <w:pStyle w:val="Footer3"/>
          </w:pPr>
          <w:r>
            <w:t xml:space="preserve">page </w:t>
          </w:r>
          <w:r>
            <w:fldChar w:fldCharType="begin"/>
          </w:r>
          <w:r>
            <w:instrText xml:space="preserve"> PAGE  \* Arabic </w:instrText>
          </w:r>
          <w:r>
            <w:fldChar w:fldCharType="separate"/>
          </w:r>
          <w:r w:rsidR="00C7497C">
            <w:rPr>
              <w:noProof/>
            </w:rPr>
            <w:t>6</w:t>
          </w:r>
          <w:r>
            <w:fldChar w:fldCharType="end"/>
          </w:r>
        </w:p>
      </w:tc>
    </w:tr>
  </w:tbl>
  <w:p w:rsidR="003E1DB2" w:rsidRDefault="003E1DB2">
    <w:pPr>
      <w:pStyle w:val="HeaderFooter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3E1DB2">
      <w:trPr>
        <w:cantSplit/>
        <w:trHeight w:hRule="exact" w:val="1134"/>
      </w:trPr>
      <w:tc>
        <w:tcPr>
          <w:tcW w:w="1701" w:type="dxa"/>
          <w:vAlign w:val="bottom"/>
        </w:tcPr>
        <w:p w:rsidR="003E1DB2" w:rsidRDefault="003E1DB2">
          <w:pPr>
            <w:pStyle w:val="Footer7"/>
          </w:pPr>
          <w:r>
            <w:fldChar w:fldCharType="begin"/>
          </w:r>
          <w:r>
            <w:instrText xml:space="preserve"> DOCPROPERTY  "DMS Item ID" </w:instrText>
          </w:r>
          <w:r>
            <w:fldChar w:fldCharType="separate"/>
          </w:r>
          <w:r w:rsidR="00026A63">
            <w:t>20436409</w:t>
          </w:r>
          <w:r>
            <w:fldChar w:fldCharType="end"/>
          </w:r>
          <w:r>
            <w:t>.</w:t>
          </w:r>
          <w:r>
            <w:fldChar w:fldCharType="begin"/>
          </w:r>
          <w:r>
            <w:instrText xml:space="preserve"> DOCPROPERTY  "DMS Version" </w:instrText>
          </w:r>
          <w:r>
            <w:fldChar w:fldCharType="separate"/>
          </w:r>
          <w:r w:rsidR="00026A63">
            <w:t>4</w:t>
          </w:r>
          <w:r>
            <w:fldChar w:fldCharType="end"/>
          </w:r>
        </w:p>
      </w:tc>
      <w:tc>
        <w:tcPr>
          <w:tcW w:w="2835" w:type="dxa"/>
          <w:vAlign w:val="bottom"/>
        </w:tcPr>
        <w:p w:rsidR="003E1DB2" w:rsidRDefault="003E1DB2">
          <w:pPr>
            <w:pStyle w:val="Footer8"/>
          </w:pPr>
          <w:r>
            <w:t xml:space="preserve">Printed </w:t>
          </w:r>
          <w:r>
            <w:fldChar w:fldCharType="begin"/>
          </w:r>
          <w:r>
            <w:instrText xml:space="preserve"> PRINTDATE  \@ "dd/MM/yy" </w:instrText>
          </w:r>
          <w:r>
            <w:fldChar w:fldCharType="separate"/>
          </w:r>
          <w:r w:rsidR="00026A63">
            <w:rPr>
              <w:noProof/>
            </w:rPr>
            <w:t>00/00/00</w:t>
          </w:r>
          <w:r>
            <w:fldChar w:fldCharType="end"/>
          </w:r>
          <w:r>
            <w:t xml:space="preserve"> (</w:t>
          </w:r>
          <w:r>
            <w:fldChar w:fldCharType="begin"/>
          </w:r>
          <w:r>
            <w:instrText xml:space="preserve"> PRINTDATE  \@ "HH:mm" </w:instrText>
          </w:r>
          <w:r>
            <w:fldChar w:fldCharType="separate"/>
          </w:r>
          <w:r w:rsidR="00026A63">
            <w:rPr>
              <w:noProof/>
            </w:rPr>
            <w:t>00:00</w:t>
          </w:r>
          <w:r>
            <w:fldChar w:fldCharType="end"/>
          </w:r>
          <w:r>
            <w:t>)</w:t>
          </w:r>
        </w:p>
      </w:tc>
      <w:tc>
        <w:tcPr>
          <w:tcW w:w="5103" w:type="dxa"/>
          <w:vAlign w:val="bottom"/>
        </w:tcPr>
        <w:p w:rsidR="003E1DB2" w:rsidRDefault="003D60D6">
          <w:pPr>
            <w:pStyle w:val="Footer2"/>
          </w:pPr>
          <w:r>
            <w:fldChar w:fldCharType="begin"/>
          </w:r>
          <w:r>
            <w:instrText xml:space="preserve"> SUBJECT   \* MERGEFORMAT </w:instrText>
          </w:r>
          <w:r>
            <w:fldChar w:fldCharType="end"/>
          </w:r>
        </w:p>
      </w:tc>
      <w:tc>
        <w:tcPr>
          <w:tcW w:w="1134" w:type="dxa"/>
          <w:vAlign w:val="bottom"/>
        </w:tcPr>
        <w:p w:rsidR="003E1DB2" w:rsidRDefault="003E1DB2">
          <w:pPr>
            <w:pStyle w:val="Footer3"/>
          </w:pPr>
          <w:r>
            <w:t xml:space="preserve">page </w:t>
          </w:r>
          <w:r>
            <w:fldChar w:fldCharType="begin"/>
          </w:r>
          <w:r>
            <w:instrText xml:space="preserve"> PAGE  \* Arabic </w:instrText>
          </w:r>
          <w:r>
            <w:fldChar w:fldCharType="separate"/>
          </w:r>
          <w:r w:rsidR="00C7497C">
            <w:rPr>
              <w:noProof/>
            </w:rPr>
            <w:t>1</w:t>
          </w:r>
          <w:r>
            <w:fldChar w:fldCharType="end"/>
          </w:r>
        </w:p>
      </w:tc>
    </w:tr>
  </w:tbl>
  <w:p w:rsidR="003E1DB2" w:rsidRDefault="003E1DB2">
    <w:pPr>
      <w:pStyle w:val="HeaderFooter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DB2" w:rsidRDefault="003E1DB2">
      <w:pPr>
        <w:spacing w:after="0"/>
      </w:pPr>
      <w:r>
        <w:separator/>
      </w:r>
    </w:p>
  </w:footnote>
  <w:footnote w:type="continuationSeparator" w:id="0">
    <w:p w:rsidR="003E1DB2" w:rsidRDefault="003E1DB2">
      <w:pPr>
        <w:spacing w:after="0"/>
      </w:pPr>
      <w:r>
        <w:continuationSeparator/>
      </w:r>
    </w:p>
  </w:footnote>
  <w:footnote w:id="1">
    <w:p w:rsidR="00DE53EA" w:rsidRPr="00762521" w:rsidRDefault="00DE53EA" w:rsidP="00DE53EA">
      <w:pPr>
        <w:pStyle w:val="FootnoteText"/>
      </w:pPr>
      <w:r>
        <w:rPr>
          <w:rStyle w:val="FootnoteReference"/>
        </w:rPr>
        <w:footnoteRef/>
      </w:r>
      <w:r>
        <w:t xml:space="preserve"> </w:t>
      </w:r>
      <w:r>
        <w:rPr>
          <w:i/>
        </w:rPr>
        <w:t xml:space="preserve">Sydney Airport Corporation Limited v Australian Competition Tribunal </w:t>
      </w:r>
      <w:r>
        <w:t>[2006] FCAFC 146.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B2" w:rsidRDefault="003E1D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3E1DB2">
      <w:trPr>
        <w:cantSplit/>
        <w:trHeight w:hRule="exact" w:val="1428"/>
      </w:trPr>
      <w:sdt>
        <w:sdtPr>
          <w:alias w:val="w10_LogoHeader"/>
          <w:tag w:val="w10_LogoHeader"/>
          <w:id w:val="1883212632"/>
        </w:sdtPr>
        <w:sdtEndPr/>
        <w:sdtContent>
          <w:tc>
            <w:tcPr>
              <w:tcW w:w="3968" w:type="dxa"/>
            </w:tcPr>
            <w:p w:rsidR="003E1DB2" w:rsidRDefault="002944F4">
              <w:pPr>
                <w:pStyle w:val="Header"/>
              </w:pPr>
              <w:r>
                <w:rPr>
                  <w:noProof/>
                </w:rPr>
                <w:drawing>
                  <wp:inline distT="0" distB="0" distL="0" distR="0" wp14:anchorId="7B814502" wp14:editId="294164C0">
                    <wp:extent cx="1388745" cy="603885"/>
                    <wp:effectExtent l="0" t="0" r="1905" b="5715"/>
                    <wp:docPr id="2" name="Picture 2" descr="HSF_Logo16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F_Logo16_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45" cy="603885"/>
                            </a:xfrm>
                            <a:prstGeom prst="rect">
                              <a:avLst/>
                            </a:prstGeom>
                            <a:noFill/>
                            <a:ln>
                              <a:noFill/>
                            </a:ln>
                          </pic:spPr>
                        </pic:pic>
                      </a:graphicData>
                    </a:graphic>
                  </wp:inline>
                </w:drawing>
              </w:r>
            </w:p>
            <w:p w:rsidR="003E1DB2" w:rsidRDefault="003E1DB2" w:rsidP="00702E94">
              <w:pPr>
                <w:pStyle w:val="Header"/>
              </w:pPr>
            </w:p>
          </w:tc>
        </w:sdtContent>
      </w:sdt>
      <w:tc>
        <w:tcPr>
          <w:tcW w:w="5045" w:type="dxa"/>
        </w:tcPr>
        <w:p w:rsidR="003E1DB2" w:rsidRDefault="003E1DB2">
          <w:pPr>
            <w:pStyle w:val="Header2"/>
          </w:pPr>
          <w:r>
            <w:fldChar w:fldCharType="begin"/>
          </w:r>
          <w:r>
            <w:instrText xml:space="preserve"> IF </w:instrText>
          </w:r>
          <w:r>
            <w:fldChar w:fldCharType="begin"/>
          </w:r>
          <w:r>
            <w:instrText xml:space="preserve"> STYLEREF  "Heading 1" \n </w:instrText>
          </w:r>
          <w:r>
            <w:fldChar w:fldCharType="separate"/>
          </w:r>
          <w:r w:rsidR="00C7497C">
            <w:rPr>
              <w:b/>
              <w:bCs/>
              <w:noProof/>
              <w:lang w:val="en-US"/>
            </w:rPr>
            <w:instrText>Error! No text of specified style in document.</w:instrText>
          </w:r>
          <w:r>
            <w:fldChar w:fldCharType="end"/>
          </w:r>
          <w:r>
            <w:instrText xml:space="preserve"> &lt;&gt; "Error! *" </w:instrText>
          </w:r>
          <w:r>
            <w:fldChar w:fldCharType="begin"/>
          </w:r>
          <w:r>
            <w:instrText xml:space="preserve"> STYLEREF  "Heading 1" \n </w:instrText>
          </w:r>
          <w:r>
            <w:fldChar w:fldCharType="end"/>
          </w:r>
          <w:r>
            <w:instrText xml:space="preserve"> "" </w:instrText>
          </w:r>
          <w:r>
            <w:fldChar w:fldCharType="end"/>
          </w:r>
          <w:r>
            <w:t xml:space="preserve">     </w:t>
          </w:r>
          <w:r>
            <w:fldChar w:fldCharType="begin"/>
          </w:r>
          <w:r>
            <w:instrText xml:space="preserve"> IF </w:instrText>
          </w:r>
          <w:r>
            <w:fldChar w:fldCharType="begin"/>
          </w:r>
          <w:r>
            <w:instrText xml:space="preserve"> STYLEREF  "Heading 1" </w:instrText>
          </w:r>
          <w:r>
            <w:fldChar w:fldCharType="separate"/>
          </w:r>
          <w:r w:rsidR="00C7497C">
            <w:rPr>
              <w:b/>
              <w:bCs/>
              <w:noProof/>
              <w:lang w:val="en-US"/>
            </w:rPr>
            <w:instrText>Error! No text of specified style in document.</w:instrText>
          </w:r>
          <w:r>
            <w:fldChar w:fldCharType="end"/>
          </w:r>
          <w:r>
            <w:instrText xml:space="preserve"> &lt;&gt; "Error! *" </w:instrText>
          </w:r>
          <w:r>
            <w:fldChar w:fldCharType="begin"/>
          </w:r>
          <w:r>
            <w:instrText xml:space="preserve"> STYLEREF  "Heading 1" </w:instrText>
          </w:r>
          <w:r>
            <w:fldChar w:fldCharType="end"/>
          </w:r>
          <w:r>
            <w:instrText xml:space="preserve"> "" </w:instrText>
          </w:r>
          <w:r>
            <w:fldChar w:fldCharType="end"/>
          </w:r>
        </w:p>
      </w:tc>
      <w:tc>
        <w:tcPr>
          <w:tcW w:w="1133" w:type="dxa"/>
        </w:tcPr>
        <w:p w:rsidR="003E1DB2" w:rsidRDefault="003E1DB2">
          <w:pPr>
            <w:pStyle w:val="Header"/>
          </w:pPr>
        </w:p>
      </w:tc>
    </w:tr>
  </w:tbl>
  <w:p w:rsidR="003E1DB2" w:rsidRDefault="003E1DB2">
    <w:pPr>
      <w:pStyle w:val="HeaderFooter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3E1DB2">
      <w:trPr>
        <w:cantSplit/>
        <w:trHeight w:hRule="exact" w:val="1785"/>
      </w:trPr>
      <w:sdt>
        <w:sdtPr>
          <w:alias w:val="w10_LogoCorrespondence"/>
          <w:tag w:val="w10_LogoCorrespondence"/>
          <w:id w:val="-953010173"/>
        </w:sdtPr>
        <w:sdtEndPr/>
        <w:sdtContent>
          <w:tc>
            <w:tcPr>
              <w:tcW w:w="3968" w:type="dxa"/>
            </w:tcPr>
            <w:p w:rsidR="003E1DB2" w:rsidRDefault="002944F4">
              <w:pPr>
                <w:pStyle w:val="Header"/>
              </w:pPr>
              <w:r>
                <w:rPr>
                  <w:noProof/>
                </w:rPr>
                <w:drawing>
                  <wp:inline distT="0" distB="0" distL="0" distR="0" wp14:anchorId="0FD5C21B" wp14:editId="16843996">
                    <wp:extent cx="1742440" cy="750570"/>
                    <wp:effectExtent l="0" t="0" r="0" b="0"/>
                    <wp:docPr id="1" name="Picture 1" descr="HSF_Log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F_Logo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40" cy="750570"/>
                            </a:xfrm>
                            <a:prstGeom prst="rect">
                              <a:avLst/>
                            </a:prstGeom>
                            <a:noFill/>
                            <a:ln>
                              <a:noFill/>
                            </a:ln>
                          </pic:spPr>
                        </pic:pic>
                      </a:graphicData>
                    </a:graphic>
                  </wp:inline>
                </w:drawing>
              </w:r>
            </w:p>
            <w:p w:rsidR="003E1DB2" w:rsidRDefault="003E1DB2" w:rsidP="00702E94">
              <w:pPr>
                <w:pStyle w:val="Header"/>
              </w:pPr>
            </w:p>
          </w:tc>
        </w:sdtContent>
      </w:sdt>
      <w:tc>
        <w:tcPr>
          <w:tcW w:w="5045" w:type="dxa"/>
        </w:tcPr>
        <w:p w:rsidR="003E1DB2" w:rsidRDefault="003E1DB2">
          <w:pPr>
            <w:pStyle w:val="Header4"/>
          </w:pPr>
          <w:r>
            <w:t xml:space="preserve"> </w:t>
          </w:r>
        </w:p>
      </w:tc>
      <w:tc>
        <w:tcPr>
          <w:tcW w:w="1133" w:type="dxa"/>
        </w:tcPr>
        <w:p w:rsidR="003E1DB2" w:rsidRDefault="003E1DB2">
          <w:pPr>
            <w:pStyle w:val="Header"/>
          </w:pPr>
        </w:p>
      </w:tc>
    </w:tr>
  </w:tbl>
  <w:p w:rsidR="003E1DB2" w:rsidRDefault="003E1DB2">
    <w:pPr>
      <w:pStyle w:val="HeaderFooter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D6F05694"/>
    <w:lvl w:ilvl="0">
      <w:start w:val="1"/>
      <w:numFmt w:val="bullet"/>
      <w:lvlText w:val=""/>
      <w:lvlJc w:val="left"/>
      <w:pPr>
        <w:tabs>
          <w:tab w:val="num" w:pos="1209"/>
        </w:tabs>
        <w:ind w:left="1209" w:hanging="360"/>
      </w:pPr>
      <w:rPr>
        <w:rFonts w:ascii="Symbol" w:hAnsi="Symbol" w:hint="default"/>
      </w:rPr>
    </w:lvl>
  </w:abstractNum>
  <w:abstractNum w:abstractNumId="1">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2">
    <w:nsid w:val="00932C0E"/>
    <w:multiLevelType w:val="singleLevel"/>
    <w:tmpl w:val="9D0EB800"/>
    <w:lvl w:ilvl="0">
      <w:start w:val="1"/>
      <w:numFmt w:val="bullet"/>
      <w:pStyle w:val="ListBullet3"/>
      <w:lvlText w:val=""/>
      <w:lvlJc w:val="left"/>
      <w:pPr>
        <w:tabs>
          <w:tab w:val="left" w:pos="3404"/>
        </w:tabs>
        <w:ind w:left="3404" w:hanging="851"/>
      </w:pPr>
      <w:rPr>
        <w:rFonts w:ascii="Symbol" w:hAnsi="Symbol" w:hint="default"/>
        <w:b w:val="0"/>
        <w:i w:val="0"/>
        <w:sz w:val="16"/>
        <w:szCs w:val="16"/>
      </w:rPr>
    </w:lvl>
  </w:abstractNum>
  <w:abstractNum w:abstractNumId="3">
    <w:nsid w:val="00C70D25"/>
    <w:multiLevelType w:val="singleLevel"/>
    <w:tmpl w:val="007289D6"/>
    <w:lvl w:ilvl="0">
      <w:start w:val="1"/>
      <w:numFmt w:val="decimal"/>
      <w:pStyle w:val="ListNumber3"/>
      <w:lvlText w:val="%1"/>
      <w:lvlJc w:val="left"/>
      <w:pPr>
        <w:tabs>
          <w:tab w:val="left" w:pos="3404"/>
        </w:tabs>
        <w:ind w:left="3404" w:hanging="851"/>
      </w:pPr>
      <w:rPr>
        <w:rFonts w:hint="default"/>
        <w:b w:val="0"/>
        <w:i w:val="0"/>
        <w:sz w:val="20"/>
      </w:rPr>
    </w:lvl>
  </w:abstractNum>
  <w:abstractNum w:abstractNumId="4">
    <w:nsid w:val="103E3F58"/>
    <w:multiLevelType w:val="singleLevel"/>
    <w:tmpl w:val="A27CE394"/>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5">
    <w:nsid w:val="15157AA0"/>
    <w:multiLevelType w:val="singleLevel"/>
    <w:tmpl w:val="426C9C60"/>
    <w:lvl w:ilvl="0">
      <w:start w:val="1"/>
      <w:numFmt w:val="bullet"/>
      <w:pStyle w:val="ListBulletTableIndent"/>
      <w:lvlText w:val="–"/>
      <w:lvlJc w:val="left"/>
      <w:pPr>
        <w:tabs>
          <w:tab w:val="left" w:pos="568"/>
        </w:tabs>
        <w:ind w:left="568" w:hanging="284"/>
      </w:pPr>
      <w:rPr>
        <w:rFonts w:ascii="Arial" w:hAnsi="Arial" w:hint="default"/>
        <w:b w:val="0"/>
        <w:i w:val="0"/>
        <w:sz w:val="18"/>
        <w:szCs w:val="18"/>
      </w:rPr>
    </w:lvl>
  </w:abstractNum>
  <w:abstractNum w:abstractNumId="6">
    <w:nsid w:val="1B37355F"/>
    <w:multiLevelType w:val="singleLevel"/>
    <w:tmpl w:val="910C17B4"/>
    <w:lvl w:ilvl="0">
      <w:start w:val="1"/>
      <w:numFmt w:val="bullet"/>
      <w:pStyle w:val="ListBulletIndent"/>
      <w:lvlText w:val="‒"/>
      <w:lvlJc w:val="left"/>
      <w:pPr>
        <w:ind w:left="2059" w:hanging="360"/>
      </w:pPr>
      <w:rPr>
        <w:rFonts w:ascii="Arial" w:hAnsi="Arial" w:hint="default"/>
        <w:b w:val="0"/>
        <w:i w:val="0"/>
        <w:sz w:val="20"/>
        <w:szCs w:val="20"/>
      </w:rPr>
    </w:lvl>
  </w:abstractNum>
  <w:abstractNum w:abstractNumId="7">
    <w:nsid w:val="23CE5AA5"/>
    <w:multiLevelType w:val="singleLevel"/>
    <w:tmpl w:val="7102F8F2"/>
    <w:lvl w:ilvl="0">
      <w:start w:val="1"/>
      <w:numFmt w:val="decimal"/>
      <w:pStyle w:val="ListNumberTable"/>
      <w:lvlText w:val="%1"/>
      <w:lvlJc w:val="left"/>
      <w:pPr>
        <w:tabs>
          <w:tab w:val="left" w:pos="284"/>
        </w:tabs>
        <w:ind w:left="284" w:hanging="284"/>
      </w:pPr>
      <w:rPr>
        <w:rFonts w:hint="default"/>
        <w:b w:val="0"/>
        <w:i w:val="0"/>
        <w:sz w:val="18"/>
        <w:szCs w:val="18"/>
      </w:rPr>
    </w:lvl>
  </w:abstractNum>
  <w:abstractNum w:abstractNumId="8">
    <w:nsid w:val="28284407"/>
    <w:multiLevelType w:val="multilevel"/>
    <w:tmpl w:val="8D126B30"/>
    <w:name w:val="w10Numbering"/>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lowerLetter"/>
      <w:pStyle w:val="Heading3"/>
      <w:lvlText w:val="(%3)"/>
      <w:lvlJc w:val="left"/>
      <w:pPr>
        <w:ind w:left="1701" w:hanging="850"/>
      </w:pPr>
      <w:rPr>
        <w:rFonts w:hint="default"/>
      </w:rPr>
    </w:lvl>
    <w:lvl w:ilvl="3">
      <w:start w:val="1"/>
      <w:numFmt w:val="decimal"/>
      <w:pStyle w:val="Heading4"/>
      <w:lvlText w:val="(%4)"/>
      <w:lvlJc w:val="left"/>
      <w:pPr>
        <w:tabs>
          <w:tab w:val="num" w:pos="1701"/>
        </w:tabs>
        <w:ind w:left="2552" w:hanging="851"/>
      </w:pPr>
      <w:rPr>
        <w:rFonts w:hint="default"/>
      </w:rPr>
    </w:lvl>
    <w:lvl w:ilvl="4">
      <w:start w:val="1"/>
      <w:numFmt w:val="upperLetter"/>
      <w:pStyle w:val="Heading5"/>
      <w:lvlText w:val="(%5)"/>
      <w:lvlJc w:val="left"/>
      <w:pPr>
        <w:tabs>
          <w:tab w:val="num" w:pos="2552"/>
        </w:tabs>
        <w:ind w:left="3402" w:hanging="850"/>
      </w:pPr>
      <w:rPr>
        <w:rFonts w:ascii="Arial" w:hAnsi="Arial" w:hint="default"/>
        <w:b w:val="0"/>
        <w:i w:val="0"/>
        <w:vanish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nsid w:val="3C210656"/>
    <w:multiLevelType w:val="singleLevel"/>
    <w:tmpl w:val="5DEE09F4"/>
    <w:lvl w:ilvl="0">
      <w:start w:val="1"/>
      <w:numFmt w:val="bullet"/>
      <w:pStyle w:val="ListBulletDisclaimer"/>
      <w:lvlText w:val=""/>
      <w:lvlJc w:val="left"/>
      <w:pPr>
        <w:ind w:left="360" w:hanging="360"/>
      </w:pPr>
      <w:rPr>
        <w:rFonts w:ascii="Symbol" w:hAnsi="Symbol" w:hint="default"/>
        <w:b w:val="0"/>
        <w:i w:val="0"/>
        <w:sz w:val="16"/>
        <w:szCs w:val="16"/>
      </w:rPr>
    </w:lvl>
  </w:abstractNum>
  <w:abstractNum w:abstractNumId="10">
    <w:nsid w:val="3F5E2BAE"/>
    <w:multiLevelType w:val="singleLevel"/>
    <w:tmpl w:val="B90EE1A2"/>
    <w:lvl w:ilvl="0">
      <w:start w:val="1"/>
      <w:numFmt w:val="bullet"/>
      <w:pStyle w:val="ListBulletTableIndent2"/>
      <w:lvlText w:val="–"/>
      <w:lvlJc w:val="left"/>
      <w:pPr>
        <w:tabs>
          <w:tab w:val="left" w:pos="568"/>
        </w:tabs>
        <w:ind w:left="568" w:hanging="284"/>
      </w:pPr>
      <w:rPr>
        <w:rFonts w:ascii="Arial" w:hAnsi="Arial" w:hint="default"/>
        <w:b w:val="0"/>
        <w:i w:val="0"/>
        <w:sz w:val="18"/>
        <w:szCs w:val="18"/>
      </w:rPr>
    </w:lvl>
  </w:abstractNum>
  <w:abstractNum w:abstractNumId="11">
    <w:nsid w:val="44C8603A"/>
    <w:multiLevelType w:val="singleLevel"/>
    <w:tmpl w:val="2ADA7B0C"/>
    <w:lvl w:ilvl="0">
      <w:start w:val="1"/>
      <w:numFmt w:val="decimal"/>
      <w:pStyle w:val="ListNumber"/>
      <w:lvlText w:val="%1"/>
      <w:lvlJc w:val="left"/>
      <w:pPr>
        <w:tabs>
          <w:tab w:val="left" w:pos="1702"/>
        </w:tabs>
        <w:ind w:left="1702" w:hanging="851"/>
      </w:pPr>
      <w:rPr>
        <w:rFonts w:hint="default"/>
        <w:b w:val="0"/>
        <w:i w:val="0"/>
        <w:sz w:val="20"/>
      </w:rPr>
    </w:lvl>
  </w:abstractNum>
  <w:abstractNum w:abstractNumId="12">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13">
    <w:nsid w:val="4B1D5761"/>
    <w:multiLevelType w:val="singleLevel"/>
    <w:tmpl w:val="BE9E37EE"/>
    <w:lvl w:ilvl="0">
      <w:start w:val="1"/>
      <w:numFmt w:val="bullet"/>
      <w:pStyle w:val="ListBullet2"/>
      <w:lvlText w:val=""/>
      <w:lvlJc w:val="left"/>
      <w:pPr>
        <w:tabs>
          <w:tab w:val="left" w:pos="2553"/>
        </w:tabs>
        <w:ind w:left="2553" w:hanging="851"/>
      </w:pPr>
      <w:rPr>
        <w:rFonts w:ascii="Symbol" w:hAnsi="Symbol" w:hint="default"/>
        <w:b w:val="0"/>
        <w:i w:val="0"/>
        <w:sz w:val="16"/>
        <w:szCs w:val="16"/>
      </w:rPr>
    </w:lvl>
  </w:abstractNum>
  <w:abstractNum w:abstractNumId="14">
    <w:nsid w:val="64FF4C76"/>
    <w:multiLevelType w:val="singleLevel"/>
    <w:tmpl w:val="0156B414"/>
    <w:lvl w:ilvl="0">
      <w:start w:val="1"/>
      <w:numFmt w:val="decimal"/>
      <w:pStyle w:val="ListNumber2"/>
      <w:lvlText w:val="%1"/>
      <w:lvlJc w:val="left"/>
      <w:pPr>
        <w:tabs>
          <w:tab w:val="left" w:pos="2553"/>
        </w:tabs>
        <w:ind w:left="2553" w:hanging="851"/>
      </w:pPr>
      <w:rPr>
        <w:rFonts w:hint="default"/>
        <w:b w:val="0"/>
        <w:i w:val="0"/>
        <w:sz w:val="20"/>
      </w:rPr>
    </w:lvl>
  </w:abstractNum>
  <w:abstractNum w:abstractNumId="15">
    <w:nsid w:val="67840C5B"/>
    <w:multiLevelType w:val="multilevel"/>
    <w:tmpl w:val="7E809B24"/>
    <w:name w:val="w10NumberingNoTOCHdg"/>
    <w:lvl w:ilvl="0">
      <w:start w:val="1"/>
      <w:numFmt w:val="decimal"/>
      <w:pStyle w:val="NoTOCHdg1"/>
      <w:lvlText w:val="%1"/>
      <w:lvlJc w:val="left"/>
      <w:pPr>
        <w:ind w:left="851" w:hanging="851"/>
      </w:pPr>
      <w:rPr>
        <w:rFonts w:hint="default"/>
      </w:rPr>
    </w:lvl>
    <w:lvl w:ilvl="1">
      <w:start w:val="1"/>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793D7949"/>
    <w:multiLevelType w:val="singleLevel"/>
    <w:tmpl w:val="6BDE8E74"/>
    <w:lvl w:ilvl="0">
      <w:start w:val="1"/>
      <w:numFmt w:val="bullet"/>
      <w:pStyle w:val="ListBullet"/>
      <w:lvlText w:val=""/>
      <w:lvlJc w:val="left"/>
      <w:pPr>
        <w:tabs>
          <w:tab w:val="left" w:pos="1702"/>
        </w:tabs>
        <w:ind w:left="1702" w:hanging="851"/>
      </w:pPr>
      <w:rPr>
        <w:rFonts w:ascii="Symbol" w:hAnsi="Symbol" w:hint="default"/>
        <w:b w:val="0"/>
        <w:i w:val="0"/>
        <w:sz w:val="16"/>
        <w:szCs w:val="16"/>
      </w:rPr>
    </w:lvl>
  </w:abstractNum>
  <w:num w:numId="1">
    <w:abstractNumId w:val="8"/>
  </w:num>
  <w:num w:numId="2">
    <w:abstractNumId w:val="15"/>
  </w:num>
  <w:num w:numId="3">
    <w:abstractNumId w:val="11"/>
  </w:num>
  <w:num w:numId="4">
    <w:abstractNumId w:val="14"/>
  </w:num>
  <w:num w:numId="5">
    <w:abstractNumId w:val="3"/>
  </w:num>
  <w:num w:numId="6">
    <w:abstractNumId w:val="7"/>
  </w:num>
  <w:num w:numId="7">
    <w:abstractNumId w:val="16"/>
  </w:num>
  <w:num w:numId="8">
    <w:abstractNumId w:val="13"/>
  </w:num>
  <w:num w:numId="9">
    <w:abstractNumId w:val="2"/>
  </w:num>
  <w:num w:numId="10">
    <w:abstractNumId w:val="9"/>
  </w:num>
  <w:num w:numId="11">
    <w:abstractNumId w:val="6"/>
  </w:num>
  <w:num w:numId="12">
    <w:abstractNumId w:val="1"/>
  </w:num>
  <w:num w:numId="13">
    <w:abstractNumId w:val="4"/>
  </w:num>
  <w:num w:numId="14">
    <w:abstractNumId w:val="5"/>
  </w:num>
  <w:num w:numId="15">
    <w:abstractNumId w:val="10"/>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SortMethod w:val="0000"/>
  <w:defaultTabStop w:val="851"/>
  <w:characterSpacingControl w:val="doNotCompress"/>
  <w:alwaysMergeEmptyNamespace/>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E94"/>
    <w:rsid w:val="00026A63"/>
    <w:rsid w:val="000E3564"/>
    <w:rsid w:val="001039D2"/>
    <w:rsid w:val="00134FE7"/>
    <w:rsid w:val="001C0C86"/>
    <w:rsid w:val="001D1A23"/>
    <w:rsid w:val="0022047C"/>
    <w:rsid w:val="00220B62"/>
    <w:rsid w:val="00221927"/>
    <w:rsid w:val="002944F4"/>
    <w:rsid w:val="002C73D9"/>
    <w:rsid w:val="00320132"/>
    <w:rsid w:val="003B6A32"/>
    <w:rsid w:val="003C6B94"/>
    <w:rsid w:val="003D60D6"/>
    <w:rsid w:val="003E1DB2"/>
    <w:rsid w:val="0045413D"/>
    <w:rsid w:val="004A5E08"/>
    <w:rsid w:val="004B158B"/>
    <w:rsid w:val="004D0CEA"/>
    <w:rsid w:val="004D2BAF"/>
    <w:rsid w:val="004F7552"/>
    <w:rsid w:val="005530EF"/>
    <w:rsid w:val="005D229F"/>
    <w:rsid w:val="00696DE5"/>
    <w:rsid w:val="006B3259"/>
    <w:rsid w:val="006D7CDC"/>
    <w:rsid w:val="006E3E2B"/>
    <w:rsid w:val="006F7061"/>
    <w:rsid w:val="00702E94"/>
    <w:rsid w:val="007B34F2"/>
    <w:rsid w:val="00854351"/>
    <w:rsid w:val="00861436"/>
    <w:rsid w:val="00892B7C"/>
    <w:rsid w:val="00921E76"/>
    <w:rsid w:val="00963DE3"/>
    <w:rsid w:val="009B3D44"/>
    <w:rsid w:val="00AC4667"/>
    <w:rsid w:val="00AC7358"/>
    <w:rsid w:val="00B05E3D"/>
    <w:rsid w:val="00BE45DB"/>
    <w:rsid w:val="00C7497C"/>
    <w:rsid w:val="00CE149D"/>
    <w:rsid w:val="00D06E4F"/>
    <w:rsid w:val="00D30775"/>
    <w:rsid w:val="00DE3916"/>
    <w:rsid w:val="00DE53EA"/>
    <w:rsid w:val="00DE788A"/>
    <w:rsid w:val="00DF65E0"/>
    <w:rsid w:val="00E7667F"/>
    <w:rsid w:val="00F11E9A"/>
    <w:rsid w:val="00F43A88"/>
    <w:rsid w:val="00FF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pPr>
        <w:spacing w:after="120"/>
      </w:pPr>
    </w:pPrDefault>
  </w:docDefaults>
  <w:latentStyles w:defLockedState="0" w:defUIPriority="99" w:defSemiHidden="1" w:defUnhideWhenUsed="0" w:defQFormat="0" w:count="267">
    <w:lsdException w:name="Normal"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uiPriority="10" w:qFormat="1"/>
    <w:lsdException w:name="Default Paragraph Font" w:uiPriority="1"/>
    <w:lsdException w:name="Strong" w:uiPriority="22" w:qFormat="1"/>
    <w:lsdException w:name="Emphasis" w:uiPriority="25" w:qFormat="1"/>
    <w:lsdException w:name="Table Grid" w:uiPriority="59"/>
    <w:lsdException w:name="Placeholder Text"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locked/>
    <w:rPr>
      <w:lang w:val="en-AU" w:eastAsia="en-AU"/>
    </w:rPr>
  </w:style>
  <w:style w:type="paragraph" w:styleId="Heading1">
    <w:name w:val="heading 1"/>
    <w:basedOn w:val="Normal"/>
    <w:next w:val="BodyText"/>
    <w:uiPriority w:val="1"/>
    <w:qFormat/>
    <w:pPr>
      <w:keepNext/>
      <w:numPr>
        <w:numId w:val="1"/>
      </w:numPr>
      <w:pBdr>
        <w:bottom w:val="single" w:sz="8" w:space="4" w:color="auto"/>
      </w:pBdr>
      <w:spacing w:before="600" w:after="240"/>
      <w:outlineLvl w:val="0"/>
    </w:pPr>
    <w:rPr>
      <w:sz w:val="28"/>
      <w:szCs w:val="28"/>
    </w:rPr>
  </w:style>
  <w:style w:type="paragraph" w:styleId="Heading2">
    <w:name w:val="heading 2"/>
    <w:basedOn w:val="Normal"/>
    <w:next w:val="BodyText"/>
    <w:uiPriority w:val="2"/>
    <w:qFormat/>
    <w:pPr>
      <w:keepNext/>
      <w:numPr>
        <w:ilvl w:val="1"/>
        <w:numId w:val="1"/>
      </w:numPr>
      <w:spacing w:before="240" w:after="240"/>
      <w:outlineLvl w:val="1"/>
    </w:pPr>
    <w:rPr>
      <w:b/>
      <w:sz w:val="24"/>
      <w:szCs w:val="24"/>
    </w:rPr>
  </w:style>
  <w:style w:type="paragraph" w:styleId="Heading3">
    <w:name w:val="heading 3"/>
    <w:basedOn w:val="Normal"/>
    <w:next w:val="BodyTextIndent"/>
    <w:uiPriority w:val="3"/>
    <w:qFormat/>
    <w:pPr>
      <w:numPr>
        <w:ilvl w:val="2"/>
        <w:numId w:val="1"/>
      </w:numPr>
      <w:spacing w:before="120"/>
      <w:outlineLvl w:val="2"/>
    </w:pPr>
  </w:style>
  <w:style w:type="paragraph" w:styleId="Heading4">
    <w:name w:val="heading 4"/>
    <w:basedOn w:val="Normal"/>
    <w:next w:val="BodyTextIndent2"/>
    <w:uiPriority w:val="4"/>
    <w:qFormat/>
    <w:pPr>
      <w:numPr>
        <w:ilvl w:val="3"/>
        <w:numId w:val="1"/>
      </w:numPr>
      <w:spacing w:before="120"/>
      <w:outlineLvl w:val="3"/>
    </w:pPr>
  </w:style>
  <w:style w:type="paragraph" w:styleId="Heading5">
    <w:name w:val="heading 5"/>
    <w:basedOn w:val="Normal"/>
    <w:next w:val="BodyTextIndent3"/>
    <w:semiHidden/>
    <w:pPr>
      <w:numPr>
        <w:ilvl w:val="4"/>
        <w:numId w:val="1"/>
      </w:numPr>
      <w:outlineLvl w:val="4"/>
    </w:pPr>
  </w:style>
  <w:style w:type="paragraph" w:styleId="Heading6">
    <w:name w:val="heading 6"/>
    <w:basedOn w:val="Normal"/>
    <w:semiHidden/>
    <w:pPr>
      <w:outlineLvl w:val="5"/>
    </w:pPr>
  </w:style>
  <w:style w:type="paragraph" w:styleId="Heading7">
    <w:name w:val="heading 7"/>
    <w:basedOn w:val="Normal"/>
    <w:semiHidden/>
    <w:pPr>
      <w:outlineLvl w:val="6"/>
    </w:pPr>
  </w:style>
  <w:style w:type="paragraph" w:styleId="Heading8">
    <w:name w:val="heading 8"/>
    <w:basedOn w:val="Normal"/>
    <w:semiHidden/>
    <w:pPr>
      <w:outlineLvl w:val="7"/>
    </w:pPr>
  </w:style>
  <w:style w:type="paragraph" w:styleId="Heading9">
    <w:name w:val="heading 9"/>
    <w:basedOn w:val="Normal"/>
    <w:semiHidden/>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Text">
    <w:name w:val="Cell Text"/>
    <w:basedOn w:val="Normal"/>
    <w:rPr>
      <w:sz w:val="18"/>
    </w:rPr>
  </w:style>
  <w:style w:type="paragraph" w:customStyle="1" w:styleId="CellText2">
    <w:name w:val="Cell Text 2"/>
    <w:basedOn w:val="Normal"/>
    <w:semiHidden/>
  </w:style>
  <w:style w:type="paragraph" w:customStyle="1" w:styleId="Acknowledgement">
    <w:name w:val="Acknowledgement"/>
    <w:basedOn w:val="Normal"/>
    <w:next w:val="BodyText"/>
    <w:semiHidden/>
    <w:locked/>
    <w:pPr>
      <w:pBdr>
        <w:bottom w:val="single" w:sz="2" w:space="30" w:color="auto"/>
      </w:pBdr>
      <w:spacing w:before="360" w:after="600"/>
      <w:ind w:left="851"/>
    </w:pPr>
  </w:style>
  <w:style w:type="numbering" w:styleId="ArticleSection">
    <w:name w:val="Outline List 3"/>
    <w:basedOn w:val="NoList"/>
    <w:semiHidden/>
    <w:locked/>
  </w:style>
  <w:style w:type="paragraph" w:customStyle="1" w:styleId="Attachment">
    <w:name w:val="Attachment"/>
    <w:basedOn w:val="Normal"/>
    <w:next w:val="BodyText"/>
    <w:pPr>
      <w:pBdr>
        <w:bottom w:val="single" w:sz="8" w:space="10" w:color="auto"/>
      </w:pBdr>
      <w:spacing w:before="600" w:after="240"/>
      <w:ind w:left="851"/>
    </w:pPr>
    <w:rPr>
      <w:sz w:val="28"/>
    </w:rPr>
  </w:style>
  <w:style w:type="paragraph" w:customStyle="1" w:styleId="Author1">
    <w:name w:val="Author 1"/>
    <w:basedOn w:val="Normal"/>
    <w:next w:val="BodyText"/>
    <w:semiHidden/>
    <w:locked/>
    <w:pPr>
      <w:spacing w:after="0"/>
    </w:pPr>
  </w:style>
  <w:style w:type="paragraph" w:customStyle="1" w:styleId="Author2">
    <w:name w:val="Author 2"/>
    <w:basedOn w:val="Normal"/>
    <w:next w:val="BodyText"/>
    <w:semiHidden/>
    <w:locked/>
    <w:pPr>
      <w:spacing w:after="0"/>
    </w:pPr>
    <w:rPr>
      <w:b/>
    </w:rPr>
  </w:style>
  <w:style w:type="paragraph" w:customStyle="1" w:styleId="AuthorEmail1">
    <w:name w:val="Author Email 1"/>
    <w:basedOn w:val="Normal"/>
    <w:next w:val="BodyText"/>
    <w:semiHidden/>
    <w:locked/>
    <w:pPr>
      <w:spacing w:after="0"/>
    </w:pPr>
  </w:style>
  <w:style w:type="paragraph" w:customStyle="1" w:styleId="AuthorEmail2">
    <w:name w:val="Author Email 2"/>
    <w:basedOn w:val="Normal"/>
    <w:next w:val="BodyText"/>
    <w:semiHidden/>
    <w:locked/>
    <w:pPr>
      <w:spacing w:after="0"/>
    </w:pPr>
    <w:rPr>
      <w:sz w:val="18"/>
    </w:rPr>
  </w:style>
  <w:style w:type="paragraph" w:customStyle="1" w:styleId="AuthorEmail3">
    <w:name w:val="Author Email 3"/>
    <w:basedOn w:val="Normal"/>
    <w:semiHidden/>
    <w:locked/>
    <w:rPr>
      <w:sz w:val="16"/>
    </w:rPr>
  </w:style>
  <w:style w:type="paragraph" w:customStyle="1" w:styleId="AuthorFax1">
    <w:name w:val="Author Fax 1"/>
    <w:basedOn w:val="Normal"/>
    <w:next w:val="BodyText"/>
    <w:semiHidden/>
    <w:locked/>
    <w:pPr>
      <w:tabs>
        <w:tab w:val="left" w:pos="1134"/>
      </w:tabs>
      <w:spacing w:after="0"/>
    </w:pPr>
  </w:style>
  <w:style w:type="paragraph" w:customStyle="1" w:styleId="AuthorMobile1">
    <w:name w:val="Author Mobile 1"/>
    <w:basedOn w:val="Normal"/>
    <w:next w:val="BodyText"/>
    <w:semiHidden/>
    <w:locked/>
    <w:pPr>
      <w:tabs>
        <w:tab w:val="left" w:pos="1134"/>
      </w:tabs>
      <w:spacing w:after="0"/>
    </w:pPr>
  </w:style>
  <w:style w:type="paragraph" w:customStyle="1" w:styleId="AuthorMobile2">
    <w:name w:val="Author Mobile 2"/>
    <w:basedOn w:val="Normal"/>
    <w:next w:val="BodyText"/>
    <w:semiHidden/>
    <w:locked/>
    <w:pPr>
      <w:spacing w:after="0"/>
    </w:pPr>
    <w:rPr>
      <w:sz w:val="18"/>
    </w:rPr>
  </w:style>
  <w:style w:type="paragraph" w:customStyle="1" w:styleId="AuthorPhone1">
    <w:name w:val="Author Phone 1"/>
    <w:basedOn w:val="Normal"/>
    <w:next w:val="BodyText"/>
    <w:semiHidden/>
    <w:locked/>
    <w:pPr>
      <w:tabs>
        <w:tab w:val="left" w:pos="1134"/>
      </w:tabs>
      <w:spacing w:after="0"/>
    </w:pPr>
  </w:style>
  <w:style w:type="paragraph" w:customStyle="1" w:styleId="AuthorPhone2">
    <w:name w:val="Author Phone 2"/>
    <w:basedOn w:val="Normal"/>
    <w:next w:val="BodyText"/>
    <w:semiHidden/>
    <w:locked/>
    <w:pPr>
      <w:spacing w:after="0"/>
    </w:pPr>
    <w:rPr>
      <w:sz w:val="18"/>
    </w:rPr>
  </w:style>
  <w:style w:type="paragraph" w:customStyle="1" w:styleId="AuthorPosition1">
    <w:name w:val="Author Position 1"/>
    <w:basedOn w:val="Normal"/>
    <w:next w:val="BodyText"/>
    <w:semiHidden/>
    <w:locked/>
    <w:pPr>
      <w:spacing w:after="0"/>
    </w:pPr>
  </w:style>
  <w:style w:type="paragraph" w:customStyle="1" w:styleId="Banner">
    <w:name w:val="Banner"/>
    <w:basedOn w:val="Normal"/>
    <w:next w:val="BodyText"/>
    <w:semiHidden/>
    <w:locked/>
    <w:pPr>
      <w:spacing w:after="600"/>
      <w:jc w:val="right"/>
    </w:pPr>
    <w:rPr>
      <w:sz w:val="36"/>
    </w:rPr>
  </w:style>
  <w:style w:type="paragraph" w:customStyle="1" w:styleId="Banner2">
    <w:name w:val="Banner 2"/>
    <w:basedOn w:val="Normal"/>
    <w:next w:val="BodyText"/>
    <w:semiHidden/>
    <w:locked/>
    <w:pPr>
      <w:spacing w:after="600"/>
      <w:jc w:val="right"/>
    </w:pPr>
    <w:rPr>
      <w:sz w:val="36"/>
    </w:rPr>
  </w:style>
  <w:style w:type="paragraph" w:customStyle="1" w:styleId="Banner3">
    <w:name w:val="Banner 3"/>
    <w:basedOn w:val="Normal"/>
    <w:next w:val="BodyText"/>
    <w:semiHidden/>
    <w:locked/>
    <w:pPr>
      <w:spacing w:after="600"/>
      <w:jc w:val="right"/>
    </w:pPr>
    <w:rPr>
      <w:sz w:val="36"/>
    </w:rPr>
  </w:style>
  <w:style w:type="paragraph" w:styleId="BlockText">
    <w:name w:val="Block Text"/>
    <w:basedOn w:val="Normal"/>
    <w:semiHidden/>
    <w:locked/>
  </w:style>
  <w:style w:type="paragraph" w:styleId="BodyText">
    <w:name w:val="Body Text"/>
    <w:basedOn w:val="Normal"/>
    <w:uiPriority w:val="5"/>
    <w:qFormat/>
    <w:pPr>
      <w:ind w:left="851"/>
    </w:pPr>
  </w:style>
  <w:style w:type="paragraph" w:styleId="BodyText2">
    <w:name w:val="Body Text 2"/>
    <w:basedOn w:val="Normal"/>
    <w:semiHidden/>
    <w:locked/>
  </w:style>
  <w:style w:type="paragraph" w:styleId="BodyText3">
    <w:name w:val="Body Text 3"/>
    <w:basedOn w:val="Normal"/>
    <w:semiHidden/>
    <w:locked/>
  </w:style>
  <w:style w:type="paragraph" w:styleId="BodyTextFirstIndent">
    <w:name w:val="Body Text First Indent"/>
    <w:basedOn w:val="BodyText"/>
    <w:semiHidden/>
    <w:locked/>
    <w:pPr>
      <w:ind w:firstLine="567"/>
    </w:pPr>
  </w:style>
  <w:style w:type="paragraph" w:styleId="BodyTextFirstIndent2">
    <w:name w:val="Body Text First Indent 2"/>
    <w:basedOn w:val="BodyTextIndent"/>
    <w:semiHidden/>
    <w:locked/>
    <w:pPr>
      <w:ind w:left="1701" w:firstLine="567"/>
    </w:pPr>
  </w:style>
  <w:style w:type="paragraph" w:styleId="BodyTextIndent">
    <w:name w:val="Body Text Indent"/>
    <w:basedOn w:val="Normal"/>
    <w:uiPriority w:val="6"/>
    <w:qFormat/>
    <w:pPr>
      <w:ind w:left="1702"/>
    </w:pPr>
  </w:style>
  <w:style w:type="paragraph" w:styleId="BodyTextIndent2">
    <w:name w:val="Body Text Indent 2"/>
    <w:basedOn w:val="Normal"/>
    <w:uiPriority w:val="7"/>
    <w:qFormat/>
    <w:pPr>
      <w:ind w:left="2553"/>
    </w:pPr>
  </w:style>
  <w:style w:type="paragraph" w:styleId="BodyTextIndent3">
    <w:name w:val="Body Text Indent 3"/>
    <w:basedOn w:val="Normal"/>
    <w:semiHidden/>
    <w:pPr>
      <w:ind w:left="3404"/>
    </w:pPr>
  </w:style>
  <w:style w:type="paragraph" w:customStyle="1" w:styleId="Brand">
    <w:name w:val="Brand"/>
    <w:basedOn w:val="Normal"/>
    <w:next w:val="BodyText"/>
    <w:semiHidden/>
    <w:locked/>
  </w:style>
  <w:style w:type="paragraph" w:styleId="Caption">
    <w:name w:val="caption"/>
    <w:basedOn w:val="Normal"/>
    <w:next w:val="BodyText"/>
    <w:semiHidden/>
    <w:locked/>
    <w:pPr>
      <w:spacing w:after="600"/>
      <w:jc w:val="right"/>
    </w:pPr>
    <w:rPr>
      <w:sz w:val="36"/>
    </w:rPr>
  </w:style>
  <w:style w:type="paragraph" w:customStyle="1" w:styleId="ClientName">
    <w:name w:val="Client Name"/>
    <w:basedOn w:val="Normal"/>
    <w:next w:val="BodyText"/>
    <w:semiHidden/>
    <w:locked/>
    <w:pPr>
      <w:spacing w:after="0"/>
    </w:pPr>
  </w:style>
  <w:style w:type="paragraph" w:styleId="Closing">
    <w:name w:val="Closing"/>
    <w:basedOn w:val="Normal"/>
    <w:semiHidden/>
    <w:locked/>
  </w:style>
  <w:style w:type="paragraph" w:customStyle="1" w:styleId="ColumnHeader">
    <w:name w:val="Column Header"/>
    <w:basedOn w:val="Normal"/>
    <w:next w:val="BodyText"/>
    <w:pPr>
      <w:keepNext/>
    </w:pPr>
    <w:rPr>
      <w:b/>
      <w:sz w:val="18"/>
    </w:rPr>
  </w:style>
  <w:style w:type="paragraph" w:customStyle="1" w:styleId="CopyrightNotice">
    <w:name w:val="Copyright Notice"/>
    <w:basedOn w:val="Normal"/>
    <w:next w:val="BodyText"/>
    <w:semiHidden/>
    <w:locked/>
    <w:pPr>
      <w:ind w:left="851"/>
    </w:pPr>
  </w:style>
  <w:style w:type="paragraph" w:customStyle="1" w:styleId="CoverText">
    <w:name w:val="Cover Text"/>
    <w:basedOn w:val="Normal"/>
    <w:semiHidden/>
    <w:locked/>
    <w:pPr>
      <w:spacing w:after="0"/>
    </w:pPr>
    <w:rPr>
      <w:sz w:val="16"/>
    </w:rPr>
  </w:style>
  <w:style w:type="character" w:customStyle="1" w:styleId="DateArrow">
    <w:name w:val="Date Arrow"/>
    <w:basedOn w:val="DefaultParagraphFont"/>
    <w:semiHidden/>
    <w:locked/>
    <w:rPr>
      <w:rFonts w:cs="Arial"/>
      <w:sz w:val="14"/>
    </w:rPr>
  </w:style>
  <w:style w:type="paragraph" w:styleId="Date">
    <w:name w:val="Date"/>
    <w:basedOn w:val="Normal"/>
    <w:next w:val="BodyText"/>
    <w:semiHidden/>
    <w:locked/>
    <w:pPr>
      <w:spacing w:after="0"/>
    </w:pPr>
  </w:style>
  <w:style w:type="paragraph" w:customStyle="1" w:styleId="Date2">
    <w:name w:val="Date 2"/>
    <w:basedOn w:val="Normal"/>
    <w:next w:val="BodyText"/>
    <w:semiHidden/>
    <w:locked/>
    <w:pPr>
      <w:spacing w:before="600" w:after="0"/>
      <w:ind w:left="851"/>
    </w:pPr>
    <w:rPr>
      <w:b/>
    </w:rPr>
  </w:style>
  <w:style w:type="paragraph" w:customStyle="1" w:styleId="Date3">
    <w:name w:val="Date 3"/>
    <w:basedOn w:val="Normal"/>
    <w:next w:val="BodyText"/>
    <w:semiHidden/>
    <w:locked/>
    <w:pPr>
      <w:spacing w:before="600" w:after="360"/>
      <w:ind w:left="851"/>
    </w:pPr>
    <w:rPr>
      <w:sz w:val="22"/>
    </w:rPr>
  </w:style>
  <w:style w:type="paragraph" w:customStyle="1" w:styleId="Date4">
    <w:name w:val="Date 4"/>
    <w:basedOn w:val="Normal"/>
    <w:next w:val="BodyText"/>
    <w:semiHidden/>
    <w:locked/>
    <w:rPr>
      <w:sz w:val="22"/>
    </w:rPr>
  </w:style>
  <w:style w:type="paragraph" w:customStyle="1" w:styleId="DeliveryInstruction">
    <w:name w:val="Delivery Instruction"/>
    <w:basedOn w:val="Normal"/>
    <w:next w:val="BodyText"/>
    <w:semiHidden/>
    <w:locked/>
    <w:pPr>
      <w:spacing w:after="0"/>
    </w:pPr>
  </w:style>
  <w:style w:type="paragraph" w:customStyle="1" w:styleId="Disclaimer">
    <w:name w:val="Disclaimer"/>
    <w:basedOn w:val="Normal"/>
    <w:next w:val="Footer"/>
    <w:semiHidden/>
    <w:locked/>
    <w:pPr>
      <w:spacing w:after="0"/>
    </w:pPr>
    <w:rPr>
      <w:sz w:val="18"/>
    </w:rPr>
  </w:style>
  <w:style w:type="paragraph" w:customStyle="1" w:styleId="DraftDate">
    <w:name w:val="Draft Date"/>
    <w:basedOn w:val="Normal"/>
    <w:next w:val="BodyText"/>
    <w:semiHidden/>
    <w:locked/>
    <w:pPr>
      <w:spacing w:after="0"/>
      <w:jc w:val="right"/>
    </w:pPr>
  </w:style>
  <w:style w:type="paragraph" w:customStyle="1" w:styleId="DraftNumber">
    <w:name w:val="Draft Number"/>
    <w:basedOn w:val="Normal"/>
    <w:next w:val="DraftDate"/>
    <w:semiHidden/>
    <w:locked/>
    <w:pPr>
      <w:spacing w:after="0"/>
      <w:jc w:val="right"/>
    </w:pPr>
    <w:rPr>
      <w:sz w:val="22"/>
    </w:rPr>
  </w:style>
  <w:style w:type="character" w:styleId="Emphasis">
    <w:name w:val="Emphasis"/>
    <w:basedOn w:val="DefaultParagraphFont"/>
    <w:rPr>
      <w:i/>
    </w:rPr>
  </w:style>
  <w:style w:type="paragraph" w:styleId="E-mailSignature">
    <w:name w:val="E-mail Signature"/>
    <w:basedOn w:val="Normal"/>
    <w:semiHidden/>
    <w:locked/>
  </w:style>
  <w:style w:type="paragraph" w:styleId="EnvelopeAddress">
    <w:name w:val="envelope address"/>
    <w:basedOn w:val="Normal"/>
    <w:semiHidden/>
    <w:locked/>
  </w:style>
  <w:style w:type="paragraph" w:styleId="EnvelopeReturn">
    <w:name w:val="envelope return"/>
    <w:basedOn w:val="Normal"/>
    <w:semiHidden/>
    <w:locked/>
  </w:style>
  <w:style w:type="character" w:customStyle="1" w:styleId="ExecArrow">
    <w:name w:val="Exec Arrow"/>
    <w:basedOn w:val="DefaultParagraphFont"/>
    <w:semiHidden/>
    <w:locked/>
    <w:rPr>
      <w:rFonts w:cs="Arial"/>
      <w:sz w:val="14"/>
    </w:rPr>
  </w:style>
  <w:style w:type="character" w:customStyle="1" w:styleId="ExecInstruction">
    <w:name w:val="Exec Instruction"/>
    <w:basedOn w:val="DefaultParagraphFont"/>
    <w:semiHidden/>
    <w:locked/>
    <w:rPr>
      <w:rFonts w:ascii="Arial"/>
      <w:i/>
      <w:sz w:val="16"/>
    </w:rPr>
  </w:style>
  <w:style w:type="paragraph" w:customStyle="1" w:styleId="ExecLeadIn">
    <w:name w:val="Exec Lead In"/>
    <w:basedOn w:val="Normal"/>
    <w:next w:val="ExecText"/>
    <w:semiHidden/>
    <w:locked/>
    <w:pPr>
      <w:keepNext/>
      <w:spacing w:before="120" w:after="0"/>
    </w:pPr>
    <w:rPr>
      <w:sz w:val="22"/>
    </w:rPr>
  </w:style>
  <w:style w:type="paragraph" w:customStyle="1" w:styleId="ExecName">
    <w:name w:val="Exec Name"/>
    <w:basedOn w:val="Normal"/>
    <w:next w:val="ExecText"/>
    <w:semiHidden/>
    <w:locked/>
    <w:pPr>
      <w:keepNext/>
      <w:spacing w:before="240" w:after="0"/>
    </w:pPr>
    <w:rPr>
      <w:sz w:val="18"/>
    </w:rPr>
  </w:style>
  <w:style w:type="paragraph" w:customStyle="1" w:styleId="ExecSignature">
    <w:name w:val="Exec Signature"/>
    <w:basedOn w:val="Normal"/>
    <w:next w:val="ExecText"/>
    <w:semiHidden/>
    <w:locked/>
    <w:pPr>
      <w:keepNext/>
      <w:spacing w:before="480" w:after="0"/>
    </w:pPr>
    <w:rPr>
      <w:sz w:val="18"/>
    </w:rPr>
  </w:style>
  <w:style w:type="paragraph" w:customStyle="1" w:styleId="ExecText">
    <w:name w:val="Exec Text"/>
    <w:basedOn w:val="Normal"/>
    <w:semiHidden/>
    <w:locked/>
    <w:pPr>
      <w:keepNext/>
      <w:spacing w:after="0"/>
    </w:pPr>
    <w:rPr>
      <w:sz w:val="18"/>
    </w:rPr>
  </w:style>
  <w:style w:type="character" w:styleId="FollowedHyperlink">
    <w:name w:val="FollowedHyperlink"/>
    <w:basedOn w:val="DefaultParagraphFont"/>
    <w:semiHidden/>
    <w:locked/>
    <w:rPr>
      <w:color w:val="800080"/>
      <w:u w:val="single"/>
    </w:rPr>
  </w:style>
  <w:style w:type="paragraph" w:styleId="Footer">
    <w:name w:val="footer"/>
    <w:basedOn w:val="Normal"/>
    <w:semiHidden/>
    <w:locked/>
    <w:pPr>
      <w:spacing w:after="0"/>
    </w:pPr>
    <w:rPr>
      <w:sz w:val="14"/>
    </w:rPr>
  </w:style>
  <w:style w:type="paragraph" w:customStyle="1" w:styleId="Footer2">
    <w:name w:val="Footer 2"/>
    <w:basedOn w:val="Footer"/>
    <w:semiHidden/>
    <w:locked/>
    <w:pPr>
      <w:jc w:val="right"/>
    </w:pPr>
    <w:rPr>
      <w:sz w:val="16"/>
    </w:rPr>
  </w:style>
  <w:style w:type="paragraph" w:customStyle="1" w:styleId="Footer3">
    <w:name w:val="Footer 3"/>
    <w:basedOn w:val="Footer"/>
    <w:semiHidden/>
    <w:locked/>
    <w:pPr>
      <w:jc w:val="right"/>
    </w:pPr>
    <w:rPr>
      <w:sz w:val="16"/>
    </w:rPr>
  </w:style>
  <w:style w:type="paragraph" w:customStyle="1" w:styleId="Footer4">
    <w:name w:val="Footer 4"/>
    <w:basedOn w:val="Footer"/>
    <w:semiHidden/>
    <w:locked/>
    <w:pPr>
      <w:spacing w:before="240"/>
    </w:pPr>
    <w:rPr>
      <w:sz w:val="18"/>
    </w:rPr>
  </w:style>
  <w:style w:type="paragraph" w:customStyle="1" w:styleId="Footer5">
    <w:name w:val="Footer 5"/>
    <w:basedOn w:val="Footer"/>
    <w:semiHidden/>
    <w:locked/>
  </w:style>
  <w:style w:type="paragraph" w:customStyle="1" w:styleId="Footer6">
    <w:name w:val="Footer 6"/>
    <w:basedOn w:val="Normal"/>
    <w:semiHidden/>
    <w:locked/>
    <w:pPr>
      <w:spacing w:before="120" w:after="0"/>
    </w:pPr>
    <w:rPr>
      <w:sz w:val="12"/>
    </w:rPr>
  </w:style>
  <w:style w:type="paragraph" w:customStyle="1" w:styleId="Footer7">
    <w:name w:val="Footer 7"/>
    <w:basedOn w:val="Footer"/>
    <w:semiHidden/>
    <w:locked/>
    <w:pPr>
      <w:jc w:val="right"/>
    </w:pPr>
  </w:style>
  <w:style w:type="paragraph" w:customStyle="1" w:styleId="Footer8">
    <w:name w:val="Footer 8"/>
    <w:basedOn w:val="Footer"/>
    <w:semiHidden/>
    <w:locked/>
    <w:pPr>
      <w:ind w:left="851"/>
    </w:pPr>
  </w:style>
  <w:style w:type="character" w:styleId="FootnoteReference">
    <w:name w:val="footnote reference"/>
    <w:basedOn w:val="DefaultParagraphFont"/>
    <w:semiHidden/>
    <w:locked/>
    <w:rPr>
      <w:vertAlign w:val="superscript"/>
    </w:rPr>
  </w:style>
  <w:style w:type="paragraph" w:styleId="FootnoteText">
    <w:name w:val="footnote text"/>
    <w:basedOn w:val="Normal"/>
    <w:semiHidden/>
    <w:locked/>
    <w:pPr>
      <w:keepLines/>
    </w:pPr>
    <w:rPr>
      <w:sz w:val="16"/>
    </w:rPr>
  </w:style>
  <w:style w:type="paragraph" w:customStyle="1" w:styleId="FormLabel">
    <w:name w:val="Form Label"/>
    <w:basedOn w:val="Normal"/>
    <w:semiHidden/>
    <w:locked/>
    <w:pPr>
      <w:spacing w:after="0"/>
    </w:pPr>
    <w:rPr>
      <w:sz w:val="18"/>
    </w:rPr>
  </w:style>
  <w:style w:type="paragraph" w:customStyle="1" w:styleId="FormValue">
    <w:name w:val="Form Value"/>
    <w:basedOn w:val="Normal"/>
    <w:semiHidden/>
    <w:pPr>
      <w:spacing w:after="0"/>
    </w:pPr>
    <w:rPr>
      <w:sz w:val="18"/>
    </w:rPr>
  </w:style>
  <w:style w:type="paragraph" w:customStyle="1" w:styleId="FormLayout">
    <w:name w:val="Form Layout"/>
    <w:basedOn w:val="Normal"/>
    <w:semiHidden/>
    <w:locked/>
    <w:pPr>
      <w:spacing w:after="0"/>
    </w:pPr>
    <w:rPr>
      <w:sz w:val="16"/>
    </w:rPr>
  </w:style>
  <w:style w:type="paragraph" w:customStyle="1" w:styleId="FormHeading">
    <w:name w:val="Form Heading"/>
    <w:basedOn w:val="Normal"/>
    <w:next w:val="BodyText"/>
    <w:semiHidden/>
    <w:locked/>
    <w:pPr>
      <w:spacing w:after="0"/>
    </w:pPr>
    <w:rPr>
      <w:sz w:val="24"/>
    </w:rPr>
  </w:style>
  <w:style w:type="paragraph" w:customStyle="1" w:styleId="greybox">
    <w:name w:val="greybox"/>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styleId="Header">
    <w:name w:val="header"/>
    <w:basedOn w:val="Normal"/>
    <w:locked/>
    <w:pPr>
      <w:spacing w:after="0"/>
    </w:pPr>
    <w:rPr>
      <w:sz w:val="18"/>
    </w:rPr>
  </w:style>
  <w:style w:type="paragraph" w:customStyle="1" w:styleId="Header2">
    <w:name w:val="Header 2"/>
    <w:basedOn w:val="Header"/>
    <w:semiHidden/>
    <w:locked/>
    <w:pPr>
      <w:jc w:val="right"/>
    </w:pPr>
  </w:style>
  <w:style w:type="paragraph" w:customStyle="1" w:styleId="Header3">
    <w:name w:val="Header 3"/>
    <w:basedOn w:val="Header"/>
    <w:semiHidden/>
    <w:locked/>
    <w:pPr>
      <w:jc w:val="center"/>
    </w:pPr>
  </w:style>
  <w:style w:type="paragraph" w:customStyle="1" w:styleId="Header4">
    <w:name w:val="Header 4"/>
    <w:basedOn w:val="Header"/>
    <w:semiHidden/>
    <w:locked/>
    <w:pPr>
      <w:jc w:val="right"/>
    </w:pPr>
    <w:rPr>
      <w:sz w:val="36"/>
    </w:rPr>
  </w:style>
  <w:style w:type="paragraph" w:customStyle="1" w:styleId="HeaderFooterText">
    <w:name w:val="Header Footer Text"/>
    <w:basedOn w:val="Normal"/>
    <w:semiHidden/>
    <w:pPr>
      <w:spacing w:after="0"/>
      <w:ind w:left="851"/>
    </w:pPr>
    <w:rPr>
      <w:sz w:val="2"/>
    </w:rPr>
  </w:style>
  <w:style w:type="character" w:customStyle="1" w:styleId="Highlight">
    <w:name w:val="Highlight"/>
    <w:basedOn w:val="DefaultParagraphFont"/>
    <w:semiHidden/>
  </w:style>
  <w:style w:type="character" w:styleId="HTMLAcronym">
    <w:name w:val="HTML Acronym"/>
    <w:basedOn w:val="DefaultParagraphFont"/>
    <w:semiHidden/>
    <w:locked/>
  </w:style>
  <w:style w:type="paragraph" w:styleId="HTMLAddress">
    <w:name w:val="HTML Address"/>
    <w:basedOn w:val="Normal"/>
    <w:semiHidden/>
    <w:locked/>
  </w:style>
  <w:style w:type="character" w:styleId="HTMLCite">
    <w:name w:val="HTML Cite"/>
    <w:basedOn w:val="DefaultParagraphFont"/>
    <w:semiHidden/>
    <w:locked/>
  </w:style>
  <w:style w:type="character" w:styleId="HTMLCode">
    <w:name w:val="HTML Code"/>
    <w:basedOn w:val="DefaultParagraphFont"/>
    <w:semiHidden/>
    <w:locked/>
  </w:style>
  <w:style w:type="character" w:styleId="HTMLDefinition">
    <w:name w:val="HTML Definition"/>
    <w:basedOn w:val="DefaultParagraphFont"/>
    <w:semiHidden/>
    <w:locked/>
  </w:style>
  <w:style w:type="character" w:styleId="HTMLKeyboard">
    <w:name w:val="HTML Keyboard"/>
    <w:basedOn w:val="DefaultParagraphFont"/>
    <w:semiHidden/>
    <w:locked/>
  </w:style>
  <w:style w:type="paragraph" w:styleId="HTMLPreformatted">
    <w:name w:val="HTML Preformatted"/>
    <w:basedOn w:val="Normal"/>
    <w:semiHidden/>
    <w:locked/>
  </w:style>
  <w:style w:type="character" w:styleId="HTMLSample">
    <w:name w:val="HTML Sample"/>
    <w:basedOn w:val="DefaultParagraphFont"/>
    <w:semiHidden/>
    <w:locked/>
  </w:style>
  <w:style w:type="character" w:styleId="HTMLTypewriter">
    <w:name w:val="HTML Typewriter"/>
    <w:basedOn w:val="DefaultParagraphFont"/>
    <w:semiHidden/>
    <w:locked/>
  </w:style>
  <w:style w:type="character" w:styleId="HTMLVariable">
    <w:name w:val="HTML Variable"/>
    <w:basedOn w:val="DefaultParagraphFont"/>
    <w:semiHidden/>
    <w:locked/>
  </w:style>
  <w:style w:type="character" w:styleId="Hyperlink">
    <w:name w:val="Hyperlink"/>
    <w:basedOn w:val="DefaultParagraphFont"/>
    <w:semiHidden/>
    <w:rPr>
      <w:b w:val="0"/>
      <w:color w:val="0000FF"/>
      <w:u w:val="single"/>
    </w:rPr>
  </w:style>
  <w:style w:type="paragraph" w:customStyle="1" w:styleId="ItemID">
    <w:name w:val="Item ID"/>
    <w:basedOn w:val="Normal"/>
    <w:next w:val="BodyText"/>
    <w:semiHidden/>
    <w:locked/>
    <w:pPr>
      <w:spacing w:before="120" w:after="0"/>
    </w:pPr>
    <w:rPr>
      <w:spacing w:val="-6"/>
      <w:sz w:val="19"/>
    </w:rPr>
  </w:style>
  <w:style w:type="paragraph" w:customStyle="1" w:styleId="Level1">
    <w:name w:val="Level 1"/>
    <w:basedOn w:val="Normal"/>
    <w:next w:val="BodyText"/>
    <w:pPr>
      <w:keepNext/>
      <w:pBdr>
        <w:bottom w:val="single" w:sz="8" w:space="10" w:color="auto"/>
      </w:pBdr>
      <w:spacing w:before="600" w:after="240"/>
      <w:ind w:left="851"/>
    </w:pPr>
    <w:rPr>
      <w:sz w:val="28"/>
    </w:rPr>
  </w:style>
  <w:style w:type="paragraph" w:customStyle="1" w:styleId="Level2">
    <w:name w:val="Level 2"/>
    <w:basedOn w:val="Normal"/>
    <w:next w:val="BodyText"/>
    <w:pPr>
      <w:keepNext/>
      <w:spacing w:before="240"/>
      <w:ind w:left="851"/>
    </w:pPr>
    <w:rPr>
      <w:b/>
      <w:sz w:val="24"/>
    </w:rPr>
  </w:style>
  <w:style w:type="paragraph" w:customStyle="1" w:styleId="Level3">
    <w:name w:val="Level 3"/>
    <w:basedOn w:val="Normal"/>
    <w:next w:val="BodyText"/>
    <w:pPr>
      <w:keepNext/>
      <w:spacing w:before="240"/>
      <w:ind w:left="851"/>
    </w:pPr>
    <w:rPr>
      <w:b/>
    </w:rPr>
  </w:style>
  <w:style w:type="paragraph" w:styleId="List">
    <w:name w:val="List"/>
    <w:basedOn w:val="Normal"/>
    <w:semiHidden/>
    <w:locked/>
  </w:style>
  <w:style w:type="paragraph" w:styleId="List2">
    <w:name w:val="List 2"/>
    <w:basedOn w:val="Normal"/>
    <w:semiHidden/>
    <w:locked/>
  </w:style>
  <w:style w:type="paragraph" w:styleId="List3">
    <w:name w:val="List 3"/>
    <w:basedOn w:val="Normal"/>
    <w:semiHidden/>
    <w:locked/>
  </w:style>
  <w:style w:type="paragraph" w:styleId="List4">
    <w:name w:val="List 4"/>
    <w:basedOn w:val="Normal"/>
    <w:semiHidden/>
    <w:locked/>
  </w:style>
  <w:style w:type="paragraph" w:styleId="List5">
    <w:name w:val="List 5"/>
    <w:basedOn w:val="Normal"/>
    <w:semiHidden/>
    <w:locked/>
  </w:style>
  <w:style w:type="paragraph" w:styleId="ListBullet">
    <w:name w:val="List Bullet"/>
    <w:basedOn w:val="Normal"/>
    <w:uiPriority w:val="9"/>
    <w:qFormat/>
    <w:pPr>
      <w:numPr>
        <w:numId w:val="7"/>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9"/>
      </w:numPr>
    </w:pPr>
  </w:style>
  <w:style w:type="paragraph" w:customStyle="1" w:styleId="ListBulletDisclaimer">
    <w:name w:val="List Bullet Disclaimer"/>
    <w:basedOn w:val="Normal"/>
    <w:semiHidden/>
    <w:pPr>
      <w:numPr>
        <w:numId w:val="10"/>
      </w:numPr>
      <w:spacing w:after="0"/>
      <w:ind w:left="284" w:hanging="284"/>
    </w:pPr>
    <w:rPr>
      <w:sz w:val="16"/>
      <w:szCs w:val="16"/>
    </w:rPr>
  </w:style>
  <w:style w:type="paragraph" w:customStyle="1" w:styleId="ListBulletIndent">
    <w:name w:val="List Bullet Indent"/>
    <w:pPr>
      <w:numPr>
        <w:numId w:val="11"/>
      </w:numPr>
      <w:ind w:left="2552" w:hanging="851"/>
    </w:pPr>
  </w:style>
  <w:style w:type="paragraph" w:customStyle="1" w:styleId="ListBulletTable">
    <w:name w:val="List Bullet Table"/>
    <w:basedOn w:val="Normal"/>
    <w:pPr>
      <w:numPr>
        <w:numId w:val="12"/>
      </w:numPr>
    </w:pPr>
    <w:rPr>
      <w:sz w:val="18"/>
      <w:szCs w:val="18"/>
    </w:rPr>
  </w:style>
  <w:style w:type="paragraph" w:customStyle="1" w:styleId="ListBulletTable2">
    <w:name w:val="List Bullet Table 2"/>
    <w:basedOn w:val="Normal"/>
    <w:semiHidden/>
    <w:pPr>
      <w:numPr>
        <w:numId w:val="13"/>
      </w:numPr>
    </w:pPr>
  </w:style>
  <w:style w:type="paragraph" w:customStyle="1" w:styleId="ListBulletTableIndent">
    <w:name w:val="List Bullet Table Indent"/>
    <w:basedOn w:val="Normal"/>
    <w:pPr>
      <w:numPr>
        <w:numId w:val="14"/>
      </w:numPr>
    </w:pPr>
    <w:rPr>
      <w:sz w:val="18"/>
      <w:szCs w:val="18"/>
    </w:rPr>
  </w:style>
  <w:style w:type="paragraph" w:customStyle="1" w:styleId="ListBulletTableIndent2">
    <w:name w:val="List Bullet Table Indent2"/>
    <w:basedOn w:val="Normal"/>
    <w:semiHidden/>
    <w:pPr>
      <w:numPr>
        <w:numId w:val="15"/>
      </w:numPr>
    </w:pPr>
  </w:style>
  <w:style w:type="paragraph" w:styleId="ListNumber">
    <w:name w:val="List Number"/>
    <w:basedOn w:val="Normal"/>
    <w:uiPriority w:val="8"/>
    <w:qFormat/>
    <w:pPr>
      <w:numPr>
        <w:numId w:val="3"/>
      </w:numPr>
      <w:spacing w:before="120"/>
    </w:pPr>
  </w:style>
  <w:style w:type="paragraph" w:styleId="ListNumber2">
    <w:name w:val="List Number 2"/>
    <w:basedOn w:val="Normal"/>
    <w:semiHidden/>
    <w:pPr>
      <w:numPr>
        <w:numId w:val="4"/>
      </w:numPr>
      <w:spacing w:before="120"/>
    </w:pPr>
  </w:style>
  <w:style w:type="paragraph" w:styleId="ListNumber3">
    <w:name w:val="List Number 3"/>
    <w:basedOn w:val="Normal"/>
    <w:semiHidden/>
    <w:pPr>
      <w:numPr>
        <w:numId w:val="5"/>
      </w:numPr>
      <w:spacing w:before="120"/>
    </w:pPr>
  </w:style>
  <w:style w:type="paragraph" w:styleId="ListNumber4">
    <w:name w:val="List Number 4"/>
    <w:basedOn w:val="Normal"/>
    <w:semiHidden/>
    <w:pPr>
      <w:spacing w:before="120"/>
    </w:pPr>
  </w:style>
  <w:style w:type="paragraph" w:styleId="ListNumber5">
    <w:name w:val="List Number 5"/>
    <w:basedOn w:val="Normal"/>
    <w:semiHidden/>
    <w:pPr>
      <w:spacing w:before="120"/>
    </w:pPr>
  </w:style>
  <w:style w:type="paragraph" w:customStyle="1" w:styleId="ListNumberTable">
    <w:name w:val="List Number Table"/>
    <w:basedOn w:val="Normal"/>
    <w:pPr>
      <w:numPr>
        <w:numId w:val="6"/>
      </w:numPr>
    </w:pPr>
    <w:rPr>
      <w:sz w:val="18"/>
      <w:szCs w:val="18"/>
    </w:rPr>
  </w:style>
  <w:style w:type="paragraph" w:customStyle="1" w:styleId="ListNumberTable2">
    <w:name w:val="List Number Table 2"/>
    <w:basedOn w:val="Normal"/>
    <w:semiHidden/>
    <w:pPr>
      <w:numPr>
        <w:numId w:val="16"/>
      </w:numPr>
    </w:pPr>
  </w:style>
  <w:style w:type="character" w:customStyle="1" w:styleId="MacroText1">
    <w:name w:val="Macro Text1"/>
    <w:basedOn w:val="DefaultParagraphFont"/>
    <w:semiHidden/>
    <w:rPr>
      <w:rFonts w:ascii="Arial Bold"/>
      <w:b/>
      <w:caps/>
      <w:color w:val="008000"/>
      <w:sz w:val="20"/>
      <w:u w:val="single" w:color="008000"/>
    </w:rPr>
  </w:style>
  <w:style w:type="paragraph" w:customStyle="1" w:styleId="Matter">
    <w:name w:val="Matter"/>
    <w:basedOn w:val="Normal"/>
    <w:next w:val="BodyText"/>
    <w:semiHidden/>
    <w:locked/>
    <w:pPr>
      <w:spacing w:after="0"/>
    </w:pPr>
  </w:style>
  <w:style w:type="paragraph" w:customStyle="1" w:styleId="MatterName">
    <w:name w:val="Matter Name"/>
    <w:basedOn w:val="Normal"/>
    <w:next w:val="BodyText"/>
    <w:semiHidden/>
    <w:locked/>
    <w:pPr>
      <w:spacing w:after="0"/>
    </w:pPr>
  </w:style>
  <w:style w:type="paragraph" w:customStyle="1" w:styleId="MatterNumber">
    <w:name w:val="Matter Number"/>
    <w:basedOn w:val="Normal"/>
    <w:next w:val="BodyText"/>
    <w:semiHidden/>
    <w:locked/>
    <w:pPr>
      <w:spacing w:after="0"/>
    </w:pPr>
  </w:style>
  <w:style w:type="paragraph" w:customStyle="1" w:styleId="Meaning">
    <w:name w:val="Meaning"/>
    <w:basedOn w:val="Normal"/>
    <w:rPr>
      <w:sz w:val="18"/>
    </w:rPr>
  </w:style>
  <w:style w:type="paragraph" w:styleId="MessageHeader">
    <w:name w:val="Message Header"/>
    <w:basedOn w:val="Normal"/>
    <w:semiHidden/>
    <w:locked/>
  </w:style>
  <w:style w:type="paragraph" w:styleId="NormalWeb">
    <w:name w:val="Normal (Web)"/>
    <w:basedOn w:val="Normal"/>
    <w:semiHidden/>
    <w:locked/>
  </w:style>
  <w:style w:type="paragraph" w:styleId="NormalIndent">
    <w:name w:val="Normal Indent"/>
    <w:basedOn w:val="Normal"/>
    <w:semiHidden/>
    <w:locked/>
    <w:pPr>
      <w:ind w:left="567"/>
    </w:pPr>
  </w:style>
  <w:style w:type="paragraph" w:styleId="NoteHeading">
    <w:name w:val="Note Heading"/>
    <w:basedOn w:val="Normal"/>
    <w:semiHidden/>
    <w:locked/>
  </w:style>
  <w:style w:type="paragraph" w:customStyle="1" w:styleId="NoTOCHdg1">
    <w:name w:val="NoTOCHdg 1"/>
    <w:basedOn w:val="Normal"/>
    <w:next w:val="BodyText"/>
    <w:uiPriority w:val="10"/>
    <w:qFormat/>
    <w:pPr>
      <w:keepNext/>
      <w:numPr>
        <w:numId w:val="2"/>
      </w:numPr>
      <w:pBdr>
        <w:bottom w:val="single" w:sz="8" w:space="4" w:color="auto"/>
      </w:pBdr>
      <w:spacing w:before="600" w:after="240"/>
    </w:pPr>
    <w:rPr>
      <w:sz w:val="28"/>
      <w:szCs w:val="28"/>
    </w:rPr>
  </w:style>
  <w:style w:type="paragraph" w:customStyle="1" w:styleId="NoTOCHdg2">
    <w:name w:val="NoTOCHdg 2"/>
    <w:basedOn w:val="Normal"/>
    <w:next w:val="BodyText"/>
    <w:uiPriority w:val="11"/>
    <w:qFormat/>
    <w:pPr>
      <w:keepNext/>
      <w:numPr>
        <w:ilvl w:val="1"/>
        <w:numId w:val="2"/>
      </w:numPr>
      <w:spacing w:before="240" w:after="240"/>
    </w:pPr>
    <w:rPr>
      <w:b/>
      <w:sz w:val="24"/>
      <w:szCs w:val="24"/>
    </w:rPr>
  </w:style>
  <w:style w:type="paragraph" w:customStyle="1" w:styleId="NoTOCHdg3">
    <w:name w:val="NoTOCHdg 3"/>
    <w:basedOn w:val="Normal"/>
    <w:next w:val="BodyTextIndent"/>
    <w:uiPriority w:val="12"/>
    <w:qFormat/>
    <w:pPr>
      <w:numPr>
        <w:ilvl w:val="2"/>
        <w:numId w:val="2"/>
      </w:numPr>
      <w:spacing w:before="120"/>
    </w:pPr>
  </w:style>
  <w:style w:type="paragraph" w:customStyle="1" w:styleId="NoTOCHdg4">
    <w:name w:val="NoTOCHdg 4"/>
    <w:basedOn w:val="Normal"/>
    <w:next w:val="BodyTextIndent2"/>
    <w:uiPriority w:val="13"/>
    <w:qFormat/>
    <w:pPr>
      <w:numPr>
        <w:ilvl w:val="3"/>
        <w:numId w:val="2"/>
      </w:numPr>
      <w:spacing w:before="120"/>
    </w:pPr>
  </w:style>
  <w:style w:type="character" w:styleId="PageNumber">
    <w:name w:val="page number"/>
    <w:basedOn w:val="DefaultParagraphFont"/>
    <w:semiHidden/>
    <w:locked/>
  </w:style>
  <w:style w:type="paragraph" w:customStyle="1" w:styleId="Pages">
    <w:name w:val="Pages"/>
    <w:basedOn w:val="FormValue"/>
    <w:semiHidden/>
    <w:locked/>
  </w:style>
  <w:style w:type="paragraph" w:customStyle="1" w:styleId="Party1">
    <w:name w:val="Party 1"/>
    <w:basedOn w:val="Normal"/>
    <w:semiHidden/>
    <w:locked/>
    <w:pPr>
      <w:spacing w:after="240"/>
    </w:pPr>
    <w:rPr>
      <w:sz w:val="22"/>
    </w:rPr>
  </w:style>
  <w:style w:type="paragraph" w:customStyle="1" w:styleId="Party2">
    <w:name w:val="Party 2"/>
    <w:basedOn w:val="Normal"/>
    <w:next w:val="CellText"/>
    <w:semiHidden/>
    <w:locked/>
    <w:rPr>
      <w:b/>
      <w:sz w:val="18"/>
    </w:rPr>
  </w:style>
  <w:style w:type="paragraph" w:customStyle="1" w:styleId="Party3">
    <w:name w:val="Party 3"/>
    <w:basedOn w:val="Normal"/>
    <w:semiHidden/>
    <w:pPr>
      <w:keepNext/>
      <w:spacing w:after="0"/>
    </w:pPr>
    <w:rPr>
      <w:b/>
      <w:sz w:val="22"/>
    </w:rPr>
  </w:style>
  <w:style w:type="paragraph" w:customStyle="1" w:styleId="PartyAddress">
    <w:name w:val="Party Address"/>
    <w:basedOn w:val="Normal"/>
    <w:next w:val="CellText"/>
    <w:semiHidden/>
    <w:locked/>
    <w:rPr>
      <w:sz w:val="18"/>
    </w:rPr>
  </w:style>
  <w:style w:type="paragraph" w:customStyle="1" w:styleId="PartyAlias">
    <w:name w:val="Party Alias"/>
    <w:basedOn w:val="Normal"/>
    <w:next w:val="CellText"/>
    <w:semiHidden/>
    <w:locked/>
    <w:rPr>
      <w:b/>
      <w:sz w:val="18"/>
    </w:rPr>
  </w:style>
  <w:style w:type="paragraph" w:customStyle="1" w:styleId="PartyCategory1">
    <w:name w:val="Party Category 1"/>
    <w:basedOn w:val="Normal"/>
    <w:next w:val="BodyText"/>
    <w:semiHidden/>
    <w:rPr>
      <w:b/>
    </w:rPr>
  </w:style>
  <w:style w:type="paragraph" w:customStyle="1" w:styleId="PartyCategory2">
    <w:name w:val="Party Category 2"/>
    <w:basedOn w:val="Normal"/>
    <w:next w:val="BodyText"/>
    <w:semiHidden/>
    <w:rPr>
      <w:b/>
      <w:sz w:val="22"/>
    </w:rPr>
  </w:style>
  <w:style w:type="paragraph" w:customStyle="1" w:styleId="PartyContact">
    <w:name w:val="Party Contact"/>
    <w:basedOn w:val="Normal"/>
    <w:next w:val="CellText"/>
    <w:semiHidden/>
    <w:locked/>
    <w:rPr>
      <w:sz w:val="18"/>
    </w:rPr>
  </w:style>
  <w:style w:type="paragraph" w:customStyle="1" w:styleId="PartyDetails">
    <w:name w:val="Party Details"/>
    <w:basedOn w:val="Normal"/>
    <w:next w:val="CellText"/>
    <w:semiHidden/>
    <w:locked/>
    <w:rPr>
      <w:sz w:val="18"/>
    </w:rPr>
  </w:style>
  <w:style w:type="paragraph" w:customStyle="1" w:styleId="PartyEmail">
    <w:name w:val="Party Email"/>
    <w:basedOn w:val="Normal"/>
    <w:next w:val="CellText"/>
    <w:semiHidden/>
    <w:locked/>
    <w:rPr>
      <w:sz w:val="18"/>
    </w:rPr>
  </w:style>
  <w:style w:type="paragraph" w:customStyle="1" w:styleId="PartyFax">
    <w:name w:val="Party Fax"/>
    <w:basedOn w:val="Normal"/>
    <w:next w:val="CellText"/>
    <w:semiHidden/>
    <w:locked/>
    <w:rPr>
      <w:sz w:val="18"/>
    </w:rPr>
  </w:style>
  <w:style w:type="paragraph" w:customStyle="1" w:styleId="PartyPhone">
    <w:name w:val="Party Phone"/>
    <w:basedOn w:val="Normal"/>
    <w:next w:val="CellText"/>
    <w:semiHidden/>
    <w:locked/>
    <w:rPr>
      <w:sz w:val="18"/>
    </w:rPr>
  </w:style>
  <w:style w:type="paragraph" w:customStyle="1" w:styleId="Recipient1">
    <w:name w:val="Recipient 1"/>
    <w:basedOn w:val="Normal"/>
    <w:next w:val="BodyText"/>
    <w:semiHidden/>
    <w:locked/>
    <w:pPr>
      <w:spacing w:after="0"/>
    </w:pPr>
  </w:style>
  <w:style w:type="paragraph" w:customStyle="1" w:styleId="Recipient2">
    <w:name w:val="Recipient 2"/>
    <w:basedOn w:val="Recipient1"/>
    <w:next w:val="BodyText"/>
    <w:semiHidden/>
    <w:locked/>
  </w:style>
  <w:style w:type="paragraph" w:customStyle="1" w:styleId="RecipientAddress">
    <w:name w:val="Recipient Address"/>
    <w:basedOn w:val="Normal"/>
    <w:semiHidden/>
    <w:locked/>
    <w:pPr>
      <w:spacing w:after="0"/>
    </w:pPr>
  </w:style>
  <w:style w:type="paragraph" w:customStyle="1" w:styleId="RecipientCompany">
    <w:name w:val="Recipient Company"/>
    <w:basedOn w:val="Normal"/>
    <w:next w:val="BodyText"/>
    <w:semiHidden/>
    <w:locked/>
    <w:pPr>
      <w:spacing w:after="0"/>
    </w:pPr>
  </w:style>
  <w:style w:type="paragraph" w:customStyle="1" w:styleId="RecipientEmail">
    <w:name w:val="Recipient Email"/>
    <w:basedOn w:val="Normal"/>
    <w:next w:val="BodyText"/>
    <w:semiHidden/>
    <w:locked/>
    <w:pPr>
      <w:spacing w:after="0"/>
    </w:pPr>
  </w:style>
  <w:style w:type="paragraph" w:customStyle="1" w:styleId="RecipientFax">
    <w:name w:val="Recipient Fax"/>
    <w:basedOn w:val="Normal"/>
    <w:next w:val="BodyText"/>
    <w:semiHidden/>
    <w:locked/>
    <w:pPr>
      <w:tabs>
        <w:tab w:val="left" w:pos="1134"/>
      </w:tabs>
      <w:spacing w:after="0"/>
    </w:pPr>
    <w:rPr>
      <w:b/>
    </w:rPr>
  </w:style>
  <w:style w:type="paragraph" w:customStyle="1" w:styleId="RecipientPhone">
    <w:name w:val="Recipient Phone"/>
    <w:basedOn w:val="Normal"/>
    <w:next w:val="BodyText"/>
    <w:semiHidden/>
    <w:locked/>
    <w:pPr>
      <w:tabs>
        <w:tab w:val="left" w:pos="1134"/>
      </w:tabs>
      <w:spacing w:after="0"/>
    </w:pPr>
  </w:style>
  <w:style w:type="paragraph" w:customStyle="1" w:styleId="RecipientPosition">
    <w:name w:val="Recipient Position"/>
    <w:basedOn w:val="Normal"/>
    <w:next w:val="BodyText"/>
    <w:semiHidden/>
    <w:locked/>
    <w:pPr>
      <w:spacing w:after="0"/>
    </w:pPr>
  </w:style>
  <w:style w:type="paragraph" w:customStyle="1" w:styleId="Remarks">
    <w:name w:val="Remarks"/>
    <w:basedOn w:val="Normal"/>
    <w:semiHidden/>
    <w:locked/>
    <w:pPr>
      <w:spacing w:after="240"/>
    </w:pPr>
    <w:rPr>
      <w:sz w:val="22"/>
    </w:rPr>
  </w:style>
  <w:style w:type="paragraph" w:styleId="Salutation">
    <w:name w:val="Salutation"/>
    <w:basedOn w:val="Normal"/>
    <w:next w:val="BodyText"/>
    <w:semiHidden/>
    <w:locked/>
    <w:pPr>
      <w:spacing w:after="240"/>
      <w:ind w:left="851"/>
    </w:pPr>
  </w:style>
  <w:style w:type="paragraph" w:customStyle="1" w:styleId="Schedule">
    <w:name w:val="Schedule"/>
    <w:basedOn w:val="Normal"/>
    <w:next w:val="BodyText"/>
    <w:pPr>
      <w:pBdr>
        <w:bottom w:val="single" w:sz="8" w:space="10" w:color="auto"/>
      </w:pBdr>
      <w:spacing w:before="600" w:after="240"/>
      <w:ind w:left="851"/>
    </w:pPr>
    <w:rPr>
      <w:sz w:val="28"/>
    </w:rPr>
  </w:style>
  <w:style w:type="paragraph" w:customStyle="1" w:styleId="Separator">
    <w:name w:val="Separator"/>
    <w:basedOn w:val="Normal"/>
    <w:semiHidden/>
    <w:locked/>
    <w:pPr>
      <w:spacing w:after="0"/>
    </w:pPr>
    <w:rPr>
      <w:sz w:val="16"/>
    </w:rPr>
  </w:style>
  <w:style w:type="paragraph" w:styleId="Signature">
    <w:name w:val="Signature"/>
    <w:basedOn w:val="Normal"/>
    <w:semiHidden/>
    <w:locked/>
  </w:style>
  <w:style w:type="paragraph" w:customStyle="1" w:styleId="SignOff">
    <w:name w:val="Sign Off"/>
    <w:basedOn w:val="Normal"/>
    <w:next w:val="BodyText"/>
    <w:semiHidden/>
    <w:locked/>
    <w:pPr>
      <w:spacing w:before="360"/>
      <w:ind w:left="851"/>
    </w:pPr>
  </w:style>
  <w:style w:type="paragraph" w:customStyle="1" w:styleId="StartText">
    <w:name w:val="Start Text"/>
    <w:basedOn w:val="BodyText"/>
    <w:next w:val="BodyText"/>
    <w:semiHidden/>
    <w:locked/>
    <w:pPr>
      <w:spacing w:before="600"/>
    </w:pPr>
  </w:style>
  <w:style w:type="paragraph" w:customStyle="1" w:styleId="Status">
    <w:name w:val="Status"/>
    <w:basedOn w:val="Normal"/>
    <w:semiHidden/>
    <w:locked/>
    <w:rPr>
      <w:sz w:val="22"/>
    </w:rPr>
  </w:style>
  <w:style w:type="paragraph" w:customStyle="1" w:styleId="Status2">
    <w:name w:val="Status 2"/>
    <w:basedOn w:val="Normal"/>
    <w:semiHidden/>
    <w:locked/>
    <w:pPr>
      <w:spacing w:after="0"/>
      <w:ind w:left="851"/>
    </w:pPr>
    <w:rPr>
      <w:sz w:val="22"/>
    </w:rPr>
  </w:style>
  <w:style w:type="paragraph" w:customStyle="1" w:styleId="Status3">
    <w:name w:val="Status 3"/>
    <w:basedOn w:val="Normal"/>
    <w:semiHidden/>
    <w:locked/>
    <w:rPr>
      <w:sz w:val="22"/>
    </w:rPr>
  </w:style>
  <w:style w:type="paragraph" w:customStyle="1" w:styleId="Status4">
    <w:name w:val="Status 4"/>
    <w:basedOn w:val="Normal"/>
    <w:semiHidden/>
    <w:locked/>
    <w:pPr>
      <w:ind w:left="851"/>
    </w:pPr>
    <w:rPr>
      <w:sz w:val="22"/>
    </w:rPr>
  </w:style>
  <w:style w:type="paragraph" w:customStyle="1" w:styleId="staybox">
    <w:name w:val="staybox"/>
    <w:basedOn w:val="greybox"/>
    <w:semiHidden/>
  </w:style>
  <w:style w:type="character" w:styleId="Strong">
    <w:name w:val="Strong"/>
    <w:basedOn w:val="DefaultParagraphFont"/>
    <w:rPr>
      <w:b/>
    </w:rPr>
  </w:style>
  <w:style w:type="character" w:customStyle="1" w:styleId="StrongEmphasis">
    <w:name w:val="Strong Emphasis"/>
    <w:basedOn w:val="DefaultParagraphFont"/>
    <w:rPr>
      <w:b/>
      <w:i/>
    </w:rPr>
  </w:style>
  <w:style w:type="paragraph" w:customStyle="1" w:styleId="Subject">
    <w:name w:val="Subject"/>
    <w:basedOn w:val="Normal"/>
    <w:semiHidden/>
    <w:locked/>
    <w:pPr>
      <w:spacing w:after="0"/>
    </w:pPr>
    <w:rPr>
      <w:b/>
      <w:sz w:val="24"/>
    </w:rPr>
  </w:style>
  <w:style w:type="paragraph" w:customStyle="1" w:styleId="Subject2">
    <w:name w:val="Subject 2"/>
    <w:basedOn w:val="Normal"/>
    <w:semiHidden/>
    <w:locked/>
    <w:rPr>
      <w:sz w:val="44"/>
    </w:rPr>
  </w:style>
  <w:style w:type="paragraph" w:customStyle="1" w:styleId="Subject3">
    <w:name w:val="Subject 3"/>
    <w:basedOn w:val="Normal"/>
    <w:semiHidden/>
    <w:locked/>
    <w:pPr>
      <w:spacing w:after="240"/>
    </w:pPr>
    <w:rPr>
      <w:sz w:val="36"/>
    </w:rPr>
  </w:style>
  <w:style w:type="paragraph" w:customStyle="1" w:styleId="Subject4">
    <w:name w:val="Subject 4"/>
    <w:basedOn w:val="Normal"/>
    <w:next w:val="BodyText"/>
    <w:semiHidden/>
    <w:pPr>
      <w:pBdr>
        <w:bottom w:val="single" w:sz="8" w:space="10" w:color="auto"/>
      </w:pBdr>
      <w:spacing w:before="600" w:after="240"/>
      <w:ind w:left="851"/>
    </w:pPr>
    <w:rPr>
      <w:sz w:val="28"/>
    </w:rPr>
  </w:style>
  <w:style w:type="paragraph" w:customStyle="1" w:styleId="Subject5">
    <w:name w:val="Subject 5"/>
    <w:basedOn w:val="Normal"/>
    <w:semiHidden/>
    <w:locked/>
    <w:pPr>
      <w:spacing w:after="240"/>
      <w:ind w:left="851"/>
    </w:pPr>
    <w:rPr>
      <w:b/>
      <w:sz w:val="24"/>
    </w:rPr>
  </w:style>
  <w:style w:type="table" w:styleId="Table3Deffects1">
    <w:name w:val="Table 3D effects 1"/>
    <w:basedOn w:val="TableNormal"/>
    <w:semiHidden/>
    <w:locked/>
    <w:tblPr>
      <w:tblInd w:w="0" w:type="dxa"/>
      <w:tblCellMar>
        <w:top w:w="0" w:type="dxa"/>
        <w:left w:w="108" w:type="dxa"/>
        <w:bottom w:w="0" w:type="dxa"/>
        <w:right w:w="108" w:type="dxa"/>
      </w:tblCellMar>
    </w:tblPr>
    <w:tcPr>
      <w:shd w:val="solid" w:color="C0C0C0" w:fill="FFFFFF"/>
    </w:tcPr>
    <w:tblStylePr w:type="firstRow">
      <w:rPr>
        <w:b/>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tblPr>
      <w:tblStyleRowBandSize w:val="1"/>
      <w:tblInd w:w="0" w:type="dxa"/>
      <w:tblCellMar>
        <w:top w:w="0" w:type="dxa"/>
        <w:left w:w="108" w:type="dxa"/>
        <w:bottom w:w="0" w:type="dxa"/>
        <w:right w:w="108" w:type="dxa"/>
      </w:tblCellMar>
    </w:tblPr>
    <w:tcPr>
      <w:shd w:val="solid" w:color="C0C0C0" w:fill="FFFFFF"/>
    </w:tc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3Deffects3">
    <w:name w:val="Table 3D effects 3"/>
    <w:basedOn w:val="TableNormal"/>
    <w:semiHidden/>
    <w:locked/>
    <w:tblPr>
      <w:tblStyleRowBandSize w:val="1"/>
      <w:tblStyleColBandSize w:val="1"/>
      <w:tblInd w:w="0" w:type="dxa"/>
      <w:tblCellMar>
        <w:top w:w="0" w:type="dxa"/>
        <w:left w:w="108" w:type="dxa"/>
        <w:bottom w:w="0" w:type="dxa"/>
        <w:right w:w="108" w:type="dxa"/>
      </w:tblCellMar>
    </w:tbl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customStyle="1" w:styleId="TableAddressees">
    <w:name w:val="Table Addressees"/>
    <w:basedOn w:val="TableNormal"/>
    <w:semiHidden/>
    <w:locked/>
    <w:tblPr>
      <w:tblInd w:w="0" w:type="dxa"/>
      <w:tblCellMar>
        <w:top w:w="0" w:type="dxa"/>
        <w:left w:w="0" w:type="dxa"/>
        <w:bottom w:w="454" w:type="dxa"/>
        <w:right w:w="0" w:type="dxa"/>
      </w:tblCellMar>
    </w:tblPr>
    <w:tblStylePr w:type="lastCol">
      <w:pPr>
        <w:jc w:val="right"/>
      </w:pPr>
    </w:tblStylePr>
  </w:style>
  <w:style w:type="table" w:customStyle="1" w:styleId="TableAuthors">
    <w:name w:val="Table Authors"/>
    <w:basedOn w:val="TableNormal"/>
    <w:semiHidden/>
    <w:locked/>
    <w:tblPr>
      <w:tblInd w:w="851" w:type="dxa"/>
      <w:tblCellMar>
        <w:top w:w="908" w:type="dxa"/>
        <w:left w:w="0" w:type="dxa"/>
        <w:bottom w:w="0" w:type="dxa"/>
        <w:right w:w="0" w:type="dxa"/>
      </w:tblCellMar>
    </w:tblPr>
  </w:style>
  <w:style w:type="table" w:styleId="TableClassic1">
    <w:name w:val="Table Classic 1"/>
    <w:basedOn w:val="TableNormal"/>
    <w:semiHidden/>
    <w:lock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i w:val="0"/>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lassic2">
    <w:name w:val="Table Classic 2"/>
    <w:basedOn w:val="TableNormal"/>
    <w:semiHidden/>
    <w:lock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shd w:val="solid" w:color="C0C0C0" w:fill="FFFFFF"/>
      </w:tcPr>
    </w:tblStylePr>
    <w:tblStylePr w:type="neCell">
      <w:rPr>
        <w:b/>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color w:val="000000"/>
      </w:rPr>
      <w:tblPr/>
      <w:tcPr>
        <w:tcBorders>
          <w:tl2br w:val="none" w:sz="0" w:space="0" w:color="auto"/>
          <w:tr2bl w:val="none" w:sz="0" w:space="0" w:color="auto"/>
        </w:tcBorders>
      </w:tcPr>
    </w:tblStylePr>
  </w:style>
  <w:style w:type="table" w:styleId="TableClassic4">
    <w:name w:val="Table Classic 4"/>
    <w:basedOn w:val="TableNormal"/>
    <w:semiHidden/>
    <w:lock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i/>
        <w:color w:val="FFFFFF"/>
      </w:rPr>
      <w:tblPr/>
      <w:tcPr>
        <w:tcBorders>
          <w:bottom w:val="single" w:sz="6" w:space="0" w:color="000000"/>
          <w:tl2br w:val="none" w:sz="0" w:space="0" w:color="auto"/>
          <w:tr2bl w:val="none" w:sz="0" w:space="0" w:color="auto"/>
        </w:tcBorders>
        <w:shd w:val="clear" w:color="000080" w:fill="FFFFFF"/>
      </w:tcPr>
    </w:tblStylePr>
    <w:tblStylePr w:type="lastRow">
      <w:rPr>
        <w:color w:val="000080"/>
      </w:rPr>
      <w:tblPr/>
      <w:tcPr>
        <w:tcBorders>
          <w:bottom w:val="single" w:sz="6" w:space="0" w:color="000000"/>
          <w:tl2br w:val="none" w:sz="0" w:space="0" w:color="auto"/>
          <w:tr2bl w:val="none" w:sz="0" w:space="0" w:color="auto"/>
        </w:tcBorders>
        <w:shd w:val="clear" w:color="000000" w:fill="FFFFFF"/>
      </w:tcPr>
    </w:tblStylePr>
    <w:tblStylePr w:type="firstCol">
      <w:rPr>
        <w:b/>
      </w:rPr>
      <w:tblPr/>
      <w:tcPr>
        <w:tcBorders>
          <w:tl2br w:val="none" w:sz="0" w:space="0" w:color="auto"/>
          <w:tr2bl w:val="none" w:sz="0" w:space="0" w:color="auto"/>
        </w:tcBorders>
      </w:tcPr>
    </w:tblStylePr>
    <w:tblStylePr w:type="nwCell">
      <w:rPr>
        <w:b/>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i/>
      </w:rPr>
      <w:tblPr/>
      <w:tcPr>
        <w:tcBorders>
          <w:tl2br w:val="none" w:sz="0" w:space="0" w:color="auto"/>
          <w:tr2bl w:val="none" w:sz="0" w:space="0" w:color="auto"/>
        </w:tcBorders>
        <w:shd w:val="solid" w:color="000000" w:fill="FFFFFF"/>
      </w:tcPr>
    </w:tblStylePr>
    <w:tblStylePr w:type="firstCol">
      <w:rPr>
        <w:b/>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i w:val="0"/>
      </w:rPr>
      <w:tblPr/>
      <w:tcPr>
        <w:tcBorders>
          <w:tl2br w:val="none" w:sz="0" w:space="0" w:color="auto"/>
          <w:tr2bl w:val="none" w:sz="0" w:space="0" w:color="auto"/>
        </w:tcBorders>
      </w:tcPr>
    </w:tblStylePr>
  </w:style>
  <w:style w:type="table" w:styleId="TableColorful2">
    <w:name w:val="Table Colorful 2"/>
    <w:basedOn w:val="TableNormal"/>
    <w:semiHidden/>
    <w:locked/>
    <w:tblPr>
      <w:tblInd w:w="0" w:type="dxa"/>
      <w:tblBorders>
        <w:bottom w:val="single" w:sz="12" w:space="0" w:color="000000"/>
      </w:tblBorders>
      <w:tblCellMar>
        <w:top w:w="0" w:type="dxa"/>
        <w:left w:w="108" w:type="dxa"/>
        <w:bottom w:w="0" w:type="dxa"/>
        <w:right w:w="108" w:type="dxa"/>
      </w:tblCellMar>
    </w:tblPr>
    <w:tcPr>
      <w:shd w:val="clear" w:color="FFFF00" w:fill="FFFFFF"/>
    </w:tcPr>
    <w:tblStylePr w:type="firstRow">
      <w:rPr>
        <w:b/>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i w:val="0"/>
      </w:rPr>
      <w:tblPr/>
      <w:tcPr>
        <w:tcBorders>
          <w:tl2br w:val="none" w:sz="0" w:space="0" w:color="auto"/>
          <w:tr2bl w:val="none" w:sz="0" w:space="0" w:color="auto"/>
        </w:tcBorders>
      </w:tcPr>
    </w:tblStylePr>
  </w:style>
  <w:style w:type="table" w:styleId="TableColorful3">
    <w:name w:val="Table Colorful 3"/>
    <w:basedOn w:val="TableNormal"/>
    <w:semiHidden/>
    <w:lock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clear"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Pr>
      <w: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rPr>
      <w:tblPr/>
      <w:tcPr>
        <w:tcBorders>
          <w:bottom w:val="double" w:sz="6" w:space="0" w:color="000000"/>
          <w:tl2br w:val="none" w:sz="0" w:space="0" w:color="auto"/>
          <w:tr2bl w:val="none" w:sz="0" w:space="0" w:color="auto"/>
        </w:tcBorders>
      </w:tcPr>
    </w:tblStylePr>
    <w:tblStylePr w:type="lastRow">
      <w:rPr>
        <w:b w:val="0"/>
      </w:rPr>
      <w:tblPr/>
      <w:tcPr>
        <w:tcBorders>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FF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2">
    <w:name w:val="Table Columns 2"/>
    <w:basedOn w:val="TableNormal"/>
    <w:semiHidden/>
    <w:locked/>
    <w:rPr>
      <w: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l2br w:val="none" w:sz="0" w:space="0" w:color="auto"/>
          <w:tr2bl w:val="none" w:sz="0" w:space="0" w:color="auto"/>
        </w:tcBorders>
      </w:tcPr>
    </w:tblStylePr>
    <w:tblStylePr w:type="firstCol">
      <w:rPr>
        <w:b w:val="0"/>
        <w:color w:val="00000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00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3">
    <w:name w:val="Table Columns 3"/>
    <w:basedOn w:val="TableNormal"/>
    <w:semiHidden/>
    <w:locked/>
    <w:rPr>
      <w: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op w:val="single" w:sz="6" w:space="0" w:color="00008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000000" w:fill="FFFFFF"/>
      </w:tcPr>
    </w:tblStylePr>
    <w:tblStylePr w:type="neCell">
      <w:rPr>
        <w:b/>
      </w:rPr>
      <w:tblPr/>
      <w:tcPr>
        <w:tcBorders>
          <w:tl2br w:val="none" w:sz="0" w:space="0" w:color="auto"/>
          <w:tr2bl w:val="none" w:sz="0" w:space="0" w:color="auto"/>
        </w:tcBorders>
      </w:tcPr>
    </w:tblStylePr>
  </w:style>
  <w:style w:type="table" w:styleId="TableColumns4">
    <w:name w:val="Table Columns 4"/>
    <w:basedOn w:val="TableNormal"/>
    <w:semiHidden/>
    <w:lock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clear" w:color="008080" w:fill="FFFFFF"/>
      </w:tcPr>
    </w:tblStylePr>
    <w:tblStylePr w:type="band2Vert">
      <w:rPr>
        <w:color w:val="auto"/>
      </w:rPr>
      <w:tblPr/>
      <w:tcPr>
        <w:shd w:val="clear" w:color="000000" w:fill="FFFFFF"/>
      </w:tcPr>
    </w:tblStylePr>
  </w:style>
  <w:style w:type="table" w:styleId="TableColumns5">
    <w:name w:val="Table Columns 5"/>
    <w:basedOn w:val="TableNormal"/>
    <w:semiHidden/>
    <w:lock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i/>
      </w:rPr>
      <w:tblPr/>
      <w:tcPr>
        <w:tcBorders>
          <w:bottom w:val="single" w:sz="6" w:space="0" w:color="808080"/>
          <w:tl2br w:val="none" w:sz="0" w:space="0" w:color="auto"/>
          <w:tr2bl w:val="none" w:sz="0" w:space="0" w:color="auto"/>
        </w:tcBorders>
      </w:tcPr>
    </w:tblStylePr>
    <w:tblStylePr w:type="lastRow">
      <w:rPr>
        <w:b/>
      </w:rPr>
      <w:tblPr/>
      <w:tcPr>
        <w:tcBorders>
          <w:top w:val="single" w:sz="6" w:space="0" w:color="80808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color w:val="auto"/>
      </w:rPr>
      <w:tblPr/>
      <w:tcPr>
        <w:tcBorders>
          <w:tl2br w:val="none" w:sz="0" w:space="0" w:color="auto"/>
          <w:tr2bl w:val="none" w:sz="0" w:space="0" w:color="auto"/>
        </w:tcBorders>
        <w:shd w:val="clear" w:color="000000" w:fill="FFFFFF"/>
      </w:tcPr>
    </w:tblStylePr>
    <w:tblStylePr w:type="band1Horz">
      <w:rPr>
        <w:color w:val="auto"/>
      </w:rPr>
      <w:tblPr/>
      <w:tcPr>
        <w:tcBorders>
          <w:tl2br w:val="none" w:sz="0" w:space="0" w:color="auto"/>
          <w:tr2bl w:val="none" w:sz="0" w:space="0" w:color="auto"/>
        </w:tcBorders>
        <w:shd w:val="clear" w:color="000000" w:fill="FFFFFF"/>
      </w:tcPr>
    </w:tblStylePr>
    <w:tblStylePr w:type="band2Horz">
      <w:rPr>
        <w:color w:val="auto"/>
      </w:rPr>
      <w:tblPr/>
      <w:tcPr>
        <w:tcBorders>
          <w:tl2br w:val="none" w:sz="0" w:space="0" w:color="auto"/>
          <w:tr2bl w:val="none" w:sz="0" w:space="0" w:color="auto"/>
        </w:tcBorders>
        <w:shd w:val="clear" w:color="000000" w:fill="FFFFFF"/>
      </w:tcPr>
    </w:tblStylePr>
  </w:style>
  <w:style w:type="table" w:customStyle="1" w:styleId="TableCorrespondence1">
    <w:name w:val="Table Correspondence 1"/>
    <w:basedOn w:val="TableNormal"/>
    <w:semiHidden/>
    <w:locked/>
    <w:tblPr>
      <w:tblStyleRowBandSize w:val="1"/>
      <w:tblInd w:w="0" w:type="dxa"/>
      <w:tblCellMar>
        <w:top w:w="284" w:type="dxa"/>
        <w:left w:w="0" w:type="dxa"/>
        <w:bottom w:w="284" w:type="dxa"/>
        <w:right w:w="0" w:type="dxa"/>
      </w:tblCellMar>
    </w:tblPr>
    <w:tblStylePr w:type="firstCol">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tblPr>
      <w:tblInd w:w="0" w:type="dxa"/>
      <w:tblCellMar>
        <w:top w:w="0" w:type="dxa"/>
        <w:left w:w="0" w:type="dxa"/>
        <w:bottom w:w="0" w:type="dxa"/>
        <w:right w:w="0" w:type="dxa"/>
      </w:tblCellMar>
    </w:tblPr>
    <w:tblStylePr w:type="lastRow">
      <w:tblPr>
        <w:tblCellMar>
          <w:top w:w="0" w:type="dxa"/>
          <w:left w:w="0" w:type="dxa"/>
          <w:bottom w:w="284" w:type="dxa"/>
          <w:right w:w="0" w:type="dxa"/>
        </w:tblCellMar>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tblPr>
      <w:tblInd w:w="0" w:type="dxa"/>
      <w:tblCellMar>
        <w:top w:w="0" w:type="dxa"/>
        <w:left w:w="0" w:type="dxa"/>
        <w:bottom w:w="0" w:type="dxa"/>
        <w:right w:w="0" w:type="dxa"/>
      </w:tblCellMar>
    </w:tblPr>
  </w:style>
  <w:style w:type="table" w:customStyle="1" w:styleId="TableCorrespondence4">
    <w:name w:val="Table Correspondence 4"/>
    <w:basedOn w:val="TableNormal"/>
    <w:semiHidden/>
    <w:locked/>
    <w:tblPr>
      <w:tblInd w:w="0" w:type="dxa"/>
      <w:tblCellMar>
        <w:top w:w="0" w:type="dxa"/>
        <w:left w:w="0" w:type="dxa"/>
        <w:bottom w:w="284" w:type="dxa"/>
        <w:right w:w="0" w:type="dxa"/>
      </w:tblCellMar>
    </w:tblPr>
    <w:tblStylePr w:type="lastRow">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ver">
    <w:name w:val="Table Cover"/>
    <w:basedOn w:val="TableNormal"/>
    <w:semiHidden/>
    <w:locked/>
    <w:tblPr>
      <w:tblInd w:w="1701" w:type="dxa"/>
      <w:tblCellMar>
        <w:top w:w="0" w:type="dxa"/>
        <w:left w:w="0" w:type="dxa"/>
        <w:bottom w:w="0" w:type="dxa"/>
        <w:right w:w="0" w:type="dxa"/>
      </w:tblCellMar>
    </w:tblPr>
  </w:style>
  <w:style w:type="table" w:styleId="TableElegant">
    <w:name w:val="Table Elegant"/>
    <w:basedOn w:val="TableNormal"/>
    <w:semiHidden/>
    <w:lock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xec1">
    <w:name w:val="Table Exec 1"/>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2">
    <w:name w:val="Table Exec 2"/>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3">
    <w:name w:val="Table Exec 3"/>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4">
    <w:name w:val="Table Exec 4"/>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5">
    <w:name w:val="Table Exec 5"/>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6">
    <w:name w:val="Table Exec 6"/>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7">
    <w:name w:val="Table Exec 7"/>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8">
    <w:name w:val="Table Exec 8"/>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9">
    <w:name w:val="Table Exec 9"/>
    <w:basedOn w:val="TableNormal"/>
    <w:semiHidden/>
    <w:locked/>
    <w:rPr>
      <w:sz w:val="18"/>
    </w:rPr>
    <w:tblPr>
      <w:tblInd w:w="0" w:type="dxa"/>
      <w:tblCellMar>
        <w:top w:w="0" w:type="dxa"/>
        <w:left w:w="0" w:type="dxa"/>
        <w:bottom w:w="0" w:type="dxa"/>
        <w:right w:w="0" w:type="dxa"/>
      </w:tblCellMar>
    </w:tblPr>
    <w:trPr>
      <w:cantSplit/>
    </w:trPr>
  </w:style>
  <w:style w:type="table" w:customStyle="1" w:styleId="TableForm">
    <w:name w:val="Table Form"/>
    <w:basedOn w:val="TableNormal"/>
    <w:semiHidden/>
    <w:locked/>
    <w:rPr>
      <w:sz w:val="16"/>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sz w:val="24"/>
      </w:rPr>
      <w:tblPr>
        <w:tblCellMar>
          <w:top w:w="85" w:type="dxa"/>
          <w:left w:w="57" w:type="dxa"/>
          <w:bottom w:w="85" w:type="dxa"/>
          <w:right w:w="0" w:type="dxa"/>
        </w:tblCellMar>
      </w:tblPr>
      <w:tcPr>
        <w:tcBorders>
          <w:top w:val="nil"/>
          <w:left w:val="nil"/>
          <w:bottom w:val="nil"/>
          <w:right w:val="nil"/>
          <w:insideH w:val="nil"/>
          <w:insideV w:val="nil"/>
          <w:tl2br w:val="nil"/>
          <w:tr2bl w:val="nil"/>
        </w:tcBorders>
        <w:shd w:val="clear" w:color="auto" w:fill="E6E6E6"/>
      </w:tcPr>
    </w:tblStylePr>
  </w:style>
  <w:style w:type="table" w:styleId="TableGrid">
    <w:name w:val="Table Grid"/>
    <w:basedOn w:val="TableNormal"/>
    <w:semiHidden/>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semiHidden/>
    <w:lock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rPr>
      <w:tblPr/>
      <w:tcPr>
        <w:tcBorders>
          <w:tl2br w:val="none" w:sz="0" w:space="0" w:color="auto"/>
          <w:tr2bl w:val="none" w:sz="0" w:space="0" w:color="auto"/>
        </w:tcBorders>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3">
    <w:name w:val="Table Grid 3"/>
    <w:basedOn w:val="TableNormal"/>
    <w:semiHidden/>
    <w:lock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clear" w:color="FFFF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4">
    <w:name w:val="Table Grid 4"/>
    <w:basedOn w:val="TableNormal"/>
    <w:semiHidden/>
    <w:lock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clear" w:color="FFFF00" w:fill="FFFFFF"/>
      </w:tcPr>
    </w:tblStylePr>
    <w:tblStylePr w:type="lastRow">
      <w:rPr>
        <w:b/>
        <w:color w:val="auto"/>
      </w:rPr>
      <w:tblPr/>
      <w:tcPr>
        <w:tcBorders>
          <w:top w:val="single" w:sz="6" w:space="0" w:color="000000"/>
          <w:tl2br w:val="none" w:sz="0" w:space="0" w:color="auto"/>
          <w:tr2bl w:val="none" w:sz="0" w:space="0" w:color="auto"/>
        </w:tcBorders>
        <w:shd w:val="clear" w:color="FFFF00" w:fill="FFFFFF"/>
      </w:tcPr>
    </w:tblStylePr>
    <w:tblStylePr w:type="lastCol">
      <w:rPr>
        <w:b/>
        <w:color w:val="auto"/>
      </w:rPr>
      <w:tblPr/>
      <w:tcPr>
        <w:tcBorders>
          <w:tl2br w:val="none" w:sz="0" w:space="0" w:color="auto"/>
          <w:tr2bl w:val="none" w:sz="0" w:space="0" w:color="auto"/>
        </w:tcBorders>
      </w:tcPr>
    </w:tblStylePr>
  </w:style>
  <w:style w:type="table" w:styleId="TableGrid5">
    <w:name w:val="Table Grid 5"/>
    <w:basedOn w:val="TableNormal"/>
    <w:semiHidden/>
    <w:lock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Pr>
      <w: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rPr>
      <w:tblPr/>
      <w:tcPr>
        <w:tcBorders>
          <w:bottom w:val="single" w:sz="12" w:space="0" w:color="000000"/>
          <w:tl2br w:val="none" w:sz="0" w:space="0" w:color="auto"/>
          <w:tr2bl w:val="none" w:sz="0" w:space="0" w:color="auto"/>
        </w:tcBorders>
      </w:tcPr>
    </w:tblStylePr>
    <w:tblStylePr w:type="lastRow">
      <w:rPr>
        <w:b w:val="0"/>
      </w:rPr>
      <w:tblPr/>
      <w:tcPr>
        <w:tcBorders>
          <w:top w:val="single" w:sz="6" w:space="0" w:color="00000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color w:val="FFFFFF"/>
      </w:rPr>
      <w:tblPr/>
      <w:tcPr>
        <w:tcBorders>
          <w:tl2br w:val="none" w:sz="0" w:space="0" w:color="auto"/>
          <w:tr2bl w:val="none" w:sz="0" w:space="0" w:color="auto"/>
        </w:tcBorders>
        <w:shd w:val="solid" w:color="000080" w:fill="FFFFFF"/>
      </w:tcPr>
    </w:tblStylePr>
    <w:tblStylePr w:type="lastRow">
      <w:rPr>
        <w:b/>
        <w:color w:val="auto"/>
      </w:rPr>
      <w:tblPr/>
      <w:tcPr>
        <w:tcBorders>
          <w:tl2br w:val="none" w:sz="0" w:space="0" w:color="auto"/>
          <w:tr2bl w:val="none" w:sz="0" w:space="0" w:color="auto"/>
        </w:tcBorders>
      </w:tcPr>
    </w:tblStylePr>
    <w:tblStylePr w:type="lastCol">
      <w:rPr>
        <w:b/>
        <w:color w:val="auto"/>
      </w:rPr>
      <w:tblPr/>
      <w:tcPr>
        <w:tcBorders>
          <w:tl2br w:val="none" w:sz="0" w:space="0" w:color="auto"/>
          <w:tr2bl w:val="none" w:sz="0" w:space="0" w:color="auto"/>
        </w:tcBorders>
      </w:tcPr>
    </w:tblStylePr>
  </w:style>
  <w:style w:type="table" w:customStyle="1" w:styleId="TableLayout1">
    <w:name w:val="Table Layout 1"/>
    <w:basedOn w:val="TableNormal"/>
    <w:semiHidden/>
    <w:locked/>
    <w:tblPr>
      <w:tblInd w:w="0" w:type="dxa"/>
      <w:tblCellMar>
        <w:top w:w="0" w:type="dxa"/>
        <w:left w:w="0" w:type="dxa"/>
        <w:bottom w:w="0" w:type="dxa"/>
        <w:right w:w="0" w:type="dxa"/>
      </w:tblCellMar>
    </w:tblPr>
  </w:style>
  <w:style w:type="table" w:customStyle="1" w:styleId="TableLayout2">
    <w:name w:val="Table Layout 2"/>
    <w:basedOn w:val="TableLayout1"/>
    <w:semiHidden/>
    <w:locked/>
    <w:tblPr>
      <w:tblInd w:w="0" w:type="dxa"/>
      <w:tblCellMar>
        <w:top w:w="0" w:type="dxa"/>
        <w:left w:w="0" w:type="dxa"/>
        <w:bottom w:w="0" w:type="dxa"/>
        <w:right w:w="0" w:type="dxa"/>
      </w:tblCellMar>
    </w:tblPr>
    <w:tcPr>
      <w:vAlign w:val="bottom"/>
    </w:tcPr>
  </w:style>
  <w:style w:type="table" w:customStyle="1" w:styleId="TableLayout3">
    <w:name w:val="Table Layout 3"/>
    <w:basedOn w:val="TableLayout2"/>
    <w:semiHidden/>
    <w:locked/>
    <w:pPr>
      <w:jc w:val="right"/>
    </w:pPr>
    <w:tblPr>
      <w:jc w:val="center"/>
      <w:tblInd w:w="0" w:type="dxa"/>
      <w:tblCellMar>
        <w:top w:w="0" w:type="dxa"/>
        <w:left w:w="0" w:type="dxa"/>
        <w:bottom w:w="0" w:type="dxa"/>
        <w:right w:w="0" w:type="dxa"/>
      </w:tblCellMar>
    </w:tblPr>
    <w:trPr>
      <w:jc w:val="center"/>
    </w:trPr>
    <w:tcPr>
      <w:vAlign w:val="bottom"/>
    </w:tcPr>
  </w:style>
  <w:style w:type="table" w:styleId="TableList1">
    <w:name w:val="Table List 1"/>
    <w:basedOn w:val="TableNormal"/>
    <w:semiHidden/>
    <w:lock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2">
    <w:name w:val="Table List 2"/>
    <w:basedOn w:val="TableNormal"/>
    <w:semiHidden/>
    <w:locked/>
    <w:tblPr>
      <w:tblStyleRowBandSize w:val="2"/>
      <w:tblInd w:w="0" w:type="dxa"/>
      <w:tblBorders>
        <w:bottom w:val="single" w:sz="12" w:space="0" w:color="808080"/>
      </w:tblBorders>
      <w:tblCellMar>
        <w:top w:w="0" w:type="dxa"/>
        <w:left w:w="108" w:type="dxa"/>
        <w:bottom w:w="0" w:type="dxa"/>
        <w:right w:w="108" w:type="dxa"/>
      </w:tblCellMar>
    </w:tblPr>
    <w:tblStylePr w:type="firstRow">
      <w:rPr>
        <w:b/>
        <w:color w:val="FFFFFF"/>
      </w:rPr>
      <w:tblPr/>
      <w:tcPr>
        <w:tcBorders>
          <w:bottom w:val="single" w:sz="6" w:space="0" w:color="000000"/>
          <w:tl2br w:val="none" w:sz="0" w:space="0" w:color="auto"/>
          <w:tr2bl w:val="none" w:sz="0" w:space="0" w:color="auto"/>
        </w:tcBorders>
        <w:shd w:val="clear"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FF0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3">
    <w:name w:val="Table List 3"/>
    <w:basedOn w:val="TableNormal"/>
    <w:semiHidden/>
    <w:lock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lock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style>
  <w:style w:type="table" w:styleId="TableList6">
    <w:name w:val="Table List 6"/>
    <w:basedOn w:val="TableNormal"/>
    <w:semiHidden/>
    <w:lock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clear" w:color="000000" w:fill="FFFFFF"/>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clear" w:color="000000" w:fill="FFFFFF"/>
      </w:tcPr>
    </w:tblStylePr>
  </w:style>
  <w:style w:type="table" w:styleId="TableList7">
    <w:name w:val="Table List 7"/>
    <w:basedOn w:val="TableNormal"/>
    <w:semiHidden/>
    <w:lock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rPr>
      <w:tblPr/>
      <w:tcPr>
        <w:tcBorders>
          <w:bottom w:val="single" w:sz="12" w:space="0" w:color="008000"/>
          <w:tl2br w:val="none" w:sz="0" w:space="0" w:color="auto"/>
          <w:tr2bl w:val="none" w:sz="0" w:space="0" w:color="auto"/>
        </w:tcBorders>
        <w:shd w:val="solid" w:color="C0C0C0" w:fill="FFFFFF"/>
      </w:tcPr>
    </w:tblStylePr>
    <w:tblStylePr w:type="lastRow">
      <w:rPr>
        <w:b/>
      </w:rPr>
      <w:tblPr/>
      <w:tcPr>
        <w:tcBorders>
          <w:top w:val="single" w:sz="12" w:space="0" w:color="008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0000" w:fill="FFFFFF"/>
      </w:tcPr>
    </w:tblStylePr>
    <w:tblStylePr w:type="band2Horz">
      <w:tblPr/>
      <w:tcPr>
        <w:tcBorders>
          <w:tl2br w:val="none" w:sz="0" w:space="0" w:color="auto"/>
          <w:tr2bl w:val="none" w:sz="0" w:space="0" w:color="auto"/>
        </w:tcBorders>
        <w:shd w:val="clear" w:color="FFFF00" w:fill="FFFFFF"/>
      </w:tcPr>
    </w:tblStylePr>
  </w:style>
  <w:style w:type="table" w:styleId="TableList8">
    <w:name w:val="Table List 8"/>
    <w:basedOn w:val="TableNormal"/>
    <w:semiHidden/>
    <w:lock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i/>
      </w:rPr>
      <w:tblPr/>
      <w:tcPr>
        <w:tcBorders>
          <w:bottom w:val="single" w:sz="6" w:space="0" w:color="000000"/>
          <w:tl2br w:val="none" w:sz="0" w:space="0" w:color="auto"/>
          <w:tr2bl w:val="none" w:sz="0" w:space="0" w:color="auto"/>
        </w:tcBorders>
        <w:shd w:val="solid" w:color="FFFF00" w:fill="FFFFFF"/>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FFFF00" w:fill="FFFFFF"/>
      </w:tcPr>
    </w:tblStylePr>
    <w:tblStylePr w:type="band2Horz">
      <w:tblPr/>
      <w:tcPr>
        <w:tcBorders>
          <w:tl2br w:val="none" w:sz="0" w:space="0" w:color="auto"/>
          <w:tr2bl w:val="none" w:sz="0" w:space="0" w:color="auto"/>
        </w:tcBorders>
        <w:shd w:val="clear" w:color="FF0000" w:fill="FFFFFF"/>
      </w:tcPr>
    </w:tblStylePr>
  </w:style>
  <w:style w:type="table" w:customStyle="1" w:styleId="TableParties">
    <w:name w:val="Table Parties"/>
    <w:basedOn w:val="TableNormal"/>
    <w:semiHidden/>
    <w:rPr>
      <w:sz w:val="18"/>
    </w:rPr>
    <w:tblPr>
      <w:tblInd w:w="851" w:type="dxa"/>
      <w:tblCellMar>
        <w:top w:w="227" w:type="dxa"/>
        <w:left w:w="0" w:type="dxa"/>
        <w:bottom w:w="113" w:type="dxa"/>
        <w:right w:w="113" w:type="dxa"/>
      </w:tblCellMar>
    </w:tblPr>
    <w:trPr>
      <w:cantSplit/>
    </w:trPr>
  </w:style>
  <w:style w:type="table" w:customStyle="1" w:styleId="TableParty">
    <w:name w:val="Table Party"/>
    <w:basedOn w:val="TableNormal"/>
    <w:semiHidden/>
    <w:locked/>
    <w:tblPr>
      <w:tblInd w:w="851" w:type="dxa"/>
      <w:tblCellMar>
        <w:top w:w="0" w:type="dxa"/>
        <w:left w:w="0" w:type="dxa"/>
        <w:bottom w:w="113" w:type="dxa"/>
        <w:right w:w="0" w:type="dxa"/>
      </w:tblCellMar>
    </w:tblPr>
    <w:tblStylePr w:type="lastRow">
      <w:tblPr/>
      <w:tcPr>
        <w:tcBorders>
          <w:top w:val="nil"/>
          <w:left w:val="nil"/>
          <w:bottom w:val="single" w:sz="4" w:space="0" w:color="4D4D4D"/>
          <w:right w:val="nil"/>
          <w:insideH w:val="nil"/>
          <w:insideV w:val="nil"/>
          <w:tl2br w:val="nil"/>
          <w:tr2bl w:val="nil"/>
        </w:tcBorders>
      </w:tcPr>
    </w:tblStylePr>
  </w:style>
  <w:style w:type="table" w:styleId="TableProfessional">
    <w:name w:val="Table Professional"/>
    <w:basedOn w:val="TableNormal"/>
    <w:semiHidden/>
    <w:lock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tblPr>
      <w:tblInd w:w="0" w:type="dxa"/>
      <w:tblCellMar>
        <w:top w:w="0" w:type="dxa"/>
        <w:left w:w="108" w:type="dxa"/>
        <w:bottom w:w="0" w:type="dxa"/>
        <w:right w:w="108" w:type="dxa"/>
      </w:tblCellMar>
    </w:tblPr>
    <w:tblStylePr w:type="firstRow">
      <w:rPr>
        <w:b/>
      </w:rPr>
      <w:tblPr/>
      <w:tcPr>
        <w:tcBorders>
          <w:bottom w:val="single" w:sz="12" w:space="0" w:color="000000"/>
          <w:tl2br w:val="none" w:sz="0" w:space="0" w:color="auto"/>
          <w:tr2bl w:val="none" w:sz="0" w:space="0" w:color="auto"/>
        </w:tcBorders>
      </w:tcPr>
    </w:tblStylePr>
    <w:tblStylePr w:type="lastRow">
      <w:rPr>
        <w:b/>
        <w:color w:val="auto"/>
      </w:rPr>
      <w:tblPr/>
      <w:tcPr>
        <w:tcBorders>
          <w:top w:val="single" w:sz="6"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lastCol">
      <w:rPr>
        <w:b/>
      </w:rPr>
      <w:tblPr/>
      <w:tcPr>
        <w:tcBorders>
          <w:left w:val="single" w:sz="6" w:space="0" w:color="000000"/>
          <w:tl2br w:val="none" w:sz="0" w:space="0" w:color="auto"/>
          <w:tr2bl w:val="none" w:sz="0" w:space="0" w:color="auto"/>
        </w:tcBorders>
      </w:tcPr>
    </w:tblStylePr>
    <w:tblStylePr w:type="neCell">
      <w:rPr>
        <w:b/>
      </w:rPr>
      <w:tblPr/>
      <w:tcPr>
        <w:tcBorders>
          <w:left w:val="none" w:sz="0" w:space="0" w:color="auto"/>
          <w:tl2br w:val="none" w:sz="0" w:space="0" w:color="auto"/>
          <w:tr2bl w:val="none" w:sz="0" w:space="0" w:color="auto"/>
        </w:tcBorders>
      </w:tcPr>
    </w:tblStylePr>
    <w:tblStylePr w:type="swCell">
      <w:rPr>
        <w:b/>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color w:val="FFFFFF"/>
      </w:rPr>
      <w:tblPr/>
      <w:tcPr>
        <w:tcBorders>
          <w:tl2br w:val="none" w:sz="0" w:space="0" w:color="auto"/>
          <w:tr2bl w:val="none" w:sz="0" w:space="0" w:color="auto"/>
        </w:tcBorders>
        <w:shd w:val="solid" w:color="000000" w:fill="FFFFFF"/>
      </w:tcPr>
    </w:tblStylePr>
  </w:style>
  <w:style w:type="table" w:customStyle="1" w:styleId="TableStyle">
    <w:name w:val="Table Style"/>
    <w:basedOn w:val="TableNormal"/>
    <w:rPr>
      <w:sz w:val="18"/>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styleId="TableSubtle1">
    <w:name w:val="Table Subtle 1"/>
    <w:basedOn w:val="TableNormal"/>
    <w:semiHidden/>
    <w:lock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clear"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Subtle2">
    <w:name w:val="Table Subtle 2"/>
    <w:basedOn w:val="TableNormal"/>
    <w:semiHidden/>
    <w:lock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clear" w:color="008000" w:fill="FFFFFF"/>
      </w:tcPr>
    </w:tblStylePr>
    <w:tblStylePr w:type="lastCol">
      <w:tblPr/>
      <w:tcPr>
        <w:tcBorders>
          <w:left w:val="single" w:sz="12"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Theme">
    <w:name w:val="Table Theme"/>
    <w:basedOn w:val="TableNormal"/>
    <w:semiHidden/>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rm">
    <w:name w:val="Term"/>
    <w:basedOn w:val="Normal"/>
    <w:next w:val="BodyText"/>
    <w:rPr>
      <w:b/>
      <w:sz w:val="18"/>
    </w:rPr>
  </w:style>
  <w:style w:type="paragraph" w:customStyle="1" w:styleId="Text">
    <w:name w:val="Text"/>
    <w:basedOn w:val="Normal"/>
    <w:semiHidden/>
    <w:locked/>
  </w:style>
  <w:style w:type="paragraph" w:styleId="Title">
    <w:name w:val="Title"/>
    <w:basedOn w:val="Normal"/>
    <w:next w:val="BodyText"/>
    <w:pPr>
      <w:pBdr>
        <w:bottom w:val="single" w:sz="8" w:space="10" w:color="auto"/>
      </w:pBdr>
      <w:spacing w:before="600" w:after="240"/>
      <w:ind w:left="851"/>
    </w:pPr>
    <w:rPr>
      <w:sz w:val="28"/>
    </w:rPr>
  </w:style>
  <w:style w:type="paragraph" w:styleId="TOC1">
    <w:name w:val="toc 1"/>
    <w:basedOn w:val="Normal"/>
    <w:next w:val="BodyText"/>
    <w:semiHidden/>
    <w:locked/>
    <w:pPr>
      <w:keepNext/>
      <w:tabs>
        <w:tab w:val="left" w:pos="851"/>
        <w:tab w:val="right" w:pos="8800"/>
      </w:tabs>
      <w:spacing w:before="120" w:after="60"/>
      <w:ind w:left="851" w:right="284" w:hanging="851"/>
    </w:pPr>
    <w:rPr>
      <w:b/>
      <w:sz w:val="22"/>
    </w:rPr>
  </w:style>
  <w:style w:type="paragraph" w:styleId="TOC2">
    <w:name w:val="toc 2"/>
    <w:basedOn w:val="Normal"/>
    <w:next w:val="BodyText"/>
    <w:semiHidden/>
    <w:locked/>
    <w:pPr>
      <w:tabs>
        <w:tab w:val="left" w:pos="1418"/>
        <w:tab w:val="right" w:leader="dot" w:pos="8800"/>
      </w:tabs>
      <w:spacing w:after="0"/>
      <w:ind w:left="1418" w:right="284" w:hanging="567"/>
    </w:pPr>
  </w:style>
  <w:style w:type="paragraph" w:styleId="TOC3">
    <w:name w:val="toc 3"/>
    <w:basedOn w:val="Normal"/>
    <w:next w:val="BodyText"/>
    <w:semiHidden/>
    <w:locked/>
    <w:pPr>
      <w:tabs>
        <w:tab w:val="right" w:pos="8800"/>
      </w:tabs>
      <w:spacing w:before="120" w:after="360"/>
      <w:ind w:left="851" w:right="284"/>
    </w:pPr>
    <w:rPr>
      <w:b/>
      <w:sz w:val="24"/>
    </w:rPr>
  </w:style>
  <w:style w:type="paragraph" w:styleId="TOC4">
    <w:name w:val="toc 4"/>
    <w:basedOn w:val="Normal"/>
    <w:next w:val="BodyText"/>
    <w:semiHidden/>
    <w:locked/>
    <w:pPr>
      <w:tabs>
        <w:tab w:val="right" w:pos="8800"/>
      </w:tabs>
      <w:spacing w:before="360" w:after="360"/>
      <w:ind w:left="851" w:right="284"/>
    </w:pPr>
    <w:rPr>
      <w:b/>
      <w:sz w:val="24"/>
    </w:rPr>
  </w:style>
  <w:style w:type="paragraph" w:styleId="TOC5">
    <w:name w:val="toc 5"/>
    <w:basedOn w:val="Normal"/>
    <w:next w:val="BodyText"/>
    <w:semiHidden/>
    <w:locked/>
    <w:pPr>
      <w:tabs>
        <w:tab w:val="right" w:pos="8800"/>
      </w:tabs>
      <w:ind w:left="851" w:right="284"/>
    </w:pPr>
    <w:rPr>
      <w:b/>
      <w:sz w:val="22"/>
    </w:rPr>
  </w:style>
  <w:style w:type="paragraph" w:styleId="TOC6">
    <w:name w:val="toc 6"/>
    <w:basedOn w:val="Normal"/>
    <w:next w:val="BodyText"/>
    <w:semiHidden/>
    <w:locked/>
    <w:pPr>
      <w:keepNext/>
      <w:tabs>
        <w:tab w:val="right" w:pos="8800"/>
      </w:tabs>
      <w:spacing w:before="360"/>
      <w:ind w:left="851" w:right="284"/>
    </w:pPr>
    <w:rPr>
      <w:b/>
      <w:sz w:val="24"/>
    </w:rPr>
  </w:style>
  <w:style w:type="paragraph" w:styleId="TOC7">
    <w:name w:val="toc 7"/>
    <w:basedOn w:val="Normal"/>
    <w:next w:val="BodyText"/>
    <w:semiHidden/>
    <w:locked/>
    <w:pPr>
      <w:tabs>
        <w:tab w:val="right" w:pos="8800"/>
      </w:tabs>
      <w:ind w:left="851" w:right="284"/>
    </w:pPr>
    <w:rPr>
      <w:b/>
      <w:sz w:val="22"/>
    </w:rPr>
  </w:style>
  <w:style w:type="paragraph" w:styleId="TOC8">
    <w:name w:val="toc 8"/>
    <w:basedOn w:val="Normal"/>
    <w:next w:val="BodyText"/>
    <w:semiHidden/>
    <w:locked/>
    <w:pPr>
      <w:spacing w:after="0"/>
      <w:ind w:right="284"/>
    </w:pPr>
  </w:style>
  <w:style w:type="paragraph" w:styleId="TOC9">
    <w:name w:val="toc 9"/>
    <w:basedOn w:val="Normal"/>
    <w:next w:val="BodyText"/>
    <w:semiHidden/>
    <w:locked/>
    <w:pPr>
      <w:spacing w:after="0"/>
      <w:ind w:right="284"/>
    </w:pPr>
  </w:style>
  <w:style w:type="paragraph" w:customStyle="1" w:styleId="Topic1">
    <w:name w:val="Topic 1"/>
    <w:basedOn w:val="Normal"/>
    <w:next w:val="BodyText"/>
    <w:semiHidden/>
    <w:rPr>
      <w:b/>
    </w:rPr>
  </w:style>
  <w:style w:type="paragraph" w:customStyle="1" w:styleId="Topic2">
    <w:name w:val="Topic 2"/>
    <w:basedOn w:val="Normal"/>
    <w:next w:val="CellText"/>
    <w:semiHidden/>
    <w:rPr>
      <w:sz w:val="22"/>
    </w:rPr>
  </w:style>
  <w:style w:type="character" w:styleId="PlaceholderText">
    <w:name w:val="Placeholder Text"/>
    <w:basedOn w:val="DefaultParagraphFont"/>
    <w:unhideWhenUsed/>
    <w:rPr>
      <w:color w:val="808080"/>
    </w:rPr>
  </w:style>
  <w:style w:type="paragraph" w:styleId="BalloonText">
    <w:name w:val="Balloon Text"/>
    <w:basedOn w:val="Normal"/>
    <w:link w:val="BalloonTextChar"/>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AU" w:eastAsia="en-AU"/>
    </w:rPr>
  </w:style>
  <w:style w:type="paragraph" w:customStyle="1" w:styleId="NoTOCHdg5">
    <w:name w:val="NoTOCHdg 5"/>
    <w:basedOn w:val="Normal"/>
    <w:next w:val="BodyTextIndent3"/>
    <w:semiHidden/>
    <w:locked/>
    <w:pPr>
      <w:numPr>
        <w:ilvl w:val="4"/>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pPr>
        <w:spacing w:after="120"/>
      </w:pPr>
    </w:pPrDefault>
  </w:docDefaults>
  <w:latentStyles w:defLockedState="0" w:defUIPriority="99" w:defSemiHidden="1" w:defUnhideWhenUsed="0" w:defQFormat="0" w:count="267">
    <w:lsdException w:name="Normal"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uiPriority="10" w:qFormat="1"/>
    <w:lsdException w:name="Default Paragraph Font" w:uiPriority="1"/>
    <w:lsdException w:name="Strong" w:uiPriority="22" w:qFormat="1"/>
    <w:lsdException w:name="Emphasis" w:uiPriority="25" w:qFormat="1"/>
    <w:lsdException w:name="Table Grid" w:uiPriority="59"/>
    <w:lsdException w:name="Placeholder Text"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locked/>
    <w:rPr>
      <w:lang w:val="en-AU" w:eastAsia="en-AU"/>
    </w:rPr>
  </w:style>
  <w:style w:type="paragraph" w:styleId="Heading1">
    <w:name w:val="heading 1"/>
    <w:basedOn w:val="Normal"/>
    <w:next w:val="BodyText"/>
    <w:uiPriority w:val="1"/>
    <w:qFormat/>
    <w:pPr>
      <w:keepNext/>
      <w:numPr>
        <w:numId w:val="1"/>
      </w:numPr>
      <w:pBdr>
        <w:bottom w:val="single" w:sz="8" w:space="4" w:color="auto"/>
      </w:pBdr>
      <w:spacing w:before="600" w:after="240"/>
      <w:outlineLvl w:val="0"/>
    </w:pPr>
    <w:rPr>
      <w:sz w:val="28"/>
      <w:szCs w:val="28"/>
    </w:rPr>
  </w:style>
  <w:style w:type="paragraph" w:styleId="Heading2">
    <w:name w:val="heading 2"/>
    <w:basedOn w:val="Normal"/>
    <w:next w:val="BodyText"/>
    <w:uiPriority w:val="2"/>
    <w:qFormat/>
    <w:pPr>
      <w:keepNext/>
      <w:numPr>
        <w:ilvl w:val="1"/>
        <w:numId w:val="1"/>
      </w:numPr>
      <w:spacing w:before="240" w:after="240"/>
      <w:outlineLvl w:val="1"/>
    </w:pPr>
    <w:rPr>
      <w:b/>
      <w:sz w:val="24"/>
      <w:szCs w:val="24"/>
    </w:rPr>
  </w:style>
  <w:style w:type="paragraph" w:styleId="Heading3">
    <w:name w:val="heading 3"/>
    <w:basedOn w:val="Normal"/>
    <w:next w:val="BodyTextIndent"/>
    <w:uiPriority w:val="3"/>
    <w:qFormat/>
    <w:pPr>
      <w:numPr>
        <w:ilvl w:val="2"/>
        <w:numId w:val="1"/>
      </w:numPr>
      <w:spacing w:before="120"/>
      <w:outlineLvl w:val="2"/>
    </w:pPr>
  </w:style>
  <w:style w:type="paragraph" w:styleId="Heading4">
    <w:name w:val="heading 4"/>
    <w:basedOn w:val="Normal"/>
    <w:next w:val="BodyTextIndent2"/>
    <w:uiPriority w:val="4"/>
    <w:qFormat/>
    <w:pPr>
      <w:numPr>
        <w:ilvl w:val="3"/>
        <w:numId w:val="1"/>
      </w:numPr>
      <w:spacing w:before="120"/>
      <w:outlineLvl w:val="3"/>
    </w:pPr>
  </w:style>
  <w:style w:type="paragraph" w:styleId="Heading5">
    <w:name w:val="heading 5"/>
    <w:basedOn w:val="Normal"/>
    <w:next w:val="BodyTextIndent3"/>
    <w:semiHidden/>
    <w:pPr>
      <w:numPr>
        <w:ilvl w:val="4"/>
        <w:numId w:val="1"/>
      </w:numPr>
      <w:outlineLvl w:val="4"/>
    </w:pPr>
  </w:style>
  <w:style w:type="paragraph" w:styleId="Heading6">
    <w:name w:val="heading 6"/>
    <w:basedOn w:val="Normal"/>
    <w:semiHidden/>
    <w:pPr>
      <w:outlineLvl w:val="5"/>
    </w:pPr>
  </w:style>
  <w:style w:type="paragraph" w:styleId="Heading7">
    <w:name w:val="heading 7"/>
    <w:basedOn w:val="Normal"/>
    <w:semiHidden/>
    <w:pPr>
      <w:outlineLvl w:val="6"/>
    </w:pPr>
  </w:style>
  <w:style w:type="paragraph" w:styleId="Heading8">
    <w:name w:val="heading 8"/>
    <w:basedOn w:val="Normal"/>
    <w:semiHidden/>
    <w:pPr>
      <w:outlineLvl w:val="7"/>
    </w:pPr>
  </w:style>
  <w:style w:type="paragraph" w:styleId="Heading9">
    <w:name w:val="heading 9"/>
    <w:basedOn w:val="Normal"/>
    <w:semiHidden/>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Text">
    <w:name w:val="Cell Text"/>
    <w:basedOn w:val="Normal"/>
    <w:rPr>
      <w:sz w:val="18"/>
    </w:rPr>
  </w:style>
  <w:style w:type="paragraph" w:customStyle="1" w:styleId="CellText2">
    <w:name w:val="Cell Text 2"/>
    <w:basedOn w:val="Normal"/>
    <w:semiHidden/>
  </w:style>
  <w:style w:type="paragraph" w:customStyle="1" w:styleId="Acknowledgement">
    <w:name w:val="Acknowledgement"/>
    <w:basedOn w:val="Normal"/>
    <w:next w:val="BodyText"/>
    <w:semiHidden/>
    <w:locked/>
    <w:pPr>
      <w:pBdr>
        <w:bottom w:val="single" w:sz="2" w:space="30" w:color="auto"/>
      </w:pBdr>
      <w:spacing w:before="360" w:after="600"/>
      <w:ind w:left="851"/>
    </w:pPr>
  </w:style>
  <w:style w:type="numbering" w:styleId="ArticleSection">
    <w:name w:val="Outline List 3"/>
    <w:basedOn w:val="NoList"/>
    <w:semiHidden/>
    <w:locked/>
  </w:style>
  <w:style w:type="paragraph" w:customStyle="1" w:styleId="Attachment">
    <w:name w:val="Attachment"/>
    <w:basedOn w:val="Normal"/>
    <w:next w:val="BodyText"/>
    <w:pPr>
      <w:pBdr>
        <w:bottom w:val="single" w:sz="8" w:space="10" w:color="auto"/>
      </w:pBdr>
      <w:spacing w:before="600" w:after="240"/>
      <w:ind w:left="851"/>
    </w:pPr>
    <w:rPr>
      <w:sz w:val="28"/>
    </w:rPr>
  </w:style>
  <w:style w:type="paragraph" w:customStyle="1" w:styleId="Author1">
    <w:name w:val="Author 1"/>
    <w:basedOn w:val="Normal"/>
    <w:next w:val="BodyText"/>
    <w:semiHidden/>
    <w:locked/>
    <w:pPr>
      <w:spacing w:after="0"/>
    </w:pPr>
  </w:style>
  <w:style w:type="paragraph" w:customStyle="1" w:styleId="Author2">
    <w:name w:val="Author 2"/>
    <w:basedOn w:val="Normal"/>
    <w:next w:val="BodyText"/>
    <w:semiHidden/>
    <w:locked/>
    <w:pPr>
      <w:spacing w:after="0"/>
    </w:pPr>
    <w:rPr>
      <w:b/>
    </w:rPr>
  </w:style>
  <w:style w:type="paragraph" w:customStyle="1" w:styleId="AuthorEmail1">
    <w:name w:val="Author Email 1"/>
    <w:basedOn w:val="Normal"/>
    <w:next w:val="BodyText"/>
    <w:semiHidden/>
    <w:locked/>
    <w:pPr>
      <w:spacing w:after="0"/>
    </w:pPr>
  </w:style>
  <w:style w:type="paragraph" w:customStyle="1" w:styleId="AuthorEmail2">
    <w:name w:val="Author Email 2"/>
    <w:basedOn w:val="Normal"/>
    <w:next w:val="BodyText"/>
    <w:semiHidden/>
    <w:locked/>
    <w:pPr>
      <w:spacing w:after="0"/>
    </w:pPr>
    <w:rPr>
      <w:sz w:val="18"/>
    </w:rPr>
  </w:style>
  <w:style w:type="paragraph" w:customStyle="1" w:styleId="AuthorEmail3">
    <w:name w:val="Author Email 3"/>
    <w:basedOn w:val="Normal"/>
    <w:semiHidden/>
    <w:locked/>
    <w:rPr>
      <w:sz w:val="16"/>
    </w:rPr>
  </w:style>
  <w:style w:type="paragraph" w:customStyle="1" w:styleId="AuthorFax1">
    <w:name w:val="Author Fax 1"/>
    <w:basedOn w:val="Normal"/>
    <w:next w:val="BodyText"/>
    <w:semiHidden/>
    <w:locked/>
    <w:pPr>
      <w:tabs>
        <w:tab w:val="left" w:pos="1134"/>
      </w:tabs>
      <w:spacing w:after="0"/>
    </w:pPr>
  </w:style>
  <w:style w:type="paragraph" w:customStyle="1" w:styleId="AuthorMobile1">
    <w:name w:val="Author Mobile 1"/>
    <w:basedOn w:val="Normal"/>
    <w:next w:val="BodyText"/>
    <w:semiHidden/>
    <w:locked/>
    <w:pPr>
      <w:tabs>
        <w:tab w:val="left" w:pos="1134"/>
      </w:tabs>
      <w:spacing w:after="0"/>
    </w:pPr>
  </w:style>
  <w:style w:type="paragraph" w:customStyle="1" w:styleId="AuthorMobile2">
    <w:name w:val="Author Mobile 2"/>
    <w:basedOn w:val="Normal"/>
    <w:next w:val="BodyText"/>
    <w:semiHidden/>
    <w:locked/>
    <w:pPr>
      <w:spacing w:after="0"/>
    </w:pPr>
    <w:rPr>
      <w:sz w:val="18"/>
    </w:rPr>
  </w:style>
  <w:style w:type="paragraph" w:customStyle="1" w:styleId="AuthorPhone1">
    <w:name w:val="Author Phone 1"/>
    <w:basedOn w:val="Normal"/>
    <w:next w:val="BodyText"/>
    <w:semiHidden/>
    <w:locked/>
    <w:pPr>
      <w:tabs>
        <w:tab w:val="left" w:pos="1134"/>
      </w:tabs>
      <w:spacing w:after="0"/>
    </w:pPr>
  </w:style>
  <w:style w:type="paragraph" w:customStyle="1" w:styleId="AuthorPhone2">
    <w:name w:val="Author Phone 2"/>
    <w:basedOn w:val="Normal"/>
    <w:next w:val="BodyText"/>
    <w:semiHidden/>
    <w:locked/>
    <w:pPr>
      <w:spacing w:after="0"/>
    </w:pPr>
    <w:rPr>
      <w:sz w:val="18"/>
    </w:rPr>
  </w:style>
  <w:style w:type="paragraph" w:customStyle="1" w:styleId="AuthorPosition1">
    <w:name w:val="Author Position 1"/>
    <w:basedOn w:val="Normal"/>
    <w:next w:val="BodyText"/>
    <w:semiHidden/>
    <w:locked/>
    <w:pPr>
      <w:spacing w:after="0"/>
    </w:pPr>
  </w:style>
  <w:style w:type="paragraph" w:customStyle="1" w:styleId="Banner">
    <w:name w:val="Banner"/>
    <w:basedOn w:val="Normal"/>
    <w:next w:val="BodyText"/>
    <w:semiHidden/>
    <w:locked/>
    <w:pPr>
      <w:spacing w:after="600"/>
      <w:jc w:val="right"/>
    </w:pPr>
    <w:rPr>
      <w:sz w:val="36"/>
    </w:rPr>
  </w:style>
  <w:style w:type="paragraph" w:customStyle="1" w:styleId="Banner2">
    <w:name w:val="Banner 2"/>
    <w:basedOn w:val="Normal"/>
    <w:next w:val="BodyText"/>
    <w:semiHidden/>
    <w:locked/>
    <w:pPr>
      <w:spacing w:after="600"/>
      <w:jc w:val="right"/>
    </w:pPr>
    <w:rPr>
      <w:sz w:val="36"/>
    </w:rPr>
  </w:style>
  <w:style w:type="paragraph" w:customStyle="1" w:styleId="Banner3">
    <w:name w:val="Banner 3"/>
    <w:basedOn w:val="Normal"/>
    <w:next w:val="BodyText"/>
    <w:semiHidden/>
    <w:locked/>
    <w:pPr>
      <w:spacing w:after="600"/>
      <w:jc w:val="right"/>
    </w:pPr>
    <w:rPr>
      <w:sz w:val="36"/>
    </w:rPr>
  </w:style>
  <w:style w:type="paragraph" w:styleId="BlockText">
    <w:name w:val="Block Text"/>
    <w:basedOn w:val="Normal"/>
    <w:semiHidden/>
    <w:locked/>
  </w:style>
  <w:style w:type="paragraph" w:styleId="BodyText">
    <w:name w:val="Body Text"/>
    <w:basedOn w:val="Normal"/>
    <w:uiPriority w:val="5"/>
    <w:qFormat/>
    <w:pPr>
      <w:ind w:left="851"/>
    </w:pPr>
  </w:style>
  <w:style w:type="paragraph" w:styleId="BodyText2">
    <w:name w:val="Body Text 2"/>
    <w:basedOn w:val="Normal"/>
    <w:semiHidden/>
    <w:locked/>
  </w:style>
  <w:style w:type="paragraph" w:styleId="BodyText3">
    <w:name w:val="Body Text 3"/>
    <w:basedOn w:val="Normal"/>
    <w:semiHidden/>
    <w:locked/>
  </w:style>
  <w:style w:type="paragraph" w:styleId="BodyTextFirstIndent">
    <w:name w:val="Body Text First Indent"/>
    <w:basedOn w:val="BodyText"/>
    <w:semiHidden/>
    <w:locked/>
    <w:pPr>
      <w:ind w:firstLine="567"/>
    </w:pPr>
  </w:style>
  <w:style w:type="paragraph" w:styleId="BodyTextFirstIndent2">
    <w:name w:val="Body Text First Indent 2"/>
    <w:basedOn w:val="BodyTextIndent"/>
    <w:semiHidden/>
    <w:locked/>
    <w:pPr>
      <w:ind w:left="1701" w:firstLine="567"/>
    </w:pPr>
  </w:style>
  <w:style w:type="paragraph" w:styleId="BodyTextIndent">
    <w:name w:val="Body Text Indent"/>
    <w:basedOn w:val="Normal"/>
    <w:uiPriority w:val="6"/>
    <w:qFormat/>
    <w:pPr>
      <w:ind w:left="1702"/>
    </w:pPr>
  </w:style>
  <w:style w:type="paragraph" w:styleId="BodyTextIndent2">
    <w:name w:val="Body Text Indent 2"/>
    <w:basedOn w:val="Normal"/>
    <w:uiPriority w:val="7"/>
    <w:qFormat/>
    <w:pPr>
      <w:ind w:left="2553"/>
    </w:pPr>
  </w:style>
  <w:style w:type="paragraph" w:styleId="BodyTextIndent3">
    <w:name w:val="Body Text Indent 3"/>
    <w:basedOn w:val="Normal"/>
    <w:semiHidden/>
    <w:pPr>
      <w:ind w:left="3404"/>
    </w:pPr>
  </w:style>
  <w:style w:type="paragraph" w:customStyle="1" w:styleId="Brand">
    <w:name w:val="Brand"/>
    <w:basedOn w:val="Normal"/>
    <w:next w:val="BodyText"/>
    <w:semiHidden/>
    <w:locked/>
  </w:style>
  <w:style w:type="paragraph" w:styleId="Caption">
    <w:name w:val="caption"/>
    <w:basedOn w:val="Normal"/>
    <w:next w:val="BodyText"/>
    <w:semiHidden/>
    <w:locked/>
    <w:pPr>
      <w:spacing w:after="600"/>
      <w:jc w:val="right"/>
    </w:pPr>
    <w:rPr>
      <w:sz w:val="36"/>
    </w:rPr>
  </w:style>
  <w:style w:type="paragraph" w:customStyle="1" w:styleId="ClientName">
    <w:name w:val="Client Name"/>
    <w:basedOn w:val="Normal"/>
    <w:next w:val="BodyText"/>
    <w:semiHidden/>
    <w:locked/>
    <w:pPr>
      <w:spacing w:after="0"/>
    </w:pPr>
  </w:style>
  <w:style w:type="paragraph" w:styleId="Closing">
    <w:name w:val="Closing"/>
    <w:basedOn w:val="Normal"/>
    <w:semiHidden/>
    <w:locked/>
  </w:style>
  <w:style w:type="paragraph" w:customStyle="1" w:styleId="ColumnHeader">
    <w:name w:val="Column Header"/>
    <w:basedOn w:val="Normal"/>
    <w:next w:val="BodyText"/>
    <w:pPr>
      <w:keepNext/>
    </w:pPr>
    <w:rPr>
      <w:b/>
      <w:sz w:val="18"/>
    </w:rPr>
  </w:style>
  <w:style w:type="paragraph" w:customStyle="1" w:styleId="CopyrightNotice">
    <w:name w:val="Copyright Notice"/>
    <w:basedOn w:val="Normal"/>
    <w:next w:val="BodyText"/>
    <w:semiHidden/>
    <w:locked/>
    <w:pPr>
      <w:ind w:left="851"/>
    </w:pPr>
  </w:style>
  <w:style w:type="paragraph" w:customStyle="1" w:styleId="CoverText">
    <w:name w:val="Cover Text"/>
    <w:basedOn w:val="Normal"/>
    <w:semiHidden/>
    <w:locked/>
    <w:pPr>
      <w:spacing w:after="0"/>
    </w:pPr>
    <w:rPr>
      <w:sz w:val="16"/>
    </w:rPr>
  </w:style>
  <w:style w:type="character" w:customStyle="1" w:styleId="DateArrow">
    <w:name w:val="Date Arrow"/>
    <w:basedOn w:val="DefaultParagraphFont"/>
    <w:semiHidden/>
    <w:locked/>
    <w:rPr>
      <w:rFonts w:cs="Arial"/>
      <w:sz w:val="14"/>
    </w:rPr>
  </w:style>
  <w:style w:type="paragraph" w:styleId="Date">
    <w:name w:val="Date"/>
    <w:basedOn w:val="Normal"/>
    <w:next w:val="BodyText"/>
    <w:semiHidden/>
    <w:locked/>
    <w:pPr>
      <w:spacing w:after="0"/>
    </w:pPr>
  </w:style>
  <w:style w:type="paragraph" w:customStyle="1" w:styleId="Date2">
    <w:name w:val="Date 2"/>
    <w:basedOn w:val="Normal"/>
    <w:next w:val="BodyText"/>
    <w:semiHidden/>
    <w:locked/>
    <w:pPr>
      <w:spacing w:before="600" w:after="0"/>
      <w:ind w:left="851"/>
    </w:pPr>
    <w:rPr>
      <w:b/>
    </w:rPr>
  </w:style>
  <w:style w:type="paragraph" w:customStyle="1" w:styleId="Date3">
    <w:name w:val="Date 3"/>
    <w:basedOn w:val="Normal"/>
    <w:next w:val="BodyText"/>
    <w:semiHidden/>
    <w:locked/>
    <w:pPr>
      <w:spacing w:before="600" w:after="360"/>
      <w:ind w:left="851"/>
    </w:pPr>
    <w:rPr>
      <w:sz w:val="22"/>
    </w:rPr>
  </w:style>
  <w:style w:type="paragraph" w:customStyle="1" w:styleId="Date4">
    <w:name w:val="Date 4"/>
    <w:basedOn w:val="Normal"/>
    <w:next w:val="BodyText"/>
    <w:semiHidden/>
    <w:locked/>
    <w:rPr>
      <w:sz w:val="22"/>
    </w:rPr>
  </w:style>
  <w:style w:type="paragraph" w:customStyle="1" w:styleId="DeliveryInstruction">
    <w:name w:val="Delivery Instruction"/>
    <w:basedOn w:val="Normal"/>
    <w:next w:val="BodyText"/>
    <w:semiHidden/>
    <w:locked/>
    <w:pPr>
      <w:spacing w:after="0"/>
    </w:pPr>
  </w:style>
  <w:style w:type="paragraph" w:customStyle="1" w:styleId="Disclaimer">
    <w:name w:val="Disclaimer"/>
    <w:basedOn w:val="Normal"/>
    <w:next w:val="Footer"/>
    <w:semiHidden/>
    <w:locked/>
    <w:pPr>
      <w:spacing w:after="0"/>
    </w:pPr>
    <w:rPr>
      <w:sz w:val="18"/>
    </w:rPr>
  </w:style>
  <w:style w:type="paragraph" w:customStyle="1" w:styleId="DraftDate">
    <w:name w:val="Draft Date"/>
    <w:basedOn w:val="Normal"/>
    <w:next w:val="BodyText"/>
    <w:semiHidden/>
    <w:locked/>
    <w:pPr>
      <w:spacing w:after="0"/>
      <w:jc w:val="right"/>
    </w:pPr>
  </w:style>
  <w:style w:type="paragraph" w:customStyle="1" w:styleId="DraftNumber">
    <w:name w:val="Draft Number"/>
    <w:basedOn w:val="Normal"/>
    <w:next w:val="DraftDate"/>
    <w:semiHidden/>
    <w:locked/>
    <w:pPr>
      <w:spacing w:after="0"/>
      <w:jc w:val="right"/>
    </w:pPr>
    <w:rPr>
      <w:sz w:val="22"/>
    </w:rPr>
  </w:style>
  <w:style w:type="character" w:styleId="Emphasis">
    <w:name w:val="Emphasis"/>
    <w:basedOn w:val="DefaultParagraphFont"/>
    <w:rPr>
      <w:i/>
    </w:rPr>
  </w:style>
  <w:style w:type="paragraph" w:styleId="E-mailSignature">
    <w:name w:val="E-mail Signature"/>
    <w:basedOn w:val="Normal"/>
    <w:semiHidden/>
    <w:locked/>
  </w:style>
  <w:style w:type="paragraph" w:styleId="EnvelopeAddress">
    <w:name w:val="envelope address"/>
    <w:basedOn w:val="Normal"/>
    <w:semiHidden/>
    <w:locked/>
  </w:style>
  <w:style w:type="paragraph" w:styleId="EnvelopeReturn">
    <w:name w:val="envelope return"/>
    <w:basedOn w:val="Normal"/>
    <w:semiHidden/>
    <w:locked/>
  </w:style>
  <w:style w:type="character" w:customStyle="1" w:styleId="ExecArrow">
    <w:name w:val="Exec Arrow"/>
    <w:basedOn w:val="DefaultParagraphFont"/>
    <w:semiHidden/>
    <w:locked/>
    <w:rPr>
      <w:rFonts w:cs="Arial"/>
      <w:sz w:val="14"/>
    </w:rPr>
  </w:style>
  <w:style w:type="character" w:customStyle="1" w:styleId="ExecInstruction">
    <w:name w:val="Exec Instruction"/>
    <w:basedOn w:val="DefaultParagraphFont"/>
    <w:semiHidden/>
    <w:locked/>
    <w:rPr>
      <w:rFonts w:ascii="Arial"/>
      <w:i/>
      <w:sz w:val="16"/>
    </w:rPr>
  </w:style>
  <w:style w:type="paragraph" w:customStyle="1" w:styleId="ExecLeadIn">
    <w:name w:val="Exec Lead In"/>
    <w:basedOn w:val="Normal"/>
    <w:next w:val="ExecText"/>
    <w:semiHidden/>
    <w:locked/>
    <w:pPr>
      <w:keepNext/>
      <w:spacing w:before="120" w:after="0"/>
    </w:pPr>
    <w:rPr>
      <w:sz w:val="22"/>
    </w:rPr>
  </w:style>
  <w:style w:type="paragraph" w:customStyle="1" w:styleId="ExecName">
    <w:name w:val="Exec Name"/>
    <w:basedOn w:val="Normal"/>
    <w:next w:val="ExecText"/>
    <w:semiHidden/>
    <w:locked/>
    <w:pPr>
      <w:keepNext/>
      <w:spacing w:before="240" w:after="0"/>
    </w:pPr>
    <w:rPr>
      <w:sz w:val="18"/>
    </w:rPr>
  </w:style>
  <w:style w:type="paragraph" w:customStyle="1" w:styleId="ExecSignature">
    <w:name w:val="Exec Signature"/>
    <w:basedOn w:val="Normal"/>
    <w:next w:val="ExecText"/>
    <w:semiHidden/>
    <w:locked/>
    <w:pPr>
      <w:keepNext/>
      <w:spacing w:before="480" w:after="0"/>
    </w:pPr>
    <w:rPr>
      <w:sz w:val="18"/>
    </w:rPr>
  </w:style>
  <w:style w:type="paragraph" w:customStyle="1" w:styleId="ExecText">
    <w:name w:val="Exec Text"/>
    <w:basedOn w:val="Normal"/>
    <w:semiHidden/>
    <w:locked/>
    <w:pPr>
      <w:keepNext/>
      <w:spacing w:after="0"/>
    </w:pPr>
    <w:rPr>
      <w:sz w:val="18"/>
    </w:rPr>
  </w:style>
  <w:style w:type="character" w:styleId="FollowedHyperlink">
    <w:name w:val="FollowedHyperlink"/>
    <w:basedOn w:val="DefaultParagraphFont"/>
    <w:semiHidden/>
    <w:locked/>
    <w:rPr>
      <w:color w:val="800080"/>
      <w:u w:val="single"/>
    </w:rPr>
  </w:style>
  <w:style w:type="paragraph" w:styleId="Footer">
    <w:name w:val="footer"/>
    <w:basedOn w:val="Normal"/>
    <w:semiHidden/>
    <w:locked/>
    <w:pPr>
      <w:spacing w:after="0"/>
    </w:pPr>
    <w:rPr>
      <w:sz w:val="14"/>
    </w:rPr>
  </w:style>
  <w:style w:type="paragraph" w:customStyle="1" w:styleId="Footer2">
    <w:name w:val="Footer 2"/>
    <w:basedOn w:val="Footer"/>
    <w:semiHidden/>
    <w:locked/>
    <w:pPr>
      <w:jc w:val="right"/>
    </w:pPr>
    <w:rPr>
      <w:sz w:val="16"/>
    </w:rPr>
  </w:style>
  <w:style w:type="paragraph" w:customStyle="1" w:styleId="Footer3">
    <w:name w:val="Footer 3"/>
    <w:basedOn w:val="Footer"/>
    <w:semiHidden/>
    <w:locked/>
    <w:pPr>
      <w:jc w:val="right"/>
    </w:pPr>
    <w:rPr>
      <w:sz w:val="16"/>
    </w:rPr>
  </w:style>
  <w:style w:type="paragraph" w:customStyle="1" w:styleId="Footer4">
    <w:name w:val="Footer 4"/>
    <w:basedOn w:val="Footer"/>
    <w:semiHidden/>
    <w:locked/>
    <w:pPr>
      <w:spacing w:before="240"/>
    </w:pPr>
    <w:rPr>
      <w:sz w:val="18"/>
    </w:rPr>
  </w:style>
  <w:style w:type="paragraph" w:customStyle="1" w:styleId="Footer5">
    <w:name w:val="Footer 5"/>
    <w:basedOn w:val="Footer"/>
    <w:semiHidden/>
    <w:locked/>
  </w:style>
  <w:style w:type="paragraph" w:customStyle="1" w:styleId="Footer6">
    <w:name w:val="Footer 6"/>
    <w:basedOn w:val="Normal"/>
    <w:semiHidden/>
    <w:locked/>
    <w:pPr>
      <w:spacing w:before="120" w:after="0"/>
    </w:pPr>
    <w:rPr>
      <w:sz w:val="12"/>
    </w:rPr>
  </w:style>
  <w:style w:type="paragraph" w:customStyle="1" w:styleId="Footer7">
    <w:name w:val="Footer 7"/>
    <w:basedOn w:val="Footer"/>
    <w:semiHidden/>
    <w:locked/>
    <w:pPr>
      <w:jc w:val="right"/>
    </w:pPr>
  </w:style>
  <w:style w:type="paragraph" w:customStyle="1" w:styleId="Footer8">
    <w:name w:val="Footer 8"/>
    <w:basedOn w:val="Footer"/>
    <w:semiHidden/>
    <w:locked/>
    <w:pPr>
      <w:ind w:left="851"/>
    </w:pPr>
  </w:style>
  <w:style w:type="character" w:styleId="FootnoteReference">
    <w:name w:val="footnote reference"/>
    <w:basedOn w:val="DefaultParagraphFont"/>
    <w:semiHidden/>
    <w:locked/>
    <w:rPr>
      <w:vertAlign w:val="superscript"/>
    </w:rPr>
  </w:style>
  <w:style w:type="paragraph" w:styleId="FootnoteText">
    <w:name w:val="footnote text"/>
    <w:basedOn w:val="Normal"/>
    <w:semiHidden/>
    <w:locked/>
    <w:pPr>
      <w:keepLines/>
    </w:pPr>
    <w:rPr>
      <w:sz w:val="16"/>
    </w:rPr>
  </w:style>
  <w:style w:type="paragraph" w:customStyle="1" w:styleId="FormLabel">
    <w:name w:val="Form Label"/>
    <w:basedOn w:val="Normal"/>
    <w:semiHidden/>
    <w:locked/>
    <w:pPr>
      <w:spacing w:after="0"/>
    </w:pPr>
    <w:rPr>
      <w:sz w:val="18"/>
    </w:rPr>
  </w:style>
  <w:style w:type="paragraph" w:customStyle="1" w:styleId="FormValue">
    <w:name w:val="Form Value"/>
    <w:basedOn w:val="Normal"/>
    <w:semiHidden/>
    <w:pPr>
      <w:spacing w:after="0"/>
    </w:pPr>
    <w:rPr>
      <w:sz w:val="18"/>
    </w:rPr>
  </w:style>
  <w:style w:type="paragraph" w:customStyle="1" w:styleId="FormLayout">
    <w:name w:val="Form Layout"/>
    <w:basedOn w:val="Normal"/>
    <w:semiHidden/>
    <w:locked/>
    <w:pPr>
      <w:spacing w:after="0"/>
    </w:pPr>
    <w:rPr>
      <w:sz w:val="16"/>
    </w:rPr>
  </w:style>
  <w:style w:type="paragraph" w:customStyle="1" w:styleId="FormHeading">
    <w:name w:val="Form Heading"/>
    <w:basedOn w:val="Normal"/>
    <w:next w:val="BodyText"/>
    <w:semiHidden/>
    <w:locked/>
    <w:pPr>
      <w:spacing w:after="0"/>
    </w:pPr>
    <w:rPr>
      <w:sz w:val="24"/>
    </w:rPr>
  </w:style>
  <w:style w:type="paragraph" w:customStyle="1" w:styleId="greybox">
    <w:name w:val="greybox"/>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styleId="Header">
    <w:name w:val="header"/>
    <w:basedOn w:val="Normal"/>
    <w:locked/>
    <w:pPr>
      <w:spacing w:after="0"/>
    </w:pPr>
    <w:rPr>
      <w:sz w:val="18"/>
    </w:rPr>
  </w:style>
  <w:style w:type="paragraph" w:customStyle="1" w:styleId="Header2">
    <w:name w:val="Header 2"/>
    <w:basedOn w:val="Header"/>
    <w:semiHidden/>
    <w:locked/>
    <w:pPr>
      <w:jc w:val="right"/>
    </w:pPr>
  </w:style>
  <w:style w:type="paragraph" w:customStyle="1" w:styleId="Header3">
    <w:name w:val="Header 3"/>
    <w:basedOn w:val="Header"/>
    <w:semiHidden/>
    <w:locked/>
    <w:pPr>
      <w:jc w:val="center"/>
    </w:pPr>
  </w:style>
  <w:style w:type="paragraph" w:customStyle="1" w:styleId="Header4">
    <w:name w:val="Header 4"/>
    <w:basedOn w:val="Header"/>
    <w:semiHidden/>
    <w:locked/>
    <w:pPr>
      <w:jc w:val="right"/>
    </w:pPr>
    <w:rPr>
      <w:sz w:val="36"/>
    </w:rPr>
  </w:style>
  <w:style w:type="paragraph" w:customStyle="1" w:styleId="HeaderFooterText">
    <w:name w:val="Header Footer Text"/>
    <w:basedOn w:val="Normal"/>
    <w:semiHidden/>
    <w:pPr>
      <w:spacing w:after="0"/>
      <w:ind w:left="851"/>
    </w:pPr>
    <w:rPr>
      <w:sz w:val="2"/>
    </w:rPr>
  </w:style>
  <w:style w:type="character" w:customStyle="1" w:styleId="Highlight">
    <w:name w:val="Highlight"/>
    <w:basedOn w:val="DefaultParagraphFont"/>
    <w:semiHidden/>
  </w:style>
  <w:style w:type="character" w:styleId="HTMLAcronym">
    <w:name w:val="HTML Acronym"/>
    <w:basedOn w:val="DefaultParagraphFont"/>
    <w:semiHidden/>
    <w:locked/>
  </w:style>
  <w:style w:type="paragraph" w:styleId="HTMLAddress">
    <w:name w:val="HTML Address"/>
    <w:basedOn w:val="Normal"/>
    <w:semiHidden/>
    <w:locked/>
  </w:style>
  <w:style w:type="character" w:styleId="HTMLCite">
    <w:name w:val="HTML Cite"/>
    <w:basedOn w:val="DefaultParagraphFont"/>
    <w:semiHidden/>
    <w:locked/>
  </w:style>
  <w:style w:type="character" w:styleId="HTMLCode">
    <w:name w:val="HTML Code"/>
    <w:basedOn w:val="DefaultParagraphFont"/>
    <w:semiHidden/>
    <w:locked/>
  </w:style>
  <w:style w:type="character" w:styleId="HTMLDefinition">
    <w:name w:val="HTML Definition"/>
    <w:basedOn w:val="DefaultParagraphFont"/>
    <w:semiHidden/>
    <w:locked/>
  </w:style>
  <w:style w:type="character" w:styleId="HTMLKeyboard">
    <w:name w:val="HTML Keyboard"/>
    <w:basedOn w:val="DefaultParagraphFont"/>
    <w:semiHidden/>
    <w:locked/>
  </w:style>
  <w:style w:type="paragraph" w:styleId="HTMLPreformatted">
    <w:name w:val="HTML Preformatted"/>
    <w:basedOn w:val="Normal"/>
    <w:semiHidden/>
    <w:locked/>
  </w:style>
  <w:style w:type="character" w:styleId="HTMLSample">
    <w:name w:val="HTML Sample"/>
    <w:basedOn w:val="DefaultParagraphFont"/>
    <w:semiHidden/>
    <w:locked/>
  </w:style>
  <w:style w:type="character" w:styleId="HTMLTypewriter">
    <w:name w:val="HTML Typewriter"/>
    <w:basedOn w:val="DefaultParagraphFont"/>
    <w:semiHidden/>
    <w:locked/>
  </w:style>
  <w:style w:type="character" w:styleId="HTMLVariable">
    <w:name w:val="HTML Variable"/>
    <w:basedOn w:val="DefaultParagraphFont"/>
    <w:semiHidden/>
    <w:locked/>
  </w:style>
  <w:style w:type="character" w:styleId="Hyperlink">
    <w:name w:val="Hyperlink"/>
    <w:basedOn w:val="DefaultParagraphFont"/>
    <w:semiHidden/>
    <w:rPr>
      <w:b w:val="0"/>
      <w:color w:val="0000FF"/>
      <w:u w:val="single"/>
    </w:rPr>
  </w:style>
  <w:style w:type="paragraph" w:customStyle="1" w:styleId="ItemID">
    <w:name w:val="Item ID"/>
    <w:basedOn w:val="Normal"/>
    <w:next w:val="BodyText"/>
    <w:semiHidden/>
    <w:locked/>
    <w:pPr>
      <w:spacing w:before="120" w:after="0"/>
    </w:pPr>
    <w:rPr>
      <w:spacing w:val="-6"/>
      <w:sz w:val="19"/>
    </w:rPr>
  </w:style>
  <w:style w:type="paragraph" w:customStyle="1" w:styleId="Level1">
    <w:name w:val="Level 1"/>
    <w:basedOn w:val="Normal"/>
    <w:next w:val="BodyText"/>
    <w:pPr>
      <w:keepNext/>
      <w:pBdr>
        <w:bottom w:val="single" w:sz="8" w:space="10" w:color="auto"/>
      </w:pBdr>
      <w:spacing w:before="600" w:after="240"/>
      <w:ind w:left="851"/>
    </w:pPr>
    <w:rPr>
      <w:sz w:val="28"/>
    </w:rPr>
  </w:style>
  <w:style w:type="paragraph" w:customStyle="1" w:styleId="Level2">
    <w:name w:val="Level 2"/>
    <w:basedOn w:val="Normal"/>
    <w:next w:val="BodyText"/>
    <w:pPr>
      <w:keepNext/>
      <w:spacing w:before="240"/>
      <w:ind w:left="851"/>
    </w:pPr>
    <w:rPr>
      <w:b/>
      <w:sz w:val="24"/>
    </w:rPr>
  </w:style>
  <w:style w:type="paragraph" w:customStyle="1" w:styleId="Level3">
    <w:name w:val="Level 3"/>
    <w:basedOn w:val="Normal"/>
    <w:next w:val="BodyText"/>
    <w:pPr>
      <w:keepNext/>
      <w:spacing w:before="240"/>
      <w:ind w:left="851"/>
    </w:pPr>
    <w:rPr>
      <w:b/>
    </w:rPr>
  </w:style>
  <w:style w:type="paragraph" w:styleId="List">
    <w:name w:val="List"/>
    <w:basedOn w:val="Normal"/>
    <w:semiHidden/>
    <w:locked/>
  </w:style>
  <w:style w:type="paragraph" w:styleId="List2">
    <w:name w:val="List 2"/>
    <w:basedOn w:val="Normal"/>
    <w:semiHidden/>
    <w:locked/>
  </w:style>
  <w:style w:type="paragraph" w:styleId="List3">
    <w:name w:val="List 3"/>
    <w:basedOn w:val="Normal"/>
    <w:semiHidden/>
    <w:locked/>
  </w:style>
  <w:style w:type="paragraph" w:styleId="List4">
    <w:name w:val="List 4"/>
    <w:basedOn w:val="Normal"/>
    <w:semiHidden/>
    <w:locked/>
  </w:style>
  <w:style w:type="paragraph" w:styleId="List5">
    <w:name w:val="List 5"/>
    <w:basedOn w:val="Normal"/>
    <w:semiHidden/>
    <w:locked/>
  </w:style>
  <w:style w:type="paragraph" w:styleId="ListBullet">
    <w:name w:val="List Bullet"/>
    <w:basedOn w:val="Normal"/>
    <w:uiPriority w:val="9"/>
    <w:qFormat/>
    <w:pPr>
      <w:numPr>
        <w:numId w:val="7"/>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9"/>
      </w:numPr>
    </w:pPr>
  </w:style>
  <w:style w:type="paragraph" w:customStyle="1" w:styleId="ListBulletDisclaimer">
    <w:name w:val="List Bullet Disclaimer"/>
    <w:basedOn w:val="Normal"/>
    <w:semiHidden/>
    <w:pPr>
      <w:numPr>
        <w:numId w:val="10"/>
      </w:numPr>
      <w:spacing w:after="0"/>
      <w:ind w:left="284" w:hanging="284"/>
    </w:pPr>
    <w:rPr>
      <w:sz w:val="16"/>
      <w:szCs w:val="16"/>
    </w:rPr>
  </w:style>
  <w:style w:type="paragraph" w:customStyle="1" w:styleId="ListBulletIndent">
    <w:name w:val="List Bullet Indent"/>
    <w:pPr>
      <w:numPr>
        <w:numId w:val="11"/>
      </w:numPr>
      <w:ind w:left="2552" w:hanging="851"/>
    </w:pPr>
  </w:style>
  <w:style w:type="paragraph" w:customStyle="1" w:styleId="ListBulletTable">
    <w:name w:val="List Bullet Table"/>
    <w:basedOn w:val="Normal"/>
    <w:pPr>
      <w:numPr>
        <w:numId w:val="12"/>
      </w:numPr>
    </w:pPr>
    <w:rPr>
      <w:sz w:val="18"/>
      <w:szCs w:val="18"/>
    </w:rPr>
  </w:style>
  <w:style w:type="paragraph" w:customStyle="1" w:styleId="ListBulletTable2">
    <w:name w:val="List Bullet Table 2"/>
    <w:basedOn w:val="Normal"/>
    <w:semiHidden/>
    <w:pPr>
      <w:numPr>
        <w:numId w:val="13"/>
      </w:numPr>
    </w:pPr>
  </w:style>
  <w:style w:type="paragraph" w:customStyle="1" w:styleId="ListBulletTableIndent">
    <w:name w:val="List Bullet Table Indent"/>
    <w:basedOn w:val="Normal"/>
    <w:pPr>
      <w:numPr>
        <w:numId w:val="14"/>
      </w:numPr>
    </w:pPr>
    <w:rPr>
      <w:sz w:val="18"/>
      <w:szCs w:val="18"/>
    </w:rPr>
  </w:style>
  <w:style w:type="paragraph" w:customStyle="1" w:styleId="ListBulletTableIndent2">
    <w:name w:val="List Bullet Table Indent2"/>
    <w:basedOn w:val="Normal"/>
    <w:semiHidden/>
    <w:pPr>
      <w:numPr>
        <w:numId w:val="15"/>
      </w:numPr>
    </w:pPr>
  </w:style>
  <w:style w:type="paragraph" w:styleId="ListNumber">
    <w:name w:val="List Number"/>
    <w:basedOn w:val="Normal"/>
    <w:uiPriority w:val="8"/>
    <w:qFormat/>
    <w:pPr>
      <w:numPr>
        <w:numId w:val="3"/>
      </w:numPr>
      <w:spacing w:before="120"/>
    </w:pPr>
  </w:style>
  <w:style w:type="paragraph" w:styleId="ListNumber2">
    <w:name w:val="List Number 2"/>
    <w:basedOn w:val="Normal"/>
    <w:semiHidden/>
    <w:pPr>
      <w:numPr>
        <w:numId w:val="4"/>
      </w:numPr>
      <w:spacing w:before="120"/>
    </w:pPr>
  </w:style>
  <w:style w:type="paragraph" w:styleId="ListNumber3">
    <w:name w:val="List Number 3"/>
    <w:basedOn w:val="Normal"/>
    <w:semiHidden/>
    <w:pPr>
      <w:numPr>
        <w:numId w:val="5"/>
      </w:numPr>
      <w:spacing w:before="120"/>
    </w:pPr>
  </w:style>
  <w:style w:type="paragraph" w:styleId="ListNumber4">
    <w:name w:val="List Number 4"/>
    <w:basedOn w:val="Normal"/>
    <w:semiHidden/>
    <w:pPr>
      <w:spacing w:before="120"/>
    </w:pPr>
  </w:style>
  <w:style w:type="paragraph" w:styleId="ListNumber5">
    <w:name w:val="List Number 5"/>
    <w:basedOn w:val="Normal"/>
    <w:semiHidden/>
    <w:pPr>
      <w:spacing w:before="120"/>
    </w:pPr>
  </w:style>
  <w:style w:type="paragraph" w:customStyle="1" w:styleId="ListNumberTable">
    <w:name w:val="List Number Table"/>
    <w:basedOn w:val="Normal"/>
    <w:pPr>
      <w:numPr>
        <w:numId w:val="6"/>
      </w:numPr>
    </w:pPr>
    <w:rPr>
      <w:sz w:val="18"/>
      <w:szCs w:val="18"/>
    </w:rPr>
  </w:style>
  <w:style w:type="paragraph" w:customStyle="1" w:styleId="ListNumberTable2">
    <w:name w:val="List Number Table 2"/>
    <w:basedOn w:val="Normal"/>
    <w:semiHidden/>
    <w:pPr>
      <w:numPr>
        <w:numId w:val="16"/>
      </w:numPr>
    </w:pPr>
  </w:style>
  <w:style w:type="character" w:customStyle="1" w:styleId="MacroText1">
    <w:name w:val="Macro Text1"/>
    <w:basedOn w:val="DefaultParagraphFont"/>
    <w:semiHidden/>
    <w:rPr>
      <w:rFonts w:ascii="Arial Bold"/>
      <w:b/>
      <w:caps/>
      <w:color w:val="008000"/>
      <w:sz w:val="20"/>
      <w:u w:val="single" w:color="008000"/>
    </w:rPr>
  </w:style>
  <w:style w:type="paragraph" w:customStyle="1" w:styleId="Matter">
    <w:name w:val="Matter"/>
    <w:basedOn w:val="Normal"/>
    <w:next w:val="BodyText"/>
    <w:semiHidden/>
    <w:locked/>
    <w:pPr>
      <w:spacing w:after="0"/>
    </w:pPr>
  </w:style>
  <w:style w:type="paragraph" w:customStyle="1" w:styleId="MatterName">
    <w:name w:val="Matter Name"/>
    <w:basedOn w:val="Normal"/>
    <w:next w:val="BodyText"/>
    <w:semiHidden/>
    <w:locked/>
    <w:pPr>
      <w:spacing w:after="0"/>
    </w:pPr>
  </w:style>
  <w:style w:type="paragraph" w:customStyle="1" w:styleId="MatterNumber">
    <w:name w:val="Matter Number"/>
    <w:basedOn w:val="Normal"/>
    <w:next w:val="BodyText"/>
    <w:semiHidden/>
    <w:locked/>
    <w:pPr>
      <w:spacing w:after="0"/>
    </w:pPr>
  </w:style>
  <w:style w:type="paragraph" w:customStyle="1" w:styleId="Meaning">
    <w:name w:val="Meaning"/>
    <w:basedOn w:val="Normal"/>
    <w:rPr>
      <w:sz w:val="18"/>
    </w:rPr>
  </w:style>
  <w:style w:type="paragraph" w:styleId="MessageHeader">
    <w:name w:val="Message Header"/>
    <w:basedOn w:val="Normal"/>
    <w:semiHidden/>
    <w:locked/>
  </w:style>
  <w:style w:type="paragraph" w:styleId="NormalWeb">
    <w:name w:val="Normal (Web)"/>
    <w:basedOn w:val="Normal"/>
    <w:semiHidden/>
    <w:locked/>
  </w:style>
  <w:style w:type="paragraph" w:styleId="NormalIndent">
    <w:name w:val="Normal Indent"/>
    <w:basedOn w:val="Normal"/>
    <w:semiHidden/>
    <w:locked/>
    <w:pPr>
      <w:ind w:left="567"/>
    </w:pPr>
  </w:style>
  <w:style w:type="paragraph" w:styleId="NoteHeading">
    <w:name w:val="Note Heading"/>
    <w:basedOn w:val="Normal"/>
    <w:semiHidden/>
    <w:locked/>
  </w:style>
  <w:style w:type="paragraph" w:customStyle="1" w:styleId="NoTOCHdg1">
    <w:name w:val="NoTOCHdg 1"/>
    <w:basedOn w:val="Normal"/>
    <w:next w:val="BodyText"/>
    <w:uiPriority w:val="10"/>
    <w:qFormat/>
    <w:pPr>
      <w:keepNext/>
      <w:numPr>
        <w:numId w:val="2"/>
      </w:numPr>
      <w:pBdr>
        <w:bottom w:val="single" w:sz="8" w:space="4" w:color="auto"/>
      </w:pBdr>
      <w:spacing w:before="600" w:after="240"/>
    </w:pPr>
    <w:rPr>
      <w:sz w:val="28"/>
      <w:szCs w:val="28"/>
    </w:rPr>
  </w:style>
  <w:style w:type="paragraph" w:customStyle="1" w:styleId="NoTOCHdg2">
    <w:name w:val="NoTOCHdg 2"/>
    <w:basedOn w:val="Normal"/>
    <w:next w:val="BodyText"/>
    <w:uiPriority w:val="11"/>
    <w:qFormat/>
    <w:pPr>
      <w:keepNext/>
      <w:numPr>
        <w:ilvl w:val="1"/>
        <w:numId w:val="2"/>
      </w:numPr>
      <w:spacing w:before="240" w:after="240"/>
    </w:pPr>
    <w:rPr>
      <w:b/>
      <w:sz w:val="24"/>
      <w:szCs w:val="24"/>
    </w:rPr>
  </w:style>
  <w:style w:type="paragraph" w:customStyle="1" w:styleId="NoTOCHdg3">
    <w:name w:val="NoTOCHdg 3"/>
    <w:basedOn w:val="Normal"/>
    <w:next w:val="BodyTextIndent"/>
    <w:uiPriority w:val="12"/>
    <w:qFormat/>
    <w:pPr>
      <w:numPr>
        <w:ilvl w:val="2"/>
        <w:numId w:val="2"/>
      </w:numPr>
      <w:spacing w:before="120"/>
    </w:pPr>
  </w:style>
  <w:style w:type="paragraph" w:customStyle="1" w:styleId="NoTOCHdg4">
    <w:name w:val="NoTOCHdg 4"/>
    <w:basedOn w:val="Normal"/>
    <w:next w:val="BodyTextIndent2"/>
    <w:uiPriority w:val="13"/>
    <w:qFormat/>
    <w:pPr>
      <w:numPr>
        <w:ilvl w:val="3"/>
        <w:numId w:val="2"/>
      </w:numPr>
      <w:spacing w:before="120"/>
    </w:pPr>
  </w:style>
  <w:style w:type="character" w:styleId="PageNumber">
    <w:name w:val="page number"/>
    <w:basedOn w:val="DefaultParagraphFont"/>
    <w:semiHidden/>
    <w:locked/>
  </w:style>
  <w:style w:type="paragraph" w:customStyle="1" w:styleId="Pages">
    <w:name w:val="Pages"/>
    <w:basedOn w:val="FormValue"/>
    <w:semiHidden/>
    <w:locked/>
  </w:style>
  <w:style w:type="paragraph" w:customStyle="1" w:styleId="Party1">
    <w:name w:val="Party 1"/>
    <w:basedOn w:val="Normal"/>
    <w:semiHidden/>
    <w:locked/>
    <w:pPr>
      <w:spacing w:after="240"/>
    </w:pPr>
    <w:rPr>
      <w:sz w:val="22"/>
    </w:rPr>
  </w:style>
  <w:style w:type="paragraph" w:customStyle="1" w:styleId="Party2">
    <w:name w:val="Party 2"/>
    <w:basedOn w:val="Normal"/>
    <w:next w:val="CellText"/>
    <w:semiHidden/>
    <w:locked/>
    <w:rPr>
      <w:b/>
      <w:sz w:val="18"/>
    </w:rPr>
  </w:style>
  <w:style w:type="paragraph" w:customStyle="1" w:styleId="Party3">
    <w:name w:val="Party 3"/>
    <w:basedOn w:val="Normal"/>
    <w:semiHidden/>
    <w:pPr>
      <w:keepNext/>
      <w:spacing w:after="0"/>
    </w:pPr>
    <w:rPr>
      <w:b/>
      <w:sz w:val="22"/>
    </w:rPr>
  </w:style>
  <w:style w:type="paragraph" w:customStyle="1" w:styleId="PartyAddress">
    <w:name w:val="Party Address"/>
    <w:basedOn w:val="Normal"/>
    <w:next w:val="CellText"/>
    <w:semiHidden/>
    <w:locked/>
    <w:rPr>
      <w:sz w:val="18"/>
    </w:rPr>
  </w:style>
  <w:style w:type="paragraph" w:customStyle="1" w:styleId="PartyAlias">
    <w:name w:val="Party Alias"/>
    <w:basedOn w:val="Normal"/>
    <w:next w:val="CellText"/>
    <w:semiHidden/>
    <w:locked/>
    <w:rPr>
      <w:b/>
      <w:sz w:val="18"/>
    </w:rPr>
  </w:style>
  <w:style w:type="paragraph" w:customStyle="1" w:styleId="PartyCategory1">
    <w:name w:val="Party Category 1"/>
    <w:basedOn w:val="Normal"/>
    <w:next w:val="BodyText"/>
    <w:semiHidden/>
    <w:rPr>
      <w:b/>
    </w:rPr>
  </w:style>
  <w:style w:type="paragraph" w:customStyle="1" w:styleId="PartyCategory2">
    <w:name w:val="Party Category 2"/>
    <w:basedOn w:val="Normal"/>
    <w:next w:val="BodyText"/>
    <w:semiHidden/>
    <w:rPr>
      <w:b/>
      <w:sz w:val="22"/>
    </w:rPr>
  </w:style>
  <w:style w:type="paragraph" w:customStyle="1" w:styleId="PartyContact">
    <w:name w:val="Party Contact"/>
    <w:basedOn w:val="Normal"/>
    <w:next w:val="CellText"/>
    <w:semiHidden/>
    <w:locked/>
    <w:rPr>
      <w:sz w:val="18"/>
    </w:rPr>
  </w:style>
  <w:style w:type="paragraph" w:customStyle="1" w:styleId="PartyDetails">
    <w:name w:val="Party Details"/>
    <w:basedOn w:val="Normal"/>
    <w:next w:val="CellText"/>
    <w:semiHidden/>
    <w:locked/>
    <w:rPr>
      <w:sz w:val="18"/>
    </w:rPr>
  </w:style>
  <w:style w:type="paragraph" w:customStyle="1" w:styleId="PartyEmail">
    <w:name w:val="Party Email"/>
    <w:basedOn w:val="Normal"/>
    <w:next w:val="CellText"/>
    <w:semiHidden/>
    <w:locked/>
    <w:rPr>
      <w:sz w:val="18"/>
    </w:rPr>
  </w:style>
  <w:style w:type="paragraph" w:customStyle="1" w:styleId="PartyFax">
    <w:name w:val="Party Fax"/>
    <w:basedOn w:val="Normal"/>
    <w:next w:val="CellText"/>
    <w:semiHidden/>
    <w:locked/>
    <w:rPr>
      <w:sz w:val="18"/>
    </w:rPr>
  </w:style>
  <w:style w:type="paragraph" w:customStyle="1" w:styleId="PartyPhone">
    <w:name w:val="Party Phone"/>
    <w:basedOn w:val="Normal"/>
    <w:next w:val="CellText"/>
    <w:semiHidden/>
    <w:locked/>
    <w:rPr>
      <w:sz w:val="18"/>
    </w:rPr>
  </w:style>
  <w:style w:type="paragraph" w:customStyle="1" w:styleId="Recipient1">
    <w:name w:val="Recipient 1"/>
    <w:basedOn w:val="Normal"/>
    <w:next w:val="BodyText"/>
    <w:semiHidden/>
    <w:locked/>
    <w:pPr>
      <w:spacing w:after="0"/>
    </w:pPr>
  </w:style>
  <w:style w:type="paragraph" w:customStyle="1" w:styleId="Recipient2">
    <w:name w:val="Recipient 2"/>
    <w:basedOn w:val="Recipient1"/>
    <w:next w:val="BodyText"/>
    <w:semiHidden/>
    <w:locked/>
  </w:style>
  <w:style w:type="paragraph" w:customStyle="1" w:styleId="RecipientAddress">
    <w:name w:val="Recipient Address"/>
    <w:basedOn w:val="Normal"/>
    <w:semiHidden/>
    <w:locked/>
    <w:pPr>
      <w:spacing w:after="0"/>
    </w:pPr>
  </w:style>
  <w:style w:type="paragraph" w:customStyle="1" w:styleId="RecipientCompany">
    <w:name w:val="Recipient Company"/>
    <w:basedOn w:val="Normal"/>
    <w:next w:val="BodyText"/>
    <w:semiHidden/>
    <w:locked/>
    <w:pPr>
      <w:spacing w:after="0"/>
    </w:pPr>
  </w:style>
  <w:style w:type="paragraph" w:customStyle="1" w:styleId="RecipientEmail">
    <w:name w:val="Recipient Email"/>
    <w:basedOn w:val="Normal"/>
    <w:next w:val="BodyText"/>
    <w:semiHidden/>
    <w:locked/>
    <w:pPr>
      <w:spacing w:after="0"/>
    </w:pPr>
  </w:style>
  <w:style w:type="paragraph" w:customStyle="1" w:styleId="RecipientFax">
    <w:name w:val="Recipient Fax"/>
    <w:basedOn w:val="Normal"/>
    <w:next w:val="BodyText"/>
    <w:semiHidden/>
    <w:locked/>
    <w:pPr>
      <w:tabs>
        <w:tab w:val="left" w:pos="1134"/>
      </w:tabs>
      <w:spacing w:after="0"/>
    </w:pPr>
    <w:rPr>
      <w:b/>
    </w:rPr>
  </w:style>
  <w:style w:type="paragraph" w:customStyle="1" w:styleId="RecipientPhone">
    <w:name w:val="Recipient Phone"/>
    <w:basedOn w:val="Normal"/>
    <w:next w:val="BodyText"/>
    <w:semiHidden/>
    <w:locked/>
    <w:pPr>
      <w:tabs>
        <w:tab w:val="left" w:pos="1134"/>
      </w:tabs>
      <w:spacing w:after="0"/>
    </w:pPr>
  </w:style>
  <w:style w:type="paragraph" w:customStyle="1" w:styleId="RecipientPosition">
    <w:name w:val="Recipient Position"/>
    <w:basedOn w:val="Normal"/>
    <w:next w:val="BodyText"/>
    <w:semiHidden/>
    <w:locked/>
    <w:pPr>
      <w:spacing w:after="0"/>
    </w:pPr>
  </w:style>
  <w:style w:type="paragraph" w:customStyle="1" w:styleId="Remarks">
    <w:name w:val="Remarks"/>
    <w:basedOn w:val="Normal"/>
    <w:semiHidden/>
    <w:locked/>
    <w:pPr>
      <w:spacing w:after="240"/>
    </w:pPr>
    <w:rPr>
      <w:sz w:val="22"/>
    </w:rPr>
  </w:style>
  <w:style w:type="paragraph" w:styleId="Salutation">
    <w:name w:val="Salutation"/>
    <w:basedOn w:val="Normal"/>
    <w:next w:val="BodyText"/>
    <w:semiHidden/>
    <w:locked/>
    <w:pPr>
      <w:spacing w:after="240"/>
      <w:ind w:left="851"/>
    </w:pPr>
  </w:style>
  <w:style w:type="paragraph" w:customStyle="1" w:styleId="Schedule">
    <w:name w:val="Schedule"/>
    <w:basedOn w:val="Normal"/>
    <w:next w:val="BodyText"/>
    <w:pPr>
      <w:pBdr>
        <w:bottom w:val="single" w:sz="8" w:space="10" w:color="auto"/>
      </w:pBdr>
      <w:spacing w:before="600" w:after="240"/>
      <w:ind w:left="851"/>
    </w:pPr>
    <w:rPr>
      <w:sz w:val="28"/>
    </w:rPr>
  </w:style>
  <w:style w:type="paragraph" w:customStyle="1" w:styleId="Separator">
    <w:name w:val="Separator"/>
    <w:basedOn w:val="Normal"/>
    <w:semiHidden/>
    <w:locked/>
    <w:pPr>
      <w:spacing w:after="0"/>
    </w:pPr>
    <w:rPr>
      <w:sz w:val="16"/>
    </w:rPr>
  </w:style>
  <w:style w:type="paragraph" w:styleId="Signature">
    <w:name w:val="Signature"/>
    <w:basedOn w:val="Normal"/>
    <w:semiHidden/>
    <w:locked/>
  </w:style>
  <w:style w:type="paragraph" w:customStyle="1" w:styleId="SignOff">
    <w:name w:val="Sign Off"/>
    <w:basedOn w:val="Normal"/>
    <w:next w:val="BodyText"/>
    <w:semiHidden/>
    <w:locked/>
    <w:pPr>
      <w:spacing w:before="360"/>
      <w:ind w:left="851"/>
    </w:pPr>
  </w:style>
  <w:style w:type="paragraph" w:customStyle="1" w:styleId="StartText">
    <w:name w:val="Start Text"/>
    <w:basedOn w:val="BodyText"/>
    <w:next w:val="BodyText"/>
    <w:semiHidden/>
    <w:locked/>
    <w:pPr>
      <w:spacing w:before="600"/>
    </w:pPr>
  </w:style>
  <w:style w:type="paragraph" w:customStyle="1" w:styleId="Status">
    <w:name w:val="Status"/>
    <w:basedOn w:val="Normal"/>
    <w:semiHidden/>
    <w:locked/>
    <w:rPr>
      <w:sz w:val="22"/>
    </w:rPr>
  </w:style>
  <w:style w:type="paragraph" w:customStyle="1" w:styleId="Status2">
    <w:name w:val="Status 2"/>
    <w:basedOn w:val="Normal"/>
    <w:semiHidden/>
    <w:locked/>
    <w:pPr>
      <w:spacing w:after="0"/>
      <w:ind w:left="851"/>
    </w:pPr>
    <w:rPr>
      <w:sz w:val="22"/>
    </w:rPr>
  </w:style>
  <w:style w:type="paragraph" w:customStyle="1" w:styleId="Status3">
    <w:name w:val="Status 3"/>
    <w:basedOn w:val="Normal"/>
    <w:semiHidden/>
    <w:locked/>
    <w:rPr>
      <w:sz w:val="22"/>
    </w:rPr>
  </w:style>
  <w:style w:type="paragraph" w:customStyle="1" w:styleId="Status4">
    <w:name w:val="Status 4"/>
    <w:basedOn w:val="Normal"/>
    <w:semiHidden/>
    <w:locked/>
    <w:pPr>
      <w:ind w:left="851"/>
    </w:pPr>
    <w:rPr>
      <w:sz w:val="22"/>
    </w:rPr>
  </w:style>
  <w:style w:type="paragraph" w:customStyle="1" w:styleId="staybox">
    <w:name w:val="staybox"/>
    <w:basedOn w:val="greybox"/>
    <w:semiHidden/>
  </w:style>
  <w:style w:type="character" w:styleId="Strong">
    <w:name w:val="Strong"/>
    <w:basedOn w:val="DefaultParagraphFont"/>
    <w:rPr>
      <w:b/>
    </w:rPr>
  </w:style>
  <w:style w:type="character" w:customStyle="1" w:styleId="StrongEmphasis">
    <w:name w:val="Strong Emphasis"/>
    <w:basedOn w:val="DefaultParagraphFont"/>
    <w:rPr>
      <w:b/>
      <w:i/>
    </w:rPr>
  </w:style>
  <w:style w:type="paragraph" w:customStyle="1" w:styleId="Subject">
    <w:name w:val="Subject"/>
    <w:basedOn w:val="Normal"/>
    <w:semiHidden/>
    <w:locked/>
    <w:pPr>
      <w:spacing w:after="0"/>
    </w:pPr>
    <w:rPr>
      <w:b/>
      <w:sz w:val="24"/>
    </w:rPr>
  </w:style>
  <w:style w:type="paragraph" w:customStyle="1" w:styleId="Subject2">
    <w:name w:val="Subject 2"/>
    <w:basedOn w:val="Normal"/>
    <w:semiHidden/>
    <w:locked/>
    <w:rPr>
      <w:sz w:val="44"/>
    </w:rPr>
  </w:style>
  <w:style w:type="paragraph" w:customStyle="1" w:styleId="Subject3">
    <w:name w:val="Subject 3"/>
    <w:basedOn w:val="Normal"/>
    <w:semiHidden/>
    <w:locked/>
    <w:pPr>
      <w:spacing w:after="240"/>
    </w:pPr>
    <w:rPr>
      <w:sz w:val="36"/>
    </w:rPr>
  </w:style>
  <w:style w:type="paragraph" w:customStyle="1" w:styleId="Subject4">
    <w:name w:val="Subject 4"/>
    <w:basedOn w:val="Normal"/>
    <w:next w:val="BodyText"/>
    <w:semiHidden/>
    <w:pPr>
      <w:pBdr>
        <w:bottom w:val="single" w:sz="8" w:space="10" w:color="auto"/>
      </w:pBdr>
      <w:spacing w:before="600" w:after="240"/>
      <w:ind w:left="851"/>
    </w:pPr>
    <w:rPr>
      <w:sz w:val="28"/>
    </w:rPr>
  </w:style>
  <w:style w:type="paragraph" w:customStyle="1" w:styleId="Subject5">
    <w:name w:val="Subject 5"/>
    <w:basedOn w:val="Normal"/>
    <w:semiHidden/>
    <w:locked/>
    <w:pPr>
      <w:spacing w:after="240"/>
      <w:ind w:left="851"/>
    </w:pPr>
    <w:rPr>
      <w:b/>
      <w:sz w:val="24"/>
    </w:rPr>
  </w:style>
  <w:style w:type="table" w:styleId="Table3Deffects1">
    <w:name w:val="Table 3D effects 1"/>
    <w:basedOn w:val="TableNormal"/>
    <w:semiHidden/>
    <w:locked/>
    <w:tblPr>
      <w:tblInd w:w="0" w:type="dxa"/>
      <w:tblCellMar>
        <w:top w:w="0" w:type="dxa"/>
        <w:left w:w="108" w:type="dxa"/>
        <w:bottom w:w="0" w:type="dxa"/>
        <w:right w:w="108" w:type="dxa"/>
      </w:tblCellMar>
    </w:tblPr>
    <w:tcPr>
      <w:shd w:val="solid" w:color="C0C0C0" w:fill="FFFFFF"/>
    </w:tcPr>
    <w:tblStylePr w:type="firstRow">
      <w:rPr>
        <w:b/>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tblPr>
      <w:tblStyleRowBandSize w:val="1"/>
      <w:tblInd w:w="0" w:type="dxa"/>
      <w:tblCellMar>
        <w:top w:w="0" w:type="dxa"/>
        <w:left w:w="108" w:type="dxa"/>
        <w:bottom w:w="0" w:type="dxa"/>
        <w:right w:w="108" w:type="dxa"/>
      </w:tblCellMar>
    </w:tblPr>
    <w:tcPr>
      <w:shd w:val="solid" w:color="C0C0C0" w:fill="FFFFFF"/>
    </w:tc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3Deffects3">
    <w:name w:val="Table 3D effects 3"/>
    <w:basedOn w:val="TableNormal"/>
    <w:semiHidden/>
    <w:locked/>
    <w:tblPr>
      <w:tblStyleRowBandSize w:val="1"/>
      <w:tblStyleColBandSize w:val="1"/>
      <w:tblInd w:w="0" w:type="dxa"/>
      <w:tblCellMar>
        <w:top w:w="0" w:type="dxa"/>
        <w:left w:w="108" w:type="dxa"/>
        <w:bottom w:w="0" w:type="dxa"/>
        <w:right w:w="108" w:type="dxa"/>
      </w:tblCellMar>
    </w:tbl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customStyle="1" w:styleId="TableAddressees">
    <w:name w:val="Table Addressees"/>
    <w:basedOn w:val="TableNormal"/>
    <w:semiHidden/>
    <w:locked/>
    <w:tblPr>
      <w:tblInd w:w="0" w:type="dxa"/>
      <w:tblCellMar>
        <w:top w:w="0" w:type="dxa"/>
        <w:left w:w="0" w:type="dxa"/>
        <w:bottom w:w="454" w:type="dxa"/>
        <w:right w:w="0" w:type="dxa"/>
      </w:tblCellMar>
    </w:tblPr>
    <w:tblStylePr w:type="lastCol">
      <w:pPr>
        <w:jc w:val="right"/>
      </w:pPr>
    </w:tblStylePr>
  </w:style>
  <w:style w:type="table" w:customStyle="1" w:styleId="TableAuthors">
    <w:name w:val="Table Authors"/>
    <w:basedOn w:val="TableNormal"/>
    <w:semiHidden/>
    <w:locked/>
    <w:tblPr>
      <w:tblInd w:w="851" w:type="dxa"/>
      <w:tblCellMar>
        <w:top w:w="908" w:type="dxa"/>
        <w:left w:w="0" w:type="dxa"/>
        <w:bottom w:w="0" w:type="dxa"/>
        <w:right w:w="0" w:type="dxa"/>
      </w:tblCellMar>
    </w:tblPr>
  </w:style>
  <w:style w:type="table" w:styleId="TableClassic1">
    <w:name w:val="Table Classic 1"/>
    <w:basedOn w:val="TableNormal"/>
    <w:semiHidden/>
    <w:lock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i w:val="0"/>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lassic2">
    <w:name w:val="Table Classic 2"/>
    <w:basedOn w:val="TableNormal"/>
    <w:semiHidden/>
    <w:lock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shd w:val="solid" w:color="C0C0C0" w:fill="FFFFFF"/>
      </w:tcPr>
    </w:tblStylePr>
    <w:tblStylePr w:type="neCell">
      <w:rPr>
        <w:b/>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color w:val="000000"/>
      </w:rPr>
      <w:tblPr/>
      <w:tcPr>
        <w:tcBorders>
          <w:tl2br w:val="none" w:sz="0" w:space="0" w:color="auto"/>
          <w:tr2bl w:val="none" w:sz="0" w:space="0" w:color="auto"/>
        </w:tcBorders>
      </w:tcPr>
    </w:tblStylePr>
  </w:style>
  <w:style w:type="table" w:styleId="TableClassic4">
    <w:name w:val="Table Classic 4"/>
    <w:basedOn w:val="TableNormal"/>
    <w:semiHidden/>
    <w:lock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i/>
        <w:color w:val="FFFFFF"/>
      </w:rPr>
      <w:tblPr/>
      <w:tcPr>
        <w:tcBorders>
          <w:bottom w:val="single" w:sz="6" w:space="0" w:color="000000"/>
          <w:tl2br w:val="none" w:sz="0" w:space="0" w:color="auto"/>
          <w:tr2bl w:val="none" w:sz="0" w:space="0" w:color="auto"/>
        </w:tcBorders>
        <w:shd w:val="clear" w:color="000080" w:fill="FFFFFF"/>
      </w:tcPr>
    </w:tblStylePr>
    <w:tblStylePr w:type="lastRow">
      <w:rPr>
        <w:color w:val="000080"/>
      </w:rPr>
      <w:tblPr/>
      <w:tcPr>
        <w:tcBorders>
          <w:bottom w:val="single" w:sz="6" w:space="0" w:color="000000"/>
          <w:tl2br w:val="none" w:sz="0" w:space="0" w:color="auto"/>
          <w:tr2bl w:val="none" w:sz="0" w:space="0" w:color="auto"/>
        </w:tcBorders>
        <w:shd w:val="clear" w:color="000000" w:fill="FFFFFF"/>
      </w:tcPr>
    </w:tblStylePr>
    <w:tblStylePr w:type="firstCol">
      <w:rPr>
        <w:b/>
      </w:rPr>
      <w:tblPr/>
      <w:tcPr>
        <w:tcBorders>
          <w:tl2br w:val="none" w:sz="0" w:space="0" w:color="auto"/>
          <w:tr2bl w:val="none" w:sz="0" w:space="0" w:color="auto"/>
        </w:tcBorders>
      </w:tcPr>
    </w:tblStylePr>
    <w:tblStylePr w:type="nwCell">
      <w:rPr>
        <w:b/>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i/>
      </w:rPr>
      <w:tblPr/>
      <w:tcPr>
        <w:tcBorders>
          <w:tl2br w:val="none" w:sz="0" w:space="0" w:color="auto"/>
          <w:tr2bl w:val="none" w:sz="0" w:space="0" w:color="auto"/>
        </w:tcBorders>
        <w:shd w:val="solid" w:color="000000" w:fill="FFFFFF"/>
      </w:tcPr>
    </w:tblStylePr>
    <w:tblStylePr w:type="firstCol">
      <w:rPr>
        <w:b/>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i w:val="0"/>
      </w:rPr>
      <w:tblPr/>
      <w:tcPr>
        <w:tcBorders>
          <w:tl2br w:val="none" w:sz="0" w:space="0" w:color="auto"/>
          <w:tr2bl w:val="none" w:sz="0" w:space="0" w:color="auto"/>
        </w:tcBorders>
      </w:tcPr>
    </w:tblStylePr>
  </w:style>
  <w:style w:type="table" w:styleId="TableColorful2">
    <w:name w:val="Table Colorful 2"/>
    <w:basedOn w:val="TableNormal"/>
    <w:semiHidden/>
    <w:locked/>
    <w:tblPr>
      <w:tblInd w:w="0" w:type="dxa"/>
      <w:tblBorders>
        <w:bottom w:val="single" w:sz="12" w:space="0" w:color="000000"/>
      </w:tblBorders>
      <w:tblCellMar>
        <w:top w:w="0" w:type="dxa"/>
        <w:left w:w="108" w:type="dxa"/>
        <w:bottom w:w="0" w:type="dxa"/>
        <w:right w:w="108" w:type="dxa"/>
      </w:tblCellMar>
    </w:tblPr>
    <w:tcPr>
      <w:shd w:val="clear" w:color="FFFF00" w:fill="FFFFFF"/>
    </w:tcPr>
    <w:tblStylePr w:type="firstRow">
      <w:rPr>
        <w:b/>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i w:val="0"/>
      </w:rPr>
      <w:tblPr/>
      <w:tcPr>
        <w:tcBorders>
          <w:tl2br w:val="none" w:sz="0" w:space="0" w:color="auto"/>
          <w:tr2bl w:val="none" w:sz="0" w:space="0" w:color="auto"/>
        </w:tcBorders>
      </w:tcPr>
    </w:tblStylePr>
  </w:style>
  <w:style w:type="table" w:styleId="TableColorful3">
    <w:name w:val="Table Colorful 3"/>
    <w:basedOn w:val="TableNormal"/>
    <w:semiHidden/>
    <w:lock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clear"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Pr>
      <w: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rPr>
      <w:tblPr/>
      <w:tcPr>
        <w:tcBorders>
          <w:bottom w:val="double" w:sz="6" w:space="0" w:color="000000"/>
          <w:tl2br w:val="none" w:sz="0" w:space="0" w:color="auto"/>
          <w:tr2bl w:val="none" w:sz="0" w:space="0" w:color="auto"/>
        </w:tcBorders>
      </w:tcPr>
    </w:tblStylePr>
    <w:tblStylePr w:type="lastRow">
      <w:rPr>
        <w:b w:val="0"/>
      </w:rPr>
      <w:tblPr/>
      <w:tcPr>
        <w:tcBorders>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FF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2">
    <w:name w:val="Table Columns 2"/>
    <w:basedOn w:val="TableNormal"/>
    <w:semiHidden/>
    <w:locked/>
    <w:rPr>
      <w: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l2br w:val="none" w:sz="0" w:space="0" w:color="auto"/>
          <w:tr2bl w:val="none" w:sz="0" w:space="0" w:color="auto"/>
        </w:tcBorders>
      </w:tcPr>
    </w:tblStylePr>
    <w:tblStylePr w:type="firstCol">
      <w:rPr>
        <w:b w:val="0"/>
        <w:color w:val="00000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00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3">
    <w:name w:val="Table Columns 3"/>
    <w:basedOn w:val="TableNormal"/>
    <w:semiHidden/>
    <w:locked/>
    <w:rPr>
      <w: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op w:val="single" w:sz="6" w:space="0" w:color="00008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000000" w:fill="FFFFFF"/>
      </w:tcPr>
    </w:tblStylePr>
    <w:tblStylePr w:type="neCell">
      <w:rPr>
        <w:b/>
      </w:rPr>
      <w:tblPr/>
      <w:tcPr>
        <w:tcBorders>
          <w:tl2br w:val="none" w:sz="0" w:space="0" w:color="auto"/>
          <w:tr2bl w:val="none" w:sz="0" w:space="0" w:color="auto"/>
        </w:tcBorders>
      </w:tcPr>
    </w:tblStylePr>
  </w:style>
  <w:style w:type="table" w:styleId="TableColumns4">
    <w:name w:val="Table Columns 4"/>
    <w:basedOn w:val="TableNormal"/>
    <w:semiHidden/>
    <w:lock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clear" w:color="008080" w:fill="FFFFFF"/>
      </w:tcPr>
    </w:tblStylePr>
    <w:tblStylePr w:type="band2Vert">
      <w:rPr>
        <w:color w:val="auto"/>
      </w:rPr>
      <w:tblPr/>
      <w:tcPr>
        <w:shd w:val="clear" w:color="000000" w:fill="FFFFFF"/>
      </w:tcPr>
    </w:tblStylePr>
  </w:style>
  <w:style w:type="table" w:styleId="TableColumns5">
    <w:name w:val="Table Columns 5"/>
    <w:basedOn w:val="TableNormal"/>
    <w:semiHidden/>
    <w:lock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i/>
      </w:rPr>
      <w:tblPr/>
      <w:tcPr>
        <w:tcBorders>
          <w:bottom w:val="single" w:sz="6" w:space="0" w:color="808080"/>
          <w:tl2br w:val="none" w:sz="0" w:space="0" w:color="auto"/>
          <w:tr2bl w:val="none" w:sz="0" w:space="0" w:color="auto"/>
        </w:tcBorders>
      </w:tcPr>
    </w:tblStylePr>
    <w:tblStylePr w:type="lastRow">
      <w:rPr>
        <w:b/>
      </w:rPr>
      <w:tblPr/>
      <w:tcPr>
        <w:tcBorders>
          <w:top w:val="single" w:sz="6" w:space="0" w:color="80808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color w:val="auto"/>
      </w:rPr>
      <w:tblPr/>
      <w:tcPr>
        <w:tcBorders>
          <w:tl2br w:val="none" w:sz="0" w:space="0" w:color="auto"/>
          <w:tr2bl w:val="none" w:sz="0" w:space="0" w:color="auto"/>
        </w:tcBorders>
        <w:shd w:val="clear" w:color="000000" w:fill="FFFFFF"/>
      </w:tcPr>
    </w:tblStylePr>
    <w:tblStylePr w:type="band1Horz">
      <w:rPr>
        <w:color w:val="auto"/>
      </w:rPr>
      <w:tblPr/>
      <w:tcPr>
        <w:tcBorders>
          <w:tl2br w:val="none" w:sz="0" w:space="0" w:color="auto"/>
          <w:tr2bl w:val="none" w:sz="0" w:space="0" w:color="auto"/>
        </w:tcBorders>
        <w:shd w:val="clear" w:color="000000" w:fill="FFFFFF"/>
      </w:tcPr>
    </w:tblStylePr>
    <w:tblStylePr w:type="band2Horz">
      <w:rPr>
        <w:color w:val="auto"/>
      </w:rPr>
      <w:tblPr/>
      <w:tcPr>
        <w:tcBorders>
          <w:tl2br w:val="none" w:sz="0" w:space="0" w:color="auto"/>
          <w:tr2bl w:val="none" w:sz="0" w:space="0" w:color="auto"/>
        </w:tcBorders>
        <w:shd w:val="clear" w:color="000000" w:fill="FFFFFF"/>
      </w:tcPr>
    </w:tblStylePr>
  </w:style>
  <w:style w:type="table" w:customStyle="1" w:styleId="TableCorrespondence1">
    <w:name w:val="Table Correspondence 1"/>
    <w:basedOn w:val="TableNormal"/>
    <w:semiHidden/>
    <w:locked/>
    <w:tblPr>
      <w:tblStyleRowBandSize w:val="1"/>
      <w:tblInd w:w="0" w:type="dxa"/>
      <w:tblCellMar>
        <w:top w:w="284" w:type="dxa"/>
        <w:left w:w="0" w:type="dxa"/>
        <w:bottom w:w="284" w:type="dxa"/>
        <w:right w:w="0" w:type="dxa"/>
      </w:tblCellMar>
    </w:tblPr>
    <w:tblStylePr w:type="firstCol">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tblPr>
      <w:tblInd w:w="0" w:type="dxa"/>
      <w:tblCellMar>
        <w:top w:w="0" w:type="dxa"/>
        <w:left w:w="0" w:type="dxa"/>
        <w:bottom w:w="0" w:type="dxa"/>
        <w:right w:w="0" w:type="dxa"/>
      </w:tblCellMar>
    </w:tblPr>
    <w:tblStylePr w:type="lastRow">
      <w:tblPr>
        <w:tblCellMar>
          <w:top w:w="0" w:type="dxa"/>
          <w:left w:w="0" w:type="dxa"/>
          <w:bottom w:w="284" w:type="dxa"/>
          <w:right w:w="0" w:type="dxa"/>
        </w:tblCellMar>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tblPr>
      <w:tblInd w:w="0" w:type="dxa"/>
      <w:tblCellMar>
        <w:top w:w="0" w:type="dxa"/>
        <w:left w:w="0" w:type="dxa"/>
        <w:bottom w:w="0" w:type="dxa"/>
        <w:right w:w="0" w:type="dxa"/>
      </w:tblCellMar>
    </w:tblPr>
  </w:style>
  <w:style w:type="table" w:customStyle="1" w:styleId="TableCorrespondence4">
    <w:name w:val="Table Correspondence 4"/>
    <w:basedOn w:val="TableNormal"/>
    <w:semiHidden/>
    <w:locked/>
    <w:tblPr>
      <w:tblInd w:w="0" w:type="dxa"/>
      <w:tblCellMar>
        <w:top w:w="0" w:type="dxa"/>
        <w:left w:w="0" w:type="dxa"/>
        <w:bottom w:w="284" w:type="dxa"/>
        <w:right w:w="0" w:type="dxa"/>
      </w:tblCellMar>
    </w:tblPr>
    <w:tblStylePr w:type="lastRow">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ver">
    <w:name w:val="Table Cover"/>
    <w:basedOn w:val="TableNormal"/>
    <w:semiHidden/>
    <w:locked/>
    <w:tblPr>
      <w:tblInd w:w="1701" w:type="dxa"/>
      <w:tblCellMar>
        <w:top w:w="0" w:type="dxa"/>
        <w:left w:w="0" w:type="dxa"/>
        <w:bottom w:w="0" w:type="dxa"/>
        <w:right w:w="0" w:type="dxa"/>
      </w:tblCellMar>
    </w:tblPr>
  </w:style>
  <w:style w:type="table" w:styleId="TableElegant">
    <w:name w:val="Table Elegant"/>
    <w:basedOn w:val="TableNormal"/>
    <w:semiHidden/>
    <w:lock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xec1">
    <w:name w:val="Table Exec 1"/>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2">
    <w:name w:val="Table Exec 2"/>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3">
    <w:name w:val="Table Exec 3"/>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4">
    <w:name w:val="Table Exec 4"/>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5">
    <w:name w:val="Table Exec 5"/>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6">
    <w:name w:val="Table Exec 6"/>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7">
    <w:name w:val="Table Exec 7"/>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8">
    <w:name w:val="Table Exec 8"/>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9">
    <w:name w:val="Table Exec 9"/>
    <w:basedOn w:val="TableNormal"/>
    <w:semiHidden/>
    <w:locked/>
    <w:rPr>
      <w:sz w:val="18"/>
    </w:rPr>
    <w:tblPr>
      <w:tblInd w:w="0" w:type="dxa"/>
      <w:tblCellMar>
        <w:top w:w="0" w:type="dxa"/>
        <w:left w:w="0" w:type="dxa"/>
        <w:bottom w:w="0" w:type="dxa"/>
        <w:right w:w="0" w:type="dxa"/>
      </w:tblCellMar>
    </w:tblPr>
    <w:trPr>
      <w:cantSplit/>
    </w:trPr>
  </w:style>
  <w:style w:type="table" w:customStyle="1" w:styleId="TableForm">
    <w:name w:val="Table Form"/>
    <w:basedOn w:val="TableNormal"/>
    <w:semiHidden/>
    <w:locked/>
    <w:rPr>
      <w:sz w:val="16"/>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sz w:val="24"/>
      </w:rPr>
      <w:tblPr>
        <w:tblCellMar>
          <w:top w:w="85" w:type="dxa"/>
          <w:left w:w="57" w:type="dxa"/>
          <w:bottom w:w="85" w:type="dxa"/>
          <w:right w:w="0" w:type="dxa"/>
        </w:tblCellMar>
      </w:tblPr>
      <w:tcPr>
        <w:tcBorders>
          <w:top w:val="nil"/>
          <w:left w:val="nil"/>
          <w:bottom w:val="nil"/>
          <w:right w:val="nil"/>
          <w:insideH w:val="nil"/>
          <w:insideV w:val="nil"/>
          <w:tl2br w:val="nil"/>
          <w:tr2bl w:val="nil"/>
        </w:tcBorders>
        <w:shd w:val="clear" w:color="auto" w:fill="E6E6E6"/>
      </w:tcPr>
    </w:tblStylePr>
  </w:style>
  <w:style w:type="table" w:styleId="TableGrid">
    <w:name w:val="Table Grid"/>
    <w:basedOn w:val="TableNormal"/>
    <w:semiHidden/>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semiHidden/>
    <w:lock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rPr>
      <w:tblPr/>
      <w:tcPr>
        <w:tcBorders>
          <w:tl2br w:val="none" w:sz="0" w:space="0" w:color="auto"/>
          <w:tr2bl w:val="none" w:sz="0" w:space="0" w:color="auto"/>
        </w:tcBorders>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3">
    <w:name w:val="Table Grid 3"/>
    <w:basedOn w:val="TableNormal"/>
    <w:semiHidden/>
    <w:lock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clear" w:color="FFFF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4">
    <w:name w:val="Table Grid 4"/>
    <w:basedOn w:val="TableNormal"/>
    <w:semiHidden/>
    <w:lock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clear" w:color="FFFF00" w:fill="FFFFFF"/>
      </w:tcPr>
    </w:tblStylePr>
    <w:tblStylePr w:type="lastRow">
      <w:rPr>
        <w:b/>
        <w:color w:val="auto"/>
      </w:rPr>
      <w:tblPr/>
      <w:tcPr>
        <w:tcBorders>
          <w:top w:val="single" w:sz="6" w:space="0" w:color="000000"/>
          <w:tl2br w:val="none" w:sz="0" w:space="0" w:color="auto"/>
          <w:tr2bl w:val="none" w:sz="0" w:space="0" w:color="auto"/>
        </w:tcBorders>
        <w:shd w:val="clear" w:color="FFFF00" w:fill="FFFFFF"/>
      </w:tcPr>
    </w:tblStylePr>
    <w:tblStylePr w:type="lastCol">
      <w:rPr>
        <w:b/>
        <w:color w:val="auto"/>
      </w:rPr>
      <w:tblPr/>
      <w:tcPr>
        <w:tcBorders>
          <w:tl2br w:val="none" w:sz="0" w:space="0" w:color="auto"/>
          <w:tr2bl w:val="none" w:sz="0" w:space="0" w:color="auto"/>
        </w:tcBorders>
      </w:tcPr>
    </w:tblStylePr>
  </w:style>
  <w:style w:type="table" w:styleId="TableGrid5">
    <w:name w:val="Table Grid 5"/>
    <w:basedOn w:val="TableNormal"/>
    <w:semiHidden/>
    <w:lock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Pr>
      <w: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rPr>
      <w:tblPr/>
      <w:tcPr>
        <w:tcBorders>
          <w:bottom w:val="single" w:sz="12" w:space="0" w:color="000000"/>
          <w:tl2br w:val="none" w:sz="0" w:space="0" w:color="auto"/>
          <w:tr2bl w:val="none" w:sz="0" w:space="0" w:color="auto"/>
        </w:tcBorders>
      </w:tcPr>
    </w:tblStylePr>
    <w:tblStylePr w:type="lastRow">
      <w:rPr>
        <w:b w:val="0"/>
      </w:rPr>
      <w:tblPr/>
      <w:tcPr>
        <w:tcBorders>
          <w:top w:val="single" w:sz="6" w:space="0" w:color="00000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color w:val="FFFFFF"/>
      </w:rPr>
      <w:tblPr/>
      <w:tcPr>
        <w:tcBorders>
          <w:tl2br w:val="none" w:sz="0" w:space="0" w:color="auto"/>
          <w:tr2bl w:val="none" w:sz="0" w:space="0" w:color="auto"/>
        </w:tcBorders>
        <w:shd w:val="solid" w:color="000080" w:fill="FFFFFF"/>
      </w:tcPr>
    </w:tblStylePr>
    <w:tblStylePr w:type="lastRow">
      <w:rPr>
        <w:b/>
        <w:color w:val="auto"/>
      </w:rPr>
      <w:tblPr/>
      <w:tcPr>
        <w:tcBorders>
          <w:tl2br w:val="none" w:sz="0" w:space="0" w:color="auto"/>
          <w:tr2bl w:val="none" w:sz="0" w:space="0" w:color="auto"/>
        </w:tcBorders>
      </w:tcPr>
    </w:tblStylePr>
    <w:tblStylePr w:type="lastCol">
      <w:rPr>
        <w:b/>
        <w:color w:val="auto"/>
      </w:rPr>
      <w:tblPr/>
      <w:tcPr>
        <w:tcBorders>
          <w:tl2br w:val="none" w:sz="0" w:space="0" w:color="auto"/>
          <w:tr2bl w:val="none" w:sz="0" w:space="0" w:color="auto"/>
        </w:tcBorders>
      </w:tcPr>
    </w:tblStylePr>
  </w:style>
  <w:style w:type="table" w:customStyle="1" w:styleId="TableLayout1">
    <w:name w:val="Table Layout 1"/>
    <w:basedOn w:val="TableNormal"/>
    <w:semiHidden/>
    <w:locked/>
    <w:tblPr>
      <w:tblInd w:w="0" w:type="dxa"/>
      <w:tblCellMar>
        <w:top w:w="0" w:type="dxa"/>
        <w:left w:w="0" w:type="dxa"/>
        <w:bottom w:w="0" w:type="dxa"/>
        <w:right w:w="0" w:type="dxa"/>
      </w:tblCellMar>
    </w:tblPr>
  </w:style>
  <w:style w:type="table" w:customStyle="1" w:styleId="TableLayout2">
    <w:name w:val="Table Layout 2"/>
    <w:basedOn w:val="TableLayout1"/>
    <w:semiHidden/>
    <w:locked/>
    <w:tblPr>
      <w:tblInd w:w="0" w:type="dxa"/>
      <w:tblCellMar>
        <w:top w:w="0" w:type="dxa"/>
        <w:left w:w="0" w:type="dxa"/>
        <w:bottom w:w="0" w:type="dxa"/>
        <w:right w:w="0" w:type="dxa"/>
      </w:tblCellMar>
    </w:tblPr>
    <w:tcPr>
      <w:vAlign w:val="bottom"/>
    </w:tcPr>
  </w:style>
  <w:style w:type="table" w:customStyle="1" w:styleId="TableLayout3">
    <w:name w:val="Table Layout 3"/>
    <w:basedOn w:val="TableLayout2"/>
    <w:semiHidden/>
    <w:locked/>
    <w:pPr>
      <w:jc w:val="right"/>
    </w:pPr>
    <w:tblPr>
      <w:jc w:val="center"/>
      <w:tblInd w:w="0" w:type="dxa"/>
      <w:tblCellMar>
        <w:top w:w="0" w:type="dxa"/>
        <w:left w:w="0" w:type="dxa"/>
        <w:bottom w:w="0" w:type="dxa"/>
        <w:right w:w="0" w:type="dxa"/>
      </w:tblCellMar>
    </w:tblPr>
    <w:trPr>
      <w:jc w:val="center"/>
    </w:trPr>
    <w:tcPr>
      <w:vAlign w:val="bottom"/>
    </w:tcPr>
  </w:style>
  <w:style w:type="table" w:styleId="TableList1">
    <w:name w:val="Table List 1"/>
    <w:basedOn w:val="TableNormal"/>
    <w:semiHidden/>
    <w:lock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2">
    <w:name w:val="Table List 2"/>
    <w:basedOn w:val="TableNormal"/>
    <w:semiHidden/>
    <w:locked/>
    <w:tblPr>
      <w:tblStyleRowBandSize w:val="2"/>
      <w:tblInd w:w="0" w:type="dxa"/>
      <w:tblBorders>
        <w:bottom w:val="single" w:sz="12" w:space="0" w:color="808080"/>
      </w:tblBorders>
      <w:tblCellMar>
        <w:top w:w="0" w:type="dxa"/>
        <w:left w:w="108" w:type="dxa"/>
        <w:bottom w:w="0" w:type="dxa"/>
        <w:right w:w="108" w:type="dxa"/>
      </w:tblCellMar>
    </w:tblPr>
    <w:tblStylePr w:type="firstRow">
      <w:rPr>
        <w:b/>
        <w:color w:val="FFFFFF"/>
      </w:rPr>
      <w:tblPr/>
      <w:tcPr>
        <w:tcBorders>
          <w:bottom w:val="single" w:sz="6" w:space="0" w:color="000000"/>
          <w:tl2br w:val="none" w:sz="0" w:space="0" w:color="auto"/>
          <w:tr2bl w:val="none" w:sz="0" w:space="0" w:color="auto"/>
        </w:tcBorders>
        <w:shd w:val="clear"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FF0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3">
    <w:name w:val="Table List 3"/>
    <w:basedOn w:val="TableNormal"/>
    <w:semiHidden/>
    <w:lock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lock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style>
  <w:style w:type="table" w:styleId="TableList6">
    <w:name w:val="Table List 6"/>
    <w:basedOn w:val="TableNormal"/>
    <w:semiHidden/>
    <w:lock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clear" w:color="000000" w:fill="FFFFFF"/>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clear" w:color="000000" w:fill="FFFFFF"/>
      </w:tcPr>
    </w:tblStylePr>
  </w:style>
  <w:style w:type="table" w:styleId="TableList7">
    <w:name w:val="Table List 7"/>
    <w:basedOn w:val="TableNormal"/>
    <w:semiHidden/>
    <w:lock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rPr>
      <w:tblPr/>
      <w:tcPr>
        <w:tcBorders>
          <w:bottom w:val="single" w:sz="12" w:space="0" w:color="008000"/>
          <w:tl2br w:val="none" w:sz="0" w:space="0" w:color="auto"/>
          <w:tr2bl w:val="none" w:sz="0" w:space="0" w:color="auto"/>
        </w:tcBorders>
        <w:shd w:val="solid" w:color="C0C0C0" w:fill="FFFFFF"/>
      </w:tcPr>
    </w:tblStylePr>
    <w:tblStylePr w:type="lastRow">
      <w:rPr>
        <w:b/>
      </w:rPr>
      <w:tblPr/>
      <w:tcPr>
        <w:tcBorders>
          <w:top w:val="single" w:sz="12" w:space="0" w:color="008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0000" w:fill="FFFFFF"/>
      </w:tcPr>
    </w:tblStylePr>
    <w:tblStylePr w:type="band2Horz">
      <w:tblPr/>
      <w:tcPr>
        <w:tcBorders>
          <w:tl2br w:val="none" w:sz="0" w:space="0" w:color="auto"/>
          <w:tr2bl w:val="none" w:sz="0" w:space="0" w:color="auto"/>
        </w:tcBorders>
        <w:shd w:val="clear" w:color="FFFF00" w:fill="FFFFFF"/>
      </w:tcPr>
    </w:tblStylePr>
  </w:style>
  <w:style w:type="table" w:styleId="TableList8">
    <w:name w:val="Table List 8"/>
    <w:basedOn w:val="TableNormal"/>
    <w:semiHidden/>
    <w:lock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i/>
      </w:rPr>
      <w:tblPr/>
      <w:tcPr>
        <w:tcBorders>
          <w:bottom w:val="single" w:sz="6" w:space="0" w:color="000000"/>
          <w:tl2br w:val="none" w:sz="0" w:space="0" w:color="auto"/>
          <w:tr2bl w:val="none" w:sz="0" w:space="0" w:color="auto"/>
        </w:tcBorders>
        <w:shd w:val="solid" w:color="FFFF00" w:fill="FFFFFF"/>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FFFF00" w:fill="FFFFFF"/>
      </w:tcPr>
    </w:tblStylePr>
    <w:tblStylePr w:type="band2Horz">
      <w:tblPr/>
      <w:tcPr>
        <w:tcBorders>
          <w:tl2br w:val="none" w:sz="0" w:space="0" w:color="auto"/>
          <w:tr2bl w:val="none" w:sz="0" w:space="0" w:color="auto"/>
        </w:tcBorders>
        <w:shd w:val="clear" w:color="FF0000" w:fill="FFFFFF"/>
      </w:tcPr>
    </w:tblStylePr>
  </w:style>
  <w:style w:type="table" w:customStyle="1" w:styleId="TableParties">
    <w:name w:val="Table Parties"/>
    <w:basedOn w:val="TableNormal"/>
    <w:semiHidden/>
    <w:rPr>
      <w:sz w:val="18"/>
    </w:rPr>
    <w:tblPr>
      <w:tblInd w:w="851" w:type="dxa"/>
      <w:tblCellMar>
        <w:top w:w="227" w:type="dxa"/>
        <w:left w:w="0" w:type="dxa"/>
        <w:bottom w:w="113" w:type="dxa"/>
        <w:right w:w="113" w:type="dxa"/>
      </w:tblCellMar>
    </w:tblPr>
    <w:trPr>
      <w:cantSplit/>
    </w:trPr>
  </w:style>
  <w:style w:type="table" w:customStyle="1" w:styleId="TableParty">
    <w:name w:val="Table Party"/>
    <w:basedOn w:val="TableNormal"/>
    <w:semiHidden/>
    <w:locked/>
    <w:tblPr>
      <w:tblInd w:w="851" w:type="dxa"/>
      <w:tblCellMar>
        <w:top w:w="0" w:type="dxa"/>
        <w:left w:w="0" w:type="dxa"/>
        <w:bottom w:w="113" w:type="dxa"/>
        <w:right w:w="0" w:type="dxa"/>
      </w:tblCellMar>
    </w:tblPr>
    <w:tblStylePr w:type="lastRow">
      <w:tblPr/>
      <w:tcPr>
        <w:tcBorders>
          <w:top w:val="nil"/>
          <w:left w:val="nil"/>
          <w:bottom w:val="single" w:sz="4" w:space="0" w:color="4D4D4D"/>
          <w:right w:val="nil"/>
          <w:insideH w:val="nil"/>
          <w:insideV w:val="nil"/>
          <w:tl2br w:val="nil"/>
          <w:tr2bl w:val="nil"/>
        </w:tcBorders>
      </w:tcPr>
    </w:tblStylePr>
  </w:style>
  <w:style w:type="table" w:styleId="TableProfessional">
    <w:name w:val="Table Professional"/>
    <w:basedOn w:val="TableNormal"/>
    <w:semiHidden/>
    <w:lock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tblPr>
      <w:tblInd w:w="0" w:type="dxa"/>
      <w:tblCellMar>
        <w:top w:w="0" w:type="dxa"/>
        <w:left w:w="108" w:type="dxa"/>
        <w:bottom w:w="0" w:type="dxa"/>
        <w:right w:w="108" w:type="dxa"/>
      </w:tblCellMar>
    </w:tblPr>
    <w:tblStylePr w:type="firstRow">
      <w:rPr>
        <w:b/>
      </w:rPr>
      <w:tblPr/>
      <w:tcPr>
        <w:tcBorders>
          <w:bottom w:val="single" w:sz="12" w:space="0" w:color="000000"/>
          <w:tl2br w:val="none" w:sz="0" w:space="0" w:color="auto"/>
          <w:tr2bl w:val="none" w:sz="0" w:space="0" w:color="auto"/>
        </w:tcBorders>
      </w:tcPr>
    </w:tblStylePr>
    <w:tblStylePr w:type="lastRow">
      <w:rPr>
        <w:b/>
        <w:color w:val="auto"/>
      </w:rPr>
      <w:tblPr/>
      <w:tcPr>
        <w:tcBorders>
          <w:top w:val="single" w:sz="6"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lastCol">
      <w:rPr>
        <w:b/>
      </w:rPr>
      <w:tblPr/>
      <w:tcPr>
        <w:tcBorders>
          <w:left w:val="single" w:sz="6" w:space="0" w:color="000000"/>
          <w:tl2br w:val="none" w:sz="0" w:space="0" w:color="auto"/>
          <w:tr2bl w:val="none" w:sz="0" w:space="0" w:color="auto"/>
        </w:tcBorders>
      </w:tcPr>
    </w:tblStylePr>
    <w:tblStylePr w:type="neCell">
      <w:rPr>
        <w:b/>
      </w:rPr>
      <w:tblPr/>
      <w:tcPr>
        <w:tcBorders>
          <w:left w:val="none" w:sz="0" w:space="0" w:color="auto"/>
          <w:tl2br w:val="none" w:sz="0" w:space="0" w:color="auto"/>
          <w:tr2bl w:val="none" w:sz="0" w:space="0" w:color="auto"/>
        </w:tcBorders>
      </w:tcPr>
    </w:tblStylePr>
    <w:tblStylePr w:type="swCell">
      <w:rPr>
        <w:b/>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color w:val="FFFFFF"/>
      </w:rPr>
      <w:tblPr/>
      <w:tcPr>
        <w:tcBorders>
          <w:tl2br w:val="none" w:sz="0" w:space="0" w:color="auto"/>
          <w:tr2bl w:val="none" w:sz="0" w:space="0" w:color="auto"/>
        </w:tcBorders>
        <w:shd w:val="solid" w:color="000000" w:fill="FFFFFF"/>
      </w:tcPr>
    </w:tblStylePr>
  </w:style>
  <w:style w:type="table" w:customStyle="1" w:styleId="TableStyle">
    <w:name w:val="Table Style"/>
    <w:basedOn w:val="TableNormal"/>
    <w:rPr>
      <w:sz w:val="18"/>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styleId="TableSubtle1">
    <w:name w:val="Table Subtle 1"/>
    <w:basedOn w:val="TableNormal"/>
    <w:semiHidden/>
    <w:lock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clear"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Subtle2">
    <w:name w:val="Table Subtle 2"/>
    <w:basedOn w:val="TableNormal"/>
    <w:semiHidden/>
    <w:lock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clear" w:color="008000" w:fill="FFFFFF"/>
      </w:tcPr>
    </w:tblStylePr>
    <w:tblStylePr w:type="lastCol">
      <w:tblPr/>
      <w:tcPr>
        <w:tcBorders>
          <w:left w:val="single" w:sz="12"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Theme">
    <w:name w:val="Table Theme"/>
    <w:basedOn w:val="TableNormal"/>
    <w:semiHidden/>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rm">
    <w:name w:val="Term"/>
    <w:basedOn w:val="Normal"/>
    <w:next w:val="BodyText"/>
    <w:rPr>
      <w:b/>
      <w:sz w:val="18"/>
    </w:rPr>
  </w:style>
  <w:style w:type="paragraph" w:customStyle="1" w:styleId="Text">
    <w:name w:val="Text"/>
    <w:basedOn w:val="Normal"/>
    <w:semiHidden/>
    <w:locked/>
  </w:style>
  <w:style w:type="paragraph" w:styleId="Title">
    <w:name w:val="Title"/>
    <w:basedOn w:val="Normal"/>
    <w:next w:val="BodyText"/>
    <w:pPr>
      <w:pBdr>
        <w:bottom w:val="single" w:sz="8" w:space="10" w:color="auto"/>
      </w:pBdr>
      <w:spacing w:before="600" w:after="240"/>
      <w:ind w:left="851"/>
    </w:pPr>
    <w:rPr>
      <w:sz w:val="28"/>
    </w:rPr>
  </w:style>
  <w:style w:type="paragraph" w:styleId="TOC1">
    <w:name w:val="toc 1"/>
    <w:basedOn w:val="Normal"/>
    <w:next w:val="BodyText"/>
    <w:semiHidden/>
    <w:locked/>
    <w:pPr>
      <w:keepNext/>
      <w:tabs>
        <w:tab w:val="left" w:pos="851"/>
        <w:tab w:val="right" w:pos="8800"/>
      </w:tabs>
      <w:spacing w:before="120" w:after="60"/>
      <w:ind w:left="851" w:right="284" w:hanging="851"/>
    </w:pPr>
    <w:rPr>
      <w:b/>
      <w:sz w:val="22"/>
    </w:rPr>
  </w:style>
  <w:style w:type="paragraph" w:styleId="TOC2">
    <w:name w:val="toc 2"/>
    <w:basedOn w:val="Normal"/>
    <w:next w:val="BodyText"/>
    <w:semiHidden/>
    <w:locked/>
    <w:pPr>
      <w:tabs>
        <w:tab w:val="left" w:pos="1418"/>
        <w:tab w:val="right" w:leader="dot" w:pos="8800"/>
      </w:tabs>
      <w:spacing w:after="0"/>
      <w:ind w:left="1418" w:right="284" w:hanging="567"/>
    </w:pPr>
  </w:style>
  <w:style w:type="paragraph" w:styleId="TOC3">
    <w:name w:val="toc 3"/>
    <w:basedOn w:val="Normal"/>
    <w:next w:val="BodyText"/>
    <w:semiHidden/>
    <w:locked/>
    <w:pPr>
      <w:tabs>
        <w:tab w:val="right" w:pos="8800"/>
      </w:tabs>
      <w:spacing w:before="120" w:after="360"/>
      <w:ind w:left="851" w:right="284"/>
    </w:pPr>
    <w:rPr>
      <w:b/>
      <w:sz w:val="24"/>
    </w:rPr>
  </w:style>
  <w:style w:type="paragraph" w:styleId="TOC4">
    <w:name w:val="toc 4"/>
    <w:basedOn w:val="Normal"/>
    <w:next w:val="BodyText"/>
    <w:semiHidden/>
    <w:locked/>
    <w:pPr>
      <w:tabs>
        <w:tab w:val="right" w:pos="8800"/>
      </w:tabs>
      <w:spacing w:before="360" w:after="360"/>
      <w:ind w:left="851" w:right="284"/>
    </w:pPr>
    <w:rPr>
      <w:b/>
      <w:sz w:val="24"/>
    </w:rPr>
  </w:style>
  <w:style w:type="paragraph" w:styleId="TOC5">
    <w:name w:val="toc 5"/>
    <w:basedOn w:val="Normal"/>
    <w:next w:val="BodyText"/>
    <w:semiHidden/>
    <w:locked/>
    <w:pPr>
      <w:tabs>
        <w:tab w:val="right" w:pos="8800"/>
      </w:tabs>
      <w:ind w:left="851" w:right="284"/>
    </w:pPr>
    <w:rPr>
      <w:b/>
      <w:sz w:val="22"/>
    </w:rPr>
  </w:style>
  <w:style w:type="paragraph" w:styleId="TOC6">
    <w:name w:val="toc 6"/>
    <w:basedOn w:val="Normal"/>
    <w:next w:val="BodyText"/>
    <w:semiHidden/>
    <w:locked/>
    <w:pPr>
      <w:keepNext/>
      <w:tabs>
        <w:tab w:val="right" w:pos="8800"/>
      </w:tabs>
      <w:spacing w:before="360"/>
      <w:ind w:left="851" w:right="284"/>
    </w:pPr>
    <w:rPr>
      <w:b/>
      <w:sz w:val="24"/>
    </w:rPr>
  </w:style>
  <w:style w:type="paragraph" w:styleId="TOC7">
    <w:name w:val="toc 7"/>
    <w:basedOn w:val="Normal"/>
    <w:next w:val="BodyText"/>
    <w:semiHidden/>
    <w:locked/>
    <w:pPr>
      <w:tabs>
        <w:tab w:val="right" w:pos="8800"/>
      </w:tabs>
      <w:ind w:left="851" w:right="284"/>
    </w:pPr>
    <w:rPr>
      <w:b/>
      <w:sz w:val="22"/>
    </w:rPr>
  </w:style>
  <w:style w:type="paragraph" w:styleId="TOC8">
    <w:name w:val="toc 8"/>
    <w:basedOn w:val="Normal"/>
    <w:next w:val="BodyText"/>
    <w:semiHidden/>
    <w:locked/>
    <w:pPr>
      <w:spacing w:after="0"/>
      <w:ind w:right="284"/>
    </w:pPr>
  </w:style>
  <w:style w:type="paragraph" w:styleId="TOC9">
    <w:name w:val="toc 9"/>
    <w:basedOn w:val="Normal"/>
    <w:next w:val="BodyText"/>
    <w:semiHidden/>
    <w:locked/>
    <w:pPr>
      <w:spacing w:after="0"/>
      <w:ind w:right="284"/>
    </w:pPr>
  </w:style>
  <w:style w:type="paragraph" w:customStyle="1" w:styleId="Topic1">
    <w:name w:val="Topic 1"/>
    <w:basedOn w:val="Normal"/>
    <w:next w:val="BodyText"/>
    <w:semiHidden/>
    <w:rPr>
      <w:b/>
    </w:rPr>
  </w:style>
  <w:style w:type="paragraph" w:customStyle="1" w:styleId="Topic2">
    <w:name w:val="Topic 2"/>
    <w:basedOn w:val="Normal"/>
    <w:next w:val="CellText"/>
    <w:semiHidden/>
    <w:rPr>
      <w:sz w:val="22"/>
    </w:rPr>
  </w:style>
  <w:style w:type="character" w:styleId="PlaceholderText">
    <w:name w:val="Placeholder Text"/>
    <w:basedOn w:val="DefaultParagraphFont"/>
    <w:unhideWhenUsed/>
    <w:rPr>
      <w:color w:val="808080"/>
    </w:rPr>
  </w:style>
  <w:style w:type="paragraph" w:styleId="BalloonText">
    <w:name w:val="Balloon Text"/>
    <w:basedOn w:val="Normal"/>
    <w:link w:val="BalloonTextChar"/>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AU" w:eastAsia="en-AU"/>
    </w:rPr>
  </w:style>
  <w:style w:type="paragraph" w:customStyle="1" w:styleId="NoTOCHdg5">
    <w:name w:val="NoTOCHdg 5"/>
    <w:basedOn w:val="Normal"/>
    <w:next w:val="BodyTextIndent3"/>
    <w:semiHidden/>
    <w:locked/>
    <w:pPr>
      <w:numPr>
        <w:ilvl w:val="4"/>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reehills\Office\Templates\w10_portraitPlain.dotx" TargetMode="External"/></Relationships>
</file>

<file path=word/theme/theme1.xml><?xml version="1.0" encoding="utf-8"?>
<a:theme xmlns:a="http://schemas.openxmlformats.org/drawingml/2006/main" name="p10_freehills">
  <a:themeElements>
    <a:clrScheme name="Freehills - print">
      <a:dk1>
        <a:srgbClr val="000000"/>
      </a:dk1>
      <a:lt1>
        <a:srgbClr val="FFFFFF"/>
      </a:lt1>
      <a:dk2>
        <a:srgbClr val="0066CC"/>
      </a:dk2>
      <a:lt2>
        <a:srgbClr val="003366"/>
      </a:lt2>
      <a:accent1>
        <a:srgbClr val="3399FF"/>
      </a:accent1>
      <a:accent2>
        <a:srgbClr val="99CCFF"/>
      </a:accent2>
      <a:accent3>
        <a:srgbClr val="808080"/>
      </a:accent3>
      <a:accent4>
        <a:srgbClr val="B2B2B2"/>
      </a:accent4>
      <a:accent5>
        <a:srgbClr val="FFCC00"/>
      </a:accent5>
      <a:accent6>
        <a:srgbClr val="FF9933"/>
      </a:accent6>
      <a:hlink>
        <a:srgbClr val="265897"/>
      </a:hlink>
      <a:folHlink>
        <a:srgbClr val="808080"/>
      </a:folHlink>
    </a:clrScheme>
    <a:fontScheme name="Freehil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bg2"/>
        </a:solidFill>
        <a:ln>
          <a:noFill/>
        </a:ln>
        <a:extLst/>
      </a:spPr>
      <a:bodyPr vert="horz" wrap="square" lIns="36000" tIns="36000" rIns="36000" bIns="36000" numCol="1" rtlCol="0" anchor="ctr" anchorCtr="0" compatLnSpc="1">
        <a:prstTxWarp prst="textNoShape">
          <a:avLst/>
        </a:prstTxWarp>
        <a:noAutofit/>
      </a:bodyPr>
      <a:lstStyle>
        <a:defPPr marL="0" marR="0" indent="0" algn="ctr" defTabSz="1042988" rtl="0" eaLnBrk="1" fontAlgn="base" latinLnBrk="0" hangingPunct="1">
          <a:lnSpc>
            <a:spcPct val="100000"/>
          </a:lnSpc>
          <a:spcBef>
            <a:spcPct val="0"/>
          </a:spcBef>
          <a:spcAft>
            <a:spcPct val="0"/>
          </a:spcAft>
          <a:buClrTx/>
          <a:buSzTx/>
          <a:buFontTx/>
          <a:buNone/>
          <a:tabLst/>
          <a:defRPr kumimoji="0" sz="1200" b="0" i="0" u="none" strike="noStrike" cap="none" normalizeH="0" baseline="0" dirty="0" smtClean="0">
            <a:ln>
              <a:noFill/>
            </a:ln>
            <a:solidFill>
              <a:schemeClr val="bg1"/>
            </a:solidFill>
            <a:effectLst/>
            <a:latin typeface="Arial" charset="0"/>
          </a:defRPr>
        </a:defPPr>
      </a:lstStyle>
      <a:style>
        <a:lnRef idx="2">
          <a:schemeClr val="dk1">
            <a:shade val="50000"/>
          </a:schemeClr>
        </a:lnRef>
        <a:fillRef idx="1">
          <a:schemeClr val="dk1"/>
        </a:fillRef>
        <a:effectRef idx="0">
          <a:schemeClr val="dk1"/>
        </a:effectRef>
        <a:fontRef idx="minor">
          <a:schemeClr val="lt1"/>
        </a:fontRef>
      </a:style>
    </a:spDef>
    <a:lnDef>
      <a:spPr bwMode="auto">
        <a:noFill/>
        <a:ln w="6350" cap="flat" cmpd="sng" algn="ctr">
          <a:solidFill>
            <a:schemeClr val="accent3"/>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objectDefaults>
  <a:extraClrSchemeLst>
    <a:extraClrScheme>
      <a:clrScheme name="Freehills">
        <a:dk1>
          <a:srgbClr val="000000"/>
        </a:dk1>
        <a:lt1>
          <a:srgbClr val="FFFFFF"/>
        </a:lt1>
        <a:dk2>
          <a:srgbClr val="0066CC"/>
        </a:dk2>
        <a:lt2>
          <a:srgbClr val="003366"/>
        </a:lt2>
        <a:accent1>
          <a:srgbClr val="3399FF"/>
        </a:accent1>
        <a:accent2>
          <a:srgbClr val="99CCFF"/>
        </a:accent2>
        <a:accent3>
          <a:srgbClr val="808080"/>
        </a:accent3>
        <a:accent4>
          <a:srgbClr val="B2B2B2"/>
        </a:accent4>
        <a:accent5>
          <a:srgbClr val="FFCC00"/>
        </a:accent5>
        <a:accent6>
          <a:srgbClr val="FF9933"/>
        </a:accent6>
        <a:hlink>
          <a:srgbClr val="265897"/>
        </a:hlink>
        <a:folHlink>
          <a:srgbClr val="80808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w10_portraitPlain.dotx</Template>
  <TotalTime>1</TotalTime>
  <Pages>6</Pages>
  <Words>1972</Words>
  <Characters>11246</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Productivity Commission - The Access Regime (the Issues Paper)</vt:lpstr>
    </vt:vector>
  </TitlesOfParts>
  <Company>Herbert Smith Freehills</Company>
  <LinksUpToDate>false</LinksUpToDate>
  <CharactersWithSpaces>13192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33 - Bob Baxt - National Access Regime public inquiry</dc:title>
  <dc:creator>Bob Baxt</dc:creator>
  <cp:keywords>4.0.0.1</cp:keywords>
  <cp:lastModifiedBy>Productivity Commission</cp:lastModifiedBy>
  <cp:revision>2</cp:revision>
  <dcterms:created xsi:type="dcterms:W3CDTF">2013-02-20T23:17:00Z</dcterms:created>
  <dcterms:modified xsi:type="dcterms:W3CDTF">2013-02-20T23:17:00Z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ID">
    <vt:lpwstr>?</vt:lpwstr>
  </property>
  <property fmtid="{D5CDD505-2E9C-101B-9397-08002B2CF9AE}" pid="3" name="DMS Library Name">
    <vt:lpwstr>Active</vt:lpwstr>
  </property>
  <property fmtid="{D5CDD505-2E9C-101B-9397-08002B2CF9AE}" pid="4" name="DMS Item ID">
    <vt:lpwstr>20436409</vt:lpwstr>
  </property>
  <property fmtid="{D5CDD505-2E9C-101B-9397-08002B2CF9AE}" pid="5" name="DMS Version">
    <vt:lpwstr>4</vt:lpwstr>
  </property>
  <property fmtid="{D5CDD505-2E9C-101B-9397-08002B2CF9AE}" pid="6" name="Item Matter UNO">
    <vt:lpwstr>?</vt:lpwstr>
  </property>
  <property fmtid="{D5CDD505-2E9C-101B-9397-08002B2CF9AE}" pid="7" name="Item Matter Name">
    <vt:lpwstr>?</vt:lpwstr>
  </property>
  <property fmtid="{D5CDD505-2E9C-101B-9397-08002B2CF9AE}" pid="8" name="Item Title">
    <vt:lpwstr/>
  </property>
  <property fmtid="{D5CDD505-2E9C-101B-9397-08002B2CF9AE}" pid="9" name="Item Subject">
    <vt:lpwstr/>
  </property>
  <property fmtid="{D5CDD505-2E9C-101B-9397-08002B2CF9AE}" pid="10" name="Freehills_matterName">
    <vt:lpwstr/>
  </property>
  <property fmtid="{D5CDD505-2E9C-101B-9397-08002B2CF9AE}" pid="11" name="Freehills_matterNumber">
    <vt:lpwstr/>
  </property>
  <property fmtid="{D5CDD505-2E9C-101B-9397-08002B2CF9AE}" pid="12" name="Item Primary Author">
    <vt:lpwstr>Baxt, Bob</vt:lpwstr>
  </property>
  <property fmtid="{D5CDD505-2E9C-101B-9397-08002B2CF9AE}" pid="13" name="Item Primary Author ID">
    <vt:lpwstr>baxtbob</vt:lpwstr>
  </property>
  <property fmtid="{D5CDD505-2E9C-101B-9397-08002B2CF9AE}" pid="14" name="Freehills_PrimaryAuthorBrand">
    <vt:lpwstr>Herbert Smith Freehills</vt:lpwstr>
  </property>
  <property fmtid="{D5CDD505-2E9C-101B-9397-08002B2CF9AE}" pid="15" name="Item Document Type">
    <vt:lpwstr/>
  </property>
  <property fmtid="{D5CDD505-2E9C-101B-9397-08002B2CF9AE}" pid="16" name="DMS Class Label">
    <vt:lpwstr/>
  </property>
  <property fmtid="{D5CDD505-2E9C-101B-9397-08002B2CF9AE}" pid="17" name="DMS Status">
    <vt:lpwstr/>
  </property>
  <property fmtid="{D5CDD505-2E9C-101B-9397-08002B2CF9AE}" pid="18" name="Item Previous Reference">
    <vt:lpwstr>20324589</vt:lpwstr>
  </property>
  <property fmtid="{D5CDD505-2E9C-101B-9397-08002B2CF9AE}" pid="19" name="Freehills Template Version">
    <vt:lpwstr>1.1.114.2</vt:lpwstr>
  </property>
  <property fmtid="{D5CDD505-2E9C-101B-9397-08002B2CF9AE}" pid="20" name="Freehills_PrimaryAuthorLocation">
    <vt:lpwstr>Melbourne</vt:lpwstr>
  </property>
  <property fmtid="{D5CDD505-2E9C-101B-9397-08002B2CF9AE}" pid="21" name="Item Reference">
    <vt:lpwstr/>
  </property>
  <property fmtid="{D5CDD505-2E9C-101B-9397-08002B2CF9AE}" pid="22" name="MAIL_MSG_ID1">
    <vt:lpwstr>GEAAO+/T9t20xwny8jlNxP1KXPI6BgJo7XFdUTifNfQzGYT+KQJ511n3Cm5Ct8WDk8Q7omHNh2/hefjS
tTnw2Tdjqjsl8a5Meb/MPwWxElJu4ZoUccxb9DsE9j5I+1+amBtFOykm7jrgGlc9wLH3f5tKhrKP
48v3rZsRC7tl7vSAZ4gqwk5RUsqdNnslX1y/poqqyHPqRjVDV17WRm3L8KFQdkmKM+eYjxkbN2gi
tkYwzDM18rVi1RQLI</vt:lpwstr>
  </property>
  <property fmtid="{D5CDD505-2E9C-101B-9397-08002B2CF9AE}" pid="23" name="MAIL_MSG_ID2">
    <vt:lpwstr>Coi47eo9Zvd</vt:lpwstr>
  </property>
  <property fmtid="{D5CDD505-2E9C-101B-9397-08002B2CF9AE}" pid="24" name="RESPONSE_SENDER_NAME">
    <vt:lpwstr>gAAAdya76B99d4hLGUR1rQ+8TxTv0GGEPdix</vt:lpwstr>
  </property>
  <property fmtid="{D5CDD505-2E9C-101B-9397-08002B2CF9AE}" pid="25" name="EMAIL_OWNER_ADDRESS">
    <vt:lpwstr>sAAAGYoQX4c3X/JwgM5zHH314pYwzS/uq3ePZcX2qU0I2Hk=</vt:lpwstr>
  </property>
</Properties>
</file>