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0D872B" w14:textId="77777777" w:rsidR="000023BE" w:rsidRPr="000023BE" w:rsidRDefault="000023BE" w:rsidP="000023BE">
      <w:pPr>
        <w:pStyle w:val="Heading1"/>
        <w:rPr>
          <w:color w:val="FFFFFF" w:themeColor="background1"/>
          <w:sz w:val="12"/>
          <w:szCs w:val="12"/>
        </w:rPr>
      </w:pPr>
      <w:r w:rsidRPr="000023BE">
        <w:rPr>
          <w:color w:val="FFFFFF" w:themeColor="background1"/>
          <w:sz w:val="12"/>
          <w:szCs w:val="12"/>
        </w:rPr>
        <w:t>Regulation of Australian Agriculture</w:t>
      </w:r>
    </w:p>
    <w:p w14:paraId="7249B121" w14:textId="736174F7" w:rsidR="00B04D19" w:rsidRPr="000023BE" w:rsidRDefault="000023BE" w:rsidP="00CD5E6B">
      <w:pPr>
        <w:pStyle w:val="BodyText"/>
        <w:rPr>
          <w:b/>
          <w:sz w:val="12"/>
          <w:szCs w:val="12"/>
        </w:rPr>
      </w:pPr>
      <w:r w:rsidRPr="000023BE">
        <w:rPr>
          <w:color w:val="FFFFFF" w:themeColor="background1"/>
          <w:sz w:val="12"/>
          <w:szCs w:val="12"/>
        </w:rPr>
        <w:t>Productivity Commission Inquiry Report. No. 79, 15 November 2016.</w:t>
      </w:r>
      <w:r w:rsidR="00EB615D" w:rsidRPr="000023BE">
        <w:rPr>
          <w:noProof/>
          <w:sz w:val="12"/>
          <w:szCs w:val="12"/>
        </w:rPr>
        <w:drawing>
          <wp:anchor distT="0" distB="0" distL="114300" distR="114300" simplePos="0" relativeHeight="251658240" behindDoc="0" locked="0" layoutInCell="1" allowOverlap="1" wp14:anchorId="7249B29E" wp14:editId="58BCF48A">
            <wp:simplePos x="1148316" y="978195"/>
            <wp:positionH relativeFrom="page">
              <wp:align>center</wp:align>
            </wp:positionH>
            <wp:positionV relativeFrom="page">
              <wp:align>center</wp:align>
            </wp:positionV>
            <wp:extent cx="7558767" cy="10691998"/>
            <wp:effectExtent l="0" t="0" r="4445" b="0"/>
            <wp:wrapNone/>
            <wp:docPr id="4" name="Picture 4" descr="Regulation of Australian Agriculture - Overview and Recommendations. Productivity Commission Inquiry Report. No. 79, 15 November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ehands-cover-pag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r w:rsidR="00B04D19" w:rsidRPr="000023BE">
        <w:rPr>
          <w:sz w:val="12"/>
          <w:szCs w:val="12"/>
        </w:rPr>
        <w:br w:type="page"/>
      </w:r>
    </w:p>
    <w:p w14:paraId="7249B122"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7249B124" w14:textId="77777777" w:rsidR="008A3857" w:rsidRDefault="008A3857" w:rsidP="008E242D">
      <w:pPr>
        <w:pStyle w:val="BodyText"/>
        <w:spacing w:after="120"/>
      </w:pPr>
      <w:bookmarkStart w:id="0" w:name="ISSN"/>
      <w:bookmarkEnd w:id="0"/>
      <w:r w:rsidRPr="00862D8F">
        <w:rPr>
          <w:noProof/>
          <w:sz w:val="22"/>
          <w:szCs w:val="22"/>
        </w:rPr>
        <w:drawing>
          <wp:inline distT="0" distB="0" distL="0" distR="0" wp14:anchorId="7249B2A0" wp14:editId="7249B2A1">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7249B125"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7249B126" w14:textId="77777777" w:rsidR="008A3857" w:rsidRPr="008A3857" w:rsidRDefault="008A3857" w:rsidP="008A3857">
      <w:pPr>
        <w:pStyle w:val="Copyrightsubtitle"/>
      </w:pPr>
      <w:r w:rsidRPr="008A3857">
        <w:t>Use of the Commonwealth Coat of Arms</w:t>
      </w:r>
    </w:p>
    <w:p w14:paraId="7249B127" w14:textId="77777777"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http://www.itsanhonour.gov.au</w:t>
        </w:r>
      </w:hyperlink>
    </w:p>
    <w:p w14:paraId="7249B128" w14:textId="77777777" w:rsidR="008A3857" w:rsidRPr="008A3857" w:rsidRDefault="008A3857" w:rsidP="008A3857">
      <w:pPr>
        <w:pStyle w:val="Copyrightsubtitle"/>
      </w:pPr>
      <w:r w:rsidRPr="008A3857">
        <w:t>Third party copyright</w:t>
      </w:r>
    </w:p>
    <w:p w14:paraId="7249B129"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7249B12A" w14:textId="77777777" w:rsidR="008A3857" w:rsidRPr="008A3857" w:rsidRDefault="008A3857" w:rsidP="008A3857">
      <w:pPr>
        <w:pStyle w:val="Copyrightsubtitle"/>
      </w:pPr>
      <w:r w:rsidRPr="008A3857">
        <w:t>Attribution</w:t>
      </w:r>
    </w:p>
    <w:p w14:paraId="7249B12B" w14:textId="77777777" w:rsidR="008A3857" w:rsidRPr="006422AF" w:rsidRDefault="008A3857" w:rsidP="00BA0B81">
      <w:pPr>
        <w:pStyle w:val="Copyrightbodytext"/>
        <w:rPr>
          <w:i/>
        </w:rPr>
      </w:pPr>
      <w:r w:rsidRPr="008A3857">
        <w:t xml:space="preserve">This work should be attributed as follows, </w:t>
      </w:r>
      <w:r w:rsidRPr="006422AF">
        <w:rPr>
          <w:i/>
        </w:rPr>
        <w:t xml:space="preserve">Source: </w:t>
      </w:r>
      <w:r w:rsidR="006422AF" w:rsidRPr="006422AF">
        <w:rPr>
          <w:i/>
        </w:rPr>
        <w:t>Productivity Commission 2016, Regulation of Australian Agriculture, Report no. 79, Canberra</w:t>
      </w:r>
      <w:r w:rsidRPr="006422AF">
        <w:rPr>
          <w:i/>
        </w:rPr>
        <w:t>.</w:t>
      </w:r>
    </w:p>
    <w:p w14:paraId="7249B12C" w14:textId="77777777" w:rsidR="008A3857" w:rsidRPr="00130C52" w:rsidRDefault="008A3857" w:rsidP="00130C52">
      <w:pPr>
        <w:pStyle w:val="Copyrightbodytext"/>
        <w:rPr>
          <w:i/>
        </w:rPr>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130C52" w:rsidRPr="006422AF">
        <w:rPr>
          <w:i/>
        </w:rPr>
        <w:t>Regulation of Australian Agriculture, Report no. 79</w:t>
      </w:r>
      <w:r w:rsidRPr="008A3857">
        <w:t>.</w:t>
      </w:r>
    </w:p>
    <w:p w14:paraId="7249B12D"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7249B12E" w14:textId="77777777" w:rsidR="00941C4B" w:rsidRPr="00CF6CA3" w:rsidRDefault="00941C4B" w:rsidP="00941C4B">
      <w:pPr>
        <w:pStyle w:val="Copyrightbodytext"/>
      </w:pPr>
      <w:bookmarkStart w:id="1" w:name="JEL"/>
      <w:bookmarkEnd w:id="1"/>
      <w:r w:rsidRPr="00CF6CA3">
        <w:t>Productivity Commission 2016,</w:t>
      </w:r>
      <w:r w:rsidRPr="00CF6CA3">
        <w:rPr>
          <w:i/>
        </w:rPr>
        <w:t xml:space="preserve"> Regulation of Australian Agriculture,</w:t>
      </w:r>
      <w:r w:rsidRPr="00CF6CA3">
        <w:t xml:space="preserve"> Report</w:t>
      </w:r>
      <w:r>
        <w:t xml:space="preserve"> no. 79</w:t>
      </w:r>
      <w:r w:rsidRPr="00CF6CA3">
        <w:t>, Canberra</w:t>
      </w:r>
      <w:r>
        <w:t>.</w:t>
      </w:r>
    </w:p>
    <w:p w14:paraId="7249B12F" w14:textId="77777777" w:rsidR="008A3857" w:rsidRPr="008A3857" w:rsidRDefault="008A3857" w:rsidP="008A3857">
      <w:pPr>
        <w:pStyle w:val="Copyrightsubtitle"/>
      </w:pPr>
      <w:r w:rsidRPr="008A3857">
        <w:t>Publications enquiries</w:t>
      </w:r>
    </w:p>
    <w:p w14:paraId="7249B130"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14:paraId="7249B131"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7249B133" w14:textId="77777777" w:rsidTr="00C670DE">
        <w:tc>
          <w:tcPr>
            <w:tcW w:w="8771" w:type="dxa"/>
            <w:tcBorders>
              <w:top w:val="single" w:sz="6" w:space="0" w:color="78A22F"/>
              <w:left w:val="nil"/>
              <w:bottom w:val="nil"/>
              <w:right w:val="nil"/>
            </w:tcBorders>
            <w:shd w:val="clear" w:color="auto" w:fill="F2F2F2" w:themeFill="background1" w:themeFillShade="F2"/>
          </w:tcPr>
          <w:p w14:paraId="7249B132" w14:textId="77777777" w:rsidR="008A3857" w:rsidRPr="008A3857" w:rsidRDefault="008A3857" w:rsidP="00B929CC">
            <w:pPr>
              <w:pStyle w:val="BoxTitle"/>
              <w:rPr>
                <w:sz w:val="22"/>
                <w:szCs w:val="22"/>
              </w:rPr>
            </w:pPr>
            <w:r w:rsidRPr="008A3857">
              <w:rPr>
                <w:sz w:val="22"/>
                <w:szCs w:val="22"/>
              </w:rPr>
              <w:t>The Productivity Commission</w:t>
            </w:r>
          </w:p>
        </w:tc>
      </w:tr>
      <w:tr w:rsidR="008A3857" w14:paraId="7249B137" w14:textId="77777777" w:rsidTr="00C670DE">
        <w:tc>
          <w:tcPr>
            <w:tcW w:w="8771" w:type="dxa"/>
            <w:tcBorders>
              <w:top w:val="nil"/>
              <w:left w:val="nil"/>
              <w:bottom w:val="nil"/>
              <w:right w:val="nil"/>
            </w:tcBorders>
            <w:shd w:val="clear" w:color="auto" w:fill="F2F2F2" w:themeFill="background1" w:themeFillShade="F2"/>
          </w:tcPr>
          <w:p w14:paraId="7249B134" w14:textId="77777777" w:rsidR="008A3857" w:rsidRDefault="008A3857" w:rsidP="00B929CC">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7249B135" w14:textId="77777777" w:rsidR="008A3857" w:rsidRDefault="008A3857" w:rsidP="00B929CC">
            <w:pPr>
              <w:pStyle w:val="Box"/>
            </w:pPr>
            <w:r w:rsidRPr="00BB5DCF">
              <w:t>The Commission’s independence is underpinned by an Act of Parliament. Its processes and outputs are open to public scrutiny and are driven by concern for the wellbeing of the community as a whole.</w:t>
            </w:r>
          </w:p>
          <w:p w14:paraId="7249B136" w14:textId="77777777" w:rsidR="008A3857" w:rsidRDefault="008A3857" w:rsidP="00EC38C1">
            <w:pPr>
              <w:pStyle w:val="Box"/>
            </w:pPr>
            <w:r w:rsidRPr="00BB5DCF">
              <w:rPr>
                <w:szCs w:val="24"/>
              </w:rPr>
              <w:t>Further information on the Productivity Commission can be obtained from the Commission’s website (</w:t>
            </w:r>
            <w:hyperlink r:id="rId15" w:history="1">
              <w:r w:rsidRPr="00805FD7">
                <w:t>www.pc.gov.au</w:t>
              </w:r>
            </w:hyperlink>
            <w:r w:rsidRPr="00BB5DCF">
              <w:rPr>
                <w:szCs w:val="24"/>
              </w:rPr>
              <w:t>)</w:t>
            </w:r>
            <w:r w:rsidR="00EC38C1">
              <w:rPr>
                <w:szCs w:val="24"/>
              </w:rPr>
              <w:t>.</w:t>
            </w:r>
          </w:p>
        </w:tc>
      </w:tr>
      <w:tr w:rsidR="008A3857" w14:paraId="7249B139" w14:textId="77777777" w:rsidTr="00C670DE">
        <w:tc>
          <w:tcPr>
            <w:tcW w:w="8771" w:type="dxa"/>
            <w:tcBorders>
              <w:top w:val="nil"/>
              <w:left w:val="nil"/>
              <w:bottom w:val="single" w:sz="6" w:space="0" w:color="78A22F"/>
              <w:right w:val="nil"/>
            </w:tcBorders>
            <w:shd w:val="clear" w:color="auto" w:fill="F2F2F2" w:themeFill="background1" w:themeFillShade="F2"/>
          </w:tcPr>
          <w:p w14:paraId="7249B138" w14:textId="77777777" w:rsidR="008A3857" w:rsidRDefault="008A3857" w:rsidP="00B929CC">
            <w:pPr>
              <w:pStyle w:val="Box"/>
              <w:spacing w:before="0" w:line="120" w:lineRule="exact"/>
            </w:pPr>
          </w:p>
        </w:tc>
      </w:tr>
    </w:tbl>
    <w:p w14:paraId="7249B13B" w14:textId="77777777" w:rsidR="000B1D57" w:rsidRDefault="000B1D57" w:rsidP="000B1D57">
      <w:pPr>
        <w:pStyle w:val="BodyText"/>
      </w:pPr>
      <w:bookmarkStart w:id="2" w:name="cov"/>
      <w:bookmarkEnd w:id="2"/>
      <w:r>
        <w:br w:type="page"/>
      </w:r>
    </w:p>
    <w:p w14:paraId="7249B17C" w14:textId="77777777" w:rsidR="000B1D57" w:rsidRDefault="000B1D57" w:rsidP="00B929CC">
      <w:pPr>
        <w:pStyle w:val="BodyText"/>
        <w:sectPr w:rsidR="000B1D57" w:rsidSect="00B929CC">
          <w:headerReference w:type="default" r:id="rId16"/>
          <w:footerReference w:type="even" r:id="rId17"/>
          <w:footerReference w:type="default" r:id="rId18"/>
          <w:pgSz w:w="11907" w:h="16840" w:code="9"/>
          <w:pgMar w:top="1985" w:right="1304" w:bottom="1247" w:left="1814" w:header="1701" w:footer="397" w:gutter="0"/>
          <w:pgNumType w:fmt="lowerRoman"/>
          <w:cols w:space="720"/>
        </w:sectPr>
      </w:pPr>
    </w:p>
    <w:p w14:paraId="7249B17D" w14:textId="77777777" w:rsidR="00B825A2" w:rsidRDefault="00735FEA" w:rsidP="007B5B01">
      <w:pPr>
        <w:pStyle w:val="Heading1NotTOC"/>
        <w:spacing w:after="1800"/>
        <w:rPr>
          <w:noProof/>
        </w:rPr>
      </w:pPr>
      <w:bookmarkStart w:id="3" w:name="Contents"/>
      <w:bookmarkEnd w:id="3"/>
      <w:r w:rsidRPr="00B153C3">
        <w:lastRenderedPageBreak/>
        <w:t>Contents</w:t>
      </w:r>
      <w:bookmarkStart w:id="4" w:name="InsertContents"/>
      <w:bookmarkEnd w:id="4"/>
    </w:p>
    <w:p w14:paraId="7249B181" w14:textId="77777777" w:rsidR="00B825A2" w:rsidRDefault="00B825A2">
      <w:pPr>
        <w:pStyle w:val="TOC1"/>
        <w:rPr>
          <w:noProof/>
        </w:rPr>
      </w:pPr>
      <w:r>
        <w:rPr>
          <w:noProof/>
        </w:rPr>
        <w:t>Overview</w:t>
      </w:r>
      <w:r>
        <w:rPr>
          <w:noProof/>
        </w:rPr>
        <w:tab/>
        <w:t>1</w:t>
      </w:r>
    </w:p>
    <w:p w14:paraId="229FB8B2" w14:textId="5CD2F60B" w:rsidR="000023BE" w:rsidRPr="00CD653A" w:rsidRDefault="000023BE" w:rsidP="00CD653A">
      <w:pPr>
        <w:pStyle w:val="TOC2"/>
        <w:rPr>
          <w:rFonts w:eastAsiaTheme="minorEastAsia"/>
        </w:rPr>
      </w:pPr>
      <w:r>
        <w:rPr>
          <w:rFonts w:eastAsiaTheme="minorEastAsia"/>
        </w:rPr>
        <w:t>Key points</w:t>
      </w:r>
      <w:r>
        <w:rPr>
          <w:rFonts w:eastAsiaTheme="minorEastAsia"/>
        </w:rPr>
        <w:tab/>
        <w:t>2</w:t>
      </w:r>
    </w:p>
    <w:p w14:paraId="7249B182"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1</w:t>
      </w:r>
      <w:r>
        <w:rPr>
          <w:rFonts w:asciiTheme="minorHAnsi" w:eastAsiaTheme="minorEastAsia" w:hAnsiTheme="minorHAnsi" w:cstheme="minorBidi"/>
          <w:noProof/>
          <w:sz w:val="22"/>
          <w:szCs w:val="22"/>
          <w:lang w:eastAsia="en-AU"/>
        </w:rPr>
        <w:tab/>
      </w:r>
      <w:r>
        <w:rPr>
          <w:noProof/>
        </w:rPr>
        <w:t>Our approach to reviewing regulation</w:t>
      </w:r>
      <w:r>
        <w:rPr>
          <w:noProof/>
        </w:rPr>
        <w:tab/>
        <w:t>6</w:t>
      </w:r>
    </w:p>
    <w:p w14:paraId="7249B183"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2</w:t>
      </w:r>
      <w:r>
        <w:rPr>
          <w:rFonts w:asciiTheme="minorHAnsi" w:eastAsiaTheme="minorEastAsia" w:hAnsiTheme="minorHAnsi" w:cstheme="minorBidi"/>
          <w:noProof/>
          <w:sz w:val="22"/>
          <w:szCs w:val="22"/>
          <w:lang w:eastAsia="en-AU"/>
        </w:rPr>
        <w:tab/>
      </w:r>
      <w:r>
        <w:rPr>
          <w:noProof/>
        </w:rPr>
        <w:t>Benefits, not just costs, are acknowledged</w:t>
      </w:r>
      <w:r>
        <w:rPr>
          <w:noProof/>
        </w:rPr>
        <w:tab/>
        <w:t>8</w:t>
      </w:r>
    </w:p>
    <w:p w14:paraId="7249B184"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3</w:t>
      </w:r>
      <w:r>
        <w:rPr>
          <w:rFonts w:asciiTheme="minorHAnsi" w:eastAsiaTheme="minorEastAsia" w:hAnsiTheme="minorHAnsi" w:cstheme="minorBidi"/>
          <w:noProof/>
          <w:sz w:val="22"/>
          <w:szCs w:val="22"/>
          <w:lang w:eastAsia="en-AU"/>
        </w:rPr>
        <w:tab/>
      </w:r>
      <w:r>
        <w:rPr>
          <w:noProof/>
        </w:rPr>
        <w:t>Some common themes</w:t>
      </w:r>
      <w:r>
        <w:rPr>
          <w:noProof/>
        </w:rPr>
        <w:tab/>
        <w:t>10</w:t>
      </w:r>
    </w:p>
    <w:p w14:paraId="7249B185" w14:textId="77777777" w:rsidR="00B825A2" w:rsidRDefault="00B825A2" w:rsidP="00097701">
      <w:pPr>
        <w:pStyle w:val="TOC2"/>
        <w:tabs>
          <w:tab w:val="left" w:pos="1134"/>
        </w:tabs>
        <w:ind w:left="1134" w:hanging="624"/>
        <w:rPr>
          <w:rFonts w:asciiTheme="minorHAnsi" w:eastAsiaTheme="minorEastAsia" w:hAnsiTheme="minorHAnsi" w:cstheme="minorBidi"/>
          <w:noProof/>
          <w:sz w:val="22"/>
          <w:szCs w:val="22"/>
          <w:lang w:eastAsia="en-AU"/>
        </w:rPr>
      </w:pPr>
      <w:r>
        <w:rPr>
          <w:noProof/>
        </w:rPr>
        <w:t>4</w:t>
      </w:r>
      <w:r>
        <w:rPr>
          <w:rFonts w:asciiTheme="minorHAnsi" w:eastAsiaTheme="minorEastAsia" w:hAnsiTheme="minorHAnsi" w:cstheme="minorBidi"/>
          <w:noProof/>
          <w:sz w:val="22"/>
          <w:szCs w:val="22"/>
          <w:lang w:eastAsia="en-AU"/>
        </w:rPr>
        <w:tab/>
      </w:r>
      <w:r>
        <w:rPr>
          <w:noProof/>
        </w:rPr>
        <w:t>Issues by topic area</w:t>
      </w:r>
      <w:r>
        <w:rPr>
          <w:noProof/>
        </w:rPr>
        <w:tab/>
        <w:t>16</w:t>
      </w:r>
    </w:p>
    <w:p w14:paraId="7249B186" w14:textId="77777777" w:rsidR="00B825A2" w:rsidRDefault="00B825A2">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35</w:t>
      </w:r>
      <w:bookmarkStart w:id="5" w:name="_GoBack"/>
      <w:bookmarkEnd w:id="5"/>
    </w:p>
    <w:sectPr w:rsidR="00B825A2" w:rsidSect="000023BE">
      <w:headerReference w:type="even" r:id="rId19"/>
      <w:headerReference w:type="default" r:id="rId20"/>
      <w:footerReference w:type="even" r:id="rId21"/>
      <w:footerReference w:type="default" r:id="rId22"/>
      <w:type w:val="oddPage"/>
      <w:pgSz w:w="11907" w:h="16840" w:code="9"/>
      <w:pgMar w:top="1985"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9B2AF" w14:textId="77777777" w:rsidR="00F64CA7" w:rsidRDefault="00F64CA7">
      <w:r>
        <w:separator/>
      </w:r>
    </w:p>
    <w:p w14:paraId="7249B2B0" w14:textId="77777777" w:rsidR="00F64CA7" w:rsidRDefault="00F64CA7"/>
    <w:p w14:paraId="7249B2B1" w14:textId="77777777" w:rsidR="00F64CA7" w:rsidRDefault="00F64CA7"/>
  </w:endnote>
  <w:endnote w:type="continuationSeparator" w:id="0">
    <w:p w14:paraId="7249B2B2" w14:textId="77777777" w:rsidR="00F64CA7" w:rsidRDefault="00F64CA7">
      <w:r>
        <w:continuationSeparator/>
      </w:r>
    </w:p>
    <w:p w14:paraId="7249B2B3" w14:textId="77777777" w:rsidR="00F64CA7" w:rsidRDefault="00F64CA7"/>
    <w:p w14:paraId="7249B2B4" w14:textId="77777777" w:rsidR="00F64CA7" w:rsidRDefault="00F64CA7"/>
  </w:endnote>
  <w:endnote w:type="continuationNotice" w:id="1">
    <w:p w14:paraId="7249B2B5" w14:textId="77777777" w:rsidR="00F64CA7" w:rsidRDefault="00F64C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9B2C3" w14:textId="77777777" w:rsidR="00B929CC" w:rsidRDefault="00B929CC" w:rsidP="00B929CC">
    <w:pPr>
      <w:pStyle w:val="FooterEnd"/>
    </w:pPr>
  </w:p>
  <w:p w14:paraId="7249B2C4" w14:textId="77777777" w:rsidR="00B929CC" w:rsidRDefault="00B929C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929CC" w14:paraId="7249B2C8" w14:textId="77777777" w:rsidTr="00B929CC">
      <w:trPr>
        <w:trHeight w:hRule="exact" w:val="567"/>
      </w:trPr>
      <w:tc>
        <w:tcPr>
          <w:tcW w:w="510" w:type="dxa"/>
        </w:tcPr>
        <w:p w14:paraId="7249B2C5" w14:textId="77777777" w:rsidR="00B929CC" w:rsidRDefault="00B929CC">
          <w:pPr>
            <w:pStyle w:val="Footer"/>
            <w:ind w:right="360" w:firstLine="360"/>
          </w:pPr>
        </w:p>
      </w:tc>
      <w:tc>
        <w:tcPr>
          <w:tcW w:w="7767" w:type="dxa"/>
        </w:tcPr>
        <w:p w14:paraId="7249B2C6" w14:textId="77777777" w:rsidR="00B929CC" w:rsidRPr="00752FFF" w:rsidRDefault="00EB615D" w:rsidP="00B929CC">
          <w:pPr>
            <w:pStyle w:val="Footer"/>
            <w:jc w:val="right"/>
            <w:rPr>
              <w:rFonts w:cs="Arial"/>
            </w:rPr>
          </w:pPr>
          <w:r w:rsidRPr="00EB615D">
            <w:rPr>
              <w:bCs/>
              <w:noProof/>
              <w:lang w:val="en-US"/>
            </w:rPr>
            <w:t>Terms of reference</w:t>
          </w:r>
        </w:p>
      </w:tc>
      <w:tc>
        <w:tcPr>
          <w:tcW w:w="510" w:type="dxa"/>
        </w:tcPr>
        <w:p w14:paraId="7249B2C7" w14:textId="77777777" w:rsidR="00B929CC" w:rsidRPr="00A24443" w:rsidRDefault="00B929C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D653A">
            <w:rPr>
              <w:rStyle w:val="PageNumber"/>
              <w:caps w:val="0"/>
              <w:noProof/>
            </w:rPr>
            <w:t>i</w:t>
          </w:r>
          <w:r w:rsidRPr="00A24443">
            <w:rPr>
              <w:rStyle w:val="PageNumber"/>
              <w:caps w:val="0"/>
            </w:rPr>
            <w:fldChar w:fldCharType="end"/>
          </w:r>
        </w:p>
      </w:tc>
    </w:tr>
  </w:tbl>
  <w:p w14:paraId="7249B2C9" w14:textId="77777777" w:rsidR="00B929CC" w:rsidRDefault="00B929CC">
    <w:pPr>
      <w:pStyle w:val="FooterEnd"/>
    </w:pPr>
  </w:p>
  <w:p w14:paraId="7249B2CA" w14:textId="77777777" w:rsidR="00B929CC" w:rsidRPr="00D01645" w:rsidRDefault="00B929CC" w:rsidP="00B929C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929CC" w14:paraId="7249B2FE" w14:textId="77777777" w:rsidTr="00B929CC">
      <w:trPr>
        <w:trHeight w:hRule="exact" w:val="567"/>
      </w:trPr>
      <w:tc>
        <w:tcPr>
          <w:tcW w:w="510" w:type="dxa"/>
        </w:tcPr>
        <w:p w14:paraId="7249B2FB" w14:textId="77777777" w:rsidR="00B929CC" w:rsidRPr="007448F7" w:rsidRDefault="00B929CC" w:rsidP="00B929CC">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0023BE">
            <w:rPr>
              <w:rStyle w:val="PageNumber"/>
              <w:caps w:val="0"/>
              <w:noProof/>
            </w:rPr>
            <w:t>vi</w:t>
          </w:r>
          <w:r w:rsidRPr="007448F7">
            <w:rPr>
              <w:rStyle w:val="PageNumber"/>
              <w:caps w:val="0"/>
            </w:rPr>
            <w:fldChar w:fldCharType="end"/>
          </w:r>
        </w:p>
      </w:tc>
      <w:tc>
        <w:tcPr>
          <w:tcW w:w="7767" w:type="dxa"/>
        </w:tcPr>
        <w:p w14:paraId="7249B2FC" w14:textId="77777777" w:rsidR="00B929CC" w:rsidRPr="0013739A" w:rsidRDefault="007D16B7" w:rsidP="00271B0C">
          <w:pPr>
            <w:pStyle w:val="Footer"/>
            <w:rPr>
              <w:rFonts w:cs="Arial"/>
            </w:rPr>
          </w:pPr>
          <w:r>
            <w:rPr>
              <w:rFonts w:cs="Arial"/>
            </w:rPr>
            <w:t>Regulation of Australian Agriculture</w:t>
          </w:r>
        </w:p>
      </w:tc>
      <w:tc>
        <w:tcPr>
          <w:tcW w:w="510" w:type="dxa"/>
        </w:tcPr>
        <w:p w14:paraId="7249B2FD" w14:textId="77777777" w:rsidR="00B929CC" w:rsidRDefault="00B929CC" w:rsidP="00B929CC">
          <w:pPr>
            <w:pStyle w:val="Footer"/>
          </w:pPr>
        </w:p>
      </w:tc>
    </w:tr>
  </w:tbl>
  <w:p w14:paraId="7249B2FF" w14:textId="77777777" w:rsidR="00B929CC" w:rsidRDefault="00B929CC" w:rsidP="00B929CC">
    <w:pPr>
      <w:pStyle w:val="FooterEnd"/>
    </w:pPr>
  </w:p>
  <w:p w14:paraId="7249B300" w14:textId="77777777" w:rsidR="00B929CC" w:rsidRDefault="00B929CC">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929CC" w14:paraId="7249B304" w14:textId="77777777" w:rsidTr="00B929CC">
      <w:trPr>
        <w:trHeight w:hRule="exact" w:val="567"/>
      </w:trPr>
      <w:tc>
        <w:tcPr>
          <w:tcW w:w="510" w:type="dxa"/>
        </w:tcPr>
        <w:p w14:paraId="7249B301" w14:textId="77777777" w:rsidR="00B929CC" w:rsidRDefault="00B929CC">
          <w:pPr>
            <w:pStyle w:val="Footer"/>
            <w:ind w:right="360" w:firstLine="360"/>
          </w:pPr>
        </w:p>
      </w:tc>
      <w:tc>
        <w:tcPr>
          <w:tcW w:w="7767" w:type="dxa"/>
        </w:tcPr>
        <w:p w14:paraId="7249B302" w14:textId="04377351" w:rsidR="00B929CC" w:rsidRPr="00340511" w:rsidRDefault="00E07805" w:rsidP="00340511">
          <w:pPr>
            <w:pStyle w:val="Footer"/>
            <w:jc w:val="right"/>
            <w:rPr>
              <w:rFonts w:cs="Arial"/>
            </w:rPr>
          </w:pPr>
          <w:r>
            <w:rPr>
              <w:bCs/>
              <w:noProof/>
              <w:lang w:val="en-US"/>
            </w:rPr>
            <w:t>contents</w:t>
          </w:r>
        </w:p>
      </w:tc>
      <w:tc>
        <w:tcPr>
          <w:tcW w:w="510" w:type="dxa"/>
        </w:tcPr>
        <w:p w14:paraId="7249B303" w14:textId="77777777" w:rsidR="00B929CC" w:rsidRPr="00A24443" w:rsidRDefault="00B929CC">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D653A">
            <w:rPr>
              <w:rStyle w:val="PageNumber"/>
              <w:caps w:val="0"/>
              <w:noProof/>
            </w:rPr>
            <w:t>iii</w:t>
          </w:r>
          <w:r w:rsidRPr="00A24443">
            <w:rPr>
              <w:rStyle w:val="PageNumber"/>
              <w:caps w:val="0"/>
            </w:rPr>
            <w:fldChar w:fldCharType="end"/>
          </w:r>
        </w:p>
      </w:tc>
    </w:tr>
  </w:tbl>
  <w:p w14:paraId="7249B305" w14:textId="77777777" w:rsidR="00B929CC" w:rsidRDefault="00B929CC">
    <w:pPr>
      <w:pStyle w:val="FooterEnd"/>
    </w:pPr>
  </w:p>
  <w:p w14:paraId="7249B306" w14:textId="77777777" w:rsidR="00B929CC" w:rsidRDefault="00B929CC"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9B2A8" w14:textId="77777777" w:rsidR="00F64CA7" w:rsidRDefault="00F64CA7">
      <w:r>
        <w:separator/>
      </w:r>
    </w:p>
    <w:p w14:paraId="7249B2A9" w14:textId="77777777" w:rsidR="00F64CA7" w:rsidRDefault="00F64CA7"/>
    <w:p w14:paraId="7249B2AA" w14:textId="77777777" w:rsidR="00F64CA7" w:rsidRDefault="00F64CA7"/>
  </w:footnote>
  <w:footnote w:type="continuationSeparator" w:id="0">
    <w:p w14:paraId="7249B2AB" w14:textId="77777777" w:rsidR="00F64CA7" w:rsidRDefault="00F64CA7">
      <w:r>
        <w:continuationSeparator/>
      </w:r>
    </w:p>
    <w:p w14:paraId="7249B2AC" w14:textId="77777777" w:rsidR="00F64CA7" w:rsidRDefault="00F64CA7"/>
    <w:p w14:paraId="7249B2AD" w14:textId="77777777" w:rsidR="00F64CA7" w:rsidRDefault="00F64CA7"/>
  </w:footnote>
  <w:footnote w:type="continuationNotice" w:id="1">
    <w:p w14:paraId="7249B2AE" w14:textId="77777777" w:rsidR="00F64CA7" w:rsidRDefault="00F64C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929CC" w14:paraId="7249B2BC" w14:textId="77777777">
      <w:tc>
        <w:tcPr>
          <w:tcW w:w="6634" w:type="dxa"/>
          <w:tcBorders>
            <w:top w:val="single" w:sz="6" w:space="0" w:color="auto"/>
          </w:tcBorders>
        </w:tcPr>
        <w:p w14:paraId="7249B2BA" w14:textId="77777777" w:rsidR="00B929CC" w:rsidRDefault="00B929CC" w:rsidP="00B929CC">
          <w:pPr>
            <w:pStyle w:val="HeaderOdd"/>
          </w:pPr>
        </w:p>
      </w:tc>
      <w:tc>
        <w:tcPr>
          <w:tcW w:w="2155" w:type="dxa"/>
          <w:tcBorders>
            <w:top w:val="single" w:sz="24" w:space="0" w:color="auto"/>
          </w:tcBorders>
        </w:tcPr>
        <w:p w14:paraId="7249B2BB" w14:textId="77777777" w:rsidR="00B929CC" w:rsidRDefault="00B929CC" w:rsidP="00B929CC">
          <w:pPr>
            <w:pStyle w:val="HeaderOdd"/>
          </w:pPr>
        </w:p>
      </w:tc>
    </w:tr>
  </w:tbl>
  <w:p w14:paraId="7249B2BD" w14:textId="77777777" w:rsidR="00B929CC" w:rsidRDefault="00B929CC" w:rsidP="00B929CC">
    <w:pPr>
      <w:pStyle w:val="HeaderEnd"/>
    </w:pPr>
  </w:p>
  <w:p w14:paraId="7249B2BE" w14:textId="77777777" w:rsidR="00B929CC" w:rsidRPr="00D01645" w:rsidRDefault="00B929CC" w:rsidP="00B929C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929CC" w14:paraId="7249B2F5" w14:textId="77777777" w:rsidTr="005C68FE">
      <w:tc>
        <w:tcPr>
          <w:tcW w:w="2155" w:type="dxa"/>
          <w:tcBorders>
            <w:top w:val="single" w:sz="24" w:space="0" w:color="auto"/>
          </w:tcBorders>
        </w:tcPr>
        <w:p w14:paraId="7249B2F3" w14:textId="77777777" w:rsidR="00B929CC" w:rsidRDefault="00B929CC" w:rsidP="005C68FE">
          <w:pPr>
            <w:pStyle w:val="HeaderEven"/>
          </w:pPr>
        </w:p>
      </w:tc>
      <w:tc>
        <w:tcPr>
          <w:tcW w:w="6634" w:type="dxa"/>
          <w:tcBorders>
            <w:top w:val="single" w:sz="6" w:space="0" w:color="auto"/>
          </w:tcBorders>
        </w:tcPr>
        <w:p w14:paraId="7249B2F4" w14:textId="77777777" w:rsidR="00B929CC" w:rsidRDefault="00B929CC" w:rsidP="005C68FE">
          <w:pPr>
            <w:pStyle w:val="HeaderEven"/>
          </w:pPr>
        </w:p>
      </w:tc>
    </w:tr>
  </w:tbl>
  <w:p w14:paraId="7249B2F6" w14:textId="77777777" w:rsidR="00B929CC" w:rsidRDefault="00B929CC" w:rsidP="00D732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929CC" w14:paraId="7249B2F9" w14:textId="77777777">
      <w:tc>
        <w:tcPr>
          <w:tcW w:w="6634" w:type="dxa"/>
          <w:tcBorders>
            <w:top w:val="single" w:sz="6" w:space="0" w:color="auto"/>
          </w:tcBorders>
        </w:tcPr>
        <w:p w14:paraId="7249B2F7" w14:textId="77777777" w:rsidR="00B929CC" w:rsidRDefault="00B929CC">
          <w:pPr>
            <w:pStyle w:val="HeaderOdd"/>
          </w:pPr>
        </w:p>
      </w:tc>
      <w:tc>
        <w:tcPr>
          <w:tcW w:w="2155" w:type="dxa"/>
          <w:tcBorders>
            <w:top w:val="single" w:sz="24" w:space="0" w:color="auto"/>
          </w:tcBorders>
        </w:tcPr>
        <w:p w14:paraId="7249B2F8" w14:textId="77777777" w:rsidR="00B929CC" w:rsidRDefault="00B929CC">
          <w:pPr>
            <w:pStyle w:val="HeaderOdd"/>
          </w:pPr>
        </w:p>
      </w:tc>
    </w:tr>
  </w:tbl>
  <w:p w14:paraId="7249B2FA" w14:textId="77777777" w:rsidR="00B929CC" w:rsidRDefault="00B929CC"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3E3170C"/>
    <w:multiLevelType w:val="hybridMultilevel"/>
    <w:tmpl w:val="D40EC9D8"/>
    <w:lvl w:ilvl="0" w:tplc="0AB04198">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5"/>
  </w:num>
  <w:num w:numId="16">
    <w:abstractNumId w:val="18"/>
  </w:num>
  <w:num w:numId="17">
    <w:abstractNumId w:val="7"/>
  </w:num>
  <w:num w:numId="18">
    <w:abstractNumId w:val="22"/>
  </w:num>
  <w:num w:numId="19">
    <w:abstractNumId w:val="20"/>
  </w:num>
  <w:num w:numId="20">
    <w:abstractNumId w:val="26"/>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5"/>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6"/>
  </w:num>
  <w:num w:numId="48">
    <w:abstractNumId w:val="19"/>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mirrorMargins/>
  <w:hideSpellingErrors/>
  <w:hideGrammaticalError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D57"/>
    <w:rsid w:val="000023BE"/>
    <w:rsid w:val="00004FB0"/>
    <w:rsid w:val="00017AFC"/>
    <w:rsid w:val="00025878"/>
    <w:rsid w:val="00026B38"/>
    <w:rsid w:val="000502D3"/>
    <w:rsid w:val="00052CB2"/>
    <w:rsid w:val="0005300C"/>
    <w:rsid w:val="000623BF"/>
    <w:rsid w:val="00066B10"/>
    <w:rsid w:val="00073D37"/>
    <w:rsid w:val="000779EB"/>
    <w:rsid w:val="00087ED2"/>
    <w:rsid w:val="00095EEA"/>
    <w:rsid w:val="00097701"/>
    <w:rsid w:val="00097C15"/>
    <w:rsid w:val="000A0A0E"/>
    <w:rsid w:val="000A5E12"/>
    <w:rsid w:val="000B1D57"/>
    <w:rsid w:val="000B416E"/>
    <w:rsid w:val="000C03C7"/>
    <w:rsid w:val="000C7186"/>
    <w:rsid w:val="000D2C0F"/>
    <w:rsid w:val="000F185F"/>
    <w:rsid w:val="000F2146"/>
    <w:rsid w:val="000F2F5F"/>
    <w:rsid w:val="00106041"/>
    <w:rsid w:val="0010611E"/>
    <w:rsid w:val="00110074"/>
    <w:rsid w:val="00122FE9"/>
    <w:rsid w:val="00130C52"/>
    <w:rsid w:val="00131572"/>
    <w:rsid w:val="00131D4F"/>
    <w:rsid w:val="0013399B"/>
    <w:rsid w:val="00180515"/>
    <w:rsid w:val="00181F4B"/>
    <w:rsid w:val="00190919"/>
    <w:rsid w:val="00196FB3"/>
    <w:rsid w:val="00197A66"/>
    <w:rsid w:val="001A5071"/>
    <w:rsid w:val="001B4E73"/>
    <w:rsid w:val="001B7F1E"/>
    <w:rsid w:val="001D4737"/>
    <w:rsid w:val="001D4B1F"/>
    <w:rsid w:val="001D6629"/>
    <w:rsid w:val="001E0671"/>
    <w:rsid w:val="001E3390"/>
    <w:rsid w:val="001F0C8D"/>
    <w:rsid w:val="001F2270"/>
    <w:rsid w:val="00203B40"/>
    <w:rsid w:val="00205A82"/>
    <w:rsid w:val="00211BEE"/>
    <w:rsid w:val="00214BFA"/>
    <w:rsid w:val="002179C6"/>
    <w:rsid w:val="002258B4"/>
    <w:rsid w:val="00261607"/>
    <w:rsid w:val="00263DD1"/>
    <w:rsid w:val="00264D3B"/>
    <w:rsid w:val="00265685"/>
    <w:rsid w:val="00271B0C"/>
    <w:rsid w:val="00281D5F"/>
    <w:rsid w:val="002859B0"/>
    <w:rsid w:val="002923AD"/>
    <w:rsid w:val="00296592"/>
    <w:rsid w:val="002A0A4B"/>
    <w:rsid w:val="002A499E"/>
    <w:rsid w:val="002B636E"/>
    <w:rsid w:val="002B64D6"/>
    <w:rsid w:val="002C12F5"/>
    <w:rsid w:val="002D6FCE"/>
    <w:rsid w:val="002E5E95"/>
    <w:rsid w:val="002F11C9"/>
    <w:rsid w:val="0031003D"/>
    <w:rsid w:val="00340511"/>
    <w:rsid w:val="0034733C"/>
    <w:rsid w:val="00354707"/>
    <w:rsid w:val="0038647D"/>
    <w:rsid w:val="00393A49"/>
    <w:rsid w:val="003B41E0"/>
    <w:rsid w:val="003C3D73"/>
    <w:rsid w:val="003D624D"/>
    <w:rsid w:val="003E7802"/>
    <w:rsid w:val="0042007A"/>
    <w:rsid w:val="00433C81"/>
    <w:rsid w:val="00446D6B"/>
    <w:rsid w:val="00457B3F"/>
    <w:rsid w:val="00463022"/>
    <w:rsid w:val="00474F76"/>
    <w:rsid w:val="00481CF0"/>
    <w:rsid w:val="004B492A"/>
    <w:rsid w:val="004C0B0C"/>
    <w:rsid w:val="004D3F58"/>
    <w:rsid w:val="004E52E2"/>
    <w:rsid w:val="004E6BB4"/>
    <w:rsid w:val="004E7D3C"/>
    <w:rsid w:val="00507989"/>
    <w:rsid w:val="00515D43"/>
    <w:rsid w:val="0052544D"/>
    <w:rsid w:val="00526B19"/>
    <w:rsid w:val="00551FB8"/>
    <w:rsid w:val="005537F6"/>
    <w:rsid w:val="00560F43"/>
    <w:rsid w:val="005654D0"/>
    <w:rsid w:val="00585B3F"/>
    <w:rsid w:val="005B17AB"/>
    <w:rsid w:val="005C68FE"/>
    <w:rsid w:val="005E675B"/>
    <w:rsid w:val="005F7D30"/>
    <w:rsid w:val="00602523"/>
    <w:rsid w:val="006040CB"/>
    <w:rsid w:val="00604351"/>
    <w:rsid w:val="0060662D"/>
    <w:rsid w:val="00607D8A"/>
    <w:rsid w:val="006119F2"/>
    <w:rsid w:val="0061590F"/>
    <w:rsid w:val="00636497"/>
    <w:rsid w:val="00641AE2"/>
    <w:rsid w:val="006422AF"/>
    <w:rsid w:val="0064456A"/>
    <w:rsid w:val="00650DDA"/>
    <w:rsid w:val="0065126A"/>
    <w:rsid w:val="00653FA6"/>
    <w:rsid w:val="00657AB0"/>
    <w:rsid w:val="00667FD1"/>
    <w:rsid w:val="0067557D"/>
    <w:rsid w:val="006802D4"/>
    <w:rsid w:val="00683849"/>
    <w:rsid w:val="00691AB5"/>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78770D"/>
    <w:rsid w:val="007B5B01"/>
    <w:rsid w:val="007D16B7"/>
    <w:rsid w:val="00805FD7"/>
    <w:rsid w:val="00806E54"/>
    <w:rsid w:val="008206EE"/>
    <w:rsid w:val="008214B1"/>
    <w:rsid w:val="008273A9"/>
    <w:rsid w:val="00833F4E"/>
    <w:rsid w:val="00836ED7"/>
    <w:rsid w:val="0084355E"/>
    <w:rsid w:val="008453AC"/>
    <w:rsid w:val="00851907"/>
    <w:rsid w:val="00860D09"/>
    <w:rsid w:val="00862044"/>
    <w:rsid w:val="00871A7B"/>
    <w:rsid w:val="00880BF7"/>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22A9F"/>
    <w:rsid w:val="00933B0C"/>
    <w:rsid w:val="00935676"/>
    <w:rsid w:val="00941C4B"/>
    <w:rsid w:val="0098401D"/>
    <w:rsid w:val="009853A0"/>
    <w:rsid w:val="0099107C"/>
    <w:rsid w:val="009A6F5F"/>
    <w:rsid w:val="009A789F"/>
    <w:rsid w:val="009B12EF"/>
    <w:rsid w:val="009B48F7"/>
    <w:rsid w:val="009B6185"/>
    <w:rsid w:val="009B6488"/>
    <w:rsid w:val="009C6C6D"/>
    <w:rsid w:val="009E1E78"/>
    <w:rsid w:val="009E3FB9"/>
    <w:rsid w:val="00A1597D"/>
    <w:rsid w:val="00A24AB1"/>
    <w:rsid w:val="00A46989"/>
    <w:rsid w:val="00A469AA"/>
    <w:rsid w:val="00A71233"/>
    <w:rsid w:val="00A71CE9"/>
    <w:rsid w:val="00A72A19"/>
    <w:rsid w:val="00A75A30"/>
    <w:rsid w:val="00A87DC2"/>
    <w:rsid w:val="00A93C82"/>
    <w:rsid w:val="00AA5EF7"/>
    <w:rsid w:val="00AB2A48"/>
    <w:rsid w:val="00AC0211"/>
    <w:rsid w:val="00AC3236"/>
    <w:rsid w:val="00AC568E"/>
    <w:rsid w:val="00AD4874"/>
    <w:rsid w:val="00AE1F8A"/>
    <w:rsid w:val="00AE2B8C"/>
    <w:rsid w:val="00B036B2"/>
    <w:rsid w:val="00B04D19"/>
    <w:rsid w:val="00B153C3"/>
    <w:rsid w:val="00B21537"/>
    <w:rsid w:val="00B22087"/>
    <w:rsid w:val="00B405C1"/>
    <w:rsid w:val="00B722F2"/>
    <w:rsid w:val="00B80355"/>
    <w:rsid w:val="00B825A2"/>
    <w:rsid w:val="00B90958"/>
    <w:rsid w:val="00B929CC"/>
    <w:rsid w:val="00B95339"/>
    <w:rsid w:val="00BA0B81"/>
    <w:rsid w:val="00BA311E"/>
    <w:rsid w:val="00BB334E"/>
    <w:rsid w:val="00BB5DCF"/>
    <w:rsid w:val="00BC2476"/>
    <w:rsid w:val="00BD0E42"/>
    <w:rsid w:val="00BE48D5"/>
    <w:rsid w:val="00BF59EA"/>
    <w:rsid w:val="00BF79CD"/>
    <w:rsid w:val="00C057D5"/>
    <w:rsid w:val="00C058AB"/>
    <w:rsid w:val="00C0721B"/>
    <w:rsid w:val="00C1310D"/>
    <w:rsid w:val="00C34C8C"/>
    <w:rsid w:val="00C50792"/>
    <w:rsid w:val="00C51371"/>
    <w:rsid w:val="00C55A45"/>
    <w:rsid w:val="00C64705"/>
    <w:rsid w:val="00C670DE"/>
    <w:rsid w:val="00C904D9"/>
    <w:rsid w:val="00C94C06"/>
    <w:rsid w:val="00CA48BF"/>
    <w:rsid w:val="00CB3ACC"/>
    <w:rsid w:val="00CB4745"/>
    <w:rsid w:val="00CD2163"/>
    <w:rsid w:val="00CD4FE7"/>
    <w:rsid w:val="00CD5E6B"/>
    <w:rsid w:val="00CD653A"/>
    <w:rsid w:val="00CE2858"/>
    <w:rsid w:val="00CE4FBC"/>
    <w:rsid w:val="00CE5D96"/>
    <w:rsid w:val="00CE7344"/>
    <w:rsid w:val="00CE7F60"/>
    <w:rsid w:val="00CF26EE"/>
    <w:rsid w:val="00D04A53"/>
    <w:rsid w:val="00D05F04"/>
    <w:rsid w:val="00D248BD"/>
    <w:rsid w:val="00D310F0"/>
    <w:rsid w:val="00D37AC2"/>
    <w:rsid w:val="00D500A9"/>
    <w:rsid w:val="00D61180"/>
    <w:rsid w:val="00D64121"/>
    <w:rsid w:val="00D67119"/>
    <w:rsid w:val="00D726B4"/>
    <w:rsid w:val="00D732FE"/>
    <w:rsid w:val="00D748A7"/>
    <w:rsid w:val="00D74E25"/>
    <w:rsid w:val="00D772E9"/>
    <w:rsid w:val="00D82E10"/>
    <w:rsid w:val="00D969AE"/>
    <w:rsid w:val="00DA31AB"/>
    <w:rsid w:val="00DA3281"/>
    <w:rsid w:val="00DA6D3E"/>
    <w:rsid w:val="00DB5906"/>
    <w:rsid w:val="00DC02E8"/>
    <w:rsid w:val="00DC75C7"/>
    <w:rsid w:val="00DC78D3"/>
    <w:rsid w:val="00DD1077"/>
    <w:rsid w:val="00DF00FE"/>
    <w:rsid w:val="00DF4592"/>
    <w:rsid w:val="00E07805"/>
    <w:rsid w:val="00E15FDC"/>
    <w:rsid w:val="00E20BF2"/>
    <w:rsid w:val="00E2651B"/>
    <w:rsid w:val="00E30DDB"/>
    <w:rsid w:val="00E6632E"/>
    <w:rsid w:val="00E77C2B"/>
    <w:rsid w:val="00E8609C"/>
    <w:rsid w:val="00E90CF2"/>
    <w:rsid w:val="00E93766"/>
    <w:rsid w:val="00EB615D"/>
    <w:rsid w:val="00EC38C1"/>
    <w:rsid w:val="00EC628B"/>
    <w:rsid w:val="00ED0F61"/>
    <w:rsid w:val="00EE3F6D"/>
    <w:rsid w:val="00EE73E1"/>
    <w:rsid w:val="00F12107"/>
    <w:rsid w:val="00F13165"/>
    <w:rsid w:val="00F404A1"/>
    <w:rsid w:val="00F4234E"/>
    <w:rsid w:val="00F61429"/>
    <w:rsid w:val="00F64CA7"/>
    <w:rsid w:val="00F7477E"/>
    <w:rsid w:val="00F85393"/>
    <w:rsid w:val="00FA4A24"/>
    <w:rsid w:val="00FB24E9"/>
    <w:rsid w:val="00FC41B4"/>
    <w:rsid w:val="00FC5A6B"/>
    <w:rsid w:val="00FD06C0"/>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249B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tabs>
        <w:tab w:val="clear" w:pos="794"/>
        <w:tab w:val="num" w:pos="360"/>
      </w:tabs>
      <w:ind w:left="340" w:hanging="34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BE48D5"/>
    <w:pPr>
      <w:spacing w:before="480" w:after="156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B1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B1D57"/>
    <w:rPr>
      <w:kern w:val="28"/>
      <w:sz w:val="52"/>
      <w:lang w:eastAsia="en-US"/>
    </w:rPr>
  </w:style>
  <w:style w:type="paragraph" w:styleId="CommentSubject">
    <w:name w:val="annotation subject"/>
    <w:basedOn w:val="CommentText"/>
    <w:next w:val="CommentText"/>
    <w:link w:val="CommentSubjectChar"/>
    <w:rsid w:val="00941C4B"/>
    <w:pPr>
      <w:spacing w:before="0" w:line="240" w:lineRule="auto"/>
      <w:ind w:left="0" w:firstLine="0"/>
    </w:pPr>
    <w:rPr>
      <w:b/>
      <w:bCs/>
    </w:rPr>
  </w:style>
  <w:style w:type="character" w:customStyle="1" w:styleId="CommentTextChar">
    <w:name w:val="Comment Text Char"/>
    <w:basedOn w:val="DefaultParagraphFont"/>
    <w:link w:val="CommentText"/>
    <w:semiHidden/>
    <w:rsid w:val="00941C4B"/>
    <w:rPr>
      <w:lang w:eastAsia="en-US"/>
    </w:rPr>
  </w:style>
  <w:style w:type="character" w:customStyle="1" w:styleId="CommentSubjectChar">
    <w:name w:val="Comment Subject Char"/>
    <w:basedOn w:val="CommentTextChar"/>
    <w:link w:val="CommentSubject"/>
    <w:rsid w:val="00941C4B"/>
    <w:rPr>
      <w:b/>
      <w:bCs/>
      <w:lang w:eastAsia="en-US"/>
    </w:rPr>
  </w:style>
  <w:style w:type="character" w:customStyle="1" w:styleId="Heading3Char">
    <w:name w:val="Heading 3 Char"/>
    <w:basedOn w:val="DefaultParagraphFont"/>
    <w:link w:val="Heading3"/>
    <w:rsid w:val="009853A0"/>
    <w:rPr>
      <w:rFonts w:ascii="Arial"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tabs>
        <w:tab w:val="clear" w:pos="794"/>
        <w:tab w:val="num" w:pos="360"/>
      </w:tabs>
      <w:ind w:left="340" w:hanging="34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BE48D5"/>
    <w:pPr>
      <w:spacing w:before="480" w:after="156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B1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B1D57"/>
    <w:rPr>
      <w:kern w:val="28"/>
      <w:sz w:val="52"/>
      <w:lang w:eastAsia="en-US"/>
    </w:rPr>
  </w:style>
  <w:style w:type="paragraph" w:styleId="CommentSubject">
    <w:name w:val="annotation subject"/>
    <w:basedOn w:val="CommentText"/>
    <w:next w:val="CommentText"/>
    <w:link w:val="CommentSubjectChar"/>
    <w:rsid w:val="00941C4B"/>
    <w:pPr>
      <w:spacing w:before="0" w:line="240" w:lineRule="auto"/>
      <w:ind w:left="0" w:firstLine="0"/>
    </w:pPr>
    <w:rPr>
      <w:b/>
      <w:bCs/>
    </w:rPr>
  </w:style>
  <w:style w:type="character" w:customStyle="1" w:styleId="CommentTextChar">
    <w:name w:val="Comment Text Char"/>
    <w:basedOn w:val="DefaultParagraphFont"/>
    <w:link w:val="CommentText"/>
    <w:semiHidden/>
    <w:rsid w:val="00941C4B"/>
    <w:rPr>
      <w:lang w:eastAsia="en-US"/>
    </w:rPr>
  </w:style>
  <w:style w:type="character" w:customStyle="1" w:styleId="CommentSubjectChar">
    <w:name w:val="Comment Subject Char"/>
    <w:basedOn w:val="CommentTextChar"/>
    <w:link w:val="CommentSubject"/>
    <w:rsid w:val="00941C4B"/>
    <w:rPr>
      <w:b/>
      <w:bCs/>
      <w:lang w:eastAsia="en-US"/>
    </w:rPr>
  </w:style>
  <w:style w:type="character" w:customStyle="1" w:styleId="Heading3Char">
    <w:name w:val="Heading 3 Char"/>
    <w:basedOn w:val="DefaultParagraphFont"/>
    <w:link w:val="Heading3"/>
    <w:rsid w:val="009853A0"/>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c.gov.au/"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footer" Target="footer4.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4CA20D31-23C4-4D62-AA68-569591A1A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E6EAAF12.dotm</Template>
  <TotalTime>20</TotalTime>
  <Pages>3</Pages>
  <Words>362</Words>
  <Characters>2378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Regulation of Australian Agriculture - Inquiry Report - Preliminaries</vt:lpstr>
    </vt:vector>
  </TitlesOfParts>
  <Company>Tertiary Education Quality and Standards Agency</Company>
  <LinksUpToDate>false</LinksUpToDate>
  <CharactersWithSpaces>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Preliminaries - Overview - Inquiry report - Regulation of Australian Agriculture - Inquiry Report</dc:title>
  <dc:creator>Productivity Commission</dc:creator>
  <cp:lastModifiedBy>Alston, Chris</cp:lastModifiedBy>
  <cp:revision>5</cp:revision>
  <dcterms:created xsi:type="dcterms:W3CDTF">2017-03-23T22:25:00Z</dcterms:created>
  <dcterms:modified xsi:type="dcterms:W3CDTF">2017-03-26T23:00:00Z</dcterms:modified>
</cp:coreProperties>
</file>