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586FBA" w14:textId="26948DDB" w:rsidR="004B4508" w:rsidRPr="004B4508" w:rsidRDefault="004B4508" w:rsidP="004B4508">
      <w:pPr>
        <w:pStyle w:val="Heading1"/>
        <w:rPr>
          <w:color w:val="FFFFFF" w:themeColor="background1"/>
          <w:sz w:val="12"/>
          <w:szCs w:val="12"/>
        </w:rPr>
      </w:pPr>
      <w:r w:rsidRPr="004B4508">
        <w:rPr>
          <w:color w:val="FFFFFF" w:themeColor="background1"/>
          <w:sz w:val="12"/>
          <w:szCs w:val="12"/>
        </w:rPr>
        <w:t>Regulation of Australian Agriculture</w:t>
      </w:r>
    </w:p>
    <w:p w14:paraId="7249B121" w14:textId="22C335D9" w:rsidR="00B04D19" w:rsidRPr="004B4508" w:rsidRDefault="004B4508" w:rsidP="00CD5E6B">
      <w:pPr>
        <w:pStyle w:val="BodyText"/>
        <w:rPr>
          <w:b/>
          <w:szCs w:val="26"/>
        </w:rPr>
      </w:pPr>
      <w:r w:rsidRPr="004B4508">
        <w:rPr>
          <w:color w:val="FFFFFF" w:themeColor="background1"/>
          <w:sz w:val="12"/>
          <w:szCs w:val="12"/>
        </w:rPr>
        <w:t xml:space="preserve">Productivity Commission Inquiry </w:t>
      </w:r>
      <w:r w:rsidRPr="004B4508">
        <w:rPr>
          <w:color w:val="FFFFFF" w:themeColor="background1"/>
          <w:sz w:val="12"/>
          <w:szCs w:val="12"/>
        </w:rPr>
        <w:t>Report no. 79, Canberra.</w:t>
      </w:r>
      <w:bookmarkStart w:id="0" w:name="_GoBack"/>
      <w:r w:rsidR="00EB615D" w:rsidRPr="004B4508">
        <w:rPr>
          <w:noProof/>
        </w:rPr>
        <w:drawing>
          <wp:anchor distT="0" distB="0" distL="114300" distR="114300" simplePos="0" relativeHeight="251658240" behindDoc="0" locked="0" layoutInCell="1" allowOverlap="1" wp14:anchorId="7249B29E" wp14:editId="04AA7AA1">
            <wp:simplePos x="1148316" y="978195"/>
            <wp:positionH relativeFrom="page">
              <wp:align>center</wp:align>
            </wp:positionH>
            <wp:positionV relativeFrom="page">
              <wp:align>center</wp:align>
            </wp:positionV>
            <wp:extent cx="7558767" cy="10692000"/>
            <wp:effectExtent l="0" t="0" r="4445" b="0"/>
            <wp:wrapNone/>
            <wp:docPr id="4" name="Picture 4" descr="Regulation of Australian Agriculture. Productivity Commission Inquiry Report. No. 79, 15 November 2016." title="Cover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ehands-cover-pag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8767" cy="10692000"/>
                    </a:xfrm>
                    <a:prstGeom prst="rect">
                      <a:avLst/>
                    </a:prstGeom>
                  </pic:spPr>
                </pic:pic>
              </a:graphicData>
            </a:graphic>
            <wp14:sizeRelH relativeFrom="margin">
              <wp14:pctWidth>0</wp14:pctWidth>
            </wp14:sizeRelH>
            <wp14:sizeRelV relativeFrom="margin">
              <wp14:pctHeight>0</wp14:pctHeight>
            </wp14:sizeRelV>
          </wp:anchor>
        </w:drawing>
      </w:r>
      <w:bookmarkEnd w:id="0"/>
      <w:r w:rsidR="00B04D19" w:rsidRPr="004B4508">
        <w:br w:type="page"/>
      </w:r>
    </w:p>
    <w:p w14:paraId="7249B122"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7249B123" w14:textId="77777777" w:rsidR="00354707" w:rsidRPr="00354707" w:rsidRDefault="00354707" w:rsidP="00354707">
      <w:pPr>
        <w:pStyle w:val="BodyText"/>
        <w:tabs>
          <w:tab w:val="left" w:pos="851"/>
        </w:tabs>
        <w:spacing w:before="200" w:after="120"/>
        <w:jc w:val="left"/>
        <w:rPr>
          <w:b/>
        </w:rPr>
      </w:pPr>
      <w:bookmarkStart w:id="1" w:name="ISSN"/>
      <w:bookmarkEnd w:id="1"/>
      <w:r>
        <w:rPr>
          <w:b/>
        </w:rPr>
        <w:t>ISBN</w:t>
      </w:r>
      <w:r>
        <w:rPr>
          <w:b/>
        </w:rPr>
        <w:tab/>
      </w:r>
      <w:r w:rsidRPr="00354707">
        <w:rPr>
          <w:b/>
        </w:rPr>
        <w:t xml:space="preserve">978-1-74037-594-8 </w:t>
      </w:r>
      <w:r>
        <w:rPr>
          <w:b/>
        </w:rPr>
        <w:t>(PDF)</w:t>
      </w:r>
      <w:r>
        <w:rPr>
          <w:b/>
        </w:rPr>
        <w:br/>
        <w:t>ISBN</w:t>
      </w:r>
      <w:r>
        <w:rPr>
          <w:b/>
        </w:rPr>
        <w:tab/>
      </w:r>
      <w:r w:rsidRPr="00354707">
        <w:rPr>
          <w:b/>
        </w:rPr>
        <w:t xml:space="preserve">978-1-74037-595-5 </w:t>
      </w:r>
      <w:r>
        <w:rPr>
          <w:b/>
        </w:rPr>
        <w:t>(Print)</w:t>
      </w:r>
      <w:r>
        <w:rPr>
          <w:b/>
        </w:rPr>
        <w:br/>
        <w:t>ISSN</w:t>
      </w:r>
      <w:r>
        <w:rPr>
          <w:b/>
        </w:rPr>
        <w:tab/>
        <w:t>1447-1337 (PDF)</w:t>
      </w:r>
      <w:r>
        <w:rPr>
          <w:b/>
        </w:rPr>
        <w:br/>
        <w:t>ISSN</w:t>
      </w:r>
      <w:r>
        <w:rPr>
          <w:b/>
        </w:rPr>
        <w:tab/>
        <w:t>1447-1329 (P</w:t>
      </w:r>
      <w:r w:rsidRPr="00354707">
        <w:rPr>
          <w:b/>
        </w:rPr>
        <w:t>rint)</w:t>
      </w:r>
    </w:p>
    <w:p w14:paraId="7249B124" w14:textId="77777777" w:rsidR="008A3857" w:rsidRDefault="008A3857" w:rsidP="008E242D">
      <w:pPr>
        <w:pStyle w:val="BodyText"/>
        <w:spacing w:after="120"/>
      </w:pPr>
      <w:r w:rsidRPr="00862D8F">
        <w:rPr>
          <w:noProof/>
          <w:sz w:val="22"/>
          <w:szCs w:val="22"/>
        </w:rPr>
        <w:drawing>
          <wp:inline distT="0" distB="0" distL="0" distR="0" wp14:anchorId="7249B2A0" wp14:editId="7249B2A1">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7249B125"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7249B126" w14:textId="77777777" w:rsidR="008A3857" w:rsidRPr="008A3857" w:rsidRDefault="008A3857" w:rsidP="008A3857">
      <w:pPr>
        <w:pStyle w:val="Copyrightsubtitle"/>
      </w:pPr>
      <w:r w:rsidRPr="008A3857">
        <w:t>Use of the Commonwealth Coat of Arms</w:t>
      </w:r>
    </w:p>
    <w:p w14:paraId="7249B127" w14:textId="77777777"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14:paraId="7249B128" w14:textId="77777777" w:rsidR="008A3857" w:rsidRPr="008A3857" w:rsidRDefault="008A3857" w:rsidP="008A3857">
      <w:pPr>
        <w:pStyle w:val="Copyrightsubtitle"/>
      </w:pPr>
      <w:r w:rsidRPr="008A3857">
        <w:t>Third party copyright</w:t>
      </w:r>
    </w:p>
    <w:p w14:paraId="7249B129"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7249B12A" w14:textId="77777777" w:rsidR="008A3857" w:rsidRPr="008A3857" w:rsidRDefault="008A3857" w:rsidP="008A3857">
      <w:pPr>
        <w:pStyle w:val="Copyrightsubtitle"/>
      </w:pPr>
      <w:r w:rsidRPr="008A3857">
        <w:t>Attribution</w:t>
      </w:r>
    </w:p>
    <w:p w14:paraId="7249B12B" w14:textId="77777777" w:rsidR="008A3857" w:rsidRPr="006422AF" w:rsidRDefault="008A3857" w:rsidP="00BA0B81">
      <w:pPr>
        <w:pStyle w:val="Copyrightbodytext"/>
        <w:rPr>
          <w:i/>
        </w:rPr>
      </w:pPr>
      <w:r w:rsidRPr="008A3857">
        <w:t xml:space="preserve">This work should be attributed as follows, </w:t>
      </w:r>
      <w:r w:rsidRPr="006422AF">
        <w:rPr>
          <w:i/>
        </w:rPr>
        <w:t xml:space="preserve">Source: </w:t>
      </w:r>
      <w:r w:rsidR="006422AF" w:rsidRPr="006422AF">
        <w:rPr>
          <w:i/>
        </w:rPr>
        <w:t>Productivity Commission 2016, Regulation of Australian Agriculture, Report no. 79, Canberra</w:t>
      </w:r>
      <w:r w:rsidRPr="006422AF">
        <w:rPr>
          <w:i/>
        </w:rPr>
        <w:t>.</w:t>
      </w:r>
    </w:p>
    <w:p w14:paraId="7249B12C" w14:textId="77777777" w:rsidR="008A3857" w:rsidRPr="00130C52" w:rsidRDefault="008A3857" w:rsidP="00130C52">
      <w:pPr>
        <w:pStyle w:val="Copyrightbodytext"/>
        <w:rPr>
          <w:i/>
        </w:rPr>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130C52" w:rsidRPr="006422AF">
        <w:rPr>
          <w:i/>
        </w:rPr>
        <w:t>Regulation of Australian Agriculture, Report no. 79</w:t>
      </w:r>
      <w:r w:rsidRPr="008A3857">
        <w:t>.</w:t>
      </w:r>
    </w:p>
    <w:p w14:paraId="7249B12D"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7249B12E" w14:textId="77777777" w:rsidR="00941C4B" w:rsidRPr="00CF6CA3" w:rsidRDefault="00941C4B" w:rsidP="00941C4B">
      <w:pPr>
        <w:pStyle w:val="Copyrightbodytext"/>
      </w:pPr>
      <w:bookmarkStart w:id="2" w:name="JEL"/>
      <w:bookmarkEnd w:id="2"/>
      <w:r w:rsidRPr="00CF6CA3">
        <w:t>Productivity Commission 2016,</w:t>
      </w:r>
      <w:r w:rsidRPr="00CF6CA3">
        <w:rPr>
          <w:i/>
        </w:rPr>
        <w:t xml:space="preserve"> Regulation of Australian Agriculture,</w:t>
      </w:r>
      <w:r w:rsidRPr="00CF6CA3">
        <w:t xml:space="preserve"> Report</w:t>
      </w:r>
      <w:r>
        <w:t xml:space="preserve"> no. 79</w:t>
      </w:r>
      <w:r w:rsidRPr="00CF6CA3">
        <w:t>, Canberra</w:t>
      </w:r>
      <w:r>
        <w:t>.</w:t>
      </w:r>
    </w:p>
    <w:p w14:paraId="7249B12F" w14:textId="77777777" w:rsidR="008A3857" w:rsidRPr="008A3857" w:rsidRDefault="008A3857" w:rsidP="008A3857">
      <w:pPr>
        <w:pStyle w:val="Copyrightsubtitle"/>
      </w:pPr>
      <w:r w:rsidRPr="008A3857">
        <w:t>Publications enquiries</w:t>
      </w:r>
    </w:p>
    <w:p w14:paraId="7249B130"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7249B131"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7249B133" w14:textId="77777777" w:rsidTr="00C670DE">
        <w:tc>
          <w:tcPr>
            <w:tcW w:w="8771" w:type="dxa"/>
            <w:tcBorders>
              <w:top w:val="single" w:sz="6" w:space="0" w:color="78A22F"/>
              <w:left w:val="nil"/>
              <w:bottom w:val="nil"/>
              <w:right w:val="nil"/>
            </w:tcBorders>
            <w:shd w:val="clear" w:color="auto" w:fill="F2F2F2" w:themeFill="background1" w:themeFillShade="F2"/>
          </w:tcPr>
          <w:p w14:paraId="7249B132" w14:textId="77777777" w:rsidR="008A3857" w:rsidRPr="008A3857" w:rsidRDefault="008A3857" w:rsidP="00B929CC">
            <w:pPr>
              <w:pStyle w:val="BoxTitle"/>
              <w:rPr>
                <w:sz w:val="22"/>
                <w:szCs w:val="22"/>
              </w:rPr>
            </w:pPr>
            <w:r w:rsidRPr="008A3857">
              <w:rPr>
                <w:sz w:val="22"/>
                <w:szCs w:val="22"/>
              </w:rPr>
              <w:t>The Productivity Commission</w:t>
            </w:r>
          </w:p>
        </w:tc>
      </w:tr>
      <w:tr w:rsidR="008A3857" w14:paraId="7249B137" w14:textId="77777777" w:rsidTr="00C670DE">
        <w:tc>
          <w:tcPr>
            <w:tcW w:w="8771" w:type="dxa"/>
            <w:tcBorders>
              <w:top w:val="nil"/>
              <w:left w:val="nil"/>
              <w:bottom w:val="nil"/>
              <w:right w:val="nil"/>
            </w:tcBorders>
            <w:shd w:val="clear" w:color="auto" w:fill="F2F2F2" w:themeFill="background1" w:themeFillShade="F2"/>
          </w:tcPr>
          <w:p w14:paraId="7249B134" w14:textId="77777777" w:rsidR="008A3857" w:rsidRDefault="008A3857" w:rsidP="00B929CC">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7249B135" w14:textId="77777777" w:rsidR="008A3857" w:rsidRDefault="008A3857" w:rsidP="00B929CC">
            <w:pPr>
              <w:pStyle w:val="Box"/>
            </w:pPr>
            <w:r w:rsidRPr="00BB5DCF">
              <w:t>The Commission’s independence is underpinned by an Act of Parliament. Its processes and outputs are open to public scrutiny and are driven by concern for the wellbeing of the community as a whole.</w:t>
            </w:r>
          </w:p>
          <w:p w14:paraId="7249B136" w14:textId="77777777" w:rsidR="008A3857" w:rsidRDefault="008A3857" w:rsidP="00EC38C1">
            <w:pPr>
              <w:pStyle w:val="Box"/>
            </w:pPr>
            <w:r w:rsidRPr="00BB5DCF">
              <w:rPr>
                <w:szCs w:val="24"/>
              </w:rPr>
              <w:t>Further information on the Productivity Commission can be obtained from the Commission’s website (</w:t>
            </w:r>
            <w:proofErr w:type="spellStart"/>
            <w:r w:rsidR="000C7186">
              <w:fldChar w:fldCharType="begin"/>
            </w:r>
            <w:r w:rsidR="000C7186">
              <w:instrText xml:space="preserve"> HYPERLINK "http://www.pc.gov.au/" </w:instrText>
            </w:r>
            <w:r w:rsidR="000C7186">
              <w:fldChar w:fldCharType="separate"/>
            </w:r>
            <w:r w:rsidRPr="00805FD7">
              <w:t>www.pc.gov.au</w:t>
            </w:r>
            <w:proofErr w:type="spellEnd"/>
            <w:r w:rsidR="000C7186">
              <w:fldChar w:fldCharType="end"/>
            </w:r>
            <w:r w:rsidRPr="00BB5DCF">
              <w:rPr>
                <w:szCs w:val="24"/>
              </w:rPr>
              <w:t>)</w:t>
            </w:r>
            <w:r w:rsidR="00EC38C1">
              <w:rPr>
                <w:szCs w:val="24"/>
              </w:rPr>
              <w:t>.</w:t>
            </w:r>
          </w:p>
        </w:tc>
      </w:tr>
      <w:tr w:rsidR="008A3857" w14:paraId="7249B139" w14:textId="77777777" w:rsidTr="00C670DE">
        <w:tc>
          <w:tcPr>
            <w:tcW w:w="8771" w:type="dxa"/>
            <w:tcBorders>
              <w:top w:val="nil"/>
              <w:left w:val="nil"/>
              <w:bottom w:val="single" w:sz="6" w:space="0" w:color="78A22F"/>
              <w:right w:val="nil"/>
            </w:tcBorders>
            <w:shd w:val="clear" w:color="auto" w:fill="F2F2F2" w:themeFill="background1" w:themeFillShade="F2"/>
          </w:tcPr>
          <w:p w14:paraId="7249B138" w14:textId="77777777" w:rsidR="008A3857" w:rsidRDefault="008A3857" w:rsidP="00B929CC">
            <w:pPr>
              <w:pStyle w:val="Box"/>
              <w:spacing w:before="0" w:line="120" w:lineRule="exact"/>
            </w:pPr>
          </w:p>
        </w:tc>
      </w:tr>
    </w:tbl>
    <w:p w14:paraId="7249B13A" w14:textId="77777777" w:rsidR="000B1D57" w:rsidRDefault="000B1D57">
      <w:pPr>
        <w:pStyle w:val="BodyText"/>
      </w:pPr>
      <w:bookmarkStart w:id="3" w:name="cov"/>
      <w:bookmarkEnd w:id="3"/>
    </w:p>
    <w:p w14:paraId="7249B13B" w14:textId="77777777" w:rsidR="000B1D57" w:rsidRDefault="000B1D57" w:rsidP="000B1D57">
      <w:pPr>
        <w:pStyle w:val="BodyText"/>
      </w:pPr>
      <w:r>
        <w:br w:type="page"/>
      </w:r>
    </w:p>
    <w:tbl>
      <w:tblPr>
        <w:tblW w:w="9073" w:type="dxa"/>
        <w:tblInd w:w="-34" w:type="dxa"/>
        <w:tblLayout w:type="fixed"/>
        <w:tblLook w:val="0000" w:firstRow="0" w:lastRow="0" w:firstColumn="0" w:lastColumn="0" w:noHBand="0" w:noVBand="0"/>
      </w:tblPr>
      <w:tblGrid>
        <w:gridCol w:w="2434"/>
        <w:gridCol w:w="1824"/>
        <w:gridCol w:w="2121"/>
        <w:gridCol w:w="2694"/>
      </w:tblGrid>
      <w:tr w:rsidR="000B1D57" w14:paraId="7249B13F" w14:textId="77777777" w:rsidTr="00B929CC">
        <w:trPr>
          <w:cantSplit/>
          <w:trHeight w:hRule="exact" w:val="996"/>
        </w:trPr>
        <w:tc>
          <w:tcPr>
            <w:tcW w:w="2434" w:type="dxa"/>
          </w:tcPr>
          <w:p w14:paraId="7249B13C" w14:textId="77777777" w:rsidR="000B1D57" w:rsidRPr="00205C77" w:rsidRDefault="000B1D57">
            <w:pPr>
              <w:pStyle w:val="PCAddress"/>
              <w:ind w:left="709"/>
              <w:rPr>
                <w:rFonts w:ascii="Goudy Old Style" w:hAnsi="Goudy Old Style"/>
                <w:b/>
                <w:i/>
              </w:rPr>
            </w:pPr>
          </w:p>
        </w:tc>
        <w:tc>
          <w:tcPr>
            <w:tcW w:w="1824" w:type="dxa"/>
          </w:tcPr>
          <w:p w14:paraId="7249B13D" w14:textId="77777777" w:rsidR="000B1D57" w:rsidRPr="00205C77" w:rsidRDefault="000B1D57">
            <w:pPr>
              <w:pStyle w:val="PCAddress"/>
              <w:ind w:left="709"/>
              <w:rPr>
                <w:rFonts w:ascii="Goudy Old Style" w:hAnsi="Goudy Old Style"/>
                <w:b/>
                <w:i/>
              </w:rPr>
            </w:pPr>
          </w:p>
        </w:tc>
        <w:tc>
          <w:tcPr>
            <w:tcW w:w="4815" w:type="dxa"/>
            <w:gridSpan w:val="2"/>
          </w:tcPr>
          <w:p w14:paraId="7249B13E" w14:textId="77777777" w:rsidR="000B1D57" w:rsidRPr="00205C77" w:rsidRDefault="000B1D57" w:rsidP="00B929CC">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7249B2A2" wp14:editId="7249B2A3">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57400" cy="600075"/>
                          </a:xfrm>
                          <a:prstGeom prst="rect">
                            <a:avLst/>
                          </a:prstGeom>
                          <a:noFill/>
                          <a:ln>
                            <a:noFill/>
                          </a:ln>
                        </pic:spPr>
                      </pic:pic>
                    </a:graphicData>
                  </a:graphic>
                </wp:inline>
              </w:drawing>
            </w:r>
          </w:p>
        </w:tc>
      </w:tr>
      <w:tr w:rsidR="00BE48D5" w14:paraId="7249B147" w14:textId="77777777" w:rsidTr="00BE48D5">
        <w:trPr>
          <w:cantSplit/>
          <w:trHeight w:hRule="exact" w:val="2793"/>
        </w:trPr>
        <w:tc>
          <w:tcPr>
            <w:tcW w:w="6379" w:type="dxa"/>
            <w:gridSpan w:val="3"/>
            <w:vAlign w:val="bottom"/>
          </w:tcPr>
          <w:p w14:paraId="7249B140" w14:textId="1230FDA3" w:rsidR="00BE48D5" w:rsidRPr="00E61DA2" w:rsidRDefault="00110074" w:rsidP="000D2C0F">
            <w:pPr>
              <w:pStyle w:val="LetterDate"/>
              <w:ind w:left="34"/>
            </w:pPr>
            <w:r>
              <w:t>1</w:t>
            </w:r>
            <w:r w:rsidR="00BE48D5">
              <w:t>5 November 2016</w:t>
            </w:r>
          </w:p>
        </w:tc>
        <w:tc>
          <w:tcPr>
            <w:tcW w:w="2694" w:type="dxa"/>
            <w:vAlign w:val="center"/>
          </w:tcPr>
          <w:p w14:paraId="7249B141" w14:textId="77777777" w:rsidR="00BE48D5" w:rsidRPr="00706016" w:rsidRDefault="00BE48D5" w:rsidP="00601EA6">
            <w:pPr>
              <w:pStyle w:val="PCAddress"/>
              <w:rPr>
                <w:b/>
                <w:i/>
              </w:rPr>
            </w:pPr>
            <w:smartTag w:uri="urn:schemas-microsoft-com:office:smarttags" w:element="City">
              <w:smartTag w:uri="urn:schemas-microsoft-com:office:smarttags" w:element="place">
                <w:r w:rsidRPr="00706016">
                  <w:rPr>
                    <w:b/>
                    <w:i/>
                  </w:rPr>
                  <w:t>Canberra</w:t>
                </w:r>
              </w:smartTag>
            </w:smartTag>
            <w:r w:rsidRPr="00706016">
              <w:rPr>
                <w:b/>
                <w:i/>
              </w:rPr>
              <w:t xml:space="preserve"> Office</w:t>
            </w:r>
          </w:p>
          <w:p w14:paraId="7249B142" w14:textId="77777777" w:rsidR="00BE48D5" w:rsidRPr="00706016" w:rsidRDefault="00BE48D5" w:rsidP="00601EA6">
            <w:pPr>
              <w:pStyle w:val="PCAddress"/>
            </w:pPr>
            <w:r w:rsidRPr="00706016">
              <w:t>Level 2, 15 Moore Street</w:t>
            </w:r>
            <w:r w:rsidRPr="00706016">
              <w:br/>
              <w:t>Canberra City ACT  2600</w:t>
            </w:r>
            <w:r w:rsidRPr="00706016">
              <w:br/>
              <w:t>GPO Box 1428</w:t>
            </w:r>
            <w:r w:rsidRPr="00706016">
              <w:br/>
              <w:t>Canberra City ACT  2600</w:t>
            </w:r>
          </w:p>
          <w:p w14:paraId="7249B143" w14:textId="77777777" w:rsidR="00BE48D5" w:rsidRPr="00706016" w:rsidRDefault="00BE48D5" w:rsidP="00601EA6">
            <w:pPr>
              <w:pStyle w:val="PCAddress"/>
            </w:pPr>
            <w:r w:rsidRPr="00706016">
              <w:t>Telephone</w:t>
            </w:r>
            <w:r w:rsidRPr="00706016">
              <w:tab/>
              <w:t>02 6240 3200</w:t>
            </w:r>
            <w:r w:rsidRPr="00706016">
              <w:br/>
              <w:t>Facsimile</w:t>
            </w:r>
            <w:r w:rsidRPr="00706016">
              <w:tab/>
              <w:t>02 6240 3399</w:t>
            </w:r>
          </w:p>
          <w:p w14:paraId="7249B144" w14:textId="77777777" w:rsidR="00BE48D5" w:rsidRPr="00706016" w:rsidRDefault="00BE48D5" w:rsidP="00601EA6">
            <w:pPr>
              <w:pStyle w:val="PCAddress"/>
              <w:rPr>
                <w:b/>
                <w:i/>
              </w:rPr>
            </w:pPr>
            <w:smartTag w:uri="urn:schemas-microsoft-com:office:smarttags" w:element="City">
              <w:smartTag w:uri="urn:schemas-microsoft-com:office:smarttags" w:element="place">
                <w:r w:rsidRPr="00706016">
                  <w:rPr>
                    <w:b/>
                    <w:i/>
                  </w:rPr>
                  <w:t>Melbourne</w:t>
                </w:r>
              </w:smartTag>
            </w:smartTag>
            <w:r w:rsidRPr="00706016">
              <w:rPr>
                <w:b/>
                <w:i/>
              </w:rPr>
              <w:t xml:space="preserve"> Office</w:t>
            </w:r>
          </w:p>
          <w:p w14:paraId="7249B145" w14:textId="77777777" w:rsidR="00BE48D5" w:rsidRPr="00706016" w:rsidRDefault="00BE48D5" w:rsidP="00601EA6">
            <w:pPr>
              <w:pStyle w:val="PCAddress"/>
            </w:pPr>
            <w:r w:rsidRPr="00706016">
              <w:t>Telephone</w:t>
            </w:r>
            <w:r w:rsidRPr="00706016">
              <w:tab/>
              <w:t>03 9653 2100</w:t>
            </w:r>
          </w:p>
          <w:p w14:paraId="7249B146" w14:textId="77777777" w:rsidR="00BE48D5" w:rsidRPr="00205C77" w:rsidRDefault="00BE48D5" w:rsidP="00BE48D5">
            <w:pPr>
              <w:pStyle w:val="PCAddress"/>
              <w:ind w:left="34"/>
              <w:jc w:val="both"/>
              <w:rPr>
                <w:rFonts w:ascii="Goudy Old Style" w:hAnsi="Goudy Old Style"/>
              </w:rPr>
            </w:pPr>
            <w:proofErr w:type="spellStart"/>
            <w:r w:rsidRPr="00706016">
              <w:t>www.pc.gov.au</w:t>
            </w:r>
            <w:proofErr w:type="spellEnd"/>
          </w:p>
        </w:tc>
      </w:tr>
    </w:tbl>
    <w:p w14:paraId="7249B148" w14:textId="77777777" w:rsidR="000B1D57" w:rsidRDefault="000B1D57" w:rsidP="00B929CC">
      <w:pPr>
        <w:pStyle w:val="LetterAddress"/>
      </w:pPr>
    </w:p>
    <w:p w14:paraId="7249B149" w14:textId="77777777" w:rsidR="00BE48D5" w:rsidRPr="00C76C25" w:rsidRDefault="00BE48D5" w:rsidP="00B929CC">
      <w:pPr>
        <w:pStyle w:val="LetterAddress"/>
      </w:pPr>
    </w:p>
    <w:p w14:paraId="7249B14A" w14:textId="77777777" w:rsidR="000B1D57" w:rsidRDefault="000B1D57" w:rsidP="00B929CC">
      <w:pPr>
        <w:pStyle w:val="LetterAddress"/>
      </w:pPr>
      <w:r>
        <w:t xml:space="preserve">The </w:t>
      </w:r>
      <w:r w:rsidR="00BE48D5">
        <w:t>Hon Scott Morrison</w:t>
      </w:r>
      <w:r>
        <w:t xml:space="preserve"> MP</w:t>
      </w:r>
    </w:p>
    <w:p w14:paraId="7249B14B" w14:textId="77777777" w:rsidR="000B1D57" w:rsidRDefault="000B1D57" w:rsidP="00B929CC">
      <w:pPr>
        <w:pStyle w:val="LetterAddress"/>
      </w:pPr>
      <w:r>
        <w:t>Treasurer</w:t>
      </w:r>
    </w:p>
    <w:p w14:paraId="7249B14C" w14:textId="77777777" w:rsidR="000B1D57" w:rsidRDefault="000B1D57" w:rsidP="00B929CC">
      <w:pPr>
        <w:pStyle w:val="LetterAddress"/>
      </w:pPr>
      <w:r>
        <w:t>Parliament House</w:t>
      </w:r>
    </w:p>
    <w:p w14:paraId="7249B14D" w14:textId="77777777" w:rsidR="000B1D57" w:rsidRDefault="000B1D57" w:rsidP="00B929CC">
      <w:pPr>
        <w:pStyle w:val="LetterAddress"/>
      </w:pPr>
      <w:r>
        <w:t>CANBERRA ACT 2600</w:t>
      </w:r>
    </w:p>
    <w:p w14:paraId="7249B14E" w14:textId="77777777" w:rsidR="00197A66" w:rsidRDefault="00197A66" w:rsidP="00B929CC">
      <w:pPr>
        <w:pStyle w:val="Salutation"/>
      </w:pPr>
    </w:p>
    <w:p w14:paraId="7249B14F" w14:textId="77777777" w:rsidR="00197A66" w:rsidRDefault="00197A66" w:rsidP="00B929CC">
      <w:pPr>
        <w:pStyle w:val="Salutation"/>
      </w:pPr>
    </w:p>
    <w:p w14:paraId="7249B150" w14:textId="77777777" w:rsidR="000B1D57" w:rsidRPr="00C76C25" w:rsidRDefault="000B1D57" w:rsidP="00B929CC">
      <w:pPr>
        <w:pStyle w:val="Salutation"/>
      </w:pPr>
      <w:r w:rsidRPr="00C76C25">
        <w:t>Dear Treasurer</w:t>
      </w:r>
    </w:p>
    <w:p w14:paraId="7249B151" w14:textId="77777777" w:rsidR="000B1D57" w:rsidRPr="0027513F" w:rsidRDefault="000B1D57" w:rsidP="00B929CC">
      <w:pPr>
        <w:pStyle w:val="BodyText"/>
      </w:pPr>
      <w:r w:rsidRPr="0027513F">
        <w:t xml:space="preserve">In accordance with Section 11 of the </w:t>
      </w:r>
      <w:r w:rsidRPr="00692889">
        <w:rPr>
          <w:i/>
        </w:rPr>
        <w:t>Productivity Commission Act 1998</w:t>
      </w:r>
      <w:r w:rsidRPr="0027513F">
        <w:t xml:space="preserve">, we have pleasure in submitting to you the Commission’s final report into </w:t>
      </w:r>
      <w:r w:rsidR="00CE2858">
        <w:t xml:space="preserve">the </w:t>
      </w:r>
      <w:r w:rsidR="00CE2858" w:rsidRPr="00BE48D5">
        <w:rPr>
          <w:i/>
        </w:rPr>
        <w:t>Regulation of Australian Agriculture</w:t>
      </w:r>
      <w:r w:rsidRPr="0027513F">
        <w:t>.</w:t>
      </w:r>
    </w:p>
    <w:p w14:paraId="7249B152" w14:textId="77777777" w:rsidR="000B1D57" w:rsidRPr="00C76C25" w:rsidRDefault="00BD0E42" w:rsidP="00BE48D5">
      <w:pPr>
        <w:pStyle w:val="Signoff"/>
      </w:pPr>
      <w:r>
        <w:rPr>
          <w:noProof/>
          <w:szCs w:val="25"/>
        </w:rPr>
        <w:drawing>
          <wp:anchor distT="0" distB="0" distL="114300" distR="114300" simplePos="0" relativeHeight="251659264" behindDoc="0" locked="0" layoutInCell="1" allowOverlap="1" wp14:anchorId="7249B2A4" wp14:editId="6540E6C1">
            <wp:simplePos x="0" y="0"/>
            <wp:positionH relativeFrom="column">
              <wp:posOffset>-231140</wp:posOffset>
            </wp:positionH>
            <wp:positionV relativeFrom="paragraph">
              <wp:posOffset>554355</wp:posOffset>
            </wp:positionV>
            <wp:extent cx="5860392" cy="2019300"/>
            <wp:effectExtent l="0" t="0" r="7620" b="0"/>
            <wp:wrapNone/>
            <wp:docPr id="5" name="Picture 5" descr="Sigantures of Paul Lindwall, Presiding Commissioner and Ken Baxter, Commissio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ed-submission-letter.png"/>
                    <pic:cNvPicPr/>
                  </pic:nvPicPr>
                  <pic:blipFill rotWithShape="1">
                    <a:blip r:embed="rId16" cstate="print">
                      <a:extLst>
                        <a:ext uri="{28A0092B-C50C-407E-A947-70E740481C1C}">
                          <a14:useLocalDpi xmlns:a14="http://schemas.microsoft.com/office/drawing/2010/main" val="0"/>
                        </a:ext>
                      </a:extLst>
                    </a:blip>
                    <a:srcRect/>
                    <a:stretch/>
                  </pic:blipFill>
                  <pic:spPr bwMode="auto">
                    <a:xfrm>
                      <a:off x="0" y="0"/>
                      <a:ext cx="5860392" cy="2019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B1D57" w:rsidRPr="00C76C25">
        <w:t>Yours sincerely</w:t>
      </w:r>
    </w:p>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Design layout table."/>
      </w:tblPr>
      <w:tblGrid>
        <w:gridCol w:w="4503"/>
        <w:gridCol w:w="4536"/>
      </w:tblGrid>
      <w:tr w:rsidR="0005300C" w14:paraId="7249B155" w14:textId="77777777" w:rsidTr="00D726B4">
        <w:trPr>
          <w:tblHeader/>
        </w:trPr>
        <w:tc>
          <w:tcPr>
            <w:tcW w:w="4503" w:type="dxa"/>
          </w:tcPr>
          <w:p w14:paraId="7249B153" w14:textId="77777777" w:rsidR="0005300C" w:rsidRPr="0027513F" w:rsidRDefault="0005300C" w:rsidP="00B929CC">
            <w:pPr>
              <w:pStyle w:val="LetterAddress"/>
              <w:rPr>
                <w:szCs w:val="25"/>
              </w:rPr>
            </w:pPr>
          </w:p>
        </w:tc>
        <w:tc>
          <w:tcPr>
            <w:tcW w:w="4536" w:type="dxa"/>
          </w:tcPr>
          <w:p w14:paraId="7249B154" w14:textId="77777777" w:rsidR="0005300C" w:rsidRPr="0027513F" w:rsidRDefault="0005300C" w:rsidP="00B929CC">
            <w:pPr>
              <w:pStyle w:val="LetterAddress"/>
              <w:rPr>
                <w:szCs w:val="25"/>
              </w:rPr>
            </w:pPr>
          </w:p>
        </w:tc>
      </w:tr>
    </w:tbl>
    <w:p w14:paraId="7249B156" w14:textId="77777777" w:rsidR="000B1D57" w:rsidRDefault="000B1D57"/>
    <w:p w14:paraId="7249B157"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p>
    <w:p w14:paraId="7249B158" w14:textId="77777777" w:rsidR="000B1D57" w:rsidRDefault="000B1D57" w:rsidP="00B929CC">
      <w:pPr>
        <w:pStyle w:val="Heading1"/>
      </w:pPr>
      <w:bookmarkStart w:id="4" w:name="_Toc466619347"/>
      <w:r>
        <w:lastRenderedPageBreak/>
        <w:t>Terms of reference</w:t>
      </w:r>
      <w:bookmarkEnd w:id="4"/>
    </w:p>
    <w:p w14:paraId="7249B159" w14:textId="77777777" w:rsidR="009853A0" w:rsidRDefault="009853A0" w:rsidP="009853A0">
      <w:pPr>
        <w:pStyle w:val="Heading3"/>
        <w:rPr>
          <w:rFonts w:cs="Arial"/>
        </w:rPr>
      </w:pPr>
      <w:r w:rsidRPr="00355A9E">
        <w:t>Inquiry into regulation of Australian agricultural sector</w:t>
      </w:r>
    </w:p>
    <w:p w14:paraId="7249B15A" w14:textId="77777777" w:rsidR="009853A0" w:rsidRDefault="009853A0" w:rsidP="009853A0">
      <w:pPr>
        <w:pStyle w:val="BodyText"/>
      </w:pPr>
      <w:r>
        <w:t xml:space="preserve">I, Scott Morrison, Treasurer, pursuant to Parts 2 and 3 of the </w:t>
      </w:r>
      <w:r w:rsidRPr="00FC55B0">
        <w:rPr>
          <w:i/>
        </w:rPr>
        <w:t>Productivity Commission Act 1998</w:t>
      </w:r>
      <w:r>
        <w:t>, hereby request that the Productivity Commission undertake an inquiry into the regulatory burden imposed on Australian farm businesses.</w:t>
      </w:r>
    </w:p>
    <w:p w14:paraId="7249B15B" w14:textId="77777777" w:rsidR="009853A0" w:rsidRPr="0002577D" w:rsidRDefault="009853A0" w:rsidP="009853A0">
      <w:pPr>
        <w:pStyle w:val="Heading3"/>
      </w:pPr>
      <w:r w:rsidRPr="0002577D">
        <w:t>Background</w:t>
      </w:r>
    </w:p>
    <w:p w14:paraId="7249B15C" w14:textId="77777777" w:rsidR="009853A0" w:rsidRDefault="009853A0" w:rsidP="009853A0">
      <w:pPr>
        <w:pStyle w:val="BodyText"/>
      </w:pPr>
      <w:r>
        <w:t>The Australian Government has identified the agriculture sector as one of the five pillars of the economy. It is promoting the economic potential of the sector by removing unnecessary regulatory burdens and promoting improved productivity and global competitiveness.</w:t>
      </w:r>
    </w:p>
    <w:p w14:paraId="7249B15D" w14:textId="77777777" w:rsidR="009853A0" w:rsidRDefault="009853A0" w:rsidP="009853A0">
      <w:pPr>
        <w:pStyle w:val="BodyText"/>
      </w:pPr>
      <w:r>
        <w:t xml:space="preserve">The Australian Government’s deregulation agenda has </w:t>
      </w:r>
      <w:r w:rsidRPr="00920B21">
        <w:t>focussed</w:t>
      </w:r>
      <w:r>
        <w:t xml:space="preserve"> on reducing Commonwealth red tape. As part of its deregulation agenda, the Government is implementing reforms in agricultural and veterinary chemicals, biosecurity and export certification. However, there is an opportunity for better national outcomes for the agriculture sector by considering regulation at all levels of government. This is particularly applicable in the areas of transport, environmental protection, native vegetation management, land tenure, animal welfare and food safety in which the states and territories have significant responsibility.</w:t>
      </w:r>
    </w:p>
    <w:p w14:paraId="7249B15E" w14:textId="0FDE2174" w:rsidR="009853A0" w:rsidRDefault="009853A0" w:rsidP="009853A0">
      <w:pPr>
        <w:pStyle w:val="BodyText"/>
      </w:pPr>
      <w:r>
        <w:t>While regulation targets valid objectives, such as protecting consumers from unsafe food, protecting the environment or supporting the export of goods, poorly implemented and administered regulation and the cumulative impact of regulation c</w:t>
      </w:r>
      <w:r w:rsidR="002258B4">
        <w:t>an have adverse effects on farm</w:t>
      </w:r>
      <w:r>
        <w:t xml:space="preserve"> businesses. It can unnecessarily restrict farm management decisions and reduce investment.</w:t>
      </w:r>
    </w:p>
    <w:p w14:paraId="7249B15F" w14:textId="77777777" w:rsidR="009853A0" w:rsidRDefault="009853A0" w:rsidP="009853A0">
      <w:pPr>
        <w:pStyle w:val="BodyText"/>
      </w:pPr>
      <w:r>
        <w:t xml:space="preserve">Inconsistent and overlapping regulations between jurisdictions can also create adverse effects and raise costs for </w:t>
      </w:r>
      <w:r w:rsidR="00197A66">
        <w:t xml:space="preserve">farm </w:t>
      </w:r>
      <w:r>
        <w:t>businesses.</w:t>
      </w:r>
    </w:p>
    <w:p w14:paraId="7249B160" w14:textId="77777777" w:rsidR="009853A0" w:rsidRPr="0002577D" w:rsidRDefault="009853A0" w:rsidP="009853A0">
      <w:pPr>
        <w:pStyle w:val="Heading3"/>
      </w:pPr>
      <w:r w:rsidRPr="0002577D">
        <w:t>Scope of the inquiry</w:t>
      </w:r>
    </w:p>
    <w:p w14:paraId="7249B161" w14:textId="77777777" w:rsidR="009853A0" w:rsidRDefault="009853A0" w:rsidP="009853A0">
      <w:pPr>
        <w:pStyle w:val="BodyText"/>
      </w:pPr>
      <w:r>
        <w:t>The inquiry will focus on regulation with a material impact on domestic and international competitiveness of farm businesses and the productivity of Australian agriculture.</w:t>
      </w:r>
    </w:p>
    <w:p w14:paraId="7249B162" w14:textId="77777777" w:rsidR="009853A0" w:rsidRDefault="009853A0" w:rsidP="009853A0">
      <w:pPr>
        <w:pStyle w:val="BodyText"/>
      </w:pPr>
      <w:r>
        <w:lastRenderedPageBreak/>
        <w:t>The inquiry will define priority areas for removing or reducing unnecessary regulatory burdens where doing so will/can contribute to improved productivity for farm businesses as well as the wider economy.</w:t>
      </w:r>
    </w:p>
    <w:p w14:paraId="7249B163" w14:textId="77777777" w:rsidR="009853A0" w:rsidRDefault="009853A0" w:rsidP="009853A0">
      <w:pPr>
        <w:pStyle w:val="BodyText"/>
        <w:keepNext/>
      </w:pPr>
      <w:r>
        <w:t>The inquiry will also review regulation of farm businesses to identify unnecessary restrictions on competition.</w:t>
      </w:r>
    </w:p>
    <w:p w14:paraId="7249B164" w14:textId="77777777" w:rsidR="009853A0" w:rsidRDefault="009853A0" w:rsidP="009853A0">
      <w:pPr>
        <w:pStyle w:val="BodyText"/>
      </w:pPr>
      <w:r>
        <w:t>While focussed on the impact of regulation on farm businesses, the inquiry should also consider the material impact arising from regulation imposed along the supply chain such as regulations introduced to meet the requirements of international markets.</w:t>
      </w:r>
    </w:p>
    <w:p w14:paraId="7249B165" w14:textId="77777777" w:rsidR="009853A0" w:rsidRDefault="009853A0" w:rsidP="009853A0">
      <w:pPr>
        <w:pStyle w:val="BodyText"/>
      </w:pPr>
      <w:r>
        <w:t>Consistent with its legislative remit, the Commission is to have particular regard to:</w:t>
      </w:r>
    </w:p>
    <w:p w14:paraId="7249B166" w14:textId="77777777" w:rsidR="009853A0" w:rsidRDefault="009853A0" w:rsidP="009853A0">
      <w:pPr>
        <w:pStyle w:val="ListBullet"/>
        <w:numPr>
          <w:ilvl w:val="0"/>
          <w:numId w:val="16"/>
        </w:numPr>
      </w:pPr>
      <w:r>
        <w:t xml:space="preserve">areas of regulation that directly affect farm businesses, including those identified as areas of concern through the white papers on agricultural competitiveness and northern Australia. This includes regulatory arrangements affecting access to new technologies, investment opportunities, land tenure, relevant environmental protection and native vegetation laws, animal welfare and the Exporter Supply Chain Assurance System </w:t>
      </w:r>
    </w:p>
    <w:p w14:paraId="7249B167" w14:textId="77777777" w:rsidR="009853A0" w:rsidRDefault="009853A0" w:rsidP="009853A0">
      <w:pPr>
        <w:pStyle w:val="ListBullet"/>
        <w:numPr>
          <w:ilvl w:val="0"/>
          <w:numId w:val="16"/>
        </w:numPr>
      </w:pPr>
      <w:r>
        <w:t>areas where there is greatest scope to reduce unnecessary regulatory burden and pursue regulatory objectives in more efficient (least cost) ways</w:t>
      </w:r>
    </w:p>
    <w:p w14:paraId="7249B168" w14:textId="77777777" w:rsidR="009853A0" w:rsidRDefault="009853A0" w:rsidP="009853A0">
      <w:pPr>
        <w:pStyle w:val="ListBullet"/>
        <w:numPr>
          <w:ilvl w:val="0"/>
          <w:numId w:val="16"/>
        </w:numPr>
      </w:pPr>
      <w:r>
        <w:t>whether the current level at which matters are regulated (national, State and local) is appropriate and whether there is scope for better coordinated action across governments to reduce unnecessary overlap</w:t>
      </w:r>
    </w:p>
    <w:p w14:paraId="7249B169" w14:textId="77777777" w:rsidR="009853A0" w:rsidRDefault="009853A0" w:rsidP="009853A0">
      <w:pPr>
        <w:pStyle w:val="ListBullet"/>
        <w:numPr>
          <w:ilvl w:val="0"/>
          <w:numId w:val="16"/>
        </w:numPr>
      </w:pPr>
      <w:r>
        <w:t>whether Australia’s farm export competitiveness can be improved by minimising duplication between domestic regulation and importing country requirements</w:t>
      </w:r>
    </w:p>
    <w:p w14:paraId="7249B16A" w14:textId="77777777" w:rsidR="009853A0" w:rsidRDefault="009853A0" w:rsidP="009853A0">
      <w:pPr>
        <w:pStyle w:val="ListBullet"/>
        <w:numPr>
          <w:ilvl w:val="0"/>
          <w:numId w:val="16"/>
        </w:numPr>
      </w:pPr>
      <w:r>
        <w:t xml:space="preserve">relevant regulatory approaches adopted in other countries. </w:t>
      </w:r>
    </w:p>
    <w:p w14:paraId="7249B16B" w14:textId="77777777" w:rsidR="009853A0" w:rsidRPr="0002577D" w:rsidRDefault="009853A0" w:rsidP="009853A0">
      <w:pPr>
        <w:pStyle w:val="Heading4"/>
      </w:pPr>
      <w:r w:rsidRPr="0002577D">
        <w:t>Specific requirements</w:t>
      </w:r>
    </w:p>
    <w:p w14:paraId="7249B16C" w14:textId="77777777" w:rsidR="009853A0" w:rsidRDefault="009853A0" w:rsidP="009853A0">
      <w:pPr>
        <w:pStyle w:val="BodyText"/>
      </w:pPr>
      <w:r>
        <w:t>In undertaking the inquiry, the Commission should:</w:t>
      </w:r>
    </w:p>
    <w:p w14:paraId="7249B16D" w14:textId="77777777" w:rsidR="009853A0" w:rsidRDefault="009853A0" w:rsidP="009853A0">
      <w:pPr>
        <w:pStyle w:val="ListBullet"/>
        <w:numPr>
          <w:ilvl w:val="0"/>
          <w:numId w:val="16"/>
        </w:numPr>
      </w:pPr>
      <w:r>
        <w:t>identify specific areas of regulation that are unnecessarily burdensome, complex or redundant</w:t>
      </w:r>
    </w:p>
    <w:p w14:paraId="7249B16E" w14:textId="77777777" w:rsidR="009853A0" w:rsidRDefault="009853A0" w:rsidP="009853A0">
      <w:pPr>
        <w:pStyle w:val="ListBullet"/>
        <w:numPr>
          <w:ilvl w:val="0"/>
          <w:numId w:val="16"/>
        </w:numPr>
      </w:pPr>
      <w:r>
        <w:t>identify priority areas for regulatory reform</w:t>
      </w:r>
    </w:p>
    <w:p w14:paraId="7249B16F" w14:textId="77777777" w:rsidR="009853A0" w:rsidRDefault="009853A0" w:rsidP="009853A0">
      <w:pPr>
        <w:pStyle w:val="ListBullet"/>
        <w:numPr>
          <w:ilvl w:val="0"/>
          <w:numId w:val="16"/>
        </w:numPr>
      </w:pPr>
      <w:r>
        <w:t>provide recommendations to alleviate regulatory burden identified.</w:t>
      </w:r>
    </w:p>
    <w:p w14:paraId="7249B170" w14:textId="77777777" w:rsidR="009853A0" w:rsidRDefault="009853A0" w:rsidP="009853A0">
      <w:pPr>
        <w:pStyle w:val="ListBullet"/>
        <w:numPr>
          <w:ilvl w:val="0"/>
          <w:numId w:val="16"/>
        </w:numPr>
      </w:pPr>
      <w:r>
        <w:t>For the purposes of this inquiry, the regulatory issues affecting:</w:t>
      </w:r>
    </w:p>
    <w:p w14:paraId="7249B171" w14:textId="77777777" w:rsidR="009853A0" w:rsidRDefault="009853A0" w:rsidP="009853A0">
      <w:pPr>
        <w:pStyle w:val="ListBullet"/>
        <w:numPr>
          <w:ilvl w:val="0"/>
          <w:numId w:val="16"/>
        </w:numPr>
      </w:pPr>
      <w:r>
        <w:t>marine fisheries and aquaculture industries will be investigated as part of a separate Productivity Commission inquiry into the Regulation of Australian Marine Fisheries and Aquaculture Sectors.</w:t>
      </w:r>
    </w:p>
    <w:p w14:paraId="7249B172" w14:textId="77777777" w:rsidR="009853A0" w:rsidRDefault="009853A0" w:rsidP="009853A0">
      <w:pPr>
        <w:pStyle w:val="Heading3"/>
      </w:pPr>
      <w:r w:rsidRPr="0002577D">
        <w:lastRenderedPageBreak/>
        <w:t>Process</w:t>
      </w:r>
    </w:p>
    <w:p w14:paraId="7249B173" w14:textId="77777777" w:rsidR="009853A0" w:rsidRPr="0002577D" w:rsidRDefault="009853A0" w:rsidP="009853A0">
      <w:pPr>
        <w:pStyle w:val="BodyText"/>
      </w:pPr>
      <w:r w:rsidRPr="0002577D">
        <w:t>The Commission is to advertise nationally, consult with key interest groups and affected parties, hold hearings, invite public submissions and release a draft report to the public.</w:t>
      </w:r>
    </w:p>
    <w:p w14:paraId="7249B174" w14:textId="77777777" w:rsidR="009853A0" w:rsidRDefault="009853A0" w:rsidP="009853A0">
      <w:pPr>
        <w:pStyle w:val="BodyText"/>
        <w:rPr>
          <w:szCs w:val="24"/>
        </w:rPr>
      </w:pPr>
      <w:r w:rsidRPr="0002577D">
        <w:t>To expedite the review the Commission should consider relevant submissions to the white papers</w:t>
      </w:r>
      <w:r>
        <w:t xml:space="preserve"> </w:t>
      </w:r>
      <w:r>
        <w:rPr>
          <w:szCs w:val="24"/>
        </w:rPr>
        <w:t>on agricultural competitiveness and Northern Australia and other relevant material in the public domain.</w:t>
      </w:r>
    </w:p>
    <w:p w14:paraId="7249B175" w14:textId="77777777" w:rsidR="009853A0" w:rsidRDefault="009853A0" w:rsidP="009853A0">
      <w:pPr>
        <w:pStyle w:val="BodyText"/>
      </w:pPr>
      <w:r>
        <w:rPr>
          <w:szCs w:val="24"/>
        </w:rPr>
        <w:t>The final report should be provided within nine months of the receipt of these Terms of Reference.</w:t>
      </w:r>
    </w:p>
    <w:p w14:paraId="7249B176" w14:textId="77777777" w:rsidR="009853A0" w:rsidRDefault="009853A0" w:rsidP="009853A0">
      <w:pPr>
        <w:pStyle w:val="BodyText"/>
      </w:pPr>
    </w:p>
    <w:p w14:paraId="7249B177" w14:textId="77777777" w:rsidR="009853A0" w:rsidRDefault="009853A0" w:rsidP="009853A0">
      <w:pPr>
        <w:pStyle w:val="BodyText"/>
      </w:pPr>
      <w:r>
        <w:t xml:space="preserve">S. MORRISON </w:t>
      </w:r>
    </w:p>
    <w:p w14:paraId="7249B178" w14:textId="77777777" w:rsidR="009853A0" w:rsidRDefault="009853A0" w:rsidP="009853A0">
      <w:pPr>
        <w:pStyle w:val="BodyText"/>
      </w:pPr>
      <w:r>
        <w:t>Treasurer</w:t>
      </w:r>
    </w:p>
    <w:p w14:paraId="7249B179" w14:textId="77777777" w:rsidR="009853A0" w:rsidRDefault="009853A0" w:rsidP="00E8609C">
      <w:pPr>
        <w:pStyle w:val="BodyText"/>
        <w:rPr>
          <w:kern w:val="28"/>
          <w:sz w:val="52"/>
          <w:szCs w:val="52"/>
        </w:rPr>
      </w:pPr>
      <w:r>
        <w:t>[Received 20 November 2015]</w:t>
      </w:r>
      <w:r>
        <w:rPr>
          <w:szCs w:val="52"/>
        </w:rPr>
        <w:br w:type="page"/>
      </w:r>
    </w:p>
    <w:p w14:paraId="7249B17A" w14:textId="77777777" w:rsidR="009853A0" w:rsidRDefault="009853A0" w:rsidP="009853A0">
      <w:pPr>
        <w:pStyle w:val="Heading1NotTOC"/>
        <w:spacing w:after="0"/>
        <w:rPr>
          <w:szCs w:val="52"/>
        </w:rPr>
      </w:pPr>
      <w:r>
        <w:rPr>
          <w:szCs w:val="52"/>
        </w:rPr>
        <w:lastRenderedPageBreak/>
        <w:t xml:space="preserve">Letter of extension </w:t>
      </w:r>
    </w:p>
    <w:p w14:paraId="7249B17B" w14:textId="77777777" w:rsidR="009853A0" w:rsidRDefault="009853A0" w:rsidP="009853A0">
      <w:pPr>
        <w:pStyle w:val="BodyText"/>
      </w:pPr>
      <w:r>
        <w:rPr>
          <w:noProof/>
        </w:rPr>
        <w:drawing>
          <wp:inline distT="0" distB="0" distL="0" distR="0" wp14:anchorId="7249B2A6" wp14:editId="2E937F66">
            <wp:extent cx="5582467" cy="7899676"/>
            <wp:effectExtent l="19050" t="19050" r="18415" b="25400"/>
            <wp:docPr id="3" name="Picture 3" descr="Extension 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5582467" cy="7899676"/>
                    </a:xfrm>
                    <a:prstGeom prst="rect">
                      <a:avLst/>
                    </a:prstGeom>
                    <a:noFill/>
                    <a:ln>
                      <a:solidFill>
                        <a:schemeClr val="bg2"/>
                      </a:solidFill>
                    </a:ln>
                    <a:extLst>
                      <a:ext uri="{53640926-AAD7-44D8-BBD7-CCE9431645EC}">
                        <a14:shadowObscured xmlns:a14="http://schemas.microsoft.com/office/drawing/2010/main"/>
                      </a:ext>
                    </a:extLst>
                  </pic:spPr>
                </pic:pic>
              </a:graphicData>
            </a:graphic>
          </wp:inline>
        </w:drawing>
      </w:r>
    </w:p>
    <w:p w14:paraId="7249B17C" w14:textId="77777777" w:rsidR="000B1D57" w:rsidRDefault="000B1D57" w:rsidP="00B929CC">
      <w:pPr>
        <w:pStyle w:val="BodyText"/>
        <w:sectPr w:rsidR="000B1D57" w:rsidSect="00B929CC">
          <w:headerReference w:type="even" r:id="rId18"/>
          <w:headerReference w:type="default" r:id="rId19"/>
          <w:footerReference w:type="even" r:id="rId20"/>
          <w:footerReference w:type="default" r:id="rId21"/>
          <w:pgSz w:w="11907" w:h="16840" w:code="9"/>
          <w:pgMar w:top="1985" w:right="1304" w:bottom="1247" w:left="1814" w:header="1701" w:footer="397" w:gutter="0"/>
          <w:pgNumType w:fmt="lowerRoman"/>
          <w:cols w:space="720"/>
        </w:sectPr>
      </w:pPr>
    </w:p>
    <w:p w14:paraId="7249B17D" w14:textId="77777777" w:rsidR="00B825A2" w:rsidRDefault="00735FEA" w:rsidP="007B5B01">
      <w:pPr>
        <w:pStyle w:val="Heading1NotTOC"/>
        <w:spacing w:after="1800"/>
        <w:rPr>
          <w:noProof/>
        </w:rPr>
      </w:pPr>
      <w:bookmarkStart w:id="5" w:name="Contents"/>
      <w:bookmarkEnd w:id="5"/>
      <w:r w:rsidRPr="00B153C3">
        <w:lastRenderedPageBreak/>
        <w:t>Contents</w:t>
      </w:r>
      <w:bookmarkStart w:id="6" w:name="InsertContents"/>
      <w:bookmarkEnd w:id="6"/>
    </w:p>
    <w:p w14:paraId="7249B17E" w14:textId="77777777" w:rsidR="00B825A2" w:rsidRDefault="00B825A2">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sidR="007D16B7">
        <w:rPr>
          <w:noProof/>
        </w:rPr>
        <w:t>iv</w:t>
      </w:r>
    </w:p>
    <w:p w14:paraId="7249B17F" w14:textId="77777777" w:rsidR="00B825A2" w:rsidRDefault="00B825A2">
      <w:pPr>
        <w:pStyle w:val="TOC1"/>
        <w:rPr>
          <w:rFonts w:asciiTheme="minorHAnsi" w:eastAsiaTheme="minorEastAsia" w:hAnsiTheme="minorHAnsi" w:cstheme="minorBidi"/>
          <w:b w:val="0"/>
          <w:noProof/>
          <w:sz w:val="22"/>
          <w:szCs w:val="22"/>
          <w:lang w:eastAsia="en-AU"/>
        </w:rPr>
      </w:pPr>
      <w:r>
        <w:rPr>
          <w:noProof/>
        </w:rPr>
        <w:t>Acknowledgments</w:t>
      </w:r>
      <w:r>
        <w:rPr>
          <w:noProof/>
        </w:rPr>
        <w:tab/>
      </w:r>
      <w:r w:rsidR="007D16B7">
        <w:rPr>
          <w:noProof/>
        </w:rPr>
        <w:t>xiii</w:t>
      </w:r>
    </w:p>
    <w:p w14:paraId="7249B180" w14:textId="77777777" w:rsidR="00B825A2" w:rsidRDefault="00B825A2">
      <w:pPr>
        <w:pStyle w:val="TOC1"/>
        <w:rPr>
          <w:rFonts w:asciiTheme="minorHAnsi" w:eastAsiaTheme="minorEastAsia" w:hAnsiTheme="minorHAnsi" w:cstheme="minorBidi"/>
          <w:b w:val="0"/>
          <w:noProof/>
          <w:sz w:val="22"/>
          <w:szCs w:val="22"/>
          <w:lang w:eastAsia="en-AU"/>
        </w:rPr>
      </w:pPr>
      <w:r>
        <w:rPr>
          <w:noProof/>
        </w:rPr>
        <w:t>Abbreviations</w:t>
      </w:r>
      <w:r>
        <w:rPr>
          <w:noProof/>
        </w:rPr>
        <w:tab/>
      </w:r>
      <w:r w:rsidR="007D16B7">
        <w:rPr>
          <w:noProof/>
        </w:rPr>
        <w:t>xiv</w:t>
      </w:r>
    </w:p>
    <w:p w14:paraId="7249B181" w14:textId="77777777" w:rsidR="00B825A2" w:rsidRDefault="00B825A2">
      <w:pPr>
        <w:pStyle w:val="TOC1"/>
        <w:rPr>
          <w:rFonts w:asciiTheme="minorHAnsi" w:eastAsiaTheme="minorEastAsia" w:hAnsiTheme="minorHAnsi" w:cstheme="minorBidi"/>
          <w:b w:val="0"/>
          <w:noProof/>
          <w:sz w:val="22"/>
          <w:szCs w:val="22"/>
          <w:lang w:eastAsia="en-AU"/>
        </w:rPr>
      </w:pPr>
      <w:r>
        <w:rPr>
          <w:noProof/>
        </w:rPr>
        <w:t>Overview</w:t>
      </w:r>
      <w:r>
        <w:rPr>
          <w:noProof/>
        </w:rPr>
        <w:tab/>
        <w:t>1</w:t>
      </w:r>
    </w:p>
    <w:p w14:paraId="7249B182"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1</w:t>
      </w:r>
      <w:r>
        <w:rPr>
          <w:rFonts w:asciiTheme="minorHAnsi" w:eastAsiaTheme="minorEastAsia" w:hAnsiTheme="minorHAnsi" w:cstheme="minorBidi"/>
          <w:noProof/>
          <w:sz w:val="22"/>
          <w:szCs w:val="22"/>
          <w:lang w:eastAsia="en-AU"/>
        </w:rPr>
        <w:tab/>
      </w:r>
      <w:r>
        <w:rPr>
          <w:noProof/>
        </w:rPr>
        <w:t>Our approach to reviewing regulation</w:t>
      </w:r>
      <w:r>
        <w:rPr>
          <w:noProof/>
        </w:rPr>
        <w:tab/>
        <w:t>6</w:t>
      </w:r>
    </w:p>
    <w:p w14:paraId="7249B183"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2</w:t>
      </w:r>
      <w:r>
        <w:rPr>
          <w:rFonts w:asciiTheme="minorHAnsi" w:eastAsiaTheme="minorEastAsia" w:hAnsiTheme="minorHAnsi" w:cstheme="minorBidi"/>
          <w:noProof/>
          <w:sz w:val="22"/>
          <w:szCs w:val="22"/>
          <w:lang w:eastAsia="en-AU"/>
        </w:rPr>
        <w:tab/>
      </w:r>
      <w:r>
        <w:rPr>
          <w:noProof/>
        </w:rPr>
        <w:t>Benefits, not just costs, are acknowledged</w:t>
      </w:r>
      <w:r>
        <w:rPr>
          <w:noProof/>
        </w:rPr>
        <w:tab/>
        <w:t>8</w:t>
      </w:r>
    </w:p>
    <w:p w14:paraId="7249B184"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3</w:t>
      </w:r>
      <w:r>
        <w:rPr>
          <w:rFonts w:asciiTheme="minorHAnsi" w:eastAsiaTheme="minorEastAsia" w:hAnsiTheme="minorHAnsi" w:cstheme="minorBidi"/>
          <w:noProof/>
          <w:sz w:val="22"/>
          <w:szCs w:val="22"/>
          <w:lang w:eastAsia="en-AU"/>
        </w:rPr>
        <w:tab/>
      </w:r>
      <w:r>
        <w:rPr>
          <w:noProof/>
        </w:rPr>
        <w:t>Some common themes</w:t>
      </w:r>
      <w:r>
        <w:rPr>
          <w:noProof/>
        </w:rPr>
        <w:tab/>
        <w:t>10</w:t>
      </w:r>
    </w:p>
    <w:p w14:paraId="7249B185"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4</w:t>
      </w:r>
      <w:r>
        <w:rPr>
          <w:rFonts w:asciiTheme="minorHAnsi" w:eastAsiaTheme="minorEastAsia" w:hAnsiTheme="minorHAnsi" w:cstheme="minorBidi"/>
          <w:noProof/>
          <w:sz w:val="22"/>
          <w:szCs w:val="22"/>
          <w:lang w:eastAsia="en-AU"/>
        </w:rPr>
        <w:tab/>
      </w:r>
      <w:r>
        <w:rPr>
          <w:noProof/>
        </w:rPr>
        <w:t>Issues by topic area</w:t>
      </w:r>
      <w:r>
        <w:rPr>
          <w:noProof/>
        </w:rPr>
        <w:tab/>
        <w:t>16</w:t>
      </w:r>
    </w:p>
    <w:p w14:paraId="7249B186" w14:textId="77777777" w:rsidR="00B825A2" w:rsidRDefault="00B825A2">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35</w:t>
      </w:r>
    </w:p>
    <w:p w14:paraId="7249B187" w14:textId="77777777" w:rsidR="00B825A2" w:rsidRDefault="00B825A2">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this inquiry</w:t>
      </w:r>
      <w:r>
        <w:rPr>
          <w:noProof/>
        </w:rPr>
        <w:tab/>
        <w:t>47</w:t>
      </w:r>
    </w:p>
    <w:p w14:paraId="7249B188"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Why regulatory burden matters</w:t>
      </w:r>
      <w:r>
        <w:rPr>
          <w:noProof/>
        </w:rPr>
        <w:tab/>
        <w:t>47</w:t>
      </w:r>
    </w:p>
    <w:p w14:paraId="7249B189"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There are regulations at every stage of the agricultural supply chain</w:t>
      </w:r>
      <w:r>
        <w:rPr>
          <w:noProof/>
        </w:rPr>
        <w:tab/>
        <w:t>50</w:t>
      </w:r>
    </w:p>
    <w:p w14:paraId="7249B18A"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What the Commission has been asked to do</w:t>
      </w:r>
      <w:r>
        <w:rPr>
          <w:noProof/>
        </w:rPr>
        <w:tab/>
        <w:t>52</w:t>
      </w:r>
    </w:p>
    <w:p w14:paraId="7249B18B"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Our approach to reviewing regulation</w:t>
      </w:r>
      <w:r>
        <w:rPr>
          <w:noProof/>
        </w:rPr>
        <w:tab/>
        <w:t>53</w:t>
      </w:r>
    </w:p>
    <w:p w14:paraId="7249B18C"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Benefits, not just costs, are acknowledged</w:t>
      </w:r>
      <w:r>
        <w:rPr>
          <w:noProof/>
        </w:rPr>
        <w:tab/>
        <w:t>57</w:t>
      </w:r>
    </w:p>
    <w:p w14:paraId="7249B18D"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1.6</w:t>
      </w:r>
      <w:r>
        <w:rPr>
          <w:rFonts w:asciiTheme="minorHAnsi" w:eastAsiaTheme="minorEastAsia" w:hAnsiTheme="minorHAnsi" w:cstheme="minorBidi"/>
          <w:noProof/>
          <w:sz w:val="22"/>
          <w:szCs w:val="22"/>
          <w:lang w:eastAsia="en-AU"/>
        </w:rPr>
        <w:tab/>
      </w:r>
      <w:r>
        <w:rPr>
          <w:noProof/>
        </w:rPr>
        <w:t>Conduct of the inquiry</w:t>
      </w:r>
      <w:r>
        <w:rPr>
          <w:noProof/>
        </w:rPr>
        <w:tab/>
        <w:t>61</w:t>
      </w:r>
    </w:p>
    <w:p w14:paraId="7249B18E" w14:textId="77777777" w:rsidR="00B825A2" w:rsidRDefault="00B825A2">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Land use regulation</w:t>
      </w:r>
      <w:r>
        <w:rPr>
          <w:noProof/>
        </w:rPr>
        <w:tab/>
        <w:t>63</w:t>
      </w:r>
    </w:p>
    <w:p w14:paraId="7249B18F"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The role of government in land use</w:t>
      </w:r>
      <w:r>
        <w:rPr>
          <w:noProof/>
        </w:rPr>
        <w:tab/>
        <w:t>65</w:t>
      </w:r>
    </w:p>
    <w:p w14:paraId="7249B190"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How is land use regulated?</w:t>
      </w:r>
      <w:r>
        <w:rPr>
          <w:noProof/>
        </w:rPr>
        <w:tab/>
        <w:t>67</w:t>
      </w:r>
    </w:p>
    <w:p w14:paraId="7249B191"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Agriculture on Crown land</w:t>
      </w:r>
      <w:r>
        <w:rPr>
          <w:noProof/>
        </w:rPr>
        <w:tab/>
        <w:t>69</w:t>
      </w:r>
    </w:p>
    <w:p w14:paraId="7249B192"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Planning, zoning and development assessment</w:t>
      </w:r>
      <w:r>
        <w:rPr>
          <w:noProof/>
        </w:rPr>
        <w:tab/>
        <w:t>79</w:t>
      </w:r>
    </w:p>
    <w:p w14:paraId="7249B193"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Conflicts between farming and residential land use</w:t>
      </w:r>
      <w:r>
        <w:rPr>
          <w:noProof/>
        </w:rPr>
        <w:tab/>
        <w:t>90</w:t>
      </w:r>
    </w:p>
    <w:p w14:paraId="7249B194"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2.6</w:t>
      </w:r>
      <w:r>
        <w:rPr>
          <w:rFonts w:asciiTheme="minorHAnsi" w:eastAsiaTheme="minorEastAsia" w:hAnsiTheme="minorHAnsi" w:cstheme="minorBidi"/>
          <w:noProof/>
          <w:sz w:val="22"/>
          <w:szCs w:val="22"/>
          <w:lang w:eastAsia="en-AU"/>
        </w:rPr>
        <w:tab/>
      </w:r>
      <w:r>
        <w:rPr>
          <w:noProof/>
        </w:rPr>
        <w:t>Conflicts over land access for resource exploration and extraction</w:t>
      </w:r>
      <w:r>
        <w:rPr>
          <w:noProof/>
        </w:rPr>
        <w:tab/>
        <w:t>98</w:t>
      </w:r>
    </w:p>
    <w:p w14:paraId="7249B195" w14:textId="77777777" w:rsidR="00B825A2" w:rsidRDefault="00B825A2">
      <w:pPr>
        <w:pStyle w:val="TOC1"/>
        <w:rPr>
          <w:rFonts w:asciiTheme="minorHAnsi" w:eastAsiaTheme="minorEastAsia" w:hAnsiTheme="minorHAnsi" w:cstheme="minorBidi"/>
          <w:b w:val="0"/>
          <w:noProof/>
          <w:sz w:val="22"/>
          <w:szCs w:val="22"/>
          <w:lang w:eastAsia="en-AU"/>
        </w:rPr>
      </w:pPr>
      <w:r>
        <w:rPr>
          <w:noProof/>
        </w:rPr>
        <w:lastRenderedPageBreak/>
        <w:t>3</w:t>
      </w:r>
      <w:r>
        <w:rPr>
          <w:rFonts w:asciiTheme="minorHAnsi" w:eastAsiaTheme="minorEastAsia" w:hAnsiTheme="minorHAnsi" w:cstheme="minorBidi"/>
          <w:b w:val="0"/>
          <w:noProof/>
          <w:sz w:val="22"/>
          <w:szCs w:val="22"/>
          <w:lang w:eastAsia="en-AU"/>
        </w:rPr>
        <w:tab/>
      </w:r>
      <w:r>
        <w:rPr>
          <w:noProof/>
        </w:rPr>
        <w:t>Environmental regulation</w:t>
      </w:r>
      <w:r>
        <w:rPr>
          <w:noProof/>
        </w:rPr>
        <w:tab/>
        <w:t>105</w:t>
      </w:r>
    </w:p>
    <w:p w14:paraId="7249B196"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sidRPr="00097701">
        <w:rPr>
          <w:noProof/>
          <w:spacing w:val="-6"/>
        </w:rPr>
        <w:t>Why are governments involved in environmental protection?</w:t>
      </w:r>
      <w:r>
        <w:rPr>
          <w:noProof/>
        </w:rPr>
        <w:tab/>
        <w:t>106</w:t>
      </w:r>
    </w:p>
    <w:p w14:paraId="7249B197"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Environmental regulations: the current state of play</w:t>
      </w:r>
      <w:r>
        <w:rPr>
          <w:noProof/>
        </w:rPr>
        <w:tab/>
        <w:t>109</w:t>
      </w:r>
    </w:p>
    <w:p w14:paraId="7249B198"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What effect do the regulations have on farm businesses?</w:t>
      </w:r>
      <w:r>
        <w:rPr>
          <w:noProof/>
        </w:rPr>
        <w:tab/>
        <w:t>116</w:t>
      </w:r>
    </w:p>
    <w:p w14:paraId="7249B199"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Improving environmental regulations</w:t>
      </w:r>
      <w:r>
        <w:rPr>
          <w:noProof/>
        </w:rPr>
        <w:tab/>
        <w:t>136</w:t>
      </w:r>
    </w:p>
    <w:p w14:paraId="7249B19A"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Other environmental regulations</w:t>
      </w:r>
      <w:r>
        <w:rPr>
          <w:noProof/>
        </w:rPr>
        <w:tab/>
        <w:t>158</w:t>
      </w:r>
    </w:p>
    <w:p w14:paraId="7249B19B" w14:textId="77777777" w:rsidR="00B825A2" w:rsidRDefault="00B825A2">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On-farm regulation of water</w:t>
      </w:r>
      <w:r>
        <w:rPr>
          <w:noProof/>
        </w:rPr>
        <w:tab/>
        <w:t>165</w:t>
      </w:r>
    </w:p>
    <w:p w14:paraId="7249B19C"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Water and agriculture</w:t>
      </w:r>
      <w:r>
        <w:rPr>
          <w:noProof/>
        </w:rPr>
        <w:tab/>
        <w:t>165</w:t>
      </w:r>
    </w:p>
    <w:p w14:paraId="7249B19D"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Farm access to water</w:t>
      </w:r>
      <w:r>
        <w:rPr>
          <w:noProof/>
        </w:rPr>
        <w:tab/>
        <w:t>173</w:t>
      </w:r>
    </w:p>
    <w:p w14:paraId="7249B19E"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Farm use of water</w:t>
      </w:r>
      <w:r>
        <w:rPr>
          <w:noProof/>
        </w:rPr>
        <w:tab/>
        <w:t>191</w:t>
      </w:r>
    </w:p>
    <w:p w14:paraId="7249B19F"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Farm disposal of water</w:t>
      </w:r>
      <w:r>
        <w:rPr>
          <w:noProof/>
        </w:rPr>
        <w:tab/>
        <w:t>192</w:t>
      </w:r>
    </w:p>
    <w:p w14:paraId="7249B1A0"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Water reporting</w:t>
      </w:r>
      <w:r>
        <w:rPr>
          <w:noProof/>
        </w:rPr>
        <w:tab/>
        <w:t>194</w:t>
      </w:r>
    </w:p>
    <w:p w14:paraId="7249B1A1" w14:textId="77777777" w:rsidR="00B825A2" w:rsidRDefault="00B825A2">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Regulation of farm animal welfare</w:t>
      </w:r>
      <w:r>
        <w:rPr>
          <w:noProof/>
        </w:rPr>
        <w:tab/>
        <w:t>199</w:t>
      </w:r>
    </w:p>
    <w:p w14:paraId="7249B1A2"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The concept of animal welfare</w:t>
      </w:r>
      <w:r>
        <w:rPr>
          <w:noProof/>
        </w:rPr>
        <w:tab/>
        <w:t>201</w:t>
      </w:r>
    </w:p>
    <w:p w14:paraId="7249B1A3"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A role for government in farm animal welfare?</w:t>
      </w:r>
      <w:r>
        <w:rPr>
          <w:noProof/>
        </w:rPr>
        <w:tab/>
        <w:t>202</w:t>
      </w:r>
    </w:p>
    <w:p w14:paraId="7249B1A4"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Australia’s animal welfare system</w:t>
      </w:r>
      <w:r>
        <w:rPr>
          <w:noProof/>
        </w:rPr>
        <w:tab/>
        <w:t>206</w:t>
      </w:r>
    </w:p>
    <w:p w14:paraId="7249B1A5"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How are farm animal welfare standards set?</w:t>
      </w:r>
      <w:r>
        <w:rPr>
          <w:noProof/>
        </w:rPr>
        <w:tab/>
        <w:t>208</w:t>
      </w:r>
    </w:p>
    <w:p w14:paraId="7249B1A6"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Improving the effectiveness of farm animal welfare regulation</w:t>
      </w:r>
      <w:r>
        <w:rPr>
          <w:noProof/>
        </w:rPr>
        <w:tab/>
        <w:t>227</w:t>
      </w:r>
    </w:p>
    <w:p w14:paraId="7249B1A7"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5.6</w:t>
      </w:r>
      <w:r>
        <w:rPr>
          <w:rFonts w:asciiTheme="minorHAnsi" w:eastAsiaTheme="minorEastAsia" w:hAnsiTheme="minorHAnsi" w:cstheme="minorBidi"/>
          <w:noProof/>
          <w:sz w:val="22"/>
          <w:szCs w:val="22"/>
          <w:lang w:eastAsia="en-AU"/>
        </w:rPr>
        <w:tab/>
      </w:r>
      <w:r>
        <w:rPr>
          <w:noProof/>
        </w:rPr>
        <w:t>Live export regulation</w:t>
      </w:r>
      <w:r>
        <w:rPr>
          <w:noProof/>
        </w:rPr>
        <w:tab/>
        <w:t>245</w:t>
      </w:r>
    </w:p>
    <w:p w14:paraId="7249B1A8" w14:textId="77777777" w:rsidR="00B825A2" w:rsidRDefault="00B825A2">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Regulation of technologies</w:t>
      </w:r>
      <w:r>
        <w:rPr>
          <w:noProof/>
        </w:rPr>
        <w:tab/>
        <w:t>261</w:t>
      </w:r>
    </w:p>
    <w:p w14:paraId="7249B1A9"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Why are governments involved?</w:t>
      </w:r>
      <w:r>
        <w:rPr>
          <w:noProof/>
        </w:rPr>
        <w:tab/>
        <w:t>262</w:t>
      </w:r>
    </w:p>
    <w:p w14:paraId="7249B1AA"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Regulating genetically modified organisms and products</w:t>
      </w:r>
      <w:r>
        <w:rPr>
          <w:noProof/>
        </w:rPr>
        <w:tab/>
        <w:t>264</w:t>
      </w:r>
    </w:p>
    <w:p w14:paraId="7249B1AB"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New breeding techniques</w:t>
      </w:r>
      <w:r>
        <w:rPr>
          <w:noProof/>
        </w:rPr>
        <w:tab/>
        <w:t>286</w:t>
      </w:r>
    </w:p>
    <w:p w14:paraId="7249B1AC"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Regulation of drones</w:t>
      </w:r>
      <w:r>
        <w:rPr>
          <w:noProof/>
        </w:rPr>
        <w:tab/>
        <w:t>289</w:t>
      </w:r>
    </w:p>
    <w:p w14:paraId="7249B1AD"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Access to telecommunications infrastructure</w:t>
      </w:r>
      <w:r>
        <w:rPr>
          <w:noProof/>
        </w:rPr>
        <w:tab/>
        <w:t>289</w:t>
      </w:r>
    </w:p>
    <w:p w14:paraId="7249B1AE" w14:textId="77777777" w:rsidR="00B825A2" w:rsidRDefault="00B825A2">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Agricultural and veterinary chemicals</w:t>
      </w:r>
      <w:r>
        <w:rPr>
          <w:noProof/>
        </w:rPr>
        <w:tab/>
        <w:t>291</w:t>
      </w:r>
    </w:p>
    <w:p w14:paraId="7249B1AF"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About agvet chemical regulation</w:t>
      </w:r>
      <w:r>
        <w:rPr>
          <w:noProof/>
        </w:rPr>
        <w:tab/>
        <w:t>292</w:t>
      </w:r>
    </w:p>
    <w:p w14:paraId="7249B1B0"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Reforming the regulation of agvet chemicals</w:t>
      </w:r>
      <w:r>
        <w:rPr>
          <w:noProof/>
        </w:rPr>
        <w:tab/>
        <w:t>293</w:t>
      </w:r>
    </w:p>
    <w:p w14:paraId="7249B1B1"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Excessive time and costs for registration</w:t>
      </w:r>
      <w:r>
        <w:rPr>
          <w:noProof/>
        </w:rPr>
        <w:tab/>
        <w:t>297</w:t>
      </w:r>
    </w:p>
    <w:p w14:paraId="7249B1B2"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Inconsistencies in control</w:t>
      </w:r>
      <w:r>
        <w:rPr>
          <w:noProof/>
        </w:rPr>
        <w:noBreakHyphen/>
        <w:t>of</w:t>
      </w:r>
      <w:r>
        <w:rPr>
          <w:noProof/>
        </w:rPr>
        <w:noBreakHyphen/>
        <w:t>use regimes</w:t>
      </w:r>
      <w:r>
        <w:rPr>
          <w:noProof/>
        </w:rPr>
        <w:tab/>
        <w:t>303</w:t>
      </w:r>
    </w:p>
    <w:p w14:paraId="7249B1B3"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lastRenderedPageBreak/>
        <w:t>7.5</w:t>
      </w:r>
      <w:r>
        <w:rPr>
          <w:rFonts w:asciiTheme="minorHAnsi" w:eastAsiaTheme="minorEastAsia" w:hAnsiTheme="minorHAnsi" w:cstheme="minorBidi"/>
          <w:noProof/>
          <w:sz w:val="22"/>
          <w:szCs w:val="22"/>
          <w:lang w:eastAsia="en-AU"/>
        </w:rPr>
        <w:tab/>
      </w:r>
      <w:r>
        <w:rPr>
          <w:noProof/>
        </w:rPr>
        <w:t>Access to agvet chemicals for minor uses</w:t>
      </w:r>
      <w:r>
        <w:rPr>
          <w:noProof/>
        </w:rPr>
        <w:tab/>
        <w:t>306</w:t>
      </w:r>
    </w:p>
    <w:p w14:paraId="7249B1B4"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7.6</w:t>
      </w:r>
      <w:r>
        <w:rPr>
          <w:rFonts w:asciiTheme="minorHAnsi" w:eastAsiaTheme="minorEastAsia" w:hAnsiTheme="minorHAnsi" w:cstheme="minorBidi"/>
          <w:noProof/>
          <w:sz w:val="22"/>
          <w:szCs w:val="22"/>
          <w:lang w:eastAsia="en-AU"/>
        </w:rPr>
        <w:tab/>
      </w:r>
      <w:r>
        <w:rPr>
          <w:noProof/>
        </w:rPr>
        <w:t>Labelling of agvet chemicals under work health and</w:t>
      </w:r>
      <w:r w:rsidRPr="006C6358">
        <w:rPr>
          <w:noProof/>
        </w:rPr>
        <w:t xml:space="preserve"> </w:t>
      </w:r>
      <w:r>
        <w:rPr>
          <w:noProof/>
        </w:rPr>
        <w:t>safety regulations</w:t>
      </w:r>
      <w:r>
        <w:rPr>
          <w:noProof/>
        </w:rPr>
        <w:tab/>
        <w:t>308</w:t>
      </w:r>
    </w:p>
    <w:p w14:paraId="7249B1B5" w14:textId="77777777" w:rsidR="00B825A2" w:rsidRDefault="00B825A2">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Biosecurity</w:t>
      </w:r>
      <w:r>
        <w:rPr>
          <w:noProof/>
        </w:rPr>
        <w:tab/>
        <w:t>311</w:t>
      </w:r>
    </w:p>
    <w:p w14:paraId="7249B1B6"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Australia’s biosecurity arrangements</w:t>
      </w:r>
      <w:r>
        <w:rPr>
          <w:noProof/>
        </w:rPr>
        <w:tab/>
        <w:t>312</w:t>
      </w:r>
    </w:p>
    <w:p w14:paraId="7249B1B7"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Why are governments involved in biosecurity?</w:t>
      </w:r>
      <w:r>
        <w:rPr>
          <w:noProof/>
        </w:rPr>
        <w:tab/>
        <w:t>319</w:t>
      </w:r>
    </w:p>
    <w:p w14:paraId="7249B1B8"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Benefits and costs of biosecurity</w:t>
      </w:r>
      <w:r>
        <w:rPr>
          <w:noProof/>
        </w:rPr>
        <w:tab/>
        <w:t>320</w:t>
      </w:r>
    </w:p>
    <w:p w14:paraId="7249B1B9"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Issues raised about biosecurity</w:t>
      </w:r>
      <w:r>
        <w:rPr>
          <w:noProof/>
        </w:rPr>
        <w:tab/>
        <w:t>324</w:t>
      </w:r>
    </w:p>
    <w:p w14:paraId="7249B1BA"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Pr>
          <w:noProof/>
        </w:rPr>
        <w:t>Other regulatory issues</w:t>
      </w:r>
      <w:r>
        <w:rPr>
          <w:noProof/>
        </w:rPr>
        <w:tab/>
        <w:t>341</w:t>
      </w:r>
    </w:p>
    <w:p w14:paraId="7249B1BB" w14:textId="77777777" w:rsidR="00B825A2" w:rsidRDefault="00B825A2">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Transport</w:t>
      </w:r>
      <w:r>
        <w:rPr>
          <w:noProof/>
        </w:rPr>
        <w:tab/>
        <w:t>345</w:t>
      </w:r>
    </w:p>
    <w:p w14:paraId="7249B1BC"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Heavy vehicles</w:t>
      </w:r>
      <w:r>
        <w:rPr>
          <w:noProof/>
        </w:rPr>
        <w:tab/>
        <w:t>34</w:t>
      </w:r>
      <w:r w:rsidR="0078770D">
        <w:rPr>
          <w:noProof/>
        </w:rPr>
        <w:t>7</w:t>
      </w:r>
    </w:p>
    <w:p w14:paraId="7249B1BD"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Rail</w:t>
      </w:r>
      <w:r>
        <w:rPr>
          <w:noProof/>
        </w:rPr>
        <w:tab/>
        <w:t>380</w:t>
      </w:r>
    </w:p>
    <w:p w14:paraId="7249B1BE"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Ports</w:t>
      </w:r>
      <w:r>
        <w:rPr>
          <w:noProof/>
        </w:rPr>
        <w:tab/>
        <w:t>384</w:t>
      </w:r>
    </w:p>
    <w:p w14:paraId="7249B1BF"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Coastal shipping</w:t>
      </w:r>
      <w:r>
        <w:rPr>
          <w:noProof/>
        </w:rPr>
        <w:tab/>
        <w:t>388</w:t>
      </w:r>
    </w:p>
    <w:p w14:paraId="7249B1C0" w14:textId="77777777" w:rsidR="00B825A2" w:rsidRDefault="00B825A2" w:rsidP="00097701">
      <w:pPr>
        <w:pStyle w:val="TOC2"/>
        <w:tabs>
          <w:tab w:val="left" w:pos="1190"/>
        </w:tabs>
        <w:ind w:left="1134" w:hanging="624"/>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Biofuel support programs</w:t>
      </w:r>
      <w:r>
        <w:rPr>
          <w:noProof/>
        </w:rPr>
        <w:tab/>
        <w:t>394</w:t>
      </w:r>
    </w:p>
    <w:p w14:paraId="7249B1C1" w14:textId="77777777" w:rsidR="00B825A2" w:rsidRDefault="00B825A2">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Food regulation</w:t>
      </w:r>
      <w:r>
        <w:rPr>
          <w:noProof/>
        </w:rPr>
        <w:tab/>
        <w:t>399</w:t>
      </w:r>
    </w:p>
    <w:p w14:paraId="7249B1C2" w14:textId="77777777" w:rsidR="00B825A2" w:rsidRDefault="00B825A2" w:rsidP="00097701">
      <w:pPr>
        <w:pStyle w:val="TOC2"/>
        <w:tabs>
          <w:tab w:val="left" w:pos="1320"/>
        </w:tabs>
        <w:ind w:left="1134" w:hanging="624"/>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Rationale for food regulation</w:t>
      </w:r>
      <w:r>
        <w:rPr>
          <w:noProof/>
        </w:rPr>
        <w:tab/>
        <w:t>400</w:t>
      </w:r>
    </w:p>
    <w:p w14:paraId="7249B1C3" w14:textId="77777777" w:rsidR="00B825A2" w:rsidRDefault="00B825A2" w:rsidP="00097701">
      <w:pPr>
        <w:pStyle w:val="TOC2"/>
        <w:tabs>
          <w:tab w:val="left" w:pos="1320"/>
        </w:tabs>
        <w:ind w:left="1134" w:hanging="624"/>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Food regulation in Australia</w:t>
      </w:r>
      <w:r>
        <w:rPr>
          <w:noProof/>
        </w:rPr>
        <w:tab/>
        <w:t>403</w:t>
      </w:r>
    </w:p>
    <w:p w14:paraId="7249B1C4" w14:textId="77777777" w:rsidR="00B825A2" w:rsidRDefault="00B825A2" w:rsidP="00097701">
      <w:pPr>
        <w:pStyle w:val="TOC2"/>
        <w:tabs>
          <w:tab w:val="left" w:pos="1320"/>
        </w:tabs>
        <w:ind w:left="1134" w:hanging="624"/>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Regulation of food labelling</w:t>
      </w:r>
      <w:r>
        <w:rPr>
          <w:noProof/>
        </w:rPr>
        <w:tab/>
        <w:t>406</w:t>
      </w:r>
    </w:p>
    <w:p w14:paraId="7249B1C5" w14:textId="77777777" w:rsidR="00B825A2" w:rsidRDefault="00B825A2" w:rsidP="00097701">
      <w:pPr>
        <w:pStyle w:val="TOC2"/>
        <w:tabs>
          <w:tab w:val="left" w:pos="1320"/>
        </w:tabs>
        <w:ind w:left="1134" w:hanging="624"/>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Regulation of food safety in the production process</w:t>
      </w:r>
      <w:r>
        <w:rPr>
          <w:noProof/>
        </w:rPr>
        <w:tab/>
        <w:t>430</w:t>
      </w:r>
    </w:p>
    <w:p w14:paraId="7249B1C6" w14:textId="77777777" w:rsidR="00B825A2" w:rsidRDefault="00B825A2">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Labour regulation</w:t>
      </w:r>
      <w:r>
        <w:rPr>
          <w:noProof/>
        </w:rPr>
        <w:tab/>
        <w:t>443</w:t>
      </w:r>
    </w:p>
    <w:p w14:paraId="7249B1C7" w14:textId="77777777" w:rsidR="00B825A2" w:rsidRDefault="00B825A2" w:rsidP="00097701">
      <w:pPr>
        <w:pStyle w:val="TOC2"/>
        <w:tabs>
          <w:tab w:val="left" w:pos="1320"/>
        </w:tabs>
        <w:ind w:left="1134" w:hanging="624"/>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The role of government in labour markets</w:t>
      </w:r>
      <w:r>
        <w:rPr>
          <w:noProof/>
        </w:rPr>
        <w:tab/>
        <w:t>445</w:t>
      </w:r>
    </w:p>
    <w:p w14:paraId="7249B1C8" w14:textId="77777777" w:rsidR="00B825A2" w:rsidRDefault="00B825A2" w:rsidP="00097701">
      <w:pPr>
        <w:pStyle w:val="TOC2"/>
        <w:tabs>
          <w:tab w:val="left" w:pos="1320"/>
        </w:tabs>
        <w:ind w:left="1134" w:hanging="624"/>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Access to overseas workers</w:t>
      </w:r>
      <w:r>
        <w:rPr>
          <w:noProof/>
        </w:rPr>
        <w:tab/>
        <w:t>446</w:t>
      </w:r>
    </w:p>
    <w:p w14:paraId="7249B1C9" w14:textId="77777777" w:rsidR="00B825A2" w:rsidRDefault="00B825A2" w:rsidP="00097701">
      <w:pPr>
        <w:pStyle w:val="TOC2"/>
        <w:tabs>
          <w:tab w:val="left" w:pos="1320"/>
        </w:tabs>
        <w:ind w:left="1134" w:hanging="624"/>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Workplace relations</w:t>
      </w:r>
      <w:r>
        <w:rPr>
          <w:noProof/>
        </w:rPr>
        <w:tab/>
        <w:t>464</w:t>
      </w:r>
    </w:p>
    <w:p w14:paraId="7249B1CA" w14:textId="77777777" w:rsidR="00B825A2" w:rsidRDefault="00B825A2" w:rsidP="00097701">
      <w:pPr>
        <w:pStyle w:val="TOC2"/>
        <w:tabs>
          <w:tab w:val="left" w:pos="1320"/>
        </w:tabs>
        <w:ind w:left="1134" w:hanging="624"/>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r>
      <w:r>
        <w:rPr>
          <w:noProof/>
        </w:rPr>
        <w:t>Work health and safety</w:t>
      </w:r>
      <w:r>
        <w:rPr>
          <w:noProof/>
        </w:rPr>
        <w:tab/>
        <w:t>467</w:t>
      </w:r>
    </w:p>
    <w:p w14:paraId="7249B1CB" w14:textId="77777777" w:rsidR="00B825A2" w:rsidRDefault="00B825A2">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Competition regulation</w:t>
      </w:r>
      <w:r>
        <w:rPr>
          <w:noProof/>
        </w:rPr>
        <w:tab/>
        <w:t>477</w:t>
      </w:r>
    </w:p>
    <w:p w14:paraId="7249B1CC" w14:textId="77777777" w:rsidR="00B825A2" w:rsidRDefault="00B825A2" w:rsidP="00097701">
      <w:pPr>
        <w:pStyle w:val="TOC2"/>
        <w:tabs>
          <w:tab w:val="left" w:pos="1320"/>
        </w:tabs>
        <w:ind w:left="1134" w:hanging="624"/>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Statutory marketing</w:t>
      </w:r>
      <w:r>
        <w:rPr>
          <w:noProof/>
        </w:rPr>
        <w:tab/>
        <w:t>479</w:t>
      </w:r>
    </w:p>
    <w:p w14:paraId="7249B1CD" w14:textId="77777777" w:rsidR="00B825A2" w:rsidRDefault="00B825A2" w:rsidP="00097701">
      <w:pPr>
        <w:pStyle w:val="TOC2"/>
        <w:tabs>
          <w:tab w:val="left" w:pos="1320"/>
        </w:tabs>
        <w:ind w:left="1134" w:hanging="624"/>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Competition law</w:t>
      </w:r>
      <w:r>
        <w:rPr>
          <w:noProof/>
        </w:rPr>
        <w:tab/>
        <w:t>511</w:t>
      </w:r>
    </w:p>
    <w:p w14:paraId="7249B1CE" w14:textId="77777777" w:rsidR="00B825A2" w:rsidRDefault="00B825A2" w:rsidP="00097701">
      <w:pPr>
        <w:pStyle w:val="TOC2"/>
        <w:tabs>
          <w:tab w:val="left" w:pos="1320"/>
        </w:tabs>
        <w:ind w:left="1134" w:hanging="624"/>
        <w:rPr>
          <w:rFonts w:asciiTheme="minorHAnsi" w:eastAsiaTheme="minorEastAsia" w:hAnsiTheme="minorHAnsi" w:cstheme="minorBidi"/>
          <w:noProof/>
          <w:sz w:val="22"/>
          <w:szCs w:val="22"/>
          <w:lang w:eastAsia="en-AU"/>
        </w:rPr>
      </w:pPr>
      <w:r>
        <w:rPr>
          <w:noProof/>
        </w:rPr>
        <w:t>12.3</w:t>
      </w:r>
      <w:r>
        <w:rPr>
          <w:rFonts w:asciiTheme="minorHAnsi" w:eastAsiaTheme="minorEastAsia" w:hAnsiTheme="minorHAnsi" w:cstheme="minorBidi"/>
          <w:noProof/>
          <w:sz w:val="22"/>
          <w:szCs w:val="22"/>
          <w:lang w:eastAsia="en-AU"/>
        </w:rPr>
        <w:tab/>
      </w:r>
      <w:r>
        <w:rPr>
          <w:noProof/>
        </w:rPr>
        <w:t>Industry codes of conduct</w:t>
      </w:r>
      <w:r>
        <w:rPr>
          <w:noProof/>
        </w:rPr>
        <w:tab/>
        <w:t>520</w:t>
      </w:r>
    </w:p>
    <w:p w14:paraId="7249B1CF" w14:textId="77777777" w:rsidR="00B825A2" w:rsidRDefault="00B825A2">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Foreign investment in agriculture</w:t>
      </w:r>
      <w:r>
        <w:rPr>
          <w:noProof/>
        </w:rPr>
        <w:tab/>
        <w:t>527</w:t>
      </w:r>
    </w:p>
    <w:p w14:paraId="7249B1D0" w14:textId="77777777" w:rsidR="00B825A2" w:rsidRDefault="00B825A2" w:rsidP="00097701">
      <w:pPr>
        <w:pStyle w:val="TOC2"/>
        <w:tabs>
          <w:tab w:val="left" w:pos="1320"/>
        </w:tabs>
        <w:ind w:left="1134" w:hanging="624"/>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Pr>
          <w:noProof/>
        </w:rPr>
        <w:t>About Australia’s foreign investment framework</w:t>
      </w:r>
      <w:r>
        <w:rPr>
          <w:noProof/>
        </w:rPr>
        <w:tab/>
        <w:t>529</w:t>
      </w:r>
    </w:p>
    <w:p w14:paraId="7249B1D1" w14:textId="77777777" w:rsidR="00B825A2" w:rsidRDefault="00B825A2" w:rsidP="00097701">
      <w:pPr>
        <w:pStyle w:val="TOC2"/>
        <w:tabs>
          <w:tab w:val="left" w:pos="1320"/>
        </w:tabs>
        <w:ind w:left="1134" w:hanging="624"/>
        <w:rPr>
          <w:rFonts w:asciiTheme="minorHAnsi" w:eastAsiaTheme="minorEastAsia" w:hAnsiTheme="minorHAnsi" w:cstheme="minorBidi"/>
          <w:noProof/>
          <w:sz w:val="22"/>
          <w:szCs w:val="22"/>
          <w:lang w:eastAsia="en-AU"/>
        </w:rPr>
      </w:pPr>
      <w:r>
        <w:rPr>
          <w:noProof/>
        </w:rPr>
        <w:lastRenderedPageBreak/>
        <w:t>13.2</w:t>
      </w:r>
      <w:r>
        <w:rPr>
          <w:rFonts w:asciiTheme="minorHAnsi" w:eastAsiaTheme="minorEastAsia" w:hAnsiTheme="minorHAnsi" w:cstheme="minorBidi"/>
          <w:noProof/>
          <w:sz w:val="22"/>
          <w:szCs w:val="22"/>
          <w:lang w:eastAsia="en-AU"/>
        </w:rPr>
        <w:tab/>
      </w:r>
      <w:r>
        <w:rPr>
          <w:noProof/>
        </w:rPr>
        <w:t>The importance of foreign investment to Australia</w:t>
      </w:r>
      <w:r>
        <w:rPr>
          <w:noProof/>
        </w:rPr>
        <w:tab/>
        <w:t>533</w:t>
      </w:r>
    </w:p>
    <w:p w14:paraId="7249B1D2" w14:textId="77777777" w:rsidR="00B825A2" w:rsidRDefault="00B825A2" w:rsidP="00097701">
      <w:pPr>
        <w:pStyle w:val="TOC2"/>
        <w:tabs>
          <w:tab w:val="left" w:pos="1320"/>
        </w:tabs>
        <w:ind w:left="1134" w:hanging="624"/>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Pr>
          <w:noProof/>
        </w:rPr>
        <w:t>A closer look at the new arrangements</w:t>
      </w:r>
      <w:r>
        <w:rPr>
          <w:noProof/>
        </w:rPr>
        <w:tab/>
        <w:t>542</w:t>
      </w:r>
    </w:p>
    <w:p w14:paraId="7249B1D3" w14:textId="77777777" w:rsidR="00B825A2" w:rsidRDefault="00B825A2">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Export regulation</w:t>
      </w:r>
      <w:r>
        <w:rPr>
          <w:noProof/>
        </w:rPr>
        <w:tab/>
        <w:t>569</w:t>
      </w:r>
    </w:p>
    <w:p w14:paraId="7249B1D4" w14:textId="77777777" w:rsidR="00B825A2" w:rsidRDefault="00B825A2" w:rsidP="00097701">
      <w:pPr>
        <w:pStyle w:val="TOC2"/>
        <w:tabs>
          <w:tab w:val="left" w:pos="1320"/>
        </w:tabs>
        <w:ind w:left="1134" w:hanging="624"/>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Pr>
          <w:noProof/>
        </w:rPr>
        <w:t>Regulation of agricultural exports</w:t>
      </w:r>
      <w:r>
        <w:rPr>
          <w:noProof/>
        </w:rPr>
        <w:tab/>
        <w:t>570</w:t>
      </w:r>
    </w:p>
    <w:p w14:paraId="7249B1D5" w14:textId="77777777" w:rsidR="00B825A2" w:rsidRDefault="00B825A2" w:rsidP="00097701">
      <w:pPr>
        <w:pStyle w:val="TOC2"/>
        <w:tabs>
          <w:tab w:val="left" w:pos="1320"/>
        </w:tabs>
        <w:ind w:left="1134" w:hanging="624"/>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Pr>
          <w:noProof/>
        </w:rPr>
        <w:t>The regulatory burden of export certification</w:t>
      </w:r>
      <w:r>
        <w:rPr>
          <w:noProof/>
        </w:rPr>
        <w:tab/>
        <w:t>573</w:t>
      </w:r>
    </w:p>
    <w:p w14:paraId="7249B1D6" w14:textId="77777777" w:rsidR="00B825A2" w:rsidRDefault="00B825A2">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t>583</w:t>
      </w:r>
    </w:p>
    <w:p w14:paraId="7249B1D7" w14:textId="77777777" w:rsidR="00B825A2" w:rsidRDefault="00B825A2">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A brief history of statutory marketing in Australian agriculture</w:t>
      </w:r>
      <w:r>
        <w:rPr>
          <w:noProof/>
        </w:rPr>
        <w:tab/>
        <w:t>613</w:t>
      </w:r>
    </w:p>
    <w:p w14:paraId="7249B1D8" w14:textId="77777777" w:rsidR="00B825A2" w:rsidRDefault="00B825A2">
      <w:pPr>
        <w:pStyle w:val="TOC2"/>
        <w:rPr>
          <w:rFonts w:asciiTheme="minorHAnsi" w:eastAsiaTheme="minorEastAsia" w:hAnsiTheme="minorHAnsi" w:cstheme="minorBidi"/>
          <w:noProof/>
          <w:sz w:val="22"/>
          <w:szCs w:val="22"/>
          <w:lang w:eastAsia="en-AU"/>
        </w:rPr>
      </w:pPr>
      <w:r>
        <w:rPr>
          <w:noProof/>
        </w:rPr>
        <w:t>Economic impacts of statutory marketing</w:t>
      </w:r>
      <w:r>
        <w:rPr>
          <w:noProof/>
        </w:rPr>
        <w:tab/>
        <w:t>616</w:t>
      </w:r>
    </w:p>
    <w:p w14:paraId="7249B1D9" w14:textId="77777777" w:rsidR="00B825A2" w:rsidRDefault="00B825A2">
      <w:pPr>
        <w:pStyle w:val="TOC2"/>
        <w:rPr>
          <w:rFonts w:asciiTheme="minorHAnsi" w:eastAsiaTheme="minorEastAsia" w:hAnsiTheme="minorHAnsi" w:cstheme="minorBidi"/>
          <w:noProof/>
          <w:sz w:val="22"/>
          <w:szCs w:val="22"/>
          <w:lang w:eastAsia="en-AU"/>
        </w:rPr>
      </w:pPr>
      <w:r>
        <w:rPr>
          <w:noProof/>
        </w:rPr>
        <w:t>Deregulation of Australian agriculture</w:t>
      </w:r>
      <w:r>
        <w:rPr>
          <w:noProof/>
        </w:rPr>
        <w:tab/>
        <w:t>618</w:t>
      </w:r>
    </w:p>
    <w:p w14:paraId="7249B1DA" w14:textId="77777777" w:rsidR="00B825A2" w:rsidRDefault="00B825A2">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Case studies: the burden of regulation on farm businesses</w:t>
      </w:r>
      <w:r>
        <w:rPr>
          <w:noProof/>
        </w:rPr>
        <w:tab/>
        <w:t>623</w:t>
      </w:r>
    </w:p>
    <w:p w14:paraId="7249B1DB" w14:textId="77777777" w:rsidR="00B825A2" w:rsidRDefault="00B825A2">
      <w:pPr>
        <w:pStyle w:val="TOC2"/>
        <w:rPr>
          <w:rFonts w:asciiTheme="minorHAnsi" w:eastAsiaTheme="minorEastAsia" w:hAnsiTheme="minorHAnsi" w:cstheme="minorBidi"/>
          <w:noProof/>
          <w:sz w:val="22"/>
          <w:szCs w:val="22"/>
          <w:lang w:eastAsia="en-AU"/>
        </w:rPr>
      </w:pPr>
      <w:r>
        <w:rPr>
          <w:noProof/>
        </w:rPr>
        <w:t>Purpose of the case studies</w:t>
      </w:r>
      <w:r>
        <w:rPr>
          <w:noProof/>
        </w:rPr>
        <w:tab/>
        <w:t>623</w:t>
      </w:r>
    </w:p>
    <w:p w14:paraId="7249B1DC" w14:textId="77777777" w:rsidR="00B825A2" w:rsidRDefault="00B825A2">
      <w:pPr>
        <w:pStyle w:val="TOC2"/>
        <w:rPr>
          <w:rFonts w:asciiTheme="minorHAnsi" w:eastAsiaTheme="minorEastAsia" w:hAnsiTheme="minorHAnsi" w:cstheme="minorBidi"/>
          <w:noProof/>
          <w:sz w:val="22"/>
          <w:szCs w:val="22"/>
          <w:lang w:eastAsia="en-AU"/>
        </w:rPr>
      </w:pPr>
      <w:r>
        <w:rPr>
          <w:noProof/>
        </w:rPr>
        <w:t>Case study results</w:t>
      </w:r>
      <w:r>
        <w:rPr>
          <w:noProof/>
        </w:rPr>
        <w:tab/>
        <w:t>623</w:t>
      </w:r>
    </w:p>
    <w:p w14:paraId="7249B1DD" w14:textId="77777777" w:rsidR="00B825A2" w:rsidRDefault="00B825A2">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Analysis of rice price premiums</w:t>
      </w:r>
      <w:r>
        <w:rPr>
          <w:noProof/>
        </w:rPr>
        <w:tab/>
        <w:t>629</w:t>
      </w:r>
    </w:p>
    <w:p w14:paraId="7249B1DE" w14:textId="77777777" w:rsidR="00B825A2" w:rsidRDefault="00B825A2">
      <w:pPr>
        <w:pStyle w:val="TOC2"/>
        <w:rPr>
          <w:rFonts w:asciiTheme="minorHAnsi" w:eastAsiaTheme="minorEastAsia" w:hAnsiTheme="minorHAnsi" w:cstheme="minorBidi"/>
          <w:noProof/>
          <w:sz w:val="22"/>
          <w:szCs w:val="22"/>
          <w:lang w:eastAsia="en-AU"/>
        </w:rPr>
      </w:pPr>
      <w:r>
        <w:rPr>
          <w:noProof/>
        </w:rPr>
        <w:t>Methodology</w:t>
      </w:r>
      <w:r>
        <w:rPr>
          <w:noProof/>
        </w:rPr>
        <w:tab/>
        <w:t>629</w:t>
      </w:r>
    </w:p>
    <w:p w14:paraId="7249B1DF" w14:textId="77777777" w:rsidR="00B825A2" w:rsidRDefault="00B825A2">
      <w:pPr>
        <w:pStyle w:val="TOC2"/>
        <w:rPr>
          <w:rFonts w:asciiTheme="minorHAnsi" w:eastAsiaTheme="minorEastAsia" w:hAnsiTheme="minorHAnsi" w:cstheme="minorBidi"/>
          <w:noProof/>
          <w:sz w:val="22"/>
          <w:szCs w:val="22"/>
          <w:lang w:eastAsia="en-AU"/>
        </w:rPr>
      </w:pPr>
      <w:r>
        <w:rPr>
          <w:noProof/>
        </w:rPr>
        <w:t>Results</w:t>
      </w:r>
      <w:r>
        <w:rPr>
          <w:noProof/>
        </w:rPr>
        <w:tab/>
        <w:t>632</w:t>
      </w:r>
    </w:p>
    <w:p w14:paraId="7249B1E0" w14:textId="77777777" w:rsidR="00B825A2" w:rsidRDefault="00B825A2">
      <w:pPr>
        <w:pStyle w:val="TOC2"/>
        <w:rPr>
          <w:rFonts w:asciiTheme="minorHAnsi" w:eastAsiaTheme="minorEastAsia" w:hAnsiTheme="minorHAnsi" w:cstheme="minorBidi"/>
          <w:noProof/>
          <w:sz w:val="22"/>
          <w:szCs w:val="22"/>
          <w:lang w:eastAsia="en-AU"/>
        </w:rPr>
      </w:pPr>
      <w:r>
        <w:rPr>
          <w:noProof/>
        </w:rPr>
        <w:t>Conclusion</w:t>
      </w:r>
      <w:r>
        <w:rPr>
          <w:noProof/>
        </w:rPr>
        <w:tab/>
        <w:t>632</w:t>
      </w:r>
    </w:p>
    <w:p w14:paraId="7249B1E1" w14:textId="77777777" w:rsidR="00B825A2" w:rsidRDefault="00B825A2">
      <w:pPr>
        <w:pStyle w:val="TOC1"/>
        <w:rPr>
          <w:rFonts w:asciiTheme="minorHAnsi" w:eastAsiaTheme="minorEastAsia" w:hAnsiTheme="minorHAnsi" w:cstheme="minorBidi"/>
          <w:b w:val="0"/>
          <w:noProof/>
          <w:sz w:val="22"/>
          <w:szCs w:val="22"/>
          <w:lang w:eastAsia="en-AU"/>
        </w:rPr>
      </w:pPr>
      <w:r w:rsidRPr="006C6358">
        <w:rPr>
          <w:noProof/>
          <w:spacing w:val="-4"/>
        </w:rPr>
        <w:t>References</w:t>
      </w:r>
      <w:r>
        <w:rPr>
          <w:noProof/>
        </w:rPr>
        <w:tab/>
        <w:t>637</w:t>
      </w:r>
    </w:p>
    <w:p w14:paraId="7249B1E2" w14:textId="77777777" w:rsidR="00A24AB1" w:rsidRDefault="00A24AB1">
      <w:pPr>
        <w:pStyle w:val="BodyText"/>
      </w:pPr>
    </w:p>
    <w:p w14:paraId="7249B1E3" w14:textId="77777777" w:rsidR="004D3F58" w:rsidRDefault="004D3F58">
      <w:pPr>
        <w:pStyle w:val="BodyText"/>
        <w:sectPr w:rsidR="004D3F58" w:rsidSect="007448F7">
          <w:headerReference w:type="even" r:id="rId22"/>
          <w:headerReference w:type="default" r:id="rId23"/>
          <w:footerReference w:type="even" r:id="rId24"/>
          <w:footerReference w:type="default" r:id="rId25"/>
          <w:type w:val="oddPage"/>
          <w:pgSz w:w="11907" w:h="16840" w:code="9"/>
          <w:pgMar w:top="1985" w:right="1304" w:bottom="1247" w:left="1814" w:header="1701" w:footer="397" w:gutter="0"/>
          <w:pgNumType w:fmt="lowerRoman"/>
          <w:cols w:space="720"/>
        </w:sectPr>
      </w:pPr>
    </w:p>
    <w:p w14:paraId="7249B1E4" w14:textId="77777777" w:rsidR="000B1D57" w:rsidRDefault="000B1D57">
      <w:pPr>
        <w:pStyle w:val="Heading1"/>
      </w:pPr>
      <w:bookmarkStart w:id="7" w:name="Abbreviations"/>
      <w:bookmarkStart w:id="8" w:name="RDnote"/>
      <w:bookmarkStart w:id="9" w:name="_Toc466619348"/>
      <w:bookmarkEnd w:id="7"/>
      <w:bookmarkEnd w:id="8"/>
      <w:r>
        <w:lastRenderedPageBreak/>
        <w:t>Acknowledgments</w:t>
      </w:r>
      <w:bookmarkEnd w:id="9"/>
    </w:p>
    <w:p w14:paraId="7249B1E5" w14:textId="77777777" w:rsidR="00004FB0" w:rsidRPr="006376AC" w:rsidRDefault="00004FB0" w:rsidP="00004FB0">
      <w:pPr>
        <w:pStyle w:val="BodyText"/>
      </w:pPr>
      <w:r w:rsidRPr="006376AC">
        <w:t xml:space="preserve">The Commission is grateful to everyone who freely </w:t>
      </w:r>
      <w:r w:rsidR="00CE7F60">
        <w:t xml:space="preserve">gave </w:t>
      </w:r>
      <w:r w:rsidRPr="006376AC">
        <w:t xml:space="preserve">their time to discuss the very wide range of matters canvassed in the terms of reference, especially those </w:t>
      </w:r>
      <w:r>
        <w:t xml:space="preserve">who met with the Commission, participated in case studies and </w:t>
      </w:r>
      <w:r w:rsidRPr="006376AC">
        <w:t>provid</w:t>
      </w:r>
      <w:r>
        <w:t>ed</w:t>
      </w:r>
      <w:r w:rsidRPr="006376AC">
        <w:t xml:space="preserve"> written submissions. </w:t>
      </w:r>
    </w:p>
    <w:p w14:paraId="7249B1E6" w14:textId="2DC8BB21" w:rsidR="00004FB0" w:rsidRDefault="00004FB0" w:rsidP="00004FB0">
      <w:pPr>
        <w:pStyle w:val="BodyText"/>
      </w:pPr>
      <w:r w:rsidRPr="007C65B0">
        <w:t>The Commissioners would like to express their appreciation to the staff who worked on the inquiry</w:t>
      </w:r>
      <w:r>
        <w:t>. The team was</w:t>
      </w:r>
      <w:r w:rsidRPr="007C65B0">
        <w:t xml:space="preserve"> led by Rosalie McLachlan and included Lisa Chan, Imogen Curtis, Senna Eswaralingam, Cordelia Foo, </w:t>
      </w:r>
      <w:r>
        <w:t xml:space="preserve">Yvette Goss, </w:t>
      </w:r>
      <w:r w:rsidRPr="007C65B0">
        <w:t xml:space="preserve">Lisa Lee, Ana Markulev, </w:t>
      </w:r>
      <w:r w:rsidR="00087ED2">
        <w:t xml:space="preserve">Rohan Nelson, </w:t>
      </w:r>
      <w:r w:rsidRPr="007C65B0">
        <w:t>Bonnie Nguyen</w:t>
      </w:r>
      <w:r>
        <w:t xml:space="preserve">, Marianna Olding, </w:t>
      </w:r>
      <w:r w:rsidRPr="007C65B0">
        <w:t>Oliver Richards</w:t>
      </w:r>
      <w:r w:rsidR="00E20BF2">
        <w:t>, Anne Rudolph</w:t>
      </w:r>
      <w:r>
        <w:t xml:space="preserve"> and Isfaaq Timol</w:t>
      </w:r>
      <w:r w:rsidRPr="007C65B0">
        <w:t>.</w:t>
      </w:r>
    </w:p>
    <w:p w14:paraId="7249B1E7" w14:textId="77777777" w:rsidR="000B1D57" w:rsidRDefault="000B1D57">
      <w:pPr>
        <w:pStyle w:val="BodyText"/>
        <w:sectPr w:rsidR="000B1D57" w:rsidSect="00B929CC">
          <w:headerReference w:type="even" r:id="rId26"/>
          <w:headerReference w:type="default" r:id="rId27"/>
          <w:footerReference w:type="even" r:id="rId28"/>
          <w:footerReference w:type="default" r:id="rId29"/>
          <w:pgSz w:w="11906" w:h="16838" w:code="9"/>
          <w:pgMar w:top="1985" w:right="1304" w:bottom="1247" w:left="1814" w:header="1701" w:footer="397" w:gutter="0"/>
          <w:pgNumType w:fmt="lowerRoman"/>
          <w:cols w:space="708"/>
          <w:docGrid w:linePitch="360"/>
        </w:sectPr>
      </w:pPr>
    </w:p>
    <w:p w14:paraId="7249B1E8" w14:textId="77777777" w:rsidR="00735FEA" w:rsidRDefault="00735FEA" w:rsidP="00F7477E">
      <w:pPr>
        <w:pStyle w:val="Heading1"/>
      </w:pPr>
      <w:bookmarkStart w:id="10" w:name="EndContents"/>
      <w:bookmarkStart w:id="11" w:name="_Toc466619349"/>
      <w:bookmarkEnd w:id="10"/>
      <w:r>
        <w:lastRenderedPageBreak/>
        <w:t>Abbreviations</w:t>
      </w:r>
      <w:bookmarkEnd w:id="11"/>
      <w:r>
        <w:t xml:space="preserve"> </w:t>
      </w:r>
    </w:p>
    <w:tbl>
      <w:tblPr>
        <w:tblW w:w="0" w:type="auto"/>
        <w:tblCellMar>
          <w:left w:w="0" w:type="dxa"/>
          <w:right w:w="0" w:type="dxa"/>
        </w:tblCellMar>
        <w:tblLook w:val="0000" w:firstRow="0" w:lastRow="0" w:firstColumn="0" w:lastColumn="0" w:noHBand="0" w:noVBand="0"/>
        <w:tblDescription w:val="Table used for design layout."/>
      </w:tblPr>
      <w:tblGrid>
        <w:gridCol w:w="2013"/>
        <w:gridCol w:w="6776"/>
      </w:tblGrid>
      <w:tr w:rsidR="009A6F5F" w14:paraId="7249B1EB" w14:textId="77777777" w:rsidTr="00B929CC">
        <w:tc>
          <w:tcPr>
            <w:tcW w:w="2013" w:type="dxa"/>
          </w:tcPr>
          <w:p w14:paraId="7249B1E9" w14:textId="77777777" w:rsidR="009A6F5F" w:rsidRDefault="009A6F5F" w:rsidP="00B929CC">
            <w:pPr>
              <w:pStyle w:val="BodyText"/>
              <w:spacing w:before="120"/>
              <w:ind w:right="6"/>
            </w:pPr>
            <w:proofErr w:type="spellStart"/>
            <w:r>
              <w:t>ABARES</w:t>
            </w:r>
            <w:proofErr w:type="spellEnd"/>
          </w:p>
        </w:tc>
        <w:tc>
          <w:tcPr>
            <w:tcW w:w="6776" w:type="dxa"/>
          </w:tcPr>
          <w:p w14:paraId="7249B1EA" w14:textId="77777777" w:rsidR="009A6F5F" w:rsidRDefault="009A6F5F" w:rsidP="00B929CC">
            <w:pPr>
              <w:pStyle w:val="BodyText"/>
              <w:spacing w:before="120"/>
              <w:ind w:left="227" w:right="6"/>
            </w:pPr>
            <w:r>
              <w:t>Australian Bureau of Agricultural and Resource Economics and Sciences</w:t>
            </w:r>
          </w:p>
        </w:tc>
      </w:tr>
      <w:tr w:rsidR="009A6F5F" w14:paraId="7249B1EE" w14:textId="77777777" w:rsidTr="00B929CC">
        <w:tc>
          <w:tcPr>
            <w:tcW w:w="2013" w:type="dxa"/>
          </w:tcPr>
          <w:p w14:paraId="7249B1EC" w14:textId="77777777" w:rsidR="009A6F5F" w:rsidRDefault="009A6F5F" w:rsidP="00B929CC">
            <w:pPr>
              <w:pStyle w:val="BodyText"/>
              <w:spacing w:before="120"/>
              <w:ind w:right="6"/>
            </w:pPr>
            <w:r>
              <w:t>ABS</w:t>
            </w:r>
          </w:p>
        </w:tc>
        <w:tc>
          <w:tcPr>
            <w:tcW w:w="6776" w:type="dxa"/>
          </w:tcPr>
          <w:p w14:paraId="7249B1ED" w14:textId="77777777" w:rsidR="009A6F5F" w:rsidRDefault="009A6F5F" w:rsidP="00B929CC">
            <w:pPr>
              <w:pStyle w:val="BodyText"/>
              <w:spacing w:before="120"/>
              <w:ind w:left="227" w:right="6"/>
            </w:pPr>
            <w:r>
              <w:t>Australian Bureau of Statistics</w:t>
            </w:r>
          </w:p>
        </w:tc>
      </w:tr>
      <w:tr w:rsidR="009A6F5F" w14:paraId="7249B1F1" w14:textId="77777777" w:rsidTr="00B929CC">
        <w:tc>
          <w:tcPr>
            <w:tcW w:w="2013" w:type="dxa"/>
          </w:tcPr>
          <w:p w14:paraId="7249B1EF" w14:textId="77777777" w:rsidR="009A6F5F" w:rsidRDefault="009A6F5F" w:rsidP="00B929CC">
            <w:pPr>
              <w:pStyle w:val="BodyText"/>
              <w:spacing w:before="120"/>
              <w:ind w:right="6"/>
            </w:pPr>
            <w:proofErr w:type="spellStart"/>
            <w:r>
              <w:t>ACCC</w:t>
            </w:r>
            <w:proofErr w:type="spellEnd"/>
          </w:p>
        </w:tc>
        <w:tc>
          <w:tcPr>
            <w:tcW w:w="6776" w:type="dxa"/>
          </w:tcPr>
          <w:p w14:paraId="7249B1F0" w14:textId="77777777" w:rsidR="009A6F5F" w:rsidRDefault="009A6F5F" w:rsidP="00B929CC">
            <w:pPr>
              <w:pStyle w:val="BodyText"/>
              <w:spacing w:before="120"/>
              <w:ind w:left="227" w:right="6"/>
            </w:pPr>
            <w:r>
              <w:t>Australian Competition and Consumer Commission</w:t>
            </w:r>
          </w:p>
        </w:tc>
      </w:tr>
      <w:tr w:rsidR="009A6F5F" w14:paraId="7249B1F4" w14:textId="77777777" w:rsidTr="00B929CC">
        <w:tc>
          <w:tcPr>
            <w:tcW w:w="2013" w:type="dxa"/>
          </w:tcPr>
          <w:p w14:paraId="7249B1F2" w14:textId="77777777" w:rsidR="009A6F5F" w:rsidRDefault="009A6F5F" w:rsidP="00B929CC">
            <w:pPr>
              <w:pStyle w:val="BodyText"/>
              <w:spacing w:before="120"/>
              <w:ind w:right="6"/>
            </w:pPr>
            <w:r>
              <w:t>ACL</w:t>
            </w:r>
          </w:p>
        </w:tc>
        <w:tc>
          <w:tcPr>
            <w:tcW w:w="6776" w:type="dxa"/>
          </w:tcPr>
          <w:p w14:paraId="7249B1F3" w14:textId="77777777" w:rsidR="009A6F5F" w:rsidRDefault="009A6F5F" w:rsidP="00B929CC">
            <w:pPr>
              <w:pStyle w:val="BodyText"/>
              <w:spacing w:before="120"/>
              <w:ind w:left="227" w:right="6"/>
            </w:pPr>
            <w:r>
              <w:t>Australian Consumer Law</w:t>
            </w:r>
          </w:p>
        </w:tc>
      </w:tr>
      <w:tr w:rsidR="009A6F5F" w14:paraId="7249B1F7" w14:textId="77777777" w:rsidTr="00B929CC">
        <w:tc>
          <w:tcPr>
            <w:tcW w:w="2013" w:type="dxa"/>
          </w:tcPr>
          <w:p w14:paraId="7249B1F5" w14:textId="77777777" w:rsidR="009A6F5F" w:rsidRDefault="009A6F5F" w:rsidP="00B929CC">
            <w:pPr>
              <w:pStyle w:val="BodyText"/>
              <w:spacing w:before="120"/>
              <w:ind w:right="6"/>
            </w:pPr>
            <w:proofErr w:type="spellStart"/>
            <w:r>
              <w:t>AGMIN</w:t>
            </w:r>
            <w:proofErr w:type="spellEnd"/>
          </w:p>
        </w:tc>
        <w:tc>
          <w:tcPr>
            <w:tcW w:w="6776" w:type="dxa"/>
          </w:tcPr>
          <w:p w14:paraId="7249B1F6" w14:textId="77777777" w:rsidR="009A6F5F" w:rsidRDefault="009A6F5F" w:rsidP="00B929CC">
            <w:pPr>
              <w:pStyle w:val="BodyText"/>
              <w:spacing w:before="120"/>
              <w:ind w:left="227" w:right="6"/>
            </w:pPr>
            <w:r>
              <w:t>Agriculture Ministers’ Forum</w:t>
            </w:r>
          </w:p>
        </w:tc>
      </w:tr>
      <w:tr w:rsidR="009A6F5F" w14:paraId="7249B1FA" w14:textId="77777777" w:rsidTr="00B929CC">
        <w:tc>
          <w:tcPr>
            <w:tcW w:w="2013" w:type="dxa"/>
          </w:tcPr>
          <w:p w14:paraId="7249B1F8" w14:textId="77777777" w:rsidR="009A6F5F" w:rsidRDefault="009A6F5F" w:rsidP="00B929CC">
            <w:pPr>
              <w:pStyle w:val="BodyText"/>
              <w:spacing w:before="120"/>
              <w:ind w:right="6"/>
            </w:pPr>
            <w:proofErr w:type="spellStart"/>
            <w:r>
              <w:t>agvet</w:t>
            </w:r>
            <w:proofErr w:type="spellEnd"/>
          </w:p>
        </w:tc>
        <w:tc>
          <w:tcPr>
            <w:tcW w:w="6776" w:type="dxa"/>
          </w:tcPr>
          <w:p w14:paraId="7249B1F9" w14:textId="77777777" w:rsidR="009A6F5F" w:rsidRDefault="009A6F5F" w:rsidP="00B929CC">
            <w:pPr>
              <w:pStyle w:val="BodyText"/>
              <w:spacing w:before="120"/>
              <w:ind w:left="227" w:right="6"/>
            </w:pPr>
            <w:r>
              <w:t>agricultural and veterinary</w:t>
            </w:r>
          </w:p>
        </w:tc>
      </w:tr>
      <w:tr w:rsidR="009A6F5F" w14:paraId="7249B1FD" w14:textId="77777777" w:rsidTr="00B929CC">
        <w:tc>
          <w:tcPr>
            <w:tcW w:w="2013" w:type="dxa"/>
          </w:tcPr>
          <w:p w14:paraId="7249B1FB" w14:textId="77777777" w:rsidR="009A6F5F" w:rsidRDefault="009A6F5F" w:rsidP="00B929CC">
            <w:pPr>
              <w:pStyle w:val="BodyText"/>
              <w:spacing w:before="120"/>
              <w:ind w:right="6"/>
            </w:pPr>
            <w:proofErr w:type="spellStart"/>
            <w:r>
              <w:t>APVMA</w:t>
            </w:r>
            <w:proofErr w:type="spellEnd"/>
          </w:p>
        </w:tc>
        <w:tc>
          <w:tcPr>
            <w:tcW w:w="6776" w:type="dxa"/>
          </w:tcPr>
          <w:p w14:paraId="7249B1FC" w14:textId="77777777" w:rsidR="009A6F5F" w:rsidRDefault="009A6F5F" w:rsidP="00B929CC">
            <w:pPr>
              <w:pStyle w:val="BodyText"/>
              <w:spacing w:before="120"/>
              <w:ind w:left="227" w:right="6"/>
            </w:pPr>
            <w:r>
              <w:t>Australian Pesticides and Veterinary Medicines Authority</w:t>
            </w:r>
          </w:p>
        </w:tc>
      </w:tr>
      <w:tr w:rsidR="009A6F5F" w14:paraId="7249B200" w14:textId="77777777" w:rsidTr="00B929CC">
        <w:tc>
          <w:tcPr>
            <w:tcW w:w="2013" w:type="dxa"/>
          </w:tcPr>
          <w:p w14:paraId="7249B1FE" w14:textId="77777777" w:rsidR="009A6F5F" w:rsidRDefault="009A6F5F" w:rsidP="00B929CC">
            <w:pPr>
              <w:pStyle w:val="BodyText"/>
              <w:spacing w:before="120"/>
              <w:ind w:right="6"/>
            </w:pPr>
            <w:proofErr w:type="spellStart"/>
            <w:r>
              <w:t>ASIC</w:t>
            </w:r>
            <w:proofErr w:type="spellEnd"/>
          </w:p>
        </w:tc>
        <w:tc>
          <w:tcPr>
            <w:tcW w:w="6776" w:type="dxa"/>
          </w:tcPr>
          <w:p w14:paraId="7249B1FF" w14:textId="77777777" w:rsidR="009A6F5F" w:rsidRDefault="009A6F5F" w:rsidP="00B929CC">
            <w:pPr>
              <w:pStyle w:val="BodyText"/>
              <w:spacing w:before="120"/>
              <w:ind w:left="227" w:right="6"/>
            </w:pPr>
            <w:r>
              <w:t>Australian Securities and Investments Commission</w:t>
            </w:r>
          </w:p>
        </w:tc>
      </w:tr>
      <w:tr w:rsidR="009A6F5F" w14:paraId="7249B203" w14:textId="77777777" w:rsidTr="00B929CC">
        <w:tc>
          <w:tcPr>
            <w:tcW w:w="2013" w:type="dxa"/>
          </w:tcPr>
          <w:p w14:paraId="7249B201" w14:textId="77777777" w:rsidR="009A6F5F" w:rsidRDefault="009A6F5F" w:rsidP="00B929CC">
            <w:pPr>
              <w:pStyle w:val="BodyText"/>
              <w:spacing w:before="120"/>
              <w:ind w:right="6"/>
            </w:pPr>
            <w:proofErr w:type="spellStart"/>
            <w:r>
              <w:t>ATO</w:t>
            </w:r>
            <w:proofErr w:type="spellEnd"/>
          </w:p>
        </w:tc>
        <w:tc>
          <w:tcPr>
            <w:tcW w:w="6776" w:type="dxa"/>
          </w:tcPr>
          <w:p w14:paraId="7249B202" w14:textId="77777777" w:rsidR="009A6F5F" w:rsidRDefault="009A6F5F" w:rsidP="00B929CC">
            <w:pPr>
              <w:pStyle w:val="BodyText"/>
              <w:spacing w:before="120"/>
              <w:ind w:left="227" w:right="6"/>
            </w:pPr>
            <w:r>
              <w:t>Australian Tax Office</w:t>
            </w:r>
          </w:p>
        </w:tc>
      </w:tr>
      <w:tr w:rsidR="009A6F5F" w14:paraId="7249B206" w14:textId="77777777" w:rsidTr="00B929CC">
        <w:tc>
          <w:tcPr>
            <w:tcW w:w="2013" w:type="dxa"/>
          </w:tcPr>
          <w:p w14:paraId="7249B204" w14:textId="77777777" w:rsidR="009A6F5F" w:rsidRDefault="009A6F5F" w:rsidP="00B929CC">
            <w:pPr>
              <w:pStyle w:val="BodyText"/>
              <w:spacing w:before="120"/>
              <w:ind w:right="6"/>
            </w:pPr>
            <w:proofErr w:type="spellStart"/>
            <w:r>
              <w:t>COAG</w:t>
            </w:r>
            <w:proofErr w:type="spellEnd"/>
          </w:p>
        </w:tc>
        <w:tc>
          <w:tcPr>
            <w:tcW w:w="6776" w:type="dxa"/>
          </w:tcPr>
          <w:p w14:paraId="7249B205" w14:textId="77777777" w:rsidR="009A6F5F" w:rsidRDefault="009A6F5F" w:rsidP="00B929CC">
            <w:pPr>
              <w:pStyle w:val="BodyText"/>
              <w:spacing w:before="120"/>
              <w:ind w:left="227" w:right="6"/>
            </w:pPr>
            <w:r>
              <w:t>Council of Australian Governments</w:t>
            </w:r>
          </w:p>
        </w:tc>
      </w:tr>
      <w:tr w:rsidR="009A6F5F" w14:paraId="7249B209" w14:textId="77777777" w:rsidTr="00B929CC">
        <w:tc>
          <w:tcPr>
            <w:tcW w:w="2013" w:type="dxa"/>
          </w:tcPr>
          <w:p w14:paraId="7249B207" w14:textId="77777777" w:rsidR="009A6F5F" w:rsidRDefault="009A6F5F" w:rsidP="00B929CC">
            <w:pPr>
              <w:pStyle w:val="BodyText"/>
              <w:spacing w:before="120"/>
              <w:ind w:right="6"/>
            </w:pPr>
            <w:proofErr w:type="spellStart"/>
            <w:r>
              <w:t>CoOL</w:t>
            </w:r>
            <w:proofErr w:type="spellEnd"/>
          </w:p>
        </w:tc>
        <w:tc>
          <w:tcPr>
            <w:tcW w:w="6776" w:type="dxa"/>
          </w:tcPr>
          <w:p w14:paraId="7249B208" w14:textId="77777777" w:rsidR="009A6F5F" w:rsidRDefault="009A6F5F" w:rsidP="00B929CC">
            <w:pPr>
              <w:pStyle w:val="BodyText"/>
              <w:spacing w:before="120"/>
              <w:ind w:left="227" w:right="6"/>
            </w:pPr>
            <w:r>
              <w:t>Country-of-origin labelling</w:t>
            </w:r>
          </w:p>
        </w:tc>
      </w:tr>
      <w:tr w:rsidR="009A6F5F" w14:paraId="7249B20C" w14:textId="77777777" w:rsidTr="00B929CC">
        <w:tc>
          <w:tcPr>
            <w:tcW w:w="2013" w:type="dxa"/>
          </w:tcPr>
          <w:p w14:paraId="7249B20A" w14:textId="77777777" w:rsidR="009A6F5F" w:rsidRDefault="009A6F5F" w:rsidP="00B929CC">
            <w:pPr>
              <w:pStyle w:val="BodyText"/>
              <w:spacing w:before="120"/>
              <w:ind w:right="6"/>
            </w:pPr>
            <w:r>
              <w:t>CSIRO</w:t>
            </w:r>
          </w:p>
        </w:tc>
        <w:tc>
          <w:tcPr>
            <w:tcW w:w="6776" w:type="dxa"/>
          </w:tcPr>
          <w:p w14:paraId="7249B20B" w14:textId="77777777" w:rsidR="009A6F5F" w:rsidRDefault="009A6F5F" w:rsidP="00B929CC">
            <w:pPr>
              <w:pStyle w:val="BodyText"/>
              <w:spacing w:before="120"/>
              <w:ind w:left="227" w:right="6"/>
            </w:pPr>
            <w:r>
              <w:t>Commonwealth Scientific and Industrial Research Organisation</w:t>
            </w:r>
          </w:p>
        </w:tc>
      </w:tr>
      <w:tr w:rsidR="009A6F5F" w14:paraId="7249B20F" w14:textId="77777777" w:rsidTr="00B929CC">
        <w:tc>
          <w:tcPr>
            <w:tcW w:w="2013" w:type="dxa"/>
          </w:tcPr>
          <w:p w14:paraId="7249B20D" w14:textId="77777777" w:rsidR="009A6F5F" w:rsidRDefault="009A6F5F" w:rsidP="00B929CC">
            <w:pPr>
              <w:pStyle w:val="BodyText"/>
              <w:spacing w:before="120"/>
              <w:ind w:right="6"/>
            </w:pPr>
            <w:proofErr w:type="spellStart"/>
            <w:r>
              <w:t>DAWR</w:t>
            </w:r>
            <w:proofErr w:type="spellEnd"/>
          </w:p>
        </w:tc>
        <w:tc>
          <w:tcPr>
            <w:tcW w:w="6776" w:type="dxa"/>
          </w:tcPr>
          <w:p w14:paraId="7249B20E" w14:textId="77777777" w:rsidR="009A6F5F" w:rsidRDefault="009A6F5F" w:rsidP="00B929CC">
            <w:pPr>
              <w:pStyle w:val="BodyText"/>
              <w:spacing w:before="120"/>
              <w:ind w:left="227" w:right="6"/>
            </w:pPr>
            <w:r>
              <w:t>Department of Agriculture and Water Resources</w:t>
            </w:r>
          </w:p>
        </w:tc>
      </w:tr>
      <w:tr w:rsidR="009A6F5F" w14:paraId="7249B212" w14:textId="77777777" w:rsidTr="00B929CC">
        <w:tc>
          <w:tcPr>
            <w:tcW w:w="2013" w:type="dxa"/>
          </w:tcPr>
          <w:p w14:paraId="7249B210" w14:textId="77777777" w:rsidR="009A6F5F" w:rsidRDefault="009A6F5F" w:rsidP="00B929CC">
            <w:pPr>
              <w:pStyle w:val="BodyText"/>
              <w:spacing w:before="120"/>
              <w:ind w:right="6"/>
            </w:pPr>
            <w:proofErr w:type="spellStart"/>
            <w:r>
              <w:t>EPA</w:t>
            </w:r>
            <w:proofErr w:type="spellEnd"/>
          </w:p>
        </w:tc>
        <w:tc>
          <w:tcPr>
            <w:tcW w:w="6776" w:type="dxa"/>
          </w:tcPr>
          <w:p w14:paraId="7249B211" w14:textId="77777777" w:rsidR="009A6F5F" w:rsidRDefault="009A6F5F" w:rsidP="00B929CC">
            <w:pPr>
              <w:pStyle w:val="BodyText"/>
              <w:spacing w:before="120"/>
              <w:ind w:left="227" w:right="6"/>
            </w:pPr>
            <w:r>
              <w:t xml:space="preserve">Environment Protection Authority or Agency </w:t>
            </w:r>
          </w:p>
        </w:tc>
      </w:tr>
      <w:tr w:rsidR="009A6F5F" w14:paraId="7249B215" w14:textId="77777777" w:rsidTr="00B929CC">
        <w:tc>
          <w:tcPr>
            <w:tcW w:w="2013" w:type="dxa"/>
          </w:tcPr>
          <w:p w14:paraId="7249B213" w14:textId="77777777" w:rsidR="009A6F5F" w:rsidRDefault="009A6F5F" w:rsidP="00B929CC">
            <w:pPr>
              <w:pStyle w:val="BodyText"/>
              <w:spacing w:before="120"/>
              <w:ind w:right="6"/>
            </w:pPr>
            <w:r>
              <w:t>EPG</w:t>
            </w:r>
          </w:p>
        </w:tc>
        <w:tc>
          <w:tcPr>
            <w:tcW w:w="6776" w:type="dxa"/>
          </w:tcPr>
          <w:p w14:paraId="7249B214" w14:textId="77777777" w:rsidR="009A6F5F" w:rsidRDefault="009A6F5F" w:rsidP="00B929CC">
            <w:pPr>
              <w:pStyle w:val="BodyText"/>
              <w:spacing w:before="120"/>
              <w:ind w:left="227" w:right="6"/>
            </w:pPr>
            <w:r>
              <w:t>Ethanol Production Grants</w:t>
            </w:r>
          </w:p>
        </w:tc>
      </w:tr>
      <w:tr w:rsidR="009A6F5F" w14:paraId="7249B218" w14:textId="77777777" w:rsidTr="00B929CC">
        <w:tc>
          <w:tcPr>
            <w:tcW w:w="2013" w:type="dxa"/>
          </w:tcPr>
          <w:p w14:paraId="7249B216" w14:textId="77777777" w:rsidR="009A6F5F" w:rsidRDefault="009A6F5F" w:rsidP="00B929CC">
            <w:pPr>
              <w:pStyle w:val="BodyText"/>
              <w:spacing w:before="120"/>
              <w:ind w:right="6"/>
            </w:pPr>
            <w:r>
              <w:t>EU</w:t>
            </w:r>
          </w:p>
        </w:tc>
        <w:tc>
          <w:tcPr>
            <w:tcW w:w="6776" w:type="dxa"/>
          </w:tcPr>
          <w:p w14:paraId="7249B217" w14:textId="77777777" w:rsidR="009A6F5F" w:rsidRDefault="009A6F5F" w:rsidP="00B929CC">
            <w:pPr>
              <w:pStyle w:val="BodyText"/>
              <w:spacing w:before="120"/>
              <w:ind w:left="227" w:right="6"/>
            </w:pPr>
            <w:r>
              <w:t>European Union</w:t>
            </w:r>
          </w:p>
        </w:tc>
      </w:tr>
      <w:tr w:rsidR="009A6F5F" w14:paraId="7249B21B" w14:textId="77777777" w:rsidTr="00B929CC">
        <w:tc>
          <w:tcPr>
            <w:tcW w:w="2013" w:type="dxa"/>
          </w:tcPr>
          <w:p w14:paraId="7249B219" w14:textId="77777777" w:rsidR="009A6F5F" w:rsidRDefault="009A6F5F" w:rsidP="00B929CC">
            <w:pPr>
              <w:pStyle w:val="BodyText"/>
              <w:spacing w:before="120"/>
              <w:ind w:right="6"/>
            </w:pPr>
            <w:proofErr w:type="spellStart"/>
            <w:r>
              <w:t>FAO</w:t>
            </w:r>
            <w:proofErr w:type="spellEnd"/>
          </w:p>
        </w:tc>
        <w:tc>
          <w:tcPr>
            <w:tcW w:w="6776" w:type="dxa"/>
          </w:tcPr>
          <w:p w14:paraId="7249B21A" w14:textId="77777777" w:rsidR="009A6F5F" w:rsidRDefault="009A6F5F" w:rsidP="00B929CC">
            <w:pPr>
              <w:pStyle w:val="BodyText"/>
              <w:spacing w:before="120"/>
              <w:ind w:left="227" w:right="6"/>
            </w:pPr>
            <w:r>
              <w:t>Food and Agriculture Organization of the United Nations</w:t>
            </w:r>
          </w:p>
        </w:tc>
      </w:tr>
      <w:tr w:rsidR="009A6F5F" w14:paraId="7249B21E" w14:textId="77777777" w:rsidTr="00B929CC">
        <w:tc>
          <w:tcPr>
            <w:tcW w:w="2013" w:type="dxa"/>
          </w:tcPr>
          <w:p w14:paraId="7249B21C" w14:textId="77777777" w:rsidR="009A6F5F" w:rsidRDefault="009A6F5F" w:rsidP="00B929CC">
            <w:pPr>
              <w:pStyle w:val="BodyText"/>
              <w:spacing w:before="120"/>
              <w:ind w:right="6"/>
            </w:pPr>
            <w:proofErr w:type="spellStart"/>
            <w:r>
              <w:t>FDA</w:t>
            </w:r>
            <w:proofErr w:type="spellEnd"/>
          </w:p>
        </w:tc>
        <w:tc>
          <w:tcPr>
            <w:tcW w:w="6776" w:type="dxa"/>
          </w:tcPr>
          <w:p w14:paraId="7249B21D" w14:textId="77777777" w:rsidR="009A6F5F" w:rsidRDefault="009A6F5F" w:rsidP="00B929CC">
            <w:pPr>
              <w:pStyle w:val="BodyText"/>
              <w:spacing w:before="120"/>
              <w:ind w:left="227" w:right="6"/>
            </w:pPr>
            <w:r>
              <w:t>United States Food and Drug Administration</w:t>
            </w:r>
          </w:p>
        </w:tc>
      </w:tr>
      <w:tr w:rsidR="009A6F5F" w14:paraId="7249B221" w14:textId="77777777" w:rsidTr="00B929CC">
        <w:tc>
          <w:tcPr>
            <w:tcW w:w="2013" w:type="dxa"/>
          </w:tcPr>
          <w:p w14:paraId="7249B21F" w14:textId="77777777" w:rsidR="009A6F5F" w:rsidRDefault="009A6F5F" w:rsidP="00B929CC">
            <w:pPr>
              <w:pStyle w:val="BodyText"/>
              <w:spacing w:before="120"/>
              <w:ind w:right="6"/>
            </w:pPr>
            <w:proofErr w:type="spellStart"/>
            <w:r>
              <w:t>FDI</w:t>
            </w:r>
            <w:proofErr w:type="spellEnd"/>
          </w:p>
        </w:tc>
        <w:tc>
          <w:tcPr>
            <w:tcW w:w="6776" w:type="dxa"/>
          </w:tcPr>
          <w:p w14:paraId="7249B220" w14:textId="77777777" w:rsidR="009A6F5F" w:rsidRDefault="009A6F5F" w:rsidP="00B929CC">
            <w:pPr>
              <w:pStyle w:val="BodyText"/>
              <w:spacing w:before="120"/>
              <w:ind w:left="227" w:right="6"/>
            </w:pPr>
            <w:r>
              <w:t>Foreign direct investment</w:t>
            </w:r>
          </w:p>
        </w:tc>
      </w:tr>
      <w:tr w:rsidR="009A6F5F" w14:paraId="7249B224" w14:textId="77777777" w:rsidTr="00B929CC">
        <w:tc>
          <w:tcPr>
            <w:tcW w:w="2013" w:type="dxa"/>
          </w:tcPr>
          <w:p w14:paraId="7249B222" w14:textId="77777777" w:rsidR="009A6F5F" w:rsidRDefault="009A6F5F" w:rsidP="00B929CC">
            <w:pPr>
              <w:pStyle w:val="BodyText"/>
              <w:spacing w:before="120"/>
              <w:ind w:right="6"/>
            </w:pPr>
            <w:proofErr w:type="spellStart"/>
            <w:r>
              <w:t>FIRB</w:t>
            </w:r>
            <w:proofErr w:type="spellEnd"/>
          </w:p>
        </w:tc>
        <w:tc>
          <w:tcPr>
            <w:tcW w:w="6776" w:type="dxa"/>
          </w:tcPr>
          <w:p w14:paraId="7249B223" w14:textId="77777777" w:rsidR="009A6F5F" w:rsidRDefault="009A6F5F" w:rsidP="00B929CC">
            <w:pPr>
              <w:pStyle w:val="BodyText"/>
              <w:spacing w:before="120"/>
              <w:ind w:left="227" w:right="6"/>
            </w:pPr>
            <w:r>
              <w:t>Foreign Investment Review Board</w:t>
            </w:r>
          </w:p>
        </w:tc>
      </w:tr>
      <w:tr w:rsidR="009A6F5F" w14:paraId="7249B227" w14:textId="77777777" w:rsidTr="00B929CC">
        <w:tc>
          <w:tcPr>
            <w:tcW w:w="2013" w:type="dxa"/>
          </w:tcPr>
          <w:p w14:paraId="7249B225" w14:textId="77777777" w:rsidR="009A6F5F" w:rsidRDefault="009A6F5F" w:rsidP="00B929CC">
            <w:pPr>
              <w:pStyle w:val="BodyText"/>
              <w:spacing w:before="120"/>
              <w:ind w:right="6"/>
            </w:pPr>
            <w:proofErr w:type="spellStart"/>
            <w:r>
              <w:t>FoFR</w:t>
            </w:r>
            <w:proofErr w:type="spellEnd"/>
          </w:p>
        </w:tc>
        <w:tc>
          <w:tcPr>
            <w:tcW w:w="6776" w:type="dxa"/>
          </w:tcPr>
          <w:p w14:paraId="7249B226" w14:textId="77777777" w:rsidR="009A6F5F" w:rsidRDefault="009A6F5F" w:rsidP="00B929CC">
            <w:pPr>
              <w:pStyle w:val="BodyText"/>
              <w:spacing w:before="120"/>
              <w:ind w:left="227" w:right="6"/>
            </w:pPr>
            <w:r>
              <w:t>Australia and New Zealand Ministerial Forum on Food Regulation</w:t>
            </w:r>
          </w:p>
        </w:tc>
      </w:tr>
      <w:tr w:rsidR="009A6F5F" w14:paraId="7249B22A" w14:textId="77777777" w:rsidTr="00B929CC">
        <w:tc>
          <w:tcPr>
            <w:tcW w:w="2013" w:type="dxa"/>
          </w:tcPr>
          <w:p w14:paraId="7249B228" w14:textId="77777777" w:rsidR="009A6F5F" w:rsidRDefault="009A6F5F" w:rsidP="00B929CC">
            <w:pPr>
              <w:pStyle w:val="BodyText"/>
              <w:spacing w:before="120"/>
              <w:ind w:right="6"/>
            </w:pPr>
            <w:proofErr w:type="spellStart"/>
            <w:r>
              <w:t>FSANZ</w:t>
            </w:r>
            <w:proofErr w:type="spellEnd"/>
          </w:p>
        </w:tc>
        <w:tc>
          <w:tcPr>
            <w:tcW w:w="6776" w:type="dxa"/>
          </w:tcPr>
          <w:p w14:paraId="7249B229" w14:textId="77777777" w:rsidR="009A6F5F" w:rsidRDefault="009A6F5F" w:rsidP="00B929CC">
            <w:pPr>
              <w:pStyle w:val="BodyText"/>
              <w:spacing w:before="120"/>
              <w:ind w:left="227" w:right="6"/>
            </w:pPr>
            <w:r>
              <w:t>Food Standards Australia New Zealand</w:t>
            </w:r>
          </w:p>
        </w:tc>
      </w:tr>
      <w:tr w:rsidR="009A6F5F" w14:paraId="7249B22D" w14:textId="77777777" w:rsidTr="00B929CC">
        <w:tc>
          <w:tcPr>
            <w:tcW w:w="2013" w:type="dxa"/>
          </w:tcPr>
          <w:p w14:paraId="7249B22B" w14:textId="77777777" w:rsidR="009A6F5F" w:rsidRDefault="009A6F5F" w:rsidP="00B929CC">
            <w:pPr>
              <w:pStyle w:val="BodyText"/>
              <w:spacing w:before="120"/>
              <w:ind w:right="6"/>
            </w:pPr>
            <w:r>
              <w:t>GDP</w:t>
            </w:r>
          </w:p>
        </w:tc>
        <w:tc>
          <w:tcPr>
            <w:tcW w:w="6776" w:type="dxa"/>
          </w:tcPr>
          <w:p w14:paraId="7249B22C" w14:textId="77777777" w:rsidR="009A6F5F" w:rsidRDefault="009A6F5F" w:rsidP="00B929CC">
            <w:pPr>
              <w:pStyle w:val="BodyText"/>
              <w:spacing w:before="120"/>
              <w:ind w:left="227" w:right="6"/>
            </w:pPr>
            <w:r>
              <w:t>Gross domestic product</w:t>
            </w:r>
          </w:p>
        </w:tc>
      </w:tr>
      <w:tr w:rsidR="00922A9F" w14:paraId="7249B230" w14:textId="77777777" w:rsidTr="00B929CC">
        <w:tc>
          <w:tcPr>
            <w:tcW w:w="2013" w:type="dxa"/>
          </w:tcPr>
          <w:p w14:paraId="7249B22E" w14:textId="77777777" w:rsidR="00922A9F" w:rsidRDefault="00922A9F" w:rsidP="00B929CC">
            <w:pPr>
              <w:pStyle w:val="BodyText"/>
              <w:spacing w:before="120"/>
              <w:ind w:right="6"/>
            </w:pPr>
            <w:r>
              <w:t>GHS</w:t>
            </w:r>
          </w:p>
        </w:tc>
        <w:tc>
          <w:tcPr>
            <w:tcW w:w="6776" w:type="dxa"/>
          </w:tcPr>
          <w:p w14:paraId="7249B22F" w14:textId="77777777" w:rsidR="00922A9F" w:rsidRDefault="00922A9F" w:rsidP="00B929CC">
            <w:pPr>
              <w:pStyle w:val="BodyText"/>
              <w:spacing w:before="120"/>
              <w:ind w:left="227" w:right="6"/>
            </w:pPr>
            <w:r>
              <w:rPr>
                <w:bdr w:val="nil"/>
              </w:rPr>
              <w:t>Globally Harmonised System of Classification and Labelling</w:t>
            </w:r>
          </w:p>
        </w:tc>
      </w:tr>
      <w:tr w:rsidR="009A6F5F" w14:paraId="7249B233" w14:textId="77777777" w:rsidTr="00B929CC">
        <w:tc>
          <w:tcPr>
            <w:tcW w:w="2013" w:type="dxa"/>
          </w:tcPr>
          <w:p w14:paraId="7249B231" w14:textId="77777777" w:rsidR="009A6F5F" w:rsidRDefault="009A6F5F" w:rsidP="00B929CC">
            <w:pPr>
              <w:pStyle w:val="BodyText"/>
              <w:spacing w:before="120"/>
              <w:ind w:right="6"/>
            </w:pPr>
            <w:r>
              <w:t>GM</w:t>
            </w:r>
          </w:p>
        </w:tc>
        <w:tc>
          <w:tcPr>
            <w:tcW w:w="6776" w:type="dxa"/>
          </w:tcPr>
          <w:p w14:paraId="7249B232" w14:textId="77777777" w:rsidR="009A6F5F" w:rsidRDefault="009A6F5F" w:rsidP="00B929CC">
            <w:pPr>
              <w:pStyle w:val="BodyText"/>
              <w:spacing w:before="120"/>
              <w:ind w:left="227" w:right="6"/>
            </w:pPr>
            <w:r>
              <w:t>G</w:t>
            </w:r>
            <w:r w:rsidR="00087ED2">
              <w:t>enetic modification, g</w:t>
            </w:r>
            <w:r>
              <w:t>enetically modified</w:t>
            </w:r>
          </w:p>
        </w:tc>
      </w:tr>
      <w:tr w:rsidR="009A6F5F" w14:paraId="7249B236" w14:textId="77777777" w:rsidTr="00B929CC">
        <w:tc>
          <w:tcPr>
            <w:tcW w:w="2013" w:type="dxa"/>
          </w:tcPr>
          <w:p w14:paraId="7249B234" w14:textId="77777777" w:rsidR="009A6F5F" w:rsidRDefault="009A6F5F" w:rsidP="00B929CC">
            <w:pPr>
              <w:pStyle w:val="BodyText"/>
              <w:spacing w:before="120"/>
              <w:ind w:right="6"/>
            </w:pPr>
            <w:proofErr w:type="spellStart"/>
            <w:r>
              <w:t>GMO</w:t>
            </w:r>
            <w:proofErr w:type="spellEnd"/>
          </w:p>
        </w:tc>
        <w:tc>
          <w:tcPr>
            <w:tcW w:w="6776" w:type="dxa"/>
          </w:tcPr>
          <w:p w14:paraId="7249B235" w14:textId="77777777" w:rsidR="009A6F5F" w:rsidRDefault="009A6F5F" w:rsidP="00B929CC">
            <w:pPr>
              <w:pStyle w:val="BodyText"/>
              <w:spacing w:before="120"/>
              <w:ind w:left="227" w:right="6"/>
            </w:pPr>
            <w:r>
              <w:t>Genetically modified organisms</w:t>
            </w:r>
          </w:p>
        </w:tc>
      </w:tr>
      <w:tr w:rsidR="00E93766" w14:paraId="7249B239" w14:textId="77777777" w:rsidTr="00B929CC">
        <w:tc>
          <w:tcPr>
            <w:tcW w:w="2013" w:type="dxa"/>
          </w:tcPr>
          <w:p w14:paraId="7249B237" w14:textId="77777777" w:rsidR="00E93766" w:rsidRDefault="00E93766" w:rsidP="00B929CC">
            <w:pPr>
              <w:pStyle w:val="BodyText"/>
              <w:spacing w:before="120"/>
              <w:ind w:right="6"/>
            </w:pPr>
            <w:proofErr w:type="spellStart"/>
            <w:r>
              <w:lastRenderedPageBreak/>
              <w:t>HVCI</w:t>
            </w:r>
            <w:proofErr w:type="spellEnd"/>
          </w:p>
        </w:tc>
        <w:tc>
          <w:tcPr>
            <w:tcW w:w="6776" w:type="dxa"/>
          </w:tcPr>
          <w:p w14:paraId="7249B238" w14:textId="77777777" w:rsidR="00E93766" w:rsidRDefault="00E93766" w:rsidP="00B929CC">
            <w:pPr>
              <w:pStyle w:val="BodyText"/>
              <w:spacing w:before="120"/>
              <w:ind w:left="227" w:right="6"/>
            </w:pPr>
            <w:r>
              <w:t>Heavy Vehicle Charging and Investment</w:t>
            </w:r>
          </w:p>
        </w:tc>
      </w:tr>
      <w:tr w:rsidR="009A6F5F" w14:paraId="7249B23C" w14:textId="77777777" w:rsidTr="00B929CC">
        <w:tc>
          <w:tcPr>
            <w:tcW w:w="2013" w:type="dxa"/>
          </w:tcPr>
          <w:p w14:paraId="7249B23A" w14:textId="77777777" w:rsidR="009A6F5F" w:rsidRPr="00837EF7" w:rsidRDefault="009A6F5F" w:rsidP="00B929CC">
            <w:pPr>
              <w:pStyle w:val="BodyText"/>
              <w:spacing w:before="120"/>
              <w:ind w:right="6"/>
            </w:pPr>
            <w:proofErr w:type="spellStart"/>
            <w:r>
              <w:t>HVNL</w:t>
            </w:r>
            <w:proofErr w:type="spellEnd"/>
          </w:p>
        </w:tc>
        <w:tc>
          <w:tcPr>
            <w:tcW w:w="6776" w:type="dxa"/>
          </w:tcPr>
          <w:p w14:paraId="7249B23B" w14:textId="77777777" w:rsidR="009A6F5F" w:rsidRPr="00437AFE" w:rsidRDefault="009A6F5F" w:rsidP="00B929CC">
            <w:pPr>
              <w:pStyle w:val="BodyText"/>
              <w:spacing w:before="120"/>
              <w:ind w:left="227" w:right="6"/>
            </w:pPr>
            <w:r>
              <w:t>Heavy Vehicle National Law</w:t>
            </w:r>
          </w:p>
        </w:tc>
      </w:tr>
      <w:tr w:rsidR="00E93766" w14:paraId="7249B23F" w14:textId="77777777" w:rsidTr="00B929CC">
        <w:tc>
          <w:tcPr>
            <w:tcW w:w="2013" w:type="dxa"/>
          </w:tcPr>
          <w:p w14:paraId="7249B23D" w14:textId="77777777" w:rsidR="00E93766" w:rsidRPr="00837EF7" w:rsidRDefault="00E93766" w:rsidP="00B929CC">
            <w:pPr>
              <w:pStyle w:val="BodyText"/>
              <w:spacing w:before="120"/>
              <w:ind w:right="6"/>
            </w:pPr>
            <w:proofErr w:type="spellStart"/>
            <w:r>
              <w:t>IAP</w:t>
            </w:r>
            <w:proofErr w:type="spellEnd"/>
          </w:p>
        </w:tc>
        <w:tc>
          <w:tcPr>
            <w:tcW w:w="6776" w:type="dxa"/>
          </w:tcPr>
          <w:p w14:paraId="7249B23E" w14:textId="77777777" w:rsidR="00E93766" w:rsidRPr="00437AFE" w:rsidRDefault="00E93766" w:rsidP="00B929CC">
            <w:pPr>
              <w:pStyle w:val="BodyText"/>
              <w:spacing w:before="120"/>
              <w:ind w:left="227" w:right="6"/>
            </w:pPr>
            <w:r>
              <w:t>Intelligent Access Program</w:t>
            </w:r>
          </w:p>
        </w:tc>
      </w:tr>
      <w:tr w:rsidR="009A6F5F" w14:paraId="7249B242" w14:textId="77777777" w:rsidTr="00B929CC">
        <w:tc>
          <w:tcPr>
            <w:tcW w:w="2013" w:type="dxa"/>
          </w:tcPr>
          <w:p w14:paraId="7249B240" w14:textId="77777777" w:rsidR="009A6F5F" w:rsidRPr="00837EF7" w:rsidRDefault="009A6F5F" w:rsidP="00B929CC">
            <w:pPr>
              <w:pStyle w:val="BodyText"/>
              <w:spacing w:before="120"/>
              <w:ind w:right="6"/>
            </w:pPr>
            <w:r w:rsidRPr="00837EF7">
              <w:t>IC</w:t>
            </w:r>
            <w:r>
              <w:t>A</w:t>
            </w:r>
          </w:p>
        </w:tc>
        <w:tc>
          <w:tcPr>
            <w:tcW w:w="6776" w:type="dxa"/>
          </w:tcPr>
          <w:p w14:paraId="7249B241" w14:textId="77777777" w:rsidR="009A6F5F" w:rsidRPr="00837EF7" w:rsidRDefault="009A6F5F" w:rsidP="00B929CC">
            <w:pPr>
              <w:pStyle w:val="BodyText"/>
              <w:spacing w:before="120"/>
              <w:ind w:left="227" w:right="6"/>
            </w:pPr>
            <w:r w:rsidRPr="00437AFE">
              <w:t>Interstate</w:t>
            </w:r>
            <w:r>
              <w:t xml:space="preserve"> certification assurance</w:t>
            </w:r>
          </w:p>
        </w:tc>
      </w:tr>
      <w:tr w:rsidR="009A6F5F" w14:paraId="7249B245" w14:textId="77777777" w:rsidTr="00B929CC">
        <w:tc>
          <w:tcPr>
            <w:tcW w:w="2013" w:type="dxa"/>
          </w:tcPr>
          <w:p w14:paraId="7249B243" w14:textId="77777777" w:rsidR="009A6F5F" w:rsidRDefault="009A6F5F" w:rsidP="00B929CC">
            <w:pPr>
              <w:pStyle w:val="BodyText"/>
              <w:spacing w:before="120"/>
              <w:ind w:right="6"/>
            </w:pPr>
            <w:proofErr w:type="spellStart"/>
            <w:r>
              <w:t>IIO</w:t>
            </w:r>
            <w:proofErr w:type="spellEnd"/>
          </w:p>
        </w:tc>
        <w:tc>
          <w:tcPr>
            <w:tcW w:w="6776" w:type="dxa"/>
          </w:tcPr>
          <w:p w14:paraId="7249B244" w14:textId="77777777" w:rsidR="009A6F5F" w:rsidRDefault="009A6F5F" w:rsidP="00B929CC">
            <w:pPr>
              <w:pStyle w:val="BodyText"/>
              <w:spacing w:before="120"/>
              <w:ind w:left="227" w:right="6"/>
            </w:pPr>
            <w:r>
              <w:t>Irrigation Infrastructure Operator</w:t>
            </w:r>
          </w:p>
        </w:tc>
      </w:tr>
      <w:tr w:rsidR="009A6F5F" w14:paraId="7249B248" w14:textId="77777777" w:rsidTr="00B929CC">
        <w:tc>
          <w:tcPr>
            <w:tcW w:w="2013" w:type="dxa"/>
          </w:tcPr>
          <w:p w14:paraId="7249B246" w14:textId="77777777" w:rsidR="009A6F5F" w:rsidRDefault="009A6F5F" w:rsidP="00B929CC">
            <w:pPr>
              <w:pStyle w:val="BodyText"/>
              <w:spacing w:before="120"/>
              <w:ind w:right="6"/>
            </w:pPr>
            <w:proofErr w:type="spellStart"/>
            <w:r>
              <w:t>IGAB</w:t>
            </w:r>
            <w:proofErr w:type="spellEnd"/>
          </w:p>
        </w:tc>
        <w:tc>
          <w:tcPr>
            <w:tcW w:w="6776" w:type="dxa"/>
          </w:tcPr>
          <w:p w14:paraId="7249B247" w14:textId="77777777" w:rsidR="009A6F5F" w:rsidRDefault="009A6F5F" w:rsidP="00B929CC">
            <w:pPr>
              <w:pStyle w:val="BodyText"/>
              <w:spacing w:before="120"/>
              <w:ind w:left="227" w:right="6"/>
            </w:pPr>
            <w:r>
              <w:t>Intergovernmental Agreement on Biosecurity</w:t>
            </w:r>
          </w:p>
        </w:tc>
      </w:tr>
      <w:tr w:rsidR="009A6F5F" w14:paraId="7249B24B" w14:textId="77777777" w:rsidTr="00B929CC">
        <w:tc>
          <w:tcPr>
            <w:tcW w:w="2013" w:type="dxa"/>
          </w:tcPr>
          <w:p w14:paraId="7249B249" w14:textId="77777777" w:rsidR="009A6F5F" w:rsidRDefault="009A6F5F" w:rsidP="00B929CC">
            <w:pPr>
              <w:pStyle w:val="BodyText"/>
              <w:spacing w:before="120"/>
              <w:ind w:right="6"/>
            </w:pPr>
            <w:proofErr w:type="spellStart"/>
            <w:r>
              <w:t>MDBA</w:t>
            </w:r>
            <w:proofErr w:type="spellEnd"/>
          </w:p>
        </w:tc>
        <w:tc>
          <w:tcPr>
            <w:tcW w:w="6776" w:type="dxa"/>
          </w:tcPr>
          <w:p w14:paraId="7249B24A" w14:textId="77777777" w:rsidR="009A6F5F" w:rsidRDefault="009A6F5F" w:rsidP="00B929CC">
            <w:pPr>
              <w:pStyle w:val="BodyText"/>
              <w:spacing w:before="120"/>
              <w:ind w:left="227" w:right="6"/>
            </w:pPr>
            <w:r>
              <w:t>Murray-Darling Basin Authority</w:t>
            </w:r>
          </w:p>
        </w:tc>
      </w:tr>
      <w:tr w:rsidR="009A6F5F" w14:paraId="7249B24E" w14:textId="77777777" w:rsidTr="00B929CC">
        <w:tc>
          <w:tcPr>
            <w:tcW w:w="2013" w:type="dxa"/>
          </w:tcPr>
          <w:p w14:paraId="7249B24C" w14:textId="77777777" w:rsidR="009A6F5F" w:rsidRDefault="009A6F5F" w:rsidP="00B929CC">
            <w:pPr>
              <w:pStyle w:val="BodyText"/>
              <w:spacing w:before="120"/>
              <w:ind w:right="6"/>
            </w:pPr>
            <w:proofErr w:type="spellStart"/>
            <w:r>
              <w:t>NBC</w:t>
            </w:r>
            <w:proofErr w:type="spellEnd"/>
          </w:p>
        </w:tc>
        <w:tc>
          <w:tcPr>
            <w:tcW w:w="6776" w:type="dxa"/>
          </w:tcPr>
          <w:p w14:paraId="7249B24D" w14:textId="77777777" w:rsidR="009A6F5F" w:rsidRDefault="009A6F5F" w:rsidP="00B929CC">
            <w:pPr>
              <w:pStyle w:val="BodyText"/>
              <w:spacing w:before="120"/>
              <w:ind w:left="227" w:right="6"/>
            </w:pPr>
            <w:r>
              <w:t>National Biosecurity Committee</w:t>
            </w:r>
          </w:p>
        </w:tc>
      </w:tr>
      <w:tr w:rsidR="009A6F5F" w14:paraId="7249B251" w14:textId="77777777" w:rsidTr="00B929CC">
        <w:tc>
          <w:tcPr>
            <w:tcW w:w="2013" w:type="dxa"/>
          </w:tcPr>
          <w:p w14:paraId="7249B24F" w14:textId="77777777" w:rsidR="009A6F5F" w:rsidRDefault="009A6F5F" w:rsidP="00B929CC">
            <w:pPr>
              <w:pStyle w:val="BodyText"/>
              <w:spacing w:before="120"/>
              <w:ind w:right="6"/>
            </w:pPr>
            <w:proofErr w:type="spellStart"/>
            <w:r>
              <w:t>NEBRA</w:t>
            </w:r>
            <w:proofErr w:type="spellEnd"/>
          </w:p>
        </w:tc>
        <w:tc>
          <w:tcPr>
            <w:tcW w:w="6776" w:type="dxa"/>
          </w:tcPr>
          <w:p w14:paraId="7249B250" w14:textId="77777777" w:rsidR="009A6F5F" w:rsidRDefault="009A6F5F" w:rsidP="00B929CC">
            <w:pPr>
              <w:pStyle w:val="BodyText"/>
              <w:spacing w:before="120"/>
              <w:ind w:left="227" w:right="6"/>
            </w:pPr>
            <w:r>
              <w:t>National Environmental Biosecurity Response Agreement</w:t>
            </w:r>
          </w:p>
        </w:tc>
      </w:tr>
      <w:tr w:rsidR="009A6F5F" w14:paraId="7249B254" w14:textId="77777777" w:rsidTr="00B929CC">
        <w:tc>
          <w:tcPr>
            <w:tcW w:w="2013" w:type="dxa"/>
          </w:tcPr>
          <w:p w14:paraId="7249B252" w14:textId="77777777" w:rsidR="009A6F5F" w:rsidRDefault="009A6F5F" w:rsidP="00B929CC">
            <w:pPr>
              <w:pStyle w:val="BodyText"/>
              <w:spacing w:before="120"/>
              <w:ind w:right="6"/>
            </w:pPr>
            <w:proofErr w:type="spellStart"/>
            <w:r>
              <w:t>NFF</w:t>
            </w:r>
            <w:proofErr w:type="spellEnd"/>
          </w:p>
        </w:tc>
        <w:tc>
          <w:tcPr>
            <w:tcW w:w="6776" w:type="dxa"/>
          </w:tcPr>
          <w:p w14:paraId="7249B253" w14:textId="77777777" w:rsidR="009A6F5F" w:rsidRDefault="009A6F5F" w:rsidP="00B929CC">
            <w:pPr>
              <w:pStyle w:val="BodyText"/>
              <w:spacing w:before="120"/>
              <w:ind w:left="227" w:right="6"/>
            </w:pPr>
            <w:r>
              <w:t>National Farmers’ Federation</w:t>
            </w:r>
          </w:p>
        </w:tc>
      </w:tr>
      <w:tr w:rsidR="009A6F5F" w14:paraId="7249B257" w14:textId="77777777" w:rsidTr="00B929CC">
        <w:tc>
          <w:tcPr>
            <w:tcW w:w="2013" w:type="dxa"/>
          </w:tcPr>
          <w:p w14:paraId="7249B255" w14:textId="77777777" w:rsidR="009A6F5F" w:rsidRDefault="009A6F5F" w:rsidP="00B929CC">
            <w:pPr>
              <w:pStyle w:val="BodyText"/>
              <w:spacing w:before="120"/>
              <w:ind w:right="6"/>
            </w:pPr>
            <w:proofErr w:type="spellStart"/>
            <w:r>
              <w:t>NHVR</w:t>
            </w:r>
            <w:proofErr w:type="spellEnd"/>
          </w:p>
        </w:tc>
        <w:tc>
          <w:tcPr>
            <w:tcW w:w="6776" w:type="dxa"/>
          </w:tcPr>
          <w:p w14:paraId="7249B256" w14:textId="77777777" w:rsidR="009A6F5F" w:rsidRDefault="009A6F5F" w:rsidP="00B929CC">
            <w:pPr>
              <w:pStyle w:val="BodyText"/>
              <w:spacing w:before="120"/>
              <w:ind w:left="227" w:right="6"/>
            </w:pPr>
            <w:r>
              <w:t>National Heavy Vehicle Regulator</w:t>
            </w:r>
          </w:p>
        </w:tc>
      </w:tr>
      <w:tr w:rsidR="009A6F5F" w14:paraId="7249B25A" w14:textId="77777777" w:rsidTr="00B929CC">
        <w:tc>
          <w:tcPr>
            <w:tcW w:w="2013" w:type="dxa"/>
          </w:tcPr>
          <w:p w14:paraId="7249B258" w14:textId="77777777" w:rsidR="009A6F5F" w:rsidRDefault="009A6F5F" w:rsidP="00B929CC">
            <w:pPr>
              <w:pStyle w:val="BodyText"/>
              <w:spacing w:before="120"/>
              <w:ind w:right="6"/>
            </w:pPr>
            <w:proofErr w:type="spellStart"/>
            <w:r>
              <w:t>NPI</w:t>
            </w:r>
            <w:proofErr w:type="spellEnd"/>
          </w:p>
        </w:tc>
        <w:tc>
          <w:tcPr>
            <w:tcW w:w="6776" w:type="dxa"/>
          </w:tcPr>
          <w:p w14:paraId="7249B259" w14:textId="77777777" w:rsidR="009A6F5F" w:rsidRDefault="009A6F5F" w:rsidP="00B929CC">
            <w:pPr>
              <w:pStyle w:val="BodyText"/>
              <w:spacing w:before="120"/>
              <w:ind w:left="227" w:right="6"/>
            </w:pPr>
            <w:r>
              <w:t>National Pollutant Inventory</w:t>
            </w:r>
          </w:p>
        </w:tc>
      </w:tr>
      <w:tr w:rsidR="009A6F5F" w14:paraId="7249B25D" w14:textId="77777777" w:rsidTr="00B929CC">
        <w:tc>
          <w:tcPr>
            <w:tcW w:w="2013" w:type="dxa"/>
          </w:tcPr>
          <w:p w14:paraId="7249B25B" w14:textId="77777777" w:rsidR="009A6F5F" w:rsidRDefault="009A6F5F" w:rsidP="00B929CC">
            <w:pPr>
              <w:pStyle w:val="BodyText"/>
              <w:spacing w:before="120"/>
              <w:ind w:right="6"/>
            </w:pPr>
            <w:proofErr w:type="spellStart"/>
            <w:r>
              <w:t>NRM</w:t>
            </w:r>
            <w:proofErr w:type="spellEnd"/>
          </w:p>
        </w:tc>
        <w:tc>
          <w:tcPr>
            <w:tcW w:w="6776" w:type="dxa"/>
          </w:tcPr>
          <w:p w14:paraId="7249B25C" w14:textId="77777777" w:rsidR="009A6F5F" w:rsidRDefault="009A6F5F" w:rsidP="00B929CC">
            <w:pPr>
              <w:pStyle w:val="BodyText"/>
              <w:spacing w:before="120"/>
              <w:ind w:left="227" w:right="6"/>
            </w:pPr>
            <w:r>
              <w:t>National resource management</w:t>
            </w:r>
          </w:p>
        </w:tc>
      </w:tr>
      <w:tr w:rsidR="009A6F5F" w14:paraId="7249B260" w14:textId="77777777" w:rsidTr="00B929CC">
        <w:tc>
          <w:tcPr>
            <w:tcW w:w="2013" w:type="dxa"/>
          </w:tcPr>
          <w:p w14:paraId="7249B25E" w14:textId="77777777" w:rsidR="009A6F5F" w:rsidRDefault="009A6F5F" w:rsidP="00B929CC">
            <w:pPr>
              <w:pStyle w:val="BodyText"/>
              <w:spacing w:before="120"/>
              <w:ind w:right="6"/>
            </w:pPr>
            <w:r>
              <w:t>NZ</w:t>
            </w:r>
          </w:p>
        </w:tc>
        <w:tc>
          <w:tcPr>
            <w:tcW w:w="6776" w:type="dxa"/>
          </w:tcPr>
          <w:p w14:paraId="7249B25F" w14:textId="77777777" w:rsidR="009A6F5F" w:rsidRDefault="009A6F5F" w:rsidP="00B929CC">
            <w:pPr>
              <w:pStyle w:val="BodyText"/>
              <w:spacing w:before="120"/>
              <w:ind w:left="227" w:right="6"/>
            </w:pPr>
            <w:r>
              <w:t>New Zealand</w:t>
            </w:r>
          </w:p>
        </w:tc>
      </w:tr>
      <w:tr w:rsidR="009A6F5F" w14:paraId="7249B263" w14:textId="77777777" w:rsidTr="00B929CC">
        <w:tc>
          <w:tcPr>
            <w:tcW w:w="2013" w:type="dxa"/>
          </w:tcPr>
          <w:p w14:paraId="7249B261" w14:textId="77777777" w:rsidR="009A6F5F" w:rsidRDefault="009A6F5F" w:rsidP="00B929CC">
            <w:pPr>
              <w:pStyle w:val="BodyText"/>
              <w:spacing w:before="120"/>
              <w:ind w:right="6"/>
            </w:pPr>
            <w:proofErr w:type="spellStart"/>
            <w:r>
              <w:t>NWC</w:t>
            </w:r>
            <w:proofErr w:type="spellEnd"/>
          </w:p>
        </w:tc>
        <w:tc>
          <w:tcPr>
            <w:tcW w:w="6776" w:type="dxa"/>
          </w:tcPr>
          <w:p w14:paraId="7249B262" w14:textId="77777777" w:rsidR="009A6F5F" w:rsidRDefault="009A6F5F" w:rsidP="00B929CC">
            <w:pPr>
              <w:pStyle w:val="BodyText"/>
              <w:spacing w:before="120"/>
              <w:ind w:left="227" w:right="6"/>
            </w:pPr>
            <w:r>
              <w:t>National Water Commission</w:t>
            </w:r>
          </w:p>
        </w:tc>
      </w:tr>
      <w:tr w:rsidR="009A6F5F" w14:paraId="7249B266" w14:textId="77777777" w:rsidTr="00B929CC">
        <w:tc>
          <w:tcPr>
            <w:tcW w:w="2013" w:type="dxa"/>
          </w:tcPr>
          <w:p w14:paraId="7249B264" w14:textId="77777777" w:rsidR="009A6F5F" w:rsidRDefault="009A6F5F" w:rsidP="00B929CC">
            <w:pPr>
              <w:pStyle w:val="BodyText"/>
              <w:spacing w:before="120"/>
              <w:ind w:right="6"/>
            </w:pPr>
            <w:proofErr w:type="spellStart"/>
            <w:r>
              <w:t>NWI</w:t>
            </w:r>
            <w:proofErr w:type="spellEnd"/>
          </w:p>
        </w:tc>
        <w:tc>
          <w:tcPr>
            <w:tcW w:w="6776" w:type="dxa"/>
          </w:tcPr>
          <w:p w14:paraId="7249B265" w14:textId="77777777" w:rsidR="009A6F5F" w:rsidRDefault="009A6F5F" w:rsidP="00B929CC">
            <w:pPr>
              <w:pStyle w:val="BodyText"/>
              <w:spacing w:before="120"/>
              <w:ind w:left="227" w:right="6"/>
            </w:pPr>
            <w:r>
              <w:t>National Water Initiative</w:t>
            </w:r>
          </w:p>
        </w:tc>
      </w:tr>
      <w:tr w:rsidR="009A6F5F" w14:paraId="7249B269" w14:textId="77777777" w:rsidTr="00B929CC">
        <w:tc>
          <w:tcPr>
            <w:tcW w:w="2013" w:type="dxa"/>
          </w:tcPr>
          <w:p w14:paraId="7249B267" w14:textId="77777777" w:rsidR="009A6F5F" w:rsidRDefault="009A6F5F" w:rsidP="00B929CC">
            <w:pPr>
              <w:pStyle w:val="BodyText"/>
              <w:spacing w:before="120"/>
              <w:ind w:right="6"/>
            </w:pPr>
            <w:proofErr w:type="spellStart"/>
            <w:r>
              <w:t>OAW</w:t>
            </w:r>
            <w:proofErr w:type="spellEnd"/>
          </w:p>
        </w:tc>
        <w:tc>
          <w:tcPr>
            <w:tcW w:w="6776" w:type="dxa"/>
          </w:tcPr>
          <w:p w14:paraId="7249B268" w14:textId="77777777" w:rsidR="009A6F5F" w:rsidRDefault="009A6F5F" w:rsidP="00B929CC">
            <w:pPr>
              <w:pStyle w:val="BodyText"/>
              <w:spacing w:before="120"/>
              <w:ind w:left="227" w:right="6"/>
            </w:pPr>
            <w:r>
              <w:t>Office of Animal Welfare</w:t>
            </w:r>
          </w:p>
        </w:tc>
      </w:tr>
      <w:tr w:rsidR="009A6F5F" w14:paraId="7249B26C" w14:textId="77777777" w:rsidTr="00B929CC">
        <w:tc>
          <w:tcPr>
            <w:tcW w:w="2013" w:type="dxa"/>
          </w:tcPr>
          <w:p w14:paraId="7249B26A" w14:textId="77777777" w:rsidR="009A6F5F" w:rsidRDefault="009A6F5F" w:rsidP="00B929CC">
            <w:pPr>
              <w:pStyle w:val="BodyText"/>
              <w:spacing w:before="120"/>
              <w:ind w:right="6"/>
            </w:pPr>
            <w:proofErr w:type="spellStart"/>
            <w:r>
              <w:t>OBPR</w:t>
            </w:r>
            <w:proofErr w:type="spellEnd"/>
          </w:p>
        </w:tc>
        <w:tc>
          <w:tcPr>
            <w:tcW w:w="6776" w:type="dxa"/>
          </w:tcPr>
          <w:p w14:paraId="7249B26B" w14:textId="77777777" w:rsidR="009A6F5F" w:rsidRDefault="009A6F5F" w:rsidP="00B929CC">
            <w:pPr>
              <w:pStyle w:val="BodyText"/>
              <w:spacing w:before="120"/>
              <w:ind w:left="227" w:right="6"/>
            </w:pPr>
            <w:r>
              <w:t>Office of Best Practice Regulation</w:t>
            </w:r>
          </w:p>
        </w:tc>
      </w:tr>
      <w:tr w:rsidR="009A6F5F" w14:paraId="7249B26F" w14:textId="77777777" w:rsidTr="00B929CC">
        <w:tc>
          <w:tcPr>
            <w:tcW w:w="2013" w:type="dxa"/>
          </w:tcPr>
          <w:p w14:paraId="7249B26D" w14:textId="77777777" w:rsidR="009A6F5F" w:rsidRDefault="009A6F5F" w:rsidP="00B929CC">
            <w:pPr>
              <w:pStyle w:val="BodyText"/>
              <w:spacing w:before="120"/>
              <w:ind w:right="6"/>
            </w:pPr>
            <w:r>
              <w:t>OECD</w:t>
            </w:r>
          </w:p>
        </w:tc>
        <w:tc>
          <w:tcPr>
            <w:tcW w:w="6776" w:type="dxa"/>
          </w:tcPr>
          <w:p w14:paraId="7249B26E" w14:textId="77777777" w:rsidR="009A6F5F" w:rsidRDefault="009A6F5F" w:rsidP="00B929CC">
            <w:pPr>
              <w:pStyle w:val="BodyText"/>
              <w:spacing w:before="120"/>
              <w:ind w:left="227" w:right="6"/>
            </w:pPr>
            <w:r>
              <w:t>Organisation for Economic Co-operation and Development</w:t>
            </w:r>
          </w:p>
        </w:tc>
      </w:tr>
      <w:tr w:rsidR="009A6F5F" w14:paraId="7249B272" w14:textId="77777777" w:rsidTr="00B929CC">
        <w:tc>
          <w:tcPr>
            <w:tcW w:w="2013" w:type="dxa"/>
          </w:tcPr>
          <w:p w14:paraId="7249B270" w14:textId="77777777" w:rsidR="009A6F5F" w:rsidRDefault="009A6F5F" w:rsidP="00B929CC">
            <w:pPr>
              <w:pStyle w:val="BodyText"/>
              <w:spacing w:before="120"/>
              <w:ind w:right="6"/>
            </w:pPr>
            <w:proofErr w:type="spellStart"/>
            <w:r>
              <w:t>OGTR</w:t>
            </w:r>
            <w:proofErr w:type="spellEnd"/>
          </w:p>
        </w:tc>
        <w:tc>
          <w:tcPr>
            <w:tcW w:w="6776" w:type="dxa"/>
          </w:tcPr>
          <w:p w14:paraId="7249B271" w14:textId="77777777" w:rsidR="009A6F5F" w:rsidRDefault="009A6F5F" w:rsidP="00B929CC">
            <w:pPr>
              <w:pStyle w:val="BodyText"/>
              <w:spacing w:before="120"/>
              <w:ind w:left="227" w:right="6"/>
            </w:pPr>
            <w:r>
              <w:t>Office of the Gene Technology Regulator</w:t>
            </w:r>
          </w:p>
        </w:tc>
      </w:tr>
      <w:tr w:rsidR="009A6F5F" w14:paraId="7249B275" w14:textId="77777777" w:rsidTr="00B929CC">
        <w:tc>
          <w:tcPr>
            <w:tcW w:w="2013" w:type="dxa"/>
          </w:tcPr>
          <w:p w14:paraId="7249B273" w14:textId="77777777" w:rsidR="009A6F5F" w:rsidRDefault="009A6F5F" w:rsidP="00B929CC">
            <w:pPr>
              <w:pStyle w:val="BodyText"/>
              <w:spacing w:before="120"/>
              <w:ind w:right="6"/>
            </w:pPr>
            <w:proofErr w:type="spellStart"/>
            <w:r>
              <w:t>OIE</w:t>
            </w:r>
            <w:proofErr w:type="spellEnd"/>
          </w:p>
        </w:tc>
        <w:tc>
          <w:tcPr>
            <w:tcW w:w="6776" w:type="dxa"/>
          </w:tcPr>
          <w:p w14:paraId="7249B274" w14:textId="77777777" w:rsidR="009A6F5F" w:rsidRDefault="009A6F5F" w:rsidP="00B929CC">
            <w:pPr>
              <w:pStyle w:val="BodyText"/>
              <w:spacing w:before="120"/>
              <w:ind w:left="227" w:right="6"/>
            </w:pPr>
            <w:r>
              <w:t>World Organisation for Animal Health</w:t>
            </w:r>
          </w:p>
        </w:tc>
      </w:tr>
      <w:tr w:rsidR="009A6F5F" w14:paraId="7249B278" w14:textId="77777777" w:rsidTr="00B929CC">
        <w:tc>
          <w:tcPr>
            <w:tcW w:w="2013" w:type="dxa"/>
          </w:tcPr>
          <w:p w14:paraId="7249B276" w14:textId="77777777" w:rsidR="009A6F5F" w:rsidRDefault="009A6F5F" w:rsidP="00B929CC">
            <w:pPr>
              <w:pStyle w:val="BodyText"/>
              <w:spacing w:before="120"/>
              <w:ind w:right="6"/>
            </w:pPr>
            <w:r>
              <w:t>PC</w:t>
            </w:r>
          </w:p>
        </w:tc>
        <w:tc>
          <w:tcPr>
            <w:tcW w:w="6776" w:type="dxa"/>
          </w:tcPr>
          <w:p w14:paraId="7249B277" w14:textId="77777777" w:rsidR="009A6F5F" w:rsidRDefault="009A6F5F" w:rsidP="00B929CC">
            <w:pPr>
              <w:pStyle w:val="BodyText"/>
              <w:spacing w:before="120"/>
              <w:ind w:left="227" w:right="6"/>
            </w:pPr>
            <w:r>
              <w:t>Productivity Commission</w:t>
            </w:r>
          </w:p>
        </w:tc>
      </w:tr>
      <w:tr w:rsidR="00087ED2" w14:paraId="7249B27B" w14:textId="77777777" w:rsidTr="00B929CC">
        <w:tc>
          <w:tcPr>
            <w:tcW w:w="2013" w:type="dxa"/>
          </w:tcPr>
          <w:p w14:paraId="7249B279" w14:textId="77777777" w:rsidR="00087ED2" w:rsidRDefault="00087ED2" w:rsidP="00B929CC">
            <w:pPr>
              <w:pStyle w:val="BodyText"/>
              <w:spacing w:before="120"/>
              <w:ind w:right="6"/>
            </w:pPr>
            <w:r>
              <w:t>PPP standard</w:t>
            </w:r>
          </w:p>
        </w:tc>
        <w:tc>
          <w:tcPr>
            <w:tcW w:w="6776" w:type="dxa"/>
          </w:tcPr>
          <w:p w14:paraId="7249B27A" w14:textId="77777777" w:rsidR="00087ED2" w:rsidRDefault="00087ED2" w:rsidP="00B929CC">
            <w:pPr>
              <w:pStyle w:val="BodyText"/>
              <w:spacing w:before="120"/>
              <w:ind w:left="227" w:right="6"/>
            </w:pPr>
            <w:r>
              <w:t>Primary production and processing standard</w:t>
            </w:r>
          </w:p>
        </w:tc>
      </w:tr>
      <w:tr w:rsidR="009A6F5F" w14:paraId="7249B27E" w14:textId="77777777" w:rsidTr="00B929CC">
        <w:tc>
          <w:tcPr>
            <w:tcW w:w="2013" w:type="dxa"/>
          </w:tcPr>
          <w:p w14:paraId="7249B27C" w14:textId="77777777" w:rsidR="009A6F5F" w:rsidRDefault="009A6F5F" w:rsidP="00B929CC">
            <w:pPr>
              <w:pStyle w:val="BodyText"/>
              <w:spacing w:before="120"/>
              <w:ind w:right="6"/>
            </w:pPr>
            <w:proofErr w:type="spellStart"/>
            <w:r>
              <w:t>PIMC</w:t>
            </w:r>
            <w:proofErr w:type="spellEnd"/>
          </w:p>
        </w:tc>
        <w:tc>
          <w:tcPr>
            <w:tcW w:w="6776" w:type="dxa"/>
          </w:tcPr>
          <w:p w14:paraId="7249B27D" w14:textId="77777777" w:rsidR="009A6F5F" w:rsidRDefault="009A6F5F" w:rsidP="00B929CC">
            <w:pPr>
              <w:pStyle w:val="BodyText"/>
              <w:spacing w:before="120"/>
              <w:ind w:left="227" w:right="6"/>
            </w:pPr>
            <w:r>
              <w:t>Primary Industries Ministerial Council</w:t>
            </w:r>
          </w:p>
        </w:tc>
      </w:tr>
      <w:tr w:rsidR="009A6F5F" w14:paraId="7249B281" w14:textId="77777777" w:rsidTr="00B929CC">
        <w:tc>
          <w:tcPr>
            <w:tcW w:w="2013" w:type="dxa"/>
          </w:tcPr>
          <w:p w14:paraId="7249B27F" w14:textId="77777777" w:rsidR="009A6F5F" w:rsidRDefault="009A6F5F" w:rsidP="00B929CC">
            <w:pPr>
              <w:pStyle w:val="BodyText"/>
              <w:spacing w:before="120"/>
              <w:ind w:right="6"/>
            </w:pPr>
            <w:r>
              <w:t>RIA</w:t>
            </w:r>
          </w:p>
        </w:tc>
        <w:tc>
          <w:tcPr>
            <w:tcW w:w="6776" w:type="dxa"/>
          </w:tcPr>
          <w:p w14:paraId="7249B280" w14:textId="77777777" w:rsidR="009A6F5F" w:rsidRDefault="009A6F5F" w:rsidP="00B929CC">
            <w:pPr>
              <w:pStyle w:val="BodyText"/>
              <w:spacing w:before="120"/>
              <w:ind w:left="227" w:right="6"/>
            </w:pPr>
            <w:r>
              <w:t>Regulatory impact assessment</w:t>
            </w:r>
          </w:p>
        </w:tc>
      </w:tr>
      <w:tr w:rsidR="009A6F5F" w14:paraId="7249B284" w14:textId="77777777" w:rsidTr="00B929CC">
        <w:tc>
          <w:tcPr>
            <w:tcW w:w="2013" w:type="dxa"/>
          </w:tcPr>
          <w:p w14:paraId="7249B282" w14:textId="77777777" w:rsidR="009A6F5F" w:rsidRDefault="009A6F5F" w:rsidP="00B929CC">
            <w:pPr>
              <w:pStyle w:val="BodyText"/>
              <w:spacing w:before="120"/>
              <w:ind w:right="6"/>
            </w:pPr>
            <w:proofErr w:type="spellStart"/>
            <w:r>
              <w:t>RIS</w:t>
            </w:r>
            <w:proofErr w:type="spellEnd"/>
          </w:p>
        </w:tc>
        <w:tc>
          <w:tcPr>
            <w:tcW w:w="6776" w:type="dxa"/>
          </w:tcPr>
          <w:p w14:paraId="7249B283" w14:textId="77777777" w:rsidR="009A6F5F" w:rsidRDefault="009A6F5F" w:rsidP="00B929CC">
            <w:pPr>
              <w:pStyle w:val="BodyText"/>
              <w:spacing w:before="120"/>
              <w:ind w:left="227" w:right="6"/>
            </w:pPr>
            <w:r>
              <w:t>Regulation impact statement</w:t>
            </w:r>
          </w:p>
        </w:tc>
      </w:tr>
      <w:tr w:rsidR="009A6F5F" w14:paraId="7249B287" w14:textId="77777777" w:rsidTr="00B929CC">
        <w:tc>
          <w:tcPr>
            <w:tcW w:w="2013" w:type="dxa"/>
          </w:tcPr>
          <w:p w14:paraId="7249B285" w14:textId="77777777" w:rsidR="009A6F5F" w:rsidRDefault="009A6F5F" w:rsidP="00B929CC">
            <w:pPr>
              <w:pStyle w:val="BodyText"/>
              <w:spacing w:before="120"/>
              <w:ind w:right="6"/>
            </w:pPr>
            <w:proofErr w:type="spellStart"/>
            <w:r>
              <w:t>RSRT</w:t>
            </w:r>
            <w:proofErr w:type="spellEnd"/>
          </w:p>
        </w:tc>
        <w:tc>
          <w:tcPr>
            <w:tcW w:w="6776" w:type="dxa"/>
          </w:tcPr>
          <w:p w14:paraId="7249B286" w14:textId="77777777" w:rsidR="009A6F5F" w:rsidRDefault="009A6F5F" w:rsidP="00B929CC">
            <w:pPr>
              <w:pStyle w:val="BodyText"/>
              <w:spacing w:before="120"/>
              <w:ind w:left="227" w:right="6"/>
            </w:pPr>
            <w:r>
              <w:t>Road Safety Remuneration Tribunal</w:t>
            </w:r>
          </w:p>
        </w:tc>
      </w:tr>
      <w:tr w:rsidR="009A6F5F" w14:paraId="7249B28A" w14:textId="77777777" w:rsidTr="00B929CC">
        <w:tc>
          <w:tcPr>
            <w:tcW w:w="2013" w:type="dxa"/>
          </w:tcPr>
          <w:p w14:paraId="7249B288" w14:textId="77777777" w:rsidR="009A6F5F" w:rsidRDefault="009A6F5F" w:rsidP="00B929CC">
            <w:pPr>
              <w:pStyle w:val="BodyText"/>
              <w:spacing w:before="120"/>
              <w:ind w:right="6"/>
            </w:pPr>
            <w:r>
              <w:t>RSPCA</w:t>
            </w:r>
          </w:p>
        </w:tc>
        <w:tc>
          <w:tcPr>
            <w:tcW w:w="6776" w:type="dxa"/>
          </w:tcPr>
          <w:p w14:paraId="7249B289" w14:textId="77777777" w:rsidR="009A6F5F" w:rsidRDefault="009A6F5F" w:rsidP="00B929CC">
            <w:pPr>
              <w:pStyle w:val="BodyText"/>
              <w:spacing w:before="120"/>
              <w:ind w:left="227" w:right="6"/>
            </w:pPr>
            <w:r>
              <w:t>Royal Society for the Prevention of Cruelty to Animals</w:t>
            </w:r>
          </w:p>
        </w:tc>
      </w:tr>
      <w:tr w:rsidR="009A6F5F" w14:paraId="7249B28D" w14:textId="77777777" w:rsidTr="00B929CC">
        <w:tc>
          <w:tcPr>
            <w:tcW w:w="2013" w:type="dxa"/>
          </w:tcPr>
          <w:p w14:paraId="7249B28B" w14:textId="77777777" w:rsidR="009A6F5F" w:rsidRDefault="009A6F5F" w:rsidP="00B929CC">
            <w:pPr>
              <w:pStyle w:val="BodyText"/>
              <w:spacing w:before="120"/>
              <w:ind w:right="6"/>
            </w:pPr>
            <w:proofErr w:type="spellStart"/>
            <w:r>
              <w:t>SDL</w:t>
            </w:r>
            <w:proofErr w:type="spellEnd"/>
          </w:p>
        </w:tc>
        <w:tc>
          <w:tcPr>
            <w:tcW w:w="6776" w:type="dxa"/>
          </w:tcPr>
          <w:p w14:paraId="7249B28C" w14:textId="77777777" w:rsidR="009A6F5F" w:rsidRDefault="009A6F5F" w:rsidP="00B929CC">
            <w:pPr>
              <w:pStyle w:val="BodyText"/>
              <w:spacing w:before="120"/>
              <w:ind w:left="227" w:right="6"/>
            </w:pPr>
            <w:r>
              <w:t>Sustainable Diversion Limit</w:t>
            </w:r>
          </w:p>
        </w:tc>
      </w:tr>
      <w:tr w:rsidR="009A6F5F" w14:paraId="7249B290" w14:textId="77777777" w:rsidTr="00B929CC">
        <w:tc>
          <w:tcPr>
            <w:tcW w:w="2013" w:type="dxa"/>
          </w:tcPr>
          <w:p w14:paraId="7249B28E" w14:textId="77777777" w:rsidR="009A6F5F" w:rsidRDefault="009A6F5F" w:rsidP="00B929CC">
            <w:pPr>
              <w:pStyle w:val="BodyText"/>
              <w:spacing w:before="120"/>
              <w:ind w:right="6"/>
            </w:pPr>
            <w:r>
              <w:t>SKU</w:t>
            </w:r>
          </w:p>
        </w:tc>
        <w:tc>
          <w:tcPr>
            <w:tcW w:w="6776" w:type="dxa"/>
          </w:tcPr>
          <w:p w14:paraId="7249B28F" w14:textId="77777777" w:rsidR="009A6F5F" w:rsidRDefault="009A6F5F" w:rsidP="00B929CC">
            <w:pPr>
              <w:pStyle w:val="BodyText"/>
              <w:spacing w:before="120"/>
              <w:ind w:left="227" w:right="6"/>
            </w:pPr>
            <w:r>
              <w:t>Stock keeping unit</w:t>
            </w:r>
          </w:p>
        </w:tc>
      </w:tr>
      <w:tr w:rsidR="009A6F5F" w14:paraId="7249B293" w14:textId="77777777" w:rsidTr="00B929CC">
        <w:tc>
          <w:tcPr>
            <w:tcW w:w="2013" w:type="dxa"/>
          </w:tcPr>
          <w:p w14:paraId="7249B291" w14:textId="77777777" w:rsidR="009A6F5F" w:rsidRDefault="009A6F5F" w:rsidP="00B929CC">
            <w:pPr>
              <w:pStyle w:val="BodyText"/>
              <w:spacing w:before="120"/>
              <w:ind w:right="6"/>
            </w:pPr>
            <w:proofErr w:type="spellStart"/>
            <w:r>
              <w:t>VICH</w:t>
            </w:r>
            <w:proofErr w:type="spellEnd"/>
          </w:p>
        </w:tc>
        <w:tc>
          <w:tcPr>
            <w:tcW w:w="6776" w:type="dxa"/>
          </w:tcPr>
          <w:p w14:paraId="7249B292" w14:textId="77777777" w:rsidR="009A6F5F" w:rsidRDefault="009A6F5F" w:rsidP="00B929CC">
            <w:pPr>
              <w:pStyle w:val="BodyText"/>
              <w:spacing w:before="120"/>
              <w:ind w:left="227" w:right="6"/>
            </w:pPr>
            <w:r>
              <w:t>International Cooperation on Harmonisation of Technical Requirements for Veterinary Medicinal Products</w:t>
            </w:r>
          </w:p>
        </w:tc>
      </w:tr>
      <w:tr w:rsidR="009A6F5F" w14:paraId="7249B296" w14:textId="77777777" w:rsidTr="00B929CC">
        <w:tc>
          <w:tcPr>
            <w:tcW w:w="2013" w:type="dxa"/>
          </w:tcPr>
          <w:p w14:paraId="7249B294" w14:textId="77777777" w:rsidR="009A6F5F" w:rsidRDefault="009A6F5F" w:rsidP="00B929CC">
            <w:pPr>
              <w:pStyle w:val="BodyText"/>
              <w:spacing w:before="120"/>
              <w:ind w:right="6"/>
            </w:pPr>
            <w:r>
              <w:lastRenderedPageBreak/>
              <w:t>WHO</w:t>
            </w:r>
          </w:p>
        </w:tc>
        <w:tc>
          <w:tcPr>
            <w:tcW w:w="6776" w:type="dxa"/>
          </w:tcPr>
          <w:p w14:paraId="7249B295" w14:textId="77777777" w:rsidR="009A6F5F" w:rsidRDefault="009A6F5F" w:rsidP="00B929CC">
            <w:pPr>
              <w:pStyle w:val="BodyText"/>
              <w:spacing w:before="120"/>
              <w:ind w:left="227" w:right="6"/>
            </w:pPr>
            <w:r>
              <w:t>World Health Organization</w:t>
            </w:r>
          </w:p>
        </w:tc>
      </w:tr>
      <w:tr w:rsidR="009A6F5F" w14:paraId="7249B299" w14:textId="77777777" w:rsidTr="00B929CC">
        <w:tc>
          <w:tcPr>
            <w:tcW w:w="2013" w:type="dxa"/>
          </w:tcPr>
          <w:p w14:paraId="7249B297" w14:textId="77777777" w:rsidR="009A6F5F" w:rsidRDefault="009A6F5F" w:rsidP="00B929CC">
            <w:pPr>
              <w:pStyle w:val="BodyText"/>
              <w:spacing w:before="120"/>
              <w:ind w:right="6"/>
            </w:pPr>
            <w:proofErr w:type="spellStart"/>
            <w:r>
              <w:t>WHS</w:t>
            </w:r>
            <w:proofErr w:type="spellEnd"/>
          </w:p>
        </w:tc>
        <w:tc>
          <w:tcPr>
            <w:tcW w:w="6776" w:type="dxa"/>
          </w:tcPr>
          <w:p w14:paraId="7249B298" w14:textId="77777777" w:rsidR="009A6F5F" w:rsidRDefault="009A6F5F" w:rsidP="00B929CC">
            <w:pPr>
              <w:pStyle w:val="BodyText"/>
              <w:spacing w:before="120"/>
              <w:ind w:left="227" w:right="6"/>
            </w:pPr>
            <w:r>
              <w:t>Work Health and Safety</w:t>
            </w:r>
          </w:p>
        </w:tc>
      </w:tr>
      <w:tr w:rsidR="009A6F5F" w:rsidRPr="00354707" w14:paraId="7249B29C" w14:textId="77777777" w:rsidTr="00B929CC">
        <w:tc>
          <w:tcPr>
            <w:tcW w:w="2013" w:type="dxa"/>
          </w:tcPr>
          <w:p w14:paraId="7249B29A" w14:textId="77777777" w:rsidR="009A6F5F" w:rsidRDefault="009A6F5F" w:rsidP="00B929CC">
            <w:pPr>
              <w:pStyle w:val="BodyText"/>
              <w:spacing w:before="120"/>
              <w:ind w:right="6"/>
            </w:pPr>
            <w:r>
              <w:t>WTO</w:t>
            </w:r>
          </w:p>
        </w:tc>
        <w:tc>
          <w:tcPr>
            <w:tcW w:w="6776" w:type="dxa"/>
          </w:tcPr>
          <w:p w14:paraId="7249B29B" w14:textId="77777777" w:rsidR="009A6F5F" w:rsidRDefault="009A6F5F" w:rsidP="00B929CC">
            <w:pPr>
              <w:pStyle w:val="BodyText"/>
              <w:spacing w:before="120"/>
              <w:ind w:left="227" w:right="6"/>
            </w:pPr>
            <w:r>
              <w:t>World Trade Organization</w:t>
            </w:r>
          </w:p>
        </w:tc>
      </w:tr>
    </w:tbl>
    <w:p w14:paraId="7249B29D" w14:textId="77777777" w:rsidR="00B825A2" w:rsidRPr="006119F2" w:rsidRDefault="00B825A2" w:rsidP="00D748A7">
      <w:pPr>
        <w:pStyle w:val="BodyText"/>
        <w:rPr>
          <w:rStyle w:val="CommentReference"/>
          <w:vanish w:val="0"/>
        </w:rPr>
      </w:pPr>
    </w:p>
    <w:sectPr w:rsidR="00B825A2" w:rsidRPr="006119F2" w:rsidSect="00585B3F">
      <w:headerReference w:type="even" r:id="rId30"/>
      <w:headerReference w:type="default" r:id="rId31"/>
      <w:footerReference w:type="even" r:id="rId32"/>
      <w:footerReference w:type="default" r:id="rId33"/>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9B2AF" w14:textId="77777777" w:rsidR="00F64CA7" w:rsidRDefault="00F64CA7">
      <w:r>
        <w:separator/>
      </w:r>
    </w:p>
    <w:p w14:paraId="7249B2B0" w14:textId="77777777" w:rsidR="00F64CA7" w:rsidRDefault="00F64CA7"/>
    <w:p w14:paraId="7249B2B1" w14:textId="77777777" w:rsidR="00F64CA7" w:rsidRDefault="00F64CA7"/>
  </w:endnote>
  <w:endnote w:type="continuationSeparator" w:id="0">
    <w:p w14:paraId="7249B2B2" w14:textId="77777777" w:rsidR="00F64CA7" w:rsidRDefault="00F64CA7">
      <w:r>
        <w:continuationSeparator/>
      </w:r>
    </w:p>
    <w:p w14:paraId="7249B2B3" w14:textId="77777777" w:rsidR="00F64CA7" w:rsidRDefault="00F64CA7"/>
    <w:p w14:paraId="7249B2B4" w14:textId="77777777" w:rsidR="00F64CA7" w:rsidRDefault="00F64CA7"/>
  </w:endnote>
  <w:endnote w:type="continuationNotice" w:id="1">
    <w:p w14:paraId="7249B2B5" w14:textId="77777777" w:rsidR="00F64CA7" w:rsidRDefault="00F64C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929CC" w14:paraId="7249B2C2" w14:textId="77777777" w:rsidTr="00B929CC">
      <w:trPr>
        <w:trHeight w:hRule="exact" w:val="567"/>
      </w:trPr>
      <w:tc>
        <w:tcPr>
          <w:tcW w:w="510" w:type="dxa"/>
        </w:tcPr>
        <w:p w14:paraId="7249B2BF" w14:textId="77777777" w:rsidR="00B929CC" w:rsidRPr="00752FFF" w:rsidRDefault="00B929CC" w:rsidP="00B929CC">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4B4508">
            <w:rPr>
              <w:rStyle w:val="PageNumber"/>
              <w:caps w:val="0"/>
              <w:noProof/>
            </w:rPr>
            <w:t>vi</w:t>
          </w:r>
          <w:r w:rsidRPr="00752FFF">
            <w:rPr>
              <w:rStyle w:val="PageNumber"/>
              <w:caps w:val="0"/>
            </w:rPr>
            <w:fldChar w:fldCharType="end"/>
          </w:r>
        </w:p>
      </w:tc>
      <w:tc>
        <w:tcPr>
          <w:tcW w:w="7767" w:type="dxa"/>
        </w:tcPr>
        <w:p w14:paraId="7249B2C0" w14:textId="77777777" w:rsidR="00B929CC" w:rsidRPr="0013739A" w:rsidRDefault="007D16B7" w:rsidP="00B929CC">
          <w:pPr>
            <w:pStyle w:val="Footer"/>
            <w:rPr>
              <w:rFonts w:cs="Arial"/>
            </w:rPr>
          </w:pPr>
          <w:r>
            <w:rPr>
              <w:rFonts w:cs="Arial"/>
            </w:rPr>
            <w:t>Regulation of Australian Agriculture</w:t>
          </w:r>
        </w:p>
      </w:tc>
      <w:tc>
        <w:tcPr>
          <w:tcW w:w="510" w:type="dxa"/>
        </w:tcPr>
        <w:p w14:paraId="7249B2C1" w14:textId="77777777" w:rsidR="00B929CC" w:rsidRDefault="00B929CC" w:rsidP="00B929CC">
          <w:pPr>
            <w:pStyle w:val="Footer"/>
          </w:pPr>
        </w:p>
      </w:tc>
    </w:tr>
  </w:tbl>
  <w:p w14:paraId="7249B2C3" w14:textId="77777777" w:rsidR="00B929CC" w:rsidRDefault="00B929CC" w:rsidP="00B929CC">
    <w:pPr>
      <w:pStyle w:val="FooterEnd"/>
    </w:pPr>
  </w:p>
  <w:p w14:paraId="7249B2C4" w14:textId="77777777" w:rsidR="00B929CC" w:rsidRDefault="00B929C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929CC" w14:paraId="7249B2C8" w14:textId="77777777" w:rsidTr="00B929CC">
      <w:trPr>
        <w:trHeight w:hRule="exact" w:val="567"/>
      </w:trPr>
      <w:tc>
        <w:tcPr>
          <w:tcW w:w="510" w:type="dxa"/>
        </w:tcPr>
        <w:p w14:paraId="7249B2C5" w14:textId="77777777" w:rsidR="00B929CC" w:rsidRDefault="00B929CC">
          <w:pPr>
            <w:pStyle w:val="Footer"/>
            <w:ind w:right="360" w:firstLine="360"/>
          </w:pPr>
        </w:p>
      </w:tc>
      <w:tc>
        <w:tcPr>
          <w:tcW w:w="7767" w:type="dxa"/>
        </w:tcPr>
        <w:p w14:paraId="7249B2C6" w14:textId="77777777" w:rsidR="00B929CC" w:rsidRPr="00752FFF" w:rsidRDefault="00EB615D" w:rsidP="00B929CC">
          <w:pPr>
            <w:pStyle w:val="Footer"/>
            <w:jc w:val="right"/>
            <w:rPr>
              <w:rFonts w:cs="Arial"/>
            </w:rPr>
          </w:pPr>
          <w:r w:rsidRPr="00EB615D">
            <w:rPr>
              <w:bCs/>
              <w:noProof/>
              <w:lang w:val="en-US"/>
            </w:rPr>
            <w:t>Terms of reference</w:t>
          </w:r>
        </w:p>
      </w:tc>
      <w:tc>
        <w:tcPr>
          <w:tcW w:w="510" w:type="dxa"/>
        </w:tcPr>
        <w:p w14:paraId="7249B2C7" w14:textId="77777777" w:rsidR="00B929CC" w:rsidRPr="00A24443" w:rsidRDefault="00B929C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B4508">
            <w:rPr>
              <w:rStyle w:val="PageNumber"/>
              <w:caps w:val="0"/>
              <w:noProof/>
            </w:rPr>
            <w:t>vii</w:t>
          </w:r>
          <w:r w:rsidRPr="00A24443">
            <w:rPr>
              <w:rStyle w:val="PageNumber"/>
              <w:caps w:val="0"/>
            </w:rPr>
            <w:fldChar w:fldCharType="end"/>
          </w:r>
        </w:p>
      </w:tc>
    </w:tr>
  </w:tbl>
  <w:p w14:paraId="7249B2C9" w14:textId="77777777" w:rsidR="00B929CC" w:rsidRDefault="00B929CC">
    <w:pPr>
      <w:pStyle w:val="FooterEnd"/>
    </w:pPr>
  </w:p>
  <w:p w14:paraId="7249B2CA" w14:textId="77777777" w:rsidR="00B929CC" w:rsidRPr="00D01645" w:rsidRDefault="00B929CC" w:rsidP="00B929C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929CC" w14:paraId="7249B2D6" w14:textId="77777777" w:rsidTr="00B929CC">
      <w:trPr>
        <w:trHeight w:hRule="exact" w:val="567"/>
      </w:trPr>
      <w:tc>
        <w:tcPr>
          <w:tcW w:w="510" w:type="dxa"/>
        </w:tcPr>
        <w:p w14:paraId="7249B2D3" w14:textId="77777777" w:rsidR="00B929CC" w:rsidRPr="00A24443" w:rsidRDefault="00B929CC" w:rsidP="00B929CC">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B4508">
            <w:rPr>
              <w:rStyle w:val="PageNumber"/>
              <w:caps w:val="0"/>
              <w:noProof/>
            </w:rPr>
            <w:t>xii</w:t>
          </w:r>
          <w:r w:rsidRPr="00A24443">
            <w:rPr>
              <w:rStyle w:val="PageNumber"/>
              <w:caps w:val="0"/>
            </w:rPr>
            <w:fldChar w:fldCharType="end"/>
          </w:r>
        </w:p>
      </w:tc>
      <w:tc>
        <w:tcPr>
          <w:tcW w:w="7767" w:type="dxa"/>
        </w:tcPr>
        <w:p w14:paraId="7249B2D4" w14:textId="77777777" w:rsidR="00B929CC" w:rsidRPr="0013739A" w:rsidRDefault="007D16B7" w:rsidP="00B929CC">
          <w:pPr>
            <w:pStyle w:val="Footer"/>
            <w:rPr>
              <w:rFonts w:cs="Arial"/>
            </w:rPr>
          </w:pPr>
          <w:r>
            <w:rPr>
              <w:rFonts w:cs="Arial"/>
            </w:rPr>
            <w:t>Regulation of Australian Agriculture</w:t>
          </w:r>
        </w:p>
      </w:tc>
      <w:tc>
        <w:tcPr>
          <w:tcW w:w="510" w:type="dxa"/>
        </w:tcPr>
        <w:p w14:paraId="7249B2D5" w14:textId="77777777" w:rsidR="00B929CC" w:rsidRDefault="00B929CC" w:rsidP="00B929CC">
          <w:pPr>
            <w:pStyle w:val="Footer"/>
          </w:pPr>
        </w:p>
      </w:tc>
    </w:tr>
  </w:tbl>
  <w:p w14:paraId="7249B2D7" w14:textId="77777777" w:rsidR="00B929CC" w:rsidRDefault="00B929CC" w:rsidP="00B929CC">
    <w:pPr>
      <w:pStyle w:val="FooterEnd"/>
    </w:pPr>
  </w:p>
  <w:p w14:paraId="7249B2D8" w14:textId="77777777" w:rsidR="00B929CC" w:rsidRDefault="00B929CC">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929CC" w14:paraId="7249B2DC" w14:textId="77777777" w:rsidTr="00B929CC">
      <w:trPr>
        <w:trHeight w:hRule="exact" w:val="567"/>
      </w:trPr>
      <w:tc>
        <w:tcPr>
          <w:tcW w:w="510" w:type="dxa"/>
        </w:tcPr>
        <w:p w14:paraId="7249B2D9" w14:textId="77777777" w:rsidR="00B929CC" w:rsidRDefault="00B929CC">
          <w:pPr>
            <w:pStyle w:val="Footer"/>
            <w:ind w:right="360" w:firstLine="360"/>
          </w:pPr>
        </w:p>
      </w:tc>
      <w:tc>
        <w:tcPr>
          <w:tcW w:w="7767" w:type="dxa"/>
        </w:tcPr>
        <w:p w14:paraId="7249B2DA" w14:textId="77777777" w:rsidR="00B929CC" w:rsidRPr="00BA5B14" w:rsidRDefault="00EB615D" w:rsidP="007448F7">
          <w:pPr>
            <w:pStyle w:val="Footer"/>
            <w:jc w:val="right"/>
            <w:rPr>
              <w:rFonts w:cs="Arial"/>
            </w:rPr>
          </w:pPr>
          <w:r>
            <w:rPr>
              <w:noProof/>
            </w:rPr>
            <w:t>Contents</w:t>
          </w:r>
          <w:r w:rsidR="00B929CC">
            <w:rPr>
              <w:rFonts w:cs="Arial"/>
            </w:rPr>
            <w:t xml:space="preserve"> </w:t>
          </w:r>
        </w:p>
      </w:tc>
      <w:tc>
        <w:tcPr>
          <w:tcW w:w="510" w:type="dxa"/>
        </w:tcPr>
        <w:p w14:paraId="7249B2DB" w14:textId="77777777" w:rsidR="00B929CC" w:rsidRPr="007448F7" w:rsidRDefault="00B929CC">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86749F">
            <w:rPr>
              <w:rStyle w:val="PageNumber"/>
              <w:caps w:val="0"/>
              <w:noProof/>
            </w:rPr>
            <w:t>xi</w:t>
          </w:r>
          <w:r w:rsidRPr="007448F7">
            <w:rPr>
              <w:rStyle w:val="PageNumber"/>
              <w:caps w:val="0"/>
            </w:rPr>
            <w:fldChar w:fldCharType="end"/>
          </w:r>
        </w:p>
      </w:tc>
    </w:tr>
  </w:tbl>
  <w:p w14:paraId="7249B2DD" w14:textId="77777777" w:rsidR="00B929CC" w:rsidRDefault="00B929CC">
    <w:pPr>
      <w:pStyle w:val="FooterEnd"/>
    </w:pPr>
  </w:p>
  <w:p w14:paraId="7249B2DE" w14:textId="77777777" w:rsidR="00B929CC" w:rsidRDefault="00B929CC">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929CC" w14:paraId="7249B2EA" w14:textId="77777777" w:rsidTr="00B929CC">
      <w:trPr>
        <w:trHeight w:hRule="exact" w:val="567"/>
      </w:trPr>
      <w:tc>
        <w:tcPr>
          <w:tcW w:w="510" w:type="dxa"/>
        </w:tcPr>
        <w:p w14:paraId="7249B2E7" w14:textId="77777777" w:rsidR="00B929CC" w:rsidRPr="00A24443" w:rsidRDefault="00B929CC" w:rsidP="00B929CC">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B615D">
            <w:rPr>
              <w:rStyle w:val="PageNumber"/>
              <w:caps w:val="0"/>
              <w:noProof/>
            </w:rPr>
            <w:t>x</w:t>
          </w:r>
          <w:r w:rsidRPr="00A24443">
            <w:rPr>
              <w:rStyle w:val="PageNumber"/>
              <w:caps w:val="0"/>
            </w:rPr>
            <w:fldChar w:fldCharType="end"/>
          </w:r>
        </w:p>
      </w:tc>
      <w:tc>
        <w:tcPr>
          <w:tcW w:w="7767" w:type="dxa"/>
        </w:tcPr>
        <w:p w14:paraId="7249B2E8" w14:textId="77777777" w:rsidR="00B929CC" w:rsidRPr="0013739A" w:rsidRDefault="00B929CC" w:rsidP="00B929C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86749F">
            <w:rPr>
              <w:rFonts w:cs="Arial"/>
            </w:rPr>
            <w:t>Regulation of Australian Agriculture - Inquiry Report - Preliminaries</w:t>
          </w:r>
          <w:r w:rsidRPr="00BA5B14">
            <w:rPr>
              <w:rFonts w:cs="Arial"/>
            </w:rPr>
            <w:fldChar w:fldCharType="end"/>
          </w:r>
        </w:p>
      </w:tc>
      <w:tc>
        <w:tcPr>
          <w:tcW w:w="510" w:type="dxa"/>
        </w:tcPr>
        <w:p w14:paraId="7249B2E9" w14:textId="77777777" w:rsidR="00B929CC" w:rsidRDefault="00B929CC" w:rsidP="00B929CC">
          <w:pPr>
            <w:pStyle w:val="Footer"/>
          </w:pPr>
        </w:p>
      </w:tc>
    </w:tr>
  </w:tbl>
  <w:p w14:paraId="7249B2EB" w14:textId="77777777" w:rsidR="00B929CC" w:rsidRDefault="00B929CC" w:rsidP="00B929CC">
    <w:pPr>
      <w:pStyle w:val="FooterEnd"/>
    </w:pPr>
  </w:p>
  <w:p w14:paraId="7249B2EC" w14:textId="77777777" w:rsidR="00B929CC" w:rsidRDefault="00B929CC">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929CC" w14:paraId="7249B2F0" w14:textId="77777777" w:rsidTr="00B929CC">
      <w:trPr>
        <w:trHeight w:hRule="exact" w:val="567"/>
      </w:trPr>
      <w:tc>
        <w:tcPr>
          <w:tcW w:w="510" w:type="dxa"/>
        </w:tcPr>
        <w:p w14:paraId="7249B2ED" w14:textId="77777777" w:rsidR="00B929CC" w:rsidRDefault="00B929CC">
          <w:pPr>
            <w:pStyle w:val="Footer"/>
            <w:ind w:right="360" w:firstLine="360"/>
          </w:pPr>
        </w:p>
      </w:tc>
      <w:tc>
        <w:tcPr>
          <w:tcW w:w="7767" w:type="dxa"/>
        </w:tcPr>
        <w:p w14:paraId="7249B2EE" w14:textId="77777777" w:rsidR="00B929CC" w:rsidRPr="00A90DAF" w:rsidRDefault="00EB615D" w:rsidP="00B929CC">
          <w:pPr>
            <w:pStyle w:val="Footer"/>
            <w:jc w:val="right"/>
            <w:rPr>
              <w:rFonts w:cs="Arial"/>
            </w:rPr>
          </w:pPr>
          <w:r w:rsidRPr="00EB615D">
            <w:rPr>
              <w:bCs/>
              <w:noProof/>
              <w:lang w:val="en-US"/>
            </w:rPr>
            <w:t>Acknowledgments</w:t>
          </w:r>
        </w:p>
      </w:tc>
      <w:tc>
        <w:tcPr>
          <w:tcW w:w="510" w:type="dxa"/>
        </w:tcPr>
        <w:p w14:paraId="7249B2EF" w14:textId="77777777" w:rsidR="00B929CC" w:rsidRPr="00A24443" w:rsidRDefault="00B929C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B4508">
            <w:rPr>
              <w:rStyle w:val="PageNumber"/>
              <w:caps w:val="0"/>
              <w:noProof/>
            </w:rPr>
            <w:t>xiii</w:t>
          </w:r>
          <w:r w:rsidRPr="00A24443">
            <w:rPr>
              <w:rStyle w:val="PageNumber"/>
              <w:caps w:val="0"/>
            </w:rPr>
            <w:fldChar w:fldCharType="end"/>
          </w:r>
        </w:p>
      </w:tc>
    </w:tr>
  </w:tbl>
  <w:p w14:paraId="7249B2F1" w14:textId="77777777" w:rsidR="00B929CC" w:rsidRDefault="00B929CC">
    <w:pPr>
      <w:pStyle w:val="FooterEnd"/>
    </w:pPr>
  </w:p>
  <w:p w14:paraId="7249B2F2" w14:textId="77777777" w:rsidR="00B929CC" w:rsidRDefault="00B929CC">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929CC" w14:paraId="7249B2FE" w14:textId="77777777" w:rsidTr="00B929CC">
      <w:trPr>
        <w:trHeight w:hRule="exact" w:val="567"/>
      </w:trPr>
      <w:tc>
        <w:tcPr>
          <w:tcW w:w="510" w:type="dxa"/>
        </w:tcPr>
        <w:p w14:paraId="7249B2FB" w14:textId="77777777" w:rsidR="00B929CC" w:rsidRPr="007448F7" w:rsidRDefault="00B929CC" w:rsidP="00B929CC">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86749F">
            <w:rPr>
              <w:rStyle w:val="PageNumber"/>
              <w:caps w:val="0"/>
              <w:noProof/>
            </w:rPr>
            <w:t>xvi</w:t>
          </w:r>
          <w:r w:rsidRPr="007448F7">
            <w:rPr>
              <w:rStyle w:val="PageNumber"/>
              <w:caps w:val="0"/>
            </w:rPr>
            <w:fldChar w:fldCharType="end"/>
          </w:r>
        </w:p>
      </w:tc>
      <w:tc>
        <w:tcPr>
          <w:tcW w:w="7767" w:type="dxa"/>
        </w:tcPr>
        <w:p w14:paraId="7249B2FC" w14:textId="77777777" w:rsidR="00B929CC" w:rsidRPr="0013739A" w:rsidRDefault="007D16B7" w:rsidP="00271B0C">
          <w:pPr>
            <w:pStyle w:val="Footer"/>
            <w:rPr>
              <w:rFonts w:cs="Arial"/>
            </w:rPr>
          </w:pPr>
          <w:r>
            <w:rPr>
              <w:rFonts w:cs="Arial"/>
            </w:rPr>
            <w:t>Regulation of Australian Agriculture</w:t>
          </w:r>
        </w:p>
      </w:tc>
      <w:tc>
        <w:tcPr>
          <w:tcW w:w="510" w:type="dxa"/>
        </w:tcPr>
        <w:p w14:paraId="7249B2FD" w14:textId="77777777" w:rsidR="00B929CC" w:rsidRDefault="00B929CC" w:rsidP="00B929CC">
          <w:pPr>
            <w:pStyle w:val="Footer"/>
          </w:pPr>
        </w:p>
      </w:tc>
    </w:tr>
  </w:tbl>
  <w:p w14:paraId="7249B2FF" w14:textId="77777777" w:rsidR="00B929CC" w:rsidRDefault="00B929CC" w:rsidP="00B929CC">
    <w:pPr>
      <w:pStyle w:val="FooterEnd"/>
    </w:pPr>
  </w:p>
  <w:p w14:paraId="7249B300" w14:textId="77777777" w:rsidR="00B929CC" w:rsidRDefault="00B929CC">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929CC" w14:paraId="7249B304" w14:textId="77777777" w:rsidTr="00B929CC">
      <w:trPr>
        <w:trHeight w:hRule="exact" w:val="567"/>
      </w:trPr>
      <w:tc>
        <w:tcPr>
          <w:tcW w:w="510" w:type="dxa"/>
        </w:tcPr>
        <w:p w14:paraId="7249B301" w14:textId="77777777" w:rsidR="00B929CC" w:rsidRDefault="00B929CC">
          <w:pPr>
            <w:pStyle w:val="Footer"/>
            <w:ind w:right="360" w:firstLine="360"/>
          </w:pPr>
        </w:p>
      </w:tc>
      <w:tc>
        <w:tcPr>
          <w:tcW w:w="7767" w:type="dxa"/>
        </w:tcPr>
        <w:p w14:paraId="7249B302" w14:textId="77777777" w:rsidR="00B929CC" w:rsidRPr="00340511" w:rsidRDefault="00EB615D" w:rsidP="00340511">
          <w:pPr>
            <w:pStyle w:val="Footer"/>
            <w:jc w:val="right"/>
            <w:rPr>
              <w:rFonts w:cs="Arial"/>
            </w:rPr>
          </w:pPr>
          <w:r w:rsidRPr="00EB615D">
            <w:rPr>
              <w:bCs/>
              <w:noProof/>
              <w:lang w:val="en-US"/>
            </w:rPr>
            <w:t>Abbreviations</w:t>
          </w:r>
        </w:p>
      </w:tc>
      <w:tc>
        <w:tcPr>
          <w:tcW w:w="510" w:type="dxa"/>
        </w:tcPr>
        <w:p w14:paraId="7249B303" w14:textId="77777777" w:rsidR="00B929CC" w:rsidRPr="00A24443" w:rsidRDefault="00B929C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6749F">
            <w:rPr>
              <w:rStyle w:val="PageNumber"/>
              <w:caps w:val="0"/>
              <w:noProof/>
            </w:rPr>
            <w:t>xv</w:t>
          </w:r>
          <w:r w:rsidRPr="00A24443">
            <w:rPr>
              <w:rStyle w:val="PageNumber"/>
              <w:caps w:val="0"/>
            </w:rPr>
            <w:fldChar w:fldCharType="end"/>
          </w:r>
        </w:p>
      </w:tc>
    </w:tr>
  </w:tbl>
  <w:p w14:paraId="7249B305" w14:textId="77777777" w:rsidR="00B929CC" w:rsidRDefault="00B929CC">
    <w:pPr>
      <w:pStyle w:val="FooterEnd"/>
    </w:pPr>
  </w:p>
  <w:p w14:paraId="7249B306" w14:textId="77777777" w:rsidR="00B929CC" w:rsidRDefault="00B929CC"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9B2A8" w14:textId="77777777" w:rsidR="00F64CA7" w:rsidRDefault="00F64CA7">
      <w:r>
        <w:separator/>
      </w:r>
    </w:p>
    <w:p w14:paraId="7249B2A9" w14:textId="77777777" w:rsidR="00F64CA7" w:rsidRDefault="00F64CA7"/>
    <w:p w14:paraId="7249B2AA" w14:textId="77777777" w:rsidR="00F64CA7" w:rsidRDefault="00F64CA7"/>
  </w:footnote>
  <w:footnote w:type="continuationSeparator" w:id="0">
    <w:p w14:paraId="7249B2AB" w14:textId="77777777" w:rsidR="00F64CA7" w:rsidRDefault="00F64CA7">
      <w:r>
        <w:continuationSeparator/>
      </w:r>
    </w:p>
    <w:p w14:paraId="7249B2AC" w14:textId="77777777" w:rsidR="00F64CA7" w:rsidRDefault="00F64CA7"/>
    <w:p w14:paraId="7249B2AD" w14:textId="77777777" w:rsidR="00F64CA7" w:rsidRDefault="00F64CA7"/>
  </w:footnote>
  <w:footnote w:type="continuationNotice" w:id="1">
    <w:p w14:paraId="7249B2AE" w14:textId="77777777" w:rsidR="00F64CA7" w:rsidRDefault="00F64C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B929CC" w14:paraId="7249B2B8" w14:textId="77777777">
      <w:tc>
        <w:tcPr>
          <w:tcW w:w="2155" w:type="dxa"/>
          <w:tcBorders>
            <w:top w:val="single" w:sz="24" w:space="0" w:color="auto"/>
          </w:tcBorders>
        </w:tcPr>
        <w:p w14:paraId="7249B2B6" w14:textId="77777777" w:rsidR="00B929CC" w:rsidRDefault="00B929CC">
          <w:pPr>
            <w:pStyle w:val="Header"/>
          </w:pPr>
        </w:p>
      </w:tc>
      <w:tc>
        <w:tcPr>
          <w:tcW w:w="6634" w:type="dxa"/>
          <w:tcBorders>
            <w:top w:val="single" w:sz="6" w:space="0" w:color="auto"/>
          </w:tcBorders>
        </w:tcPr>
        <w:p w14:paraId="7249B2B7" w14:textId="77777777" w:rsidR="00B929CC" w:rsidRDefault="00B929CC">
          <w:pPr>
            <w:pStyle w:val="Header"/>
          </w:pPr>
        </w:p>
      </w:tc>
    </w:tr>
  </w:tbl>
  <w:p w14:paraId="7249B2B9" w14:textId="77777777" w:rsidR="00B929CC" w:rsidRDefault="00B929C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929CC" w14:paraId="7249B2BC" w14:textId="77777777">
      <w:tc>
        <w:tcPr>
          <w:tcW w:w="6634" w:type="dxa"/>
          <w:tcBorders>
            <w:top w:val="single" w:sz="6" w:space="0" w:color="auto"/>
          </w:tcBorders>
        </w:tcPr>
        <w:p w14:paraId="7249B2BA" w14:textId="77777777" w:rsidR="00B929CC" w:rsidRDefault="00B929CC" w:rsidP="00B929CC">
          <w:pPr>
            <w:pStyle w:val="HeaderOdd"/>
          </w:pPr>
        </w:p>
      </w:tc>
      <w:tc>
        <w:tcPr>
          <w:tcW w:w="2155" w:type="dxa"/>
          <w:tcBorders>
            <w:top w:val="single" w:sz="24" w:space="0" w:color="auto"/>
          </w:tcBorders>
        </w:tcPr>
        <w:p w14:paraId="7249B2BB" w14:textId="77777777" w:rsidR="00B929CC" w:rsidRDefault="00B929CC" w:rsidP="00B929CC">
          <w:pPr>
            <w:pStyle w:val="HeaderOdd"/>
          </w:pPr>
        </w:p>
      </w:tc>
    </w:tr>
  </w:tbl>
  <w:p w14:paraId="7249B2BD" w14:textId="77777777" w:rsidR="00B929CC" w:rsidRDefault="00B929CC" w:rsidP="00B929CC">
    <w:pPr>
      <w:pStyle w:val="HeaderEnd"/>
    </w:pPr>
  </w:p>
  <w:p w14:paraId="7249B2BE" w14:textId="77777777" w:rsidR="00B929CC" w:rsidRPr="00D01645" w:rsidRDefault="00B929CC" w:rsidP="00B929CC">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B929CC" w14:paraId="7249B2CD" w14:textId="77777777">
      <w:tc>
        <w:tcPr>
          <w:tcW w:w="2155" w:type="dxa"/>
          <w:tcBorders>
            <w:top w:val="single" w:sz="24" w:space="0" w:color="auto"/>
          </w:tcBorders>
        </w:tcPr>
        <w:p w14:paraId="7249B2CB" w14:textId="77777777" w:rsidR="00B929CC" w:rsidRDefault="00B929CC">
          <w:pPr>
            <w:pStyle w:val="Header"/>
          </w:pPr>
        </w:p>
      </w:tc>
      <w:tc>
        <w:tcPr>
          <w:tcW w:w="6634" w:type="dxa"/>
          <w:tcBorders>
            <w:top w:val="single" w:sz="6" w:space="0" w:color="auto"/>
          </w:tcBorders>
        </w:tcPr>
        <w:p w14:paraId="7249B2CC" w14:textId="77777777" w:rsidR="00B929CC" w:rsidRDefault="00B929CC">
          <w:pPr>
            <w:pStyle w:val="Header"/>
          </w:pPr>
        </w:p>
      </w:tc>
    </w:tr>
  </w:tbl>
  <w:p w14:paraId="7249B2CE" w14:textId="77777777" w:rsidR="00B929CC" w:rsidRDefault="00B929CC">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929CC" w14:paraId="7249B2D1" w14:textId="77777777" w:rsidTr="005C68FE">
      <w:tc>
        <w:tcPr>
          <w:tcW w:w="6634" w:type="dxa"/>
          <w:tcBorders>
            <w:top w:val="single" w:sz="6" w:space="0" w:color="auto"/>
          </w:tcBorders>
        </w:tcPr>
        <w:p w14:paraId="7249B2CF" w14:textId="77777777" w:rsidR="00B929CC" w:rsidRDefault="00B929CC" w:rsidP="005C68FE">
          <w:pPr>
            <w:pStyle w:val="HeaderOdd"/>
          </w:pPr>
        </w:p>
      </w:tc>
      <w:tc>
        <w:tcPr>
          <w:tcW w:w="2155" w:type="dxa"/>
          <w:tcBorders>
            <w:top w:val="single" w:sz="24" w:space="0" w:color="auto"/>
          </w:tcBorders>
        </w:tcPr>
        <w:p w14:paraId="7249B2D0" w14:textId="77777777" w:rsidR="00B929CC" w:rsidRDefault="00B929CC" w:rsidP="005C68FE">
          <w:pPr>
            <w:pStyle w:val="HeaderOdd"/>
          </w:pPr>
        </w:p>
      </w:tc>
    </w:tr>
  </w:tbl>
  <w:p w14:paraId="7249B2D2" w14:textId="77777777" w:rsidR="00B929CC" w:rsidRPr="005C68FE" w:rsidRDefault="00B929CC"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929CC" w14:paraId="7249B2E1" w14:textId="77777777">
      <w:tc>
        <w:tcPr>
          <w:tcW w:w="2155" w:type="dxa"/>
          <w:tcBorders>
            <w:top w:val="single" w:sz="24" w:space="0" w:color="auto"/>
          </w:tcBorders>
        </w:tcPr>
        <w:p w14:paraId="7249B2DF" w14:textId="77777777" w:rsidR="00B929CC" w:rsidRDefault="00B929CC">
          <w:pPr>
            <w:pStyle w:val="HeaderEven"/>
          </w:pPr>
        </w:p>
      </w:tc>
      <w:tc>
        <w:tcPr>
          <w:tcW w:w="6634" w:type="dxa"/>
          <w:tcBorders>
            <w:top w:val="single" w:sz="6" w:space="0" w:color="auto"/>
          </w:tcBorders>
        </w:tcPr>
        <w:p w14:paraId="7249B2E0" w14:textId="77777777" w:rsidR="00B929CC" w:rsidRDefault="00B929CC">
          <w:pPr>
            <w:pStyle w:val="HeaderEven"/>
          </w:pPr>
        </w:p>
      </w:tc>
    </w:tr>
  </w:tbl>
  <w:p w14:paraId="7249B2E2" w14:textId="77777777" w:rsidR="00B929CC" w:rsidRDefault="00B929CC">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929CC" w14:paraId="7249B2E5" w14:textId="77777777">
      <w:tc>
        <w:tcPr>
          <w:tcW w:w="6634" w:type="dxa"/>
          <w:tcBorders>
            <w:top w:val="single" w:sz="6" w:space="0" w:color="auto"/>
          </w:tcBorders>
        </w:tcPr>
        <w:p w14:paraId="7249B2E3" w14:textId="77777777" w:rsidR="00B929CC" w:rsidRDefault="00B929CC">
          <w:pPr>
            <w:pStyle w:val="HeaderOdd"/>
          </w:pPr>
        </w:p>
      </w:tc>
      <w:tc>
        <w:tcPr>
          <w:tcW w:w="2155" w:type="dxa"/>
          <w:tcBorders>
            <w:top w:val="single" w:sz="24" w:space="0" w:color="auto"/>
            <w:bottom w:val="nil"/>
          </w:tcBorders>
        </w:tcPr>
        <w:p w14:paraId="7249B2E4" w14:textId="77777777" w:rsidR="00B929CC" w:rsidRDefault="00B929CC">
          <w:pPr>
            <w:pStyle w:val="HeaderOdd"/>
          </w:pPr>
        </w:p>
      </w:tc>
    </w:tr>
  </w:tbl>
  <w:p w14:paraId="7249B2E6" w14:textId="77777777" w:rsidR="00B929CC" w:rsidRDefault="00B929CC">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929CC" w14:paraId="7249B2F5" w14:textId="77777777" w:rsidTr="005C68FE">
      <w:tc>
        <w:tcPr>
          <w:tcW w:w="2155" w:type="dxa"/>
          <w:tcBorders>
            <w:top w:val="single" w:sz="24" w:space="0" w:color="auto"/>
          </w:tcBorders>
        </w:tcPr>
        <w:p w14:paraId="7249B2F3" w14:textId="77777777" w:rsidR="00B929CC" w:rsidRDefault="00B929CC" w:rsidP="005C68FE">
          <w:pPr>
            <w:pStyle w:val="HeaderEven"/>
          </w:pPr>
        </w:p>
      </w:tc>
      <w:tc>
        <w:tcPr>
          <w:tcW w:w="6634" w:type="dxa"/>
          <w:tcBorders>
            <w:top w:val="single" w:sz="6" w:space="0" w:color="auto"/>
          </w:tcBorders>
        </w:tcPr>
        <w:p w14:paraId="7249B2F4" w14:textId="77777777" w:rsidR="00B929CC" w:rsidRDefault="00B929CC" w:rsidP="005C68FE">
          <w:pPr>
            <w:pStyle w:val="HeaderEven"/>
          </w:pPr>
        </w:p>
      </w:tc>
    </w:tr>
  </w:tbl>
  <w:p w14:paraId="7249B2F6" w14:textId="77777777" w:rsidR="00B929CC" w:rsidRDefault="00B929CC"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929CC" w14:paraId="7249B2F9" w14:textId="77777777">
      <w:tc>
        <w:tcPr>
          <w:tcW w:w="6634" w:type="dxa"/>
          <w:tcBorders>
            <w:top w:val="single" w:sz="6" w:space="0" w:color="auto"/>
          </w:tcBorders>
        </w:tcPr>
        <w:p w14:paraId="7249B2F7" w14:textId="77777777" w:rsidR="00B929CC" w:rsidRDefault="00B929CC">
          <w:pPr>
            <w:pStyle w:val="HeaderOdd"/>
          </w:pPr>
        </w:p>
      </w:tc>
      <w:tc>
        <w:tcPr>
          <w:tcW w:w="2155" w:type="dxa"/>
          <w:tcBorders>
            <w:top w:val="single" w:sz="24" w:space="0" w:color="auto"/>
          </w:tcBorders>
        </w:tcPr>
        <w:p w14:paraId="7249B2F8" w14:textId="77777777" w:rsidR="00B929CC" w:rsidRDefault="00B929CC">
          <w:pPr>
            <w:pStyle w:val="HeaderOdd"/>
          </w:pPr>
        </w:p>
      </w:tc>
    </w:tr>
  </w:tbl>
  <w:p w14:paraId="7249B2FA" w14:textId="77777777" w:rsidR="00B929CC" w:rsidRDefault="00B929CC"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3E3170C"/>
    <w:multiLevelType w:val="hybridMultilevel"/>
    <w:tmpl w:val="D40EC9D8"/>
    <w:lvl w:ilvl="0" w:tplc="0AB04198">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5"/>
  </w:num>
  <w:num w:numId="16">
    <w:abstractNumId w:val="18"/>
  </w:num>
  <w:num w:numId="17">
    <w:abstractNumId w:val="7"/>
  </w:num>
  <w:num w:numId="18">
    <w:abstractNumId w:val="22"/>
  </w:num>
  <w:num w:numId="19">
    <w:abstractNumId w:val="20"/>
  </w:num>
  <w:num w:numId="20">
    <w:abstractNumId w:val="26"/>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5"/>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6"/>
  </w:num>
  <w:num w:numId="48">
    <w:abstractNumId w:val="19"/>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hideSpellingErrors/>
  <w:hideGrammaticalError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D57"/>
    <w:rsid w:val="00004FB0"/>
    <w:rsid w:val="00017AFC"/>
    <w:rsid w:val="00025878"/>
    <w:rsid w:val="00026B38"/>
    <w:rsid w:val="000502D3"/>
    <w:rsid w:val="00052CB2"/>
    <w:rsid w:val="0005300C"/>
    <w:rsid w:val="000623BF"/>
    <w:rsid w:val="00066B10"/>
    <w:rsid w:val="00073D37"/>
    <w:rsid w:val="000779EB"/>
    <w:rsid w:val="00087ED2"/>
    <w:rsid w:val="00095EEA"/>
    <w:rsid w:val="00097701"/>
    <w:rsid w:val="00097C15"/>
    <w:rsid w:val="000A0A0E"/>
    <w:rsid w:val="000A5E12"/>
    <w:rsid w:val="000B1D57"/>
    <w:rsid w:val="000B416E"/>
    <w:rsid w:val="000C03C7"/>
    <w:rsid w:val="000C7186"/>
    <w:rsid w:val="000D2C0F"/>
    <w:rsid w:val="000F185F"/>
    <w:rsid w:val="000F2146"/>
    <w:rsid w:val="000F2F5F"/>
    <w:rsid w:val="00106041"/>
    <w:rsid w:val="0010611E"/>
    <w:rsid w:val="00110074"/>
    <w:rsid w:val="00122FE9"/>
    <w:rsid w:val="00130C52"/>
    <w:rsid w:val="00131572"/>
    <w:rsid w:val="00131D4F"/>
    <w:rsid w:val="0013399B"/>
    <w:rsid w:val="00180515"/>
    <w:rsid w:val="00181F4B"/>
    <w:rsid w:val="00190919"/>
    <w:rsid w:val="00196FB3"/>
    <w:rsid w:val="00197A66"/>
    <w:rsid w:val="001A5071"/>
    <w:rsid w:val="001B4E73"/>
    <w:rsid w:val="001B7F1E"/>
    <w:rsid w:val="001D4737"/>
    <w:rsid w:val="001D4B1F"/>
    <w:rsid w:val="001D6629"/>
    <w:rsid w:val="001E0671"/>
    <w:rsid w:val="001E3390"/>
    <w:rsid w:val="001F0C8D"/>
    <w:rsid w:val="001F2270"/>
    <w:rsid w:val="00203B40"/>
    <w:rsid w:val="00205A82"/>
    <w:rsid w:val="00211BEE"/>
    <w:rsid w:val="00214BFA"/>
    <w:rsid w:val="002179C6"/>
    <w:rsid w:val="002258B4"/>
    <w:rsid w:val="00261607"/>
    <w:rsid w:val="00263DD1"/>
    <w:rsid w:val="00264D3B"/>
    <w:rsid w:val="00265685"/>
    <w:rsid w:val="00271B0C"/>
    <w:rsid w:val="00281D5F"/>
    <w:rsid w:val="002859B0"/>
    <w:rsid w:val="002923AD"/>
    <w:rsid w:val="00296592"/>
    <w:rsid w:val="002A0A4B"/>
    <w:rsid w:val="002A499E"/>
    <w:rsid w:val="002B636E"/>
    <w:rsid w:val="002B64D6"/>
    <w:rsid w:val="002C12F5"/>
    <w:rsid w:val="002D6FCE"/>
    <w:rsid w:val="002E5E95"/>
    <w:rsid w:val="002F11C9"/>
    <w:rsid w:val="0031003D"/>
    <w:rsid w:val="00340511"/>
    <w:rsid w:val="0034733C"/>
    <w:rsid w:val="00354707"/>
    <w:rsid w:val="0038647D"/>
    <w:rsid w:val="00393A49"/>
    <w:rsid w:val="003B41E0"/>
    <w:rsid w:val="003C3D73"/>
    <w:rsid w:val="003D624D"/>
    <w:rsid w:val="003E7802"/>
    <w:rsid w:val="0042007A"/>
    <w:rsid w:val="00433C81"/>
    <w:rsid w:val="00446D6B"/>
    <w:rsid w:val="00457B3F"/>
    <w:rsid w:val="00463022"/>
    <w:rsid w:val="00474F76"/>
    <w:rsid w:val="00481CF0"/>
    <w:rsid w:val="004B4508"/>
    <w:rsid w:val="004B492A"/>
    <w:rsid w:val="004C0B0C"/>
    <w:rsid w:val="004D3F58"/>
    <w:rsid w:val="004E52E2"/>
    <w:rsid w:val="004E6BB4"/>
    <w:rsid w:val="004E7D3C"/>
    <w:rsid w:val="00507989"/>
    <w:rsid w:val="00515D43"/>
    <w:rsid w:val="0052544D"/>
    <w:rsid w:val="00526B19"/>
    <w:rsid w:val="00551FB8"/>
    <w:rsid w:val="005537F6"/>
    <w:rsid w:val="00560F43"/>
    <w:rsid w:val="005654D0"/>
    <w:rsid w:val="00585B3F"/>
    <w:rsid w:val="005B17AB"/>
    <w:rsid w:val="005C68FE"/>
    <w:rsid w:val="005F7D30"/>
    <w:rsid w:val="00602523"/>
    <w:rsid w:val="006040CB"/>
    <w:rsid w:val="00604351"/>
    <w:rsid w:val="0060662D"/>
    <w:rsid w:val="00607D8A"/>
    <w:rsid w:val="006119F2"/>
    <w:rsid w:val="0061590F"/>
    <w:rsid w:val="00636497"/>
    <w:rsid w:val="00641AE2"/>
    <w:rsid w:val="006422AF"/>
    <w:rsid w:val="0064456A"/>
    <w:rsid w:val="00650DDA"/>
    <w:rsid w:val="0065126A"/>
    <w:rsid w:val="00653FA6"/>
    <w:rsid w:val="00657AB0"/>
    <w:rsid w:val="00667FD1"/>
    <w:rsid w:val="0067557D"/>
    <w:rsid w:val="006802D4"/>
    <w:rsid w:val="00683849"/>
    <w:rsid w:val="00691AB5"/>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78770D"/>
    <w:rsid w:val="007B5B01"/>
    <w:rsid w:val="007D16B7"/>
    <w:rsid w:val="00805FD7"/>
    <w:rsid w:val="00806E54"/>
    <w:rsid w:val="008206EE"/>
    <w:rsid w:val="008214B1"/>
    <w:rsid w:val="008273A9"/>
    <w:rsid w:val="00833F4E"/>
    <w:rsid w:val="00836ED7"/>
    <w:rsid w:val="0084355E"/>
    <w:rsid w:val="008453AC"/>
    <w:rsid w:val="00851907"/>
    <w:rsid w:val="00860D09"/>
    <w:rsid w:val="00862044"/>
    <w:rsid w:val="0086749F"/>
    <w:rsid w:val="00871A7B"/>
    <w:rsid w:val="00880BF7"/>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22A9F"/>
    <w:rsid w:val="00933B0C"/>
    <w:rsid w:val="00935676"/>
    <w:rsid w:val="00941C4B"/>
    <w:rsid w:val="0098401D"/>
    <w:rsid w:val="009853A0"/>
    <w:rsid w:val="0099107C"/>
    <w:rsid w:val="009A6F5F"/>
    <w:rsid w:val="009A789F"/>
    <w:rsid w:val="009B12EF"/>
    <w:rsid w:val="009B48F7"/>
    <w:rsid w:val="009B6185"/>
    <w:rsid w:val="009B6488"/>
    <w:rsid w:val="009C6C6D"/>
    <w:rsid w:val="009E1E78"/>
    <w:rsid w:val="009E3FB9"/>
    <w:rsid w:val="00A1597D"/>
    <w:rsid w:val="00A24AB1"/>
    <w:rsid w:val="00A46989"/>
    <w:rsid w:val="00A469AA"/>
    <w:rsid w:val="00A71233"/>
    <w:rsid w:val="00A71CE9"/>
    <w:rsid w:val="00A72A19"/>
    <w:rsid w:val="00A75A30"/>
    <w:rsid w:val="00A87DC2"/>
    <w:rsid w:val="00A93C82"/>
    <w:rsid w:val="00AA5EF7"/>
    <w:rsid w:val="00AB2A48"/>
    <w:rsid w:val="00AC0211"/>
    <w:rsid w:val="00AC3236"/>
    <w:rsid w:val="00AC568E"/>
    <w:rsid w:val="00AD4874"/>
    <w:rsid w:val="00AE1F8A"/>
    <w:rsid w:val="00AE2B8C"/>
    <w:rsid w:val="00B036B2"/>
    <w:rsid w:val="00B04D19"/>
    <w:rsid w:val="00B153C3"/>
    <w:rsid w:val="00B21537"/>
    <w:rsid w:val="00B22087"/>
    <w:rsid w:val="00B405C1"/>
    <w:rsid w:val="00B722F2"/>
    <w:rsid w:val="00B80355"/>
    <w:rsid w:val="00B825A2"/>
    <w:rsid w:val="00B90958"/>
    <w:rsid w:val="00B929CC"/>
    <w:rsid w:val="00B95339"/>
    <w:rsid w:val="00BA0B81"/>
    <w:rsid w:val="00BA311E"/>
    <w:rsid w:val="00BB334E"/>
    <w:rsid w:val="00BB5DCF"/>
    <w:rsid w:val="00BC2476"/>
    <w:rsid w:val="00BD0E42"/>
    <w:rsid w:val="00BE48D5"/>
    <w:rsid w:val="00BF59EA"/>
    <w:rsid w:val="00BF79CD"/>
    <w:rsid w:val="00C057D5"/>
    <w:rsid w:val="00C058AB"/>
    <w:rsid w:val="00C0721B"/>
    <w:rsid w:val="00C1310D"/>
    <w:rsid w:val="00C34C8C"/>
    <w:rsid w:val="00C50792"/>
    <w:rsid w:val="00C51371"/>
    <w:rsid w:val="00C55A45"/>
    <w:rsid w:val="00C64705"/>
    <w:rsid w:val="00C670DE"/>
    <w:rsid w:val="00C904D9"/>
    <w:rsid w:val="00C94C06"/>
    <w:rsid w:val="00CA48BF"/>
    <w:rsid w:val="00CB3ACC"/>
    <w:rsid w:val="00CB4745"/>
    <w:rsid w:val="00CD2163"/>
    <w:rsid w:val="00CD4FE7"/>
    <w:rsid w:val="00CD5E6B"/>
    <w:rsid w:val="00CE2858"/>
    <w:rsid w:val="00CE4FBC"/>
    <w:rsid w:val="00CE5D96"/>
    <w:rsid w:val="00CE7344"/>
    <w:rsid w:val="00CE7F60"/>
    <w:rsid w:val="00CF26EE"/>
    <w:rsid w:val="00D04A53"/>
    <w:rsid w:val="00D05F04"/>
    <w:rsid w:val="00D248BD"/>
    <w:rsid w:val="00D310F0"/>
    <w:rsid w:val="00D37AC2"/>
    <w:rsid w:val="00D500A9"/>
    <w:rsid w:val="00D61180"/>
    <w:rsid w:val="00D64121"/>
    <w:rsid w:val="00D67119"/>
    <w:rsid w:val="00D726B4"/>
    <w:rsid w:val="00D732FE"/>
    <w:rsid w:val="00D748A7"/>
    <w:rsid w:val="00D74E25"/>
    <w:rsid w:val="00D772E9"/>
    <w:rsid w:val="00D82E10"/>
    <w:rsid w:val="00D969AE"/>
    <w:rsid w:val="00DA31AB"/>
    <w:rsid w:val="00DA3281"/>
    <w:rsid w:val="00DA6D3E"/>
    <w:rsid w:val="00DB5906"/>
    <w:rsid w:val="00DC02E8"/>
    <w:rsid w:val="00DC75C7"/>
    <w:rsid w:val="00DC78D3"/>
    <w:rsid w:val="00DD1077"/>
    <w:rsid w:val="00DF00FE"/>
    <w:rsid w:val="00DF4592"/>
    <w:rsid w:val="00E15FDC"/>
    <w:rsid w:val="00E20BF2"/>
    <w:rsid w:val="00E2651B"/>
    <w:rsid w:val="00E30DDB"/>
    <w:rsid w:val="00E6632E"/>
    <w:rsid w:val="00E77C2B"/>
    <w:rsid w:val="00E8609C"/>
    <w:rsid w:val="00E90CF2"/>
    <w:rsid w:val="00E93766"/>
    <w:rsid w:val="00EB615D"/>
    <w:rsid w:val="00EC38C1"/>
    <w:rsid w:val="00EC628B"/>
    <w:rsid w:val="00ED0F61"/>
    <w:rsid w:val="00EE3F6D"/>
    <w:rsid w:val="00EE73E1"/>
    <w:rsid w:val="00F12107"/>
    <w:rsid w:val="00F13165"/>
    <w:rsid w:val="00F404A1"/>
    <w:rsid w:val="00F4234E"/>
    <w:rsid w:val="00F61429"/>
    <w:rsid w:val="00F64CA7"/>
    <w:rsid w:val="00F7477E"/>
    <w:rsid w:val="00F85393"/>
    <w:rsid w:val="00FA4A24"/>
    <w:rsid w:val="00FB24E9"/>
    <w:rsid w:val="00FC41B4"/>
    <w:rsid w:val="00FC5A6B"/>
    <w:rsid w:val="00FD06C0"/>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4577"/>
    <o:shapelayout v:ext="edit">
      <o:idmap v:ext="edit" data="1"/>
    </o:shapelayout>
  </w:shapeDefaults>
  <w:decimalSymbol w:val="."/>
  <w:listSeparator w:val=","/>
  <w14:docId w14:val="7249B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tabs>
        <w:tab w:val="clear" w:pos="794"/>
        <w:tab w:val="num" w:pos="360"/>
      </w:tabs>
      <w:ind w:left="340" w:hanging="34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BE48D5"/>
    <w:pPr>
      <w:spacing w:before="480" w:after="156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B1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B1D57"/>
    <w:rPr>
      <w:kern w:val="28"/>
      <w:sz w:val="52"/>
      <w:lang w:eastAsia="en-US"/>
    </w:rPr>
  </w:style>
  <w:style w:type="paragraph" w:styleId="CommentSubject">
    <w:name w:val="annotation subject"/>
    <w:basedOn w:val="CommentText"/>
    <w:next w:val="CommentText"/>
    <w:link w:val="CommentSubjectChar"/>
    <w:rsid w:val="00941C4B"/>
    <w:pPr>
      <w:spacing w:before="0" w:line="240" w:lineRule="auto"/>
      <w:ind w:left="0" w:firstLine="0"/>
    </w:pPr>
    <w:rPr>
      <w:b/>
      <w:bCs/>
    </w:rPr>
  </w:style>
  <w:style w:type="character" w:customStyle="1" w:styleId="CommentTextChar">
    <w:name w:val="Comment Text Char"/>
    <w:basedOn w:val="DefaultParagraphFont"/>
    <w:link w:val="CommentText"/>
    <w:semiHidden/>
    <w:rsid w:val="00941C4B"/>
    <w:rPr>
      <w:lang w:eastAsia="en-US"/>
    </w:rPr>
  </w:style>
  <w:style w:type="character" w:customStyle="1" w:styleId="CommentSubjectChar">
    <w:name w:val="Comment Subject Char"/>
    <w:basedOn w:val="CommentTextChar"/>
    <w:link w:val="CommentSubject"/>
    <w:rsid w:val="00941C4B"/>
    <w:rPr>
      <w:b/>
      <w:bCs/>
      <w:lang w:eastAsia="en-US"/>
    </w:rPr>
  </w:style>
  <w:style w:type="character" w:customStyle="1" w:styleId="Heading3Char">
    <w:name w:val="Heading 3 Char"/>
    <w:basedOn w:val="DefaultParagraphFont"/>
    <w:link w:val="Heading3"/>
    <w:rsid w:val="009853A0"/>
    <w:rPr>
      <w:rFonts w:ascii="Arial"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tabs>
        <w:tab w:val="clear" w:pos="794"/>
        <w:tab w:val="num" w:pos="360"/>
      </w:tabs>
      <w:ind w:left="340" w:hanging="34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BE48D5"/>
    <w:pPr>
      <w:spacing w:before="480" w:after="156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B1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B1D57"/>
    <w:rPr>
      <w:kern w:val="28"/>
      <w:sz w:val="52"/>
      <w:lang w:eastAsia="en-US"/>
    </w:rPr>
  </w:style>
  <w:style w:type="paragraph" w:styleId="CommentSubject">
    <w:name w:val="annotation subject"/>
    <w:basedOn w:val="CommentText"/>
    <w:next w:val="CommentText"/>
    <w:link w:val="CommentSubjectChar"/>
    <w:rsid w:val="00941C4B"/>
    <w:pPr>
      <w:spacing w:before="0" w:line="240" w:lineRule="auto"/>
      <w:ind w:left="0" w:firstLine="0"/>
    </w:pPr>
    <w:rPr>
      <w:b/>
      <w:bCs/>
    </w:rPr>
  </w:style>
  <w:style w:type="character" w:customStyle="1" w:styleId="CommentTextChar">
    <w:name w:val="Comment Text Char"/>
    <w:basedOn w:val="DefaultParagraphFont"/>
    <w:link w:val="CommentText"/>
    <w:semiHidden/>
    <w:rsid w:val="00941C4B"/>
    <w:rPr>
      <w:lang w:eastAsia="en-US"/>
    </w:rPr>
  </w:style>
  <w:style w:type="character" w:customStyle="1" w:styleId="CommentSubjectChar">
    <w:name w:val="Comment Subject Char"/>
    <w:basedOn w:val="CommentTextChar"/>
    <w:link w:val="CommentSubject"/>
    <w:rsid w:val="00941C4B"/>
    <w:rPr>
      <w:b/>
      <w:bCs/>
      <w:lang w:eastAsia="en-US"/>
    </w:rPr>
  </w:style>
  <w:style w:type="character" w:customStyle="1" w:styleId="Heading3Char">
    <w:name w:val="Heading 3 Char"/>
    <w:basedOn w:val="DefaultParagraphFont"/>
    <w:link w:val="Heading3"/>
    <w:rsid w:val="009853A0"/>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image" Target="media/image5.png"/><Relationship Id="rId25" Type="http://schemas.openxmlformats.org/officeDocument/2006/relationships/footer" Target="footer4.xml"/><Relationship Id="rId33"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1.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footer" Target="footer3.xml"/><Relationship Id="rId32"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eader" Target="header4.xml"/><Relationship Id="rId28" Type="http://schemas.openxmlformats.org/officeDocument/2006/relationships/footer" Target="footer5.xml"/><Relationship Id="rId10" Type="http://schemas.openxmlformats.org/officeDocument/2006/relationships/image" Target="media/image2.png"/><Relationship Id="rId19" Type="http://schemas.openxmlformats.org/officeDocument/2006/relationships/header" Target="header2.xml"/><Relationship Id="rId31"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theme" Target="theme/theme1.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07257928-AB8D-4F28-A2BD-2B44C1371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2082</Words>
  <Characters>12759</Characters>
  <Application>Microsoft Office Word</Application>
  <DocSecurity>0</DocSecurity>
  <Lines>283</Lines>
  <Paragraphs>200</Paragraphs>
  <ScaleCrop>false</ScaleCrop>
  <HeadingPairs>
    <vt:vector size="2" baseType="variant">
      <vt:variant>
        <vt:lpstr>Title</vt:lpstr>
      </vt:variant>
      <vt:variant>
        <vt:i4>1</vt:i4>
      </vt:variant>
    </vt:vector>
  </HeadingPairs>
  <TitlesOfParts>
    <vt:vector size="1" baseType="lpstr">
      <vt:lpstr>Regulation of Australian Agriculture - Inquiry Report - Preliminaries</vt:lpstr>
    </vt:vector>
  </TitlesOfParts>
  <Company>Tertiary Education Quality and Standards Agency</Company>
  <LinksUpToDate>false</LinksUpToDate>
  <CharactersWithSpaces>14641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Preliminaries - Inqiry report - Regulation of Australian Agriculture</dc:title>
  <dc:creator>Productivity Commission</dc:creator>
  <cp:lastModifiedBy>Michelle Cross</cp:lastModifiedBy>
  <cp:revision>4</cp:revision>
  <cp:lastPrinted>2017-03-23T22:51:00Z</cp:lastPrinted>
  <dcterms:created xsi:type="dcterms:W3CDTF">2017-03-23T20:31:00Z</dcterms:created>
  <dcterms:modified xsi:type="dcterms:W3CDTF">2017-03-23T23:26:00Z</dcterms:modified>
</cp:coreProperties>
</file>