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6ED" w:rsidRDefault="00FA7162" w:rsidP="005A46ED">
      <w:pPr>
        <w:pStyle w:val="Heading1"/>
        <w:spacing w:before="0"/>
      </w:pPr>
      <w:bookmarkStart w:id="0" w:name="_GoBack"/>
      <w:bookmarkEnd w:id="0"/>
      <w:r>
        <w:t>C</w:t>
      </w:r>
      <w:r w:rsidR="00A94083">
        <w:tab/>
      </w:r>
      <w:r w:rsidR="00DD1296">
        <w:t>Foreign direct investmen</w:t>
      </w:r>
      <w:r w:rsidR="008B2BA5">
        <w:t>t</w:t>
      </w:r>
    </w:p>
    <w:p w:rsidR="00617012" w:rsidRDefault="004710C8" w:rsidP="005A46ED">
      <w:pPr>
        <w:pStyle w:val="BodyText"/>
      </w:pPr>
      <w:r>
        <w:t xml:space="preserve">There </w:t>
      </w:r>
      <w:r w:rsidR="00BB32E2">
        <w:t xml:space="preserve">is </w:t>
      </w:r>
      <w:r>
        <w:t xml:space="preserve">a range of barriers to </w:t>
      </w:r>
      <w:r w:rsidR="00BE4A9F">
        <w:t xml:space="preserve">foreign </w:t>
      </w:r>
      <w:r w:rsidRPr="004710C8">
        <w:t xml:space="preserve">direct investment </w:t>
      </w:r>
      <w:r w:rsidR="00581BCF">
        <w:t>(</w:t>
      </w:r>
      <w:proofErr w:type="spellStart"/>
      <w:r w:rsidR="00581BCF">
        <w:t>FDI</w:t>
      </w:r>
      <w:proofErr w:type="spellEnd"/>
      <w:r w:rsidR="00581BCF">
        <w:t xml:space="preserve">) </w:t>
      </w:r>
      <w:r>
        <w:t xml:space="preserve">between </w:t>
      </w:r>
      <w:r w:rsidR="00235F54">
        <w:t>Australia and New Zealand (</w:t>
      </w:r>
      <w:r w:rsidR="00A552E6">
        <w:t>box </w:t>
      </w:r>
      <w:proofErr w:type="spellStart"/>
      <w:r w:rsidR="00235F54">
        <w:t>C</w:t>
      </w:r>
      <w:r w:rsidR="00F64809">
        <w:t>.1</w:t>
      </w:r>
      <w:proofErr w:type="spellEnd"/>
      <w:r w:rsidR="00F64809">
        <w:t>)</w:t>
      </w:r>
      <w:r w:rsidR="003775AB">
        <w:t xml:space="preserve">. </w:t>
      </w:r>
      <w:r w:rsidR="00617012">
        <w:t>The main types of barriers are:</w:t>
      </w:r>
    </w:p>
    <w:p w:rsidR="00617012" w:rsidRDefault="00617012" w:rsidP="00CD3463">
      <w:pPr>
        <w:pStyle w:val="ListBullet"/>
      </w:pPr>
      <w:r w:rsidRPr="00617012">
        <w:t>restrictions</w:t>
      </w:r>
      <w:r>
        <w:t xml:space="preserve"> </w:t>
      </w:r>
      <w:r w:rsidR="00997710">
        <w:t xml:space="preserve">on inward </w:t>
      </w:r>
      <w:r w:rsidR="00B44A8A">
        <w:t>investment</w:t>
      </w:r>
      <w:r w:rsidR="00997710">
        <w:t xml:space="preserve"> </w:t>
      </w:r>
      <w:r>
        <w:t>(</w:t>
      </w:r>
      <w:r w:rsidR="00CD3463">
        <w:t xml:space="preserve">including </w:t>
      </w:r>
      <w:r w:rsidR="00CD3463" w:rsidRPr="00CD3463">
        <w:t xml:space="preserve">investment screening processes </w:t>
      </w:r>
      <w:r w:rsidR="00CD3463">
        <w:t xml:space="preserve">and </w:t>
      </w:r>
      <w:r>
        <w:t xml:space="preserve">limits </w:t>
      </w:r>
      <w:r w:rsidR="00414F2D">
        <w:t>on foreign ownership</w:t>
      </w:r>
      <w:r>
        <w:t>)</w:t>
      </w:r>
    </w:p>
    <w:p w:rsidR="00617012" w:rsidRDefault="001E52EA" w:rsidP="00E86332">
      <w:pPr>
        <w:pStyle w:val="ListBullet"/>
      </w:pPr>
      <w:r>
        <w:t xml:space="preserve">discriminatory taxation arrangements that </w:t>
      </w:r>
      <w:r w:rsidR="006761AF">
        <w:t xml:space="preserve">may </w:t>
      </w:r>
      <w:r>
        <w:t xml:space="preserve">discourage </w:t>
      </w:r>
      <w:r w:rsidR="00997710">
        <w:t xml:space="preserve">outward </w:t>
      </w:r>
      <w:r w:rsidR="00B44A8A">
        <w:t>foreign investment</w:t>
      </w:r>
      <w:r w:rsidR="00617012">
        <w:t xml:space="preserve"> (</w:t>
      </w:r>
      <w:r w:rsidR="000A3873">
        <w:t xml:space="preserve">the main example is </w:t>
      </w:r>
      <w:r w:rsidR="00617012">
        <w:t>allowing imputation credits for domestic but not foreign dividends)</w:t>
      </w:r>
    </w:p>
    <w:p w:rsidR="001E52EA" w:rsidRDefault="00617012" w:rsidP="003775AB">
      <w:pPr>
        <w:pStyle w:val="ListBullet"/>
      </w:pPr>
      <w:r>
        <w:t xml:space="preserve">non-discriminatory market access issues (for example, </w:t>
      </w:r>
      <w:r w:rsidR="00414F2D">
        <w:t>anti-competitive arrangements that deter market entry by both domestic and foreign firms)</w:t>
      </w:r>
      <w:r w:rsidR="001E52EA">
        <w:t>.</w:t>
      </w:r>
    </w:p>
    <w:p w:rsidR="000D2EA4" w:rsidRDefault="008A3FE8" w:rsidP="005A46ED">
      <w:pPr>
        <w:pStyle w:val="BodyText"/>
      </w:pPr>
      <w:r w:rsidRPr="005A46ED">
        <w:t xml:space="preserve">This </w:t>
      </w:r>
      <w:r w:rsidR="00F64809">
        <w:t>paper</w:t>
      </w:r>
      <w:r w:rsidRPr="005A46ED">
        <w:t xml:space="preserve"> </w:t>
      </w:r>
      <w:r w:rsidR="00846179" w:rsidRPr="005A46ED">
        <w:t xml:space="preserve">focuses on the </w:t>
      </w:r>
      <w:r w:rsidR="00997710" w:rsidRPr="005A46ED">
        <w:t>first</w:t>
      </w:r>
      <w:r w:rsidR="00846179" w:rsidRPr="005A46ED">
        <w:t xml:space="preserve"> </w:t>
      </w:r>
      <w:r w:rsidR="007868ED">
        <w:t xml:space="preserve">type </w:t>
      </w:r>
      <w:r w:rsidR="00F64809">
        <w:t xml:space="preserve">of barrier and considers possible reforms to the Australian and New Zealand </w:t>
      </w:r>
      <w:proofErr w:type="spellStart"/>
      <w:r w:rsidR="00F64809">
        <w:t>FDI</w:t>
      </w:r>
      <w:proofErr w:type="spellEnd"/>
      <w:r w:rsidR="00F64809">
        <w:t xml:space="preserve"> </w:t>
      </w:r>
      <w:r w:rsidR="004816F6">
        <w:t xml:space="preserve">policy </w:t>
      </w:r>
      <w:r w:rsidR="00F64809">
        <w:t xml:space="preserve">regimes </w:t>
      </w:r>
      <w:r w:rsidR="004710C8">
        <w:t>that would</w:t>
      </w:r>
      <w:r w:rsidR="00F64809">
        <w:t xml:space="preserve"> promote trans</w:t>
      </w:r>
      <w:r w:rsidR="00A315AD">
        <w:noBreakHyphen/>
      </w:r>
      <w:r w:rsidR="004710C8">
        <w:t xml:space="preserve">Tasman and broader integration. </w:t>
      </w:r>
      <w:r w:rsidR="004816F6" w:rsidRPr="004816F6">
        <w:t xml:space="preserve">The second </w:t>
      </w:r>
      <w:r w:rsidR="007868ED">
        <w:t>type</w:t>
      </w:r>
      <w:r w:rsidR="007868ED" w:rsidRPr="004816F6">
        <w:t xml:space="preserve"> </w:t>
      </w:r>
      <w:r w:rsidR="00771A89">
        <w:t>of barrier is discussed in s</w:t>
      </w:r>
      <w:r w:rsidR="004816F6" w:rsidRPr="004816F6">
        <w:t>upplementary paper</w:t>
      </w:r>
      <w:r w:rsidR="003C2FEC">
        <w:t>s</w:t>
      </w:r>
      <w:r w:rsidR="004816F6" w:rsidRPr="004816F6">
        <w:t xml:space="preserve"> </w:t>
      </w:r>
      <w:r w:rsidR="00003A8E">
        <w:t>F</w:t>
      </w:r>
      <w:r w:rsidR="004816F6" w:rsidRPr="00A315AD">
        <w:t xml:space="preserve"> </w:t>
      </w:r>
      <w:r w:rsidR="003C2FEC">
        <w:t xml:space="preserve">and G, </w:t>
      </w:r>
      <w:r w:rsidR="004816F6" w:rsidRPr="004816F6">
        <w:t xml:space="preserve">and the third </w:t>
      </w:r>
      <w:r w:rsidR="007868ED">
        <w:t>type</w:t>
      </w:r>
      <w:r w:rsidR="007868ED" w:rsidRPr="004816F6">
        <w:t xml:space="preserve"> </w:t>
      </w:r>
      <w:r w:rsidR="004816F6" w:rsidRPr="004816F6">
        <w:t>in chapter 2</w:t>
      </w:r>
      <w:r w:rsidR="004816F6">
        <w:t>.</w:t>
      </w:r>
    </w:p>
    <w:p w:rsidR="00D61E73" w:rsidRDefault="00D61E73">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D61E73" w:rsidTr="00D61E73">
        <w:tc>
          <w:tcPr>
            <w:tcW w:w="8771" w:type="dxa"/>
            <w:tcBorders>
              <w:top w:val="nil"/>
              <w:left w:val="nil"/>
              <w:bottom w:val="nil"/>
              <w:right w:val="nil"/>
            </w:tcBorders>
            <w:shd w:val="clear" w:color="auto" w:fill="D9EAF0"/>
          </w:tcPr>
          <w:p w:rsidR="00D61E73" w:rsidRDefault="00D61E73" w:rsidP="00415A1F">
            <w:pPr>
              <w:pStyle w:val="BoxTitle"/>
            </w:pPr>
            <w:r>
              <w:rPr>
                <w:b w:val="0"/>
              </w:rPr>
              <w:t xml:space="preserve">Box </w:t>
            </w:r>
            <w:proofErr w:type="spellStart"/>
            <w:r w:rsidR="00415A1F">
              <w:rPr>
                <w:b w:val="0"/>
              </w:rPr>
              <w:t>C.1</w:t>
            </w:r>
            <w:proofErr w:type="spellEnd"/>
            <w:r>
              <w:tab/>
            </w:r>
            <w:r w:rsidRPr="00D61E73">
              <w:t>Foreign direct investment</w:t>
            </w:r>
          </w:p>
        </w:tc>
      </w:tr>
      <w:tr w:rsidR="00D61E73" w:rsidTr="00D61E73">
        <w:trPr>
          <w:cantSplit/>
        </w:trPr>
        <w:tc>
          <w:tcPr>
            <w:tcW w:w="8771" w:type="dxa"/>
            <w:tcBorders>
              <w:top w:val="nil"/>
              <w:left w:val="nil"/>
              <w:bottom w:val="nil"/>
              <w:right w:val="nil"/>
            </w:tcBorders>
            <w:shd w:val="clear" w:color="auto" w:fill="D9EAF0"/>
          </w:tcPr>
          <w:p w:rsidR="00D61E73" w:rsidRDefault="00D61E73" w:rsidP="00D61E73">
            <w:pPr>
              <w:pStyle w:val="Box"/>
            </w:pPr>
            <w:r>
              <w:t xml:space="preserve">Foreign direct investment </w:t>
            </w:r>
            <w:r w:rsidR="00816E0B">
              <w:t>(</w:t>
            </w:r>
            <w:proofErr w:type="spellStart"/>
            <w:r w:rsidR="00816E0B">
              <w:t>FDI</w:t>
            </w:r>
            <w:proofErr w:type="spellEnd"/>
            <w:r w:rsidR="00816E0B">
              <w:t xml:space="preserve">) </w:t>
            </w:r>
            <w:r>
              <w:t xml:space="preserve">is made by a resident in one economy (the direct investor) with the objective of establishing a lasting interest in an enterprise (the direct investment enterprise) that is </w:t>
            </w:r>
            <w:r w:rsidR="009C519D">
              <w:t xml:space="preserve">located </w:t>
            </w:r>
            <w:r>
              <w:t xml:space="preserve">in </w:t>
            </w:r>
            <w:r w:rsidR="007868ED">
              <w:t xml:space="preserve">a different </w:t>
            </w:r>
            <w:r>
              <w:t>economy.</w:t>
            </w:r>
          </w:p>
          <w:p w:rsidR="00D61E73" w:rsidRDefault="00D61E73" w:rsidP="00D61E73">
            <w:pPr>
              <w:pStyle w:val="Box"/>
            </w:pPr>
            <w:r>
              <w:t xml:space="preserve">The objective of </w:t>
            </w:r>
            <w:proofErr w:type="spellStart"/>
            <w:r>
              <w:t>FDI</w:t>
            </w:r>
            <w:proofErr w:type="spellEnd"/>
            <w:r>
              <w:t xml:space="preserve"> is to establish a long-term strategic relationship with the direct investment enterprise that ensures a significant degree of influence by the direct investor in its management. Generally, a ‘lasting interest’ is evidenced when the direct investor owns at least 10</w:t>
            </w:r>
            <w:r w:rsidR="00A552E6">
              <w:t> </w:t>
            </w:r>
            <w:proofErr w:type="spellStart"/>
            <w:r w:rsidR="00A552E6">
              <w:t>percent</w:t>
            </w:r>
            <w:proofErr w:type="spellEnd"/>
            <w:r>
              <w:t xml:space="preserve"> of the voting power of the direct investment enterprise.</w:t>
            </w:r>
          </w:p>
          <w:p w:rsidR="00D61E73" w:rsidRDefault="00D61E73" w:rsidP="00D61E73">
            <w:pPr>
              <w:pStyle w:val="Box"/>
            </w:pPr>
            <w:proofErr w:type="spellStart"/>
            <w:r>
              <w:t>FDI</w:t>
            </w:r>
            <w:proofErr w:type="spellEnd"/>
            <w:r>
              <w:t xml:space="preserve"> differs from portfolio investment in that portfolio investors do not generally expect to directly influence the management of the enterprise.</w:t>
            </w:r>
          </w:p>
        </w:tc>
      </w:tr>
      <w:tr w:rsidR="00D61E73" w:rsidTr="00D61E73">
        <w:trPr>
          <w:cantSplit/>
        </w:trPr>
        <w:tc>
          <w:tcPr>
            <w:tcW w:w="8771" w:type="dxa"/>
            <w:tcBorders>
              <w:top w:val="nil"/>
              <w:left w:val="nil"/>
              <w:bottom w:val="nil"/>
              <w:right w:val="nil"/>
            </w:tcBorders>
            <w:shd w:val="clear" w:color="auto" w:fill="D9EAF0"/>
          </w:tcPr>
          <w:p w:rsidR="00D61E73" w:rsidRDefault="00D61E73">
            <w:pPr>
              <w:pStyle w:val="BoxSource"/>
            </w:pPr>
            <w:r>
              <w:rPr>
                <w:i/>
              </w:rPr>
              <w:t>Source</w:t>
            </w:r>
            <w:r w:rsidRPr="005701EB">
              <w:t xml:space="preserve">: </w:t>
            </w:r>
            <w:r>
              <w:t>OECD (2008).</w:t>
            </w:r>
          </w:p>
        </w:tc>
      </w:tr>
      <w:tr w:rsidR="00D61E73" w:rsidTr="00D61E73">
        <w:trPr>
          <w:cantSplit/>
        </w:trPr>
        <w:tc>
          <w:tcPr>
            <w:tcW w:w="8771" w:type="dxa"/>
            <w:tcBorders>
              <w:top w:val="nil"/>
              <w:left w:val="nil"/>
              <w:bottom w:val="nil"/>
              <w:right w:val="nil"/>
            </w:tcBorders>
            <w:shd w:val="clear" w:color="auto" w:fill="D9EAF0"/>
          </w:tcPr>
          <w:p w:rsidR="00D61E73" w:rsidRDefault="00D61E73">
            <w:pPr>
              <w:pStyle w:val="Box"/>
              <w:spacing w:before="0" w:line="120" w:lineRule="exact"/>
            </w:pPr>
          </w:p>
        </w:tc>
      </w:tr>
      <w:tr w:rsidR="00D423AB" w:rsidRPr="00D423AB" w:rsidTr="00D61E73">
        <w:tc>
          <w:tcPr>
            <w:tcW w:w="8771" w:type="dxa"/>
            <w:tcBorders>
              <w:top w:val="nil"/>
              <w:left w:val="nil"/>
              <w:bottom w:val="nil"/>
              <w:right w:val="nil"/>
            </w:tcBorders>
          </w:tcPr>
          <w:p w:rsidR="00D61E73" w:rsidRPr="00D423AB" w:rsidRDefault="00D61E73">
            <w:pPr>
              <w:pStyle w:val="Box"/>
              <w:keepNext w:val="0"/>
              <w:spacing w:before="60" w:after="60" w:line="80" w:lineRule="exact"/>
              <w:rPr>
                <w:b/>
                <w:color w:val="auto"/>
                <w:sz w:val="14"/>
              </w:rPr>
            </w:pPr>
          </w:p>
        </w:tc>
      </w:tr>
    </w:tbl>
    <w:p w:rsidR="0007228E" w:rsidRDefault="00FF5E36" w:rsidP="0007228E">
      <w:pPr>
        <w:pStyle w:val="Heading2"/>
      </w:pPr>
      <w:proofErr w:type="spellStart"/>
      <w:r>
        <w:lastRenderedPageBreak/>
        <w:t>C.</w:t>
      </w:r>
      <w:r w:rsidR="00E5348A">
        <w:t>1</w:t>
      </w:r>
      <w:proofErr w:type="spellEnd"/>
      <w:r w:rsidR="0007228E">
        <w:tab/>
      </w:r>
      <w:r w:rsidR="003841C1">
        <w:t xml:space="preserve">Trans-Tasman </w:t>
      </w:r>
      <w:r w:rsidR="00A47A9A">
        <w:t>direct investment</w:t>
      </w:r>
    </w:p>
    <w:p w:rsidR="00DB7828" w:rsidRDefault="001B55A0" w:rsidP="0007228E">
      <w:pPr>
        <w:pStyle w:val="BodyText"/>
      </w:pPr>
      <w:r w:rsidRPr="001B55A0">
        <w:t xml:space="preserve">There is a strong bilateral investment relationship between Australia and New Zealand. Australia is the largest </w:t>
      </w:r>
      <w:r w:rsidR="004816F6">
        <w:t xml:space="preserve">source of </w:t>
      </w:r>
      <w:r w:rsidRPr="001B55A0">
        <w:t>foreign invest</w:t>
      </w:r>
      <w:r w:rsidR="004816F6">
        <w:t>ment</w:t>
      </w:r>
      <w:r w:rsidRPr="001B55A0">
        <w:t xml:space="preserve"> in New Zealand </w:t>
      </w:r>
      <w:r w:rsidR="009E278E">
        <w:t xml:space="preserve">with </w:t>
      </w:r>
      <w:r w:rsidRPr="001B55A0">
        <w:t xml:space="preserve">investments worth around </w:t>
      </w:r>
      <w:proofErr w:type="spellStart"/>
      <w:r w:rsidR="00944BA4">
        <w:t>A$</w:t>
      </w:r>
      <w:r w:rsidRPr="001B55A0">
        <w:t>74</w:t>
      </w:r>
      <w:proofErr w:type="spellEnd"/>
      <w:r w:rsidR="003704E5">
        <w:t> billion</w:t>
      </w:r>
      <w:r w:rsidRPr="001B55A0">
        <w:t xml:space="preserve"> in 2010</w:t>
      </w:r>
      <w:r w:rsidR="00FA7162">
        <w:t>. O</w:t>
      </w:r>
      <w:r w:rsidRPr="001B55A0">
        <w:t xml:space="preserve">ver half of </w:t>
      </w:r>
      <w:r w:rsidR="00FA7162">
        <w:t>this</w:t>
      </w:r>
      <w:r w:rsidR="00FA7162" w:rsidRPr="001B55A0">
        <w:t xml:space="preserve"> </w:t>
      </w:r>
      <w:r w:rsidR="005C5C46">
        <w:t>(</w:t>
      </w:r>
      <w:proofErr w:type="spellStart"/>
      <w:r w:rsidR="00944BA4">
        <w:t>A$</w:t>
      </w:r>
      <w:r w:rsidR="005C5C46">
        <w:t>39</w:t>
      </w:r>
      <w:proofErr w:type="spellEnd"/>
      <w:r w:rsidR="003704E5">
        <w:t> billion</w:t>
      </w:r>
      <w:r w:rsidR="005C5C46">
        <w:t xml:space="preserve">) </w:t>
      </w:r>
      <w:r w:rsidRPr="001B55A0">
        <w:t>was classifie</w:t>
      </w:r>
      <w:r w:rsidR="000020EA">
        <w:t xml:space="preserve">d as </w:t>
      </w:r>
      <w:proofErr w:type="spellStart"/>
      <w:r w:rsidRPr="001B55A0">
        <w:t>FDI</w:t>
      </w:r>
      <w:proofErr w:type="spellEnd"/>
      <w:r w:rsidR="00FA1397">
        <w:t xml:space="preserve"> </w:t>
      </w:r>
      <w:r w:rsidR="009578CC">
        <w:t>(ABS 2012</w:t>
      </w:r>
      <w:r w:rsidRPr="001B55A0">
        <w:t xml:space="preserve">). In the other direction, New Zealand is Australia’s ninth largest source of foreign investment. New Zealanders held investments worth around </w:t>
      </w:r>
      <w:proofErr w:type="spellStart"/>
      <w:r w:rsidR="00944BA4">
        <w:t>NZ$</w:t>
      </w:r>
      <w:r w:rsidRPr="001B55A0">
        <w:t>34</w:t>
      </w:r>
      <w:proofErr w:type="spellEnd"/>
      <w:r w:rsidR="003704E5">
        <w:t> billion</w:t>
      </w:r>
      <w:r w:rsidRPr="001B55A0">
        <w:t xml:space="preserve"> in Australia</w:t>
      </w:r>
      <w:r w:rsidR="009E278E">
        <w:t xml:space="preserve"> in 2010</w:t>
      </w:r>
      <w:r w:rsidRPr="001B55A0">
        <w:t xml:space="preserve">, </w:t>
      </w:r>
      <w:r w:rsidR="00FA7162">
        <w:t xml:space="preserve">with </w:t>
      </w:r>
      <w:r w:rsidRPr="001B55A0">
        <w:t xml:space="preserve">just under one </w:t>
      </w:r>
      <w:r w:rsidR="00E93EE5">
        <w:t>fifth</w:t>
      </w:r>
      <w:r w:rsidR="00E93EE5" w:rsidRPr="001B55A0">
        <w:t xml:space="preserve"> </w:t>
      </w:r>
      <w:r w:rsidR="005C5C46">
        <w:t>(</w:t>
      </w:r>
      <w:proofErr w:type="spellStart"/>
      <w:r w:rsidR="00944BA4">
        <w:t>NZ</w:t>
      </w:r>
      <w:r w:rsidR="005C5C46" w:rsidRPr="001B55A0">
        <w:t>$</w:t>
      </w:r>
      <w:r w:rsidR="005C5C46">
        <w:t>6.5</w:t>
      </w:r>
      <w:proofErr w:type="spellEnd"/>
      <w:r w:rsidR="003704E5">
        <w:t> billion</w:t>
      </w:r>
      <w:r w:rsidR="005C5C46">
        <w:t xml:space="preserve">) </w:t>
      </w:r>
      <w:r w:rsidR="00FA7162">
        <w:t>being</w:t>
      </w:r>
      <w:r w:rsidR="00FA7162" w:rsidRPr="001B55A0">
        <w:t xml:space="preserve"> </w:t>
      </w:r>
      <w:proofErr w:type="spellStart"/>
      <w:r w:rsidRPr="001B55A0">
        <w:t>FDI</w:t>
      </w:r>
      <w:proofErr w:type="spellEnd"/>
      <w:r w:rsidRPr="001B55A0">
        <w:t xml:space="preserve"> (</w:t>
      </w:r>
      <w:r w:rsidR="00DE7873">
        <w:t xml:space="preserve">Statistics </w:t>
      </w:r>
      <w:r w:rsidRPr="001B55A0">
        <w:t>N</w:t>
      </w:r>
      <w:r w:rsidR="007868ED">
        <w:t xml:space="preserve">ew </w:t>
      </w:r>
      <w:r w:rsidRPr="001B55A0">
        <w:t>Z</w:t>
      </w:r>
      <w:r w:rsidR="007868ED">
        <w:t>ealand</w:t>
      </w:r>
      <w:r w:rsidRPr="001B55A0">
        <w:t xml:space="preserve"> 2011).</w:t>
      </w:r>
    </w:p>
    <w:p w:rsidR="00DB7828" w:rsidRDefault="001802AC" w:rsidP="0007228E">
      <w:pPr>
        <w:pStyle w:val="BodyText"/>
      </w:pPr>
      <w:r>
        <w:t xml:space="preserve">Between </w:t>
      </w:r>
      <w:r w:rsidR="00EA44A5">
        <w:t xml:space="preserve">1991-92 and 2010, </w:t>
      </w:r>
      <w:r w:rsidR="00DB7828">
        <w:t xml:space="preserve">the flow of New Zealand </w:t>
      </w:r>
      <w:proofErr w:type="spellStart"/>
      <w:r w:rsidR="00DB7828">
        <w:t>FDI</w:t>
      </w:r>
      <w:proofErr w:type="spellEnd"/>
      <w:r w:rsidR="00DB7828">
        <w:t xml:space="preserve"> into Australia </w:t>
      </w:r>
      <w:r w:rsidR="00F41F21">
        <w:t xml:space="preserve">alternated </w:t>
      </w:r>
      <w:r w:rsidR="00DB7828">
        <w:t xml:space="preserve">between </w:t>
      </w:r>
      <w:r w:rsidR="00F41F21">
        <w:t xml:space="preserve">periods of </w:t>
      </w:r>
      <w:r w:rsidR="00DB7828">
        <w:t xml:space="preserve">net inflows and </w:t>
      </w:r>
      <w:r w:rsidR="00F41F21">
        <w:t xml:space="preserve">net </w:t>
      </w:r>
      <w:r w:rsidR="00DB7828">
        <w:t>outflows</w:t>
      </w:r>
      <w:r w:rsidR="00F41F21">
        <w:t xml:space="preserve"> </w:t>
      </w:r>
      <w:r w:rsidR="00344377">
        <w:t>while t</w:t>
      </w:r>
      <w:r w:rsidR="00DB7828" w:rsidRPr="00CE645A">
        <w:t xml:space="preserve">he </w:t>
      </w:r>
      <w:r w:rsidR="00F41F21">
        <w:t xml:space="preserve">total </w:t>
      </w:r>
      <w:r w:rsidR="00DB7828">
        <w:t xml:space="preserve">stock of </w:t>
      </w:r>
      <w:r w:rsidR="00DB7828" w:rsidRPr="00CE645A">
        <w:t>N</w:t>
      </w:r>
      <w:r w:rsidR="00DB7828">
        <w:t xml:space="preserve">ew </w:t>
      </w:r>
      <w:r w:rsidR="00DB7828" w:rsidRPr="00CE645A">
        <w:t>Z</w:t>
      </w:r>
      <w:r w:rsidR="00DB7828">
        <w:t xml:space="preserve">ealand </w:t>
      </w:r>
      <w:proofErr w:type="spellStart"/>
      <w:r w:rsidR="00DB7828">
        <w:t>FDI</w:t>
      </w:r>
      <w:proofErr w:type="spellEnd"/>
      <w:r w:rsidR="00DB7828">
        <w:t xml:space="preserve"> in </w:t>
      </w:r>
      <w:r w:rsidR="00A94083">
        <w:t>Australia</w:t>
      </w:r>
      <w:r w:rsidR="00DB7828" w:rsidRPr="00CE645A">
        <w:t xml:space="preserve"> </w:t>
      </w:r>
      <w:r w:rsidR="003121EA">
        <w:t>fluctuated</w:t>
      </w:r>
      <w:r w:rsidR="00DB7828">
        <w:t xml:space="preserve"> </w:t>
      </w:r>
      <w:r w:rsidR="00DB7828" w:rsidRPr="00CE645A">
        <w:t>between</w:t>
      </w:r>
      <w:r w:rsidR="00DB7828">
        <w:t xml:space="preserve"> </w:t>
      </w:r>
      <w:proofErr w:type="spellStart"/>
      <w:r w:rsidR="00A94083">
        <w:t>A</w:t>
      </w:r>
      <w:r w:rsidR="003D518E">
        <w:t>$6</w:t>
      </w:r>
      <w:proofErr w:type="spellEnd"/>
      <w:r w:rsidR="003704E5">
        <w:t> billion</w:t>
      </w:r>
      <w:r w:rsidR="00A94083">
        <w:t xml:space="preserve"> and </w:t>
      </w:r>
      <w:proofErr w:type="spellStart"/>
      <w:r w:rsidR="00A94083">
        <w:t>A</w:t>
      </w:r>
      <w:r w:rsidR="003D518E">
        <w:t>$11</w:t>
      </w:r>
      <w:proofErr w:type="spellEnd"/>
      <w:r w:rsidR="003704E5">
        <w:t> billion</w:t>
      </w:r>
      <w:r w:rsidR="003F0C6A">
        <w:t xml:space="preserve"> (figure</w:t>
      </w:r>
      <w:r w:rsidR="008211C6">
        <w:t>s</w:t>
      </w:r>
      <w:r w:rsidR="00A552E6">
        <w:t> </w:t>
      </w:r>
      <w:proofErr w:type="spellStart"/>
      <w:r w:rsidR="000F1BA1">
        <w:t>C.1</w:t>
      </w:r>
      <w:proofErr w:type="spellEnd"/>
      <w:r w:rsidR="000F1BA1">
        <w:t xml:space="preserve"> and </w:t>
      </w:r>
      <w:proofErr w:type="spellStart"/>
      <w:r w:rsidR="00843192">
        <w:t>C</w:t>
      </w:r>
      <w:r w:rsidR="00DB7828" w:rsidRPr="00CE645A">
        <w:t>.2</w:t>
      </w:r>
      <w:proofErr w:type="spellEnd"/>
      <w:r w:rsidR="00DB7828" w:rsidRPr="00CE645A">
        <w:t>).</w:t>
      </w:r>
      <w:r w:rsidR="003F0C6A">
        <w:t xml:space="preserve"> </w:t>
      </w:r>
      <w:r w:rsidR="002214A5">
        <w:t>In the other direction,</w:t>
      </w:r>
      <w:r w:rsidR="00344377">
        <w:t xml:space="preserve"> the </w:t>
      </w:r>
      <w:r w:rsidR="002214A5">
        <w:t xml:space="preserve">flow of </w:t>
      </w:r>
      <w:r w:rsidR="003121EA">
        <w:t xml:space="preserve">Australian </w:t>
      </w:r>
      <w:proofErr w:type="spellStart"/>
      <w:r w:rsidR="00D15A26">
        <w:t>FDI</w:t>
      </w:r>
      <w:proofErr w:type="spellEnd"/>
      <w:r w:rsidR="00D15A26">
        <w:t xml:space="preserve"> in</w:t>
      </w:r>
      <w:r w:rsidR="002214A5">
        <w:t>to</w:t>
      </w:r>
      <w:r w:rsidR="00511591">
        <w:t xml:space="preserve"> New Zealand </w:t>
      </w:r>
      <w:r w:rsidR="003121EA">
        <w:t>alternated</w:t>
      </w:r>
      <w:r w:rsidR="003F0C6A">
        <w:t xml:space="preserve"> between net inflows and outflows from 1991-92 to 2002. From </w:t>
      </w:r>
      <w:r w:rsidR="00511591">
        <w:t>2003</w:t>
      </w:r>
      <w:r w:rsidR="00DB7828">
        <w:t xml:space="preserve"> </w:t>
      </w:r>
      <w:r w:rsidR="00344377">
        <w:t>to 2010</w:t>
      </w:r>
      <w:r w:rsidR="00DB7828" w:rsidRPr="00CE645A">
        <w:t>,</w:t>
      </w:r>
      <w:r w:rsidR="00BB5CBA">
        <w:t xml:space="preserve"> </w:t>
      </w:r>
      <w:r w:rsidR="00B70D0C">
        <w:t xml:space="preserve">net </w:t>
      </w:r>
      <w:r w:rsidR="003121EA">
        <w:t>in</w:t>
      </w:r>
      <w:r w:rsidR="00DB7828">
        <w:t>flows</w:t>
      </w:r>
      <w:r w:rsidR="00DB7828" w:rsidRPr="00CE645A">
        <w:t xml:space="preserve"> </w:t>
      </w:r>
      <w:r w:rsidR="00DB7828">
        <w:t xml:space="preserve">of Australian </w:t>
      </w:r>
      <w:proofErr w:type="spellStart"/>
      <w:r w:rsidR="00344377">
        <w:t>FDI</w:t>
      </w:r>
      <w:proofErr w:type="spellEnd"/>
      <w:r w:rsidR="00344377">
        <w:t xml:space="preserve"> into New Zealand </w:t>
      </w:r>
      <w:r w:rsidR="003F0C6A">
        <w:t>contributed</w:t>
      </w:r>
      <w:r w:rsidR="00DB7828">
        <w:t xml:space="preserve"> to an </w:t>
      </w:r>
      <w:r w:rsidR="00DB7828" w:rsidRPr="00CE645A">
        <w:t xml:space="preserve">increase in </w:t>
      </w:r>
      <w:r w:rsidR="003121EA">
        <w:t xml:space="preserve">the stock of </w:t>
      </w:r>
      <w:r w:rsidR="003F0C6A">
        <w:t>Australian</w:t>
      </w:r>
      <w:r w:rsidR="00DB7828" w:rsidRPr="00CE645A">
        <w:t xml:space="preserve"> </w:t>
      </w:r>
      <w:proofErr w:type="spellStart"/>
      <w:r w:rsidR="00DB7828" w:rsidRPr="00CE645A">
        <w:t>FDI</w:t>
      </w:r>
      <w:proofErr w:type="spellEnd"/>
      <w:r w:rsidR="00DB7828" w:rsidRPr="00CE645A">
        <w:t xml:space="preserve"> </w:t>
      </w:r>
      <w:r w:rsidR="003121EA">
        <w:t xml:space="preserve">in New Zealand </w:t>
      </w:r>
      <w:r w:rsidR="00DB7828">
        <w:t xml:space="preserve">from </w:t>
      </w:r>
      <w:r w:rsidR="00944BA4">
        <w:t xml:space="preserve">around </w:t>
      </w:r>
      <w:proofErr w:type="spellStart"/>
      <w:r w:rsidR="00DB7828">
        <w:t>A$25</w:t>
      </w:r>
      <w:proofErr w:type="spellEnd"/>
      <w:r w:rsidR="003704E5">
        <w:t> billion</w:t>
      </w:r>
      <w:r w:rsidR="00DB7828" w:rsidRPr="00CE645A">
        <w:t xml:space="preserve"> </w:t>
      </w:r>
      <w:r w:rsidR="00944BA4">
        <w:t xml:space="preserve">to </w:t>
      </w:r>
      <w:proofErr w:type="spellStart"/>
      <w:r w:rsidR="00944BA4">
        <w:t>A$39</w:t>
      </w:r>
      <w:proofErr w:type="spellEnd"/>
      <w:r w:rsidR="003704E5">
        <w:t> billion</w:t>
      </w:r>
      <w:r w:rsidR="00DB7828">
        <w:t xml:space="preserve"> </w:t>
      </w:r>
      <w:r w:rsidR="00DB7828" w:rsidRPr="00CE645A">
        <w:t>(figure</w:t>
      </w:r>
      <w:r w:rsidR="00DB7828">
        <w:t>s</w:t>
      </w:r>
      <w:r w:rsidR="00A552E6">
        <w:t> </w:t>
      </w:r>
      <w:proofErr w:type="spellStart"/>
      <w:r w:rsidR="00843192">
        <w:t>C</w:t>
      </w:r>
      <w:r w:rsidR="00DB7828" w:rsidRPr="00CE645A">
        <w:t>.1</w:t>
      </w:r>
      <w:proofErr w:type="spellEnd"/>
      <w:r w:rsidR="00843192">
        <w:t xml:space="preserve"> and </w:t>
      </w:r>
      <w:proofErr w:type="spellStart"/>
      <w:r w:rsidR="00843192">
        <w:t>C</w:t>
      </w:r>
      <w:r w:rsidR="009102A2">
        <w:t>.2</w:t>
      </w:r>
      <w:proofErr w:type="spellEnd"/>
      <w:r w:rsidR="009102A2">
        <w:t>).</w:t>
      </w:r>
    </w:p>
    <w:p w:rsidR="008E2E04" w:rsidRDefault="008E2E04" w:rsidP="008E2E04">
      <w:pPr>
        <w:pStyle w:val="FigureTitle"/>
      </w:pPr>
      <w:r>
        <w:rPr>
          <w:b w:val="0"/>
        </w:rPr>
        <w:t xml:space="preserve">Figure </w:t>
      </w:r>
      <w:proofErr w:type="spellStart"/>
      <w:r w:rsidR="00E5348A">
        <w:rPr>
          <w:b w:val="0"/>
        </w:rPr>
        <w:t>C.1</w:t>
      </w:r>
      <w:proofErr w:type="spellEnd"/>
      <w:r>
        <w:tab/>
        <w:t xml:space="preserve">Trans-Tasman </w:t>
      </w:r>
      <w:r w:rsidR="00927805">
        <w:t xml:space="preserve">net </w:t>
      </w:r>
      <w:r w:rsidR="00EB04A2">
        <w:t>flow</w:t>
      </w:r>
      <w:r w:rsidR="009578CC">
        <w:t>s</w:t>
      </w:r>
      <w:r w:rsidR="00AE6F1C">
        <w:t xml:space="preserve"> of foreign direct investment</w:t>
      </w:r>
      <w:r w:rsidR="00286998">
        <w:t xml:space="preserve">, </w:t>
      </w:r>
      <w:r w:rsidR="00541615">
        <w:t>1991</w:t>
      </w:r>
      <w:r w:rsidR="00541615">
        <w:noBreakHyphen/>
      </w:r>
      <w:r w:rsidR="00EA44A5">
        <w:t>2010</w:t>
      </w:r>
      <w:r w:rsidR="00286998">
        <w:t xml:space="preserve">, </w:t>
      </w:r>
      <w:r w:rsidR="00944BA4">
        <w:t>2010 prices</w:t>
      </w:r>
      <w:r w:rsidR="0076020C" w:rsidRPr="00AE6F1C">
        <w:rPr>
          <w:rStyle w:val="NoteLabel"/>
          <w:b/>
        </w:rPr>
        <w:t>a</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8E2E04" w:rsidTr="0091214E">
        <w:tc>
          <w:tcPr>
            <w:tcW w:w="8777" w:type="dxa"/>
          </w:tcPr>
          <w:p w:rsidR="008E2E04" w:rsidRDefault="006E0228" w:rsidP="008E2E04">
            <w:pPr>
              <w:pStyle w:val="Figur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C.1: Trans-Tasman net annual flows of foreign direct investment from 1991-2010 in 2010 prices. Between 1991 and 2010, the flow of New Zealand FDI into Australia alternated between periods of net inflows and net outflows. The flow of Australian FDI into New Zealand alternated between net inflows and outflows from 1991 to 2002. From 2003 to 2010, there were strong  inflows of Australian FDI into New Zealand." style="width:424.9pt;height:226.65pt;mso-position-horizontal:absolute">
                  <v:imagedata r:id="rId9" o:title=""/>
                </v:shape>
              </w:pict>
            </w:r>
          </w:p>
        </w:tc>
      </w:tr>
    </w:tbl>
    <w:p w:rsidR="0091214E" w:rsidRDefault="0091214E" w:rsidP="008E2E04">
      <w:pPr>
        <w:pStyle w:val="Source"/>
      </w:pPr>
      <w:r w:rsidRPr="005D3C71">
        <w:rPr>
          <w:rStyle w:val="NoteLabel"/>
        </w:rPr>
        <w:t>a</w:t>
      </w:r>
      <w:r w:rsidR="00944BA4">
        <w:t xml:space="preserve"> </w:t>
      </w:r>
      <w:r w:rsidR="00AE6F1C">
        <w:t>Net flows of foreign direct investment</w:t>
      </w:r>
      <w:r w:rsidR="00491CE1">
        <w:t xml:space="preserve"> </w:t>
      </w:r>
      <w:r w:rsidR="00A54493">
        <w:t>are</w:t>
      </w:r>
      <w:r w:rsidR="00491CE1">
        <w:t xml:space="preserve"> equal to total inflows minus total outflows. </w:t>
      </w:r>
      <w:r w:rsidR="00AE6F1C">
        <w:t>Data from 1991</w:t>
      </w:r>
      <w:r w:rsidR="00AE6F1C">
        <w:noBreakHyphen/>
      </w:r>
      <w:r>
        <w:t xml:space="preserve">92 to 1999-2000 </w:t>
      </w:r>
      <w:r w:rsidR="00585D77">
        <w:t>are</w:t>
      </w:r>
      <w:r>
        <w:t xml:space="preserve"> for financial years ending 30 June. Data from 2001 onwards </w:t>
      </w:r>
      <w:r w:rsidR="00585D77">
        <w:t xml:space="preserve">are </w:t>
      </w:r>
      <w:r>
        <w:t>for calendar years ending 31 December.</w:t>
      </w:r>
    </w:p>
    <w:p w:rsidR="008E2E04" w:rsidRPr="000D4BF7" w:rsidRDefault="00C01300" w:rsidP="000D4BF7">
      <w:pPr>
        <w:pStyle w:val="Source"/>
      </w:pPr>
      <w:r>
        <w:rPr>
          <w:i/>
        </w:rPr>
        <w:t>S</w:t>
      </w:r>
      <w:r w:rsidR="008E2E04">
        <w:rPr>
          <w:i/>
        </w:rPr>
        <w:t>ource</w:t>
      </w:r>
      <w:r w:rsidR="00047400">
        <w:rPr>
          <w:i/>
        </w:rPr>
        <w:t>s</w:t>
      </w:r>
      <w:r w:rsidR="008E2E04" w:rsidRPr="005701EB">
        <w:t>:</w:t>
      </w:r>
      <w:r w:rsidR="008E2E04" w:rsidRPr="00167F06">
        <w:t xml:space="preserve"> </w:t>
      </w:r>
      <w:r w:rsidR="008E2E04">
        <w:t xml:space="preserve">ABS </w:t>
      </w:r>
      <w:r>
        <w:t>(</w:t>
      </w:r>
      <w:r w:rsidR="008E2E04">
        <w:t>20</w:t>
      </w:r>
      <w:r w:rsidR="00031FDC">
        <w:t>01</w:t>
      </w:r>
      <w:r w:rsidR="00AE6F1C">
        <w:t xml:space="preserve">, </w:t>
      </w:r>
      <w:r w:rsidR="00031FDC">
        <w:t>2012</w:t>
      </w:r>
      <w:r>
        <w:t>)</w:t>
      </w:r>
      <w:r w:rsidR="00286998">
        <w:t>.</w:t>
      </w:r>
    </w:p>
    <w:p w:rsidR="005C5C46" w:rsidRDefault="005C5C46">
      <w:pPr>
        <w:pStyle w:val="FigureTitle"/>
      </w:pPr>
      <w:r>
        <w:rPr>
          <w:b w:val="0"/>
        </w:rPr>
        <w:lastRenderedPageBreak/>
        <w:t xml:space="preserve">Figure </w:t>
      </w:r>
      <w:proofErr w:type="spellStart"/>
      <w:r w:rsidR="00E5348A">
        <w:rPr>
          <w:b w:val="0"/>
        </w:rPr>
        <w:t>C.2</w:t>
      </w:r>
      <w:proofErr w:type="spellEnd"/>
      <w:r>
        <w:tab/>
      </w:r>
      <w:r w:rsidR="00DA0229">
        <w:t>Trans-Tasman stock</w:t>
      </w:r>
      <w:r w:rsidR="009578CC">
        <w:t xml:space="preserve">s of </w:t>
      </w:r>
      <w:r w:rsidR="00541615">
        <w:t>foreign direct investment</w:t>
      </w:r>
      <w:r w:rsidR="00921CC4">
        <w:t>, 1991-2010</w:t>
      </w:r>
      <w:r w:rsidR="00541615">
        <w:t xml:space="preserve">, </w:t>
      </w:r>
      <w:r w:rsidR="00944BA4">
        <w:t>2010 prices</w:t>
      </w:r>
      <w:proofErr w:type="spellStart"/>
      <w:r w:rsidR="00B55355" w:rsidRPr="005D3C71">
        <w:rPr>
          <w:rStyle w:val="NoteLabel"/>
          <w:b/>
        </w:rPr>
        <w:t>a,b</w:t>
      </w:r>
      <w:proofErr w:type="spellEnd"/>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5C5C46" w:rsidTr="00D2083B">
        <w:tc>
          <w:tcPr>
            <w:tcW w:w="8777" w:type="dxa"/>
          </w:tcPr>
          <w:p w:rsidR="005C5C46" w:rsidRDefault="006E0228">
            <w:pPr>
              <w:pStyle w:val="Figure"/>
            </w:pPr>
            <w:r>
              <w:rPr>
                <w:noProof/>
              </w:rPr>
              <w:pict>
                <v:shape id="_x0000_i1026" type="#_x0000_t75" alt="Figure C.2: Trans-Tasman stocks of FDI  from 1991-2010 in 2010 prices. Between 1991-92 and 2010 the total stock of New Zealand FDI in Australia fluctuated between A$6 billion and A$11 billion. Over the same period there was an increase in the stock of Australian FDI in New Zealand from around A$10 billion to A$39 billion." style="width:425.8pt;height:225.8pt;mso-position-vertical:absolute">
                  <v:imagedata r:id="rId10" o:title=""/>
                </v:shape>
              </w:pict>
            </w:r>
          </w:p>
        </w:tc>
      </w:tr>
    </w:tbl>
    <w:p w:rsidR="005C5C46" w:rsidRDefault="005C5C46">
      <w:pPr>
        <w:pStyle w:val="Note"/>
      </w:pPr>
      <w:proofErr w:type="spellStart"/>
      <w:r>
        <w:rPr>
          <w:rStyle w:val="NoteLabel"/>
        </w:rPr>
        <w:t>a</w:t>
      </w:r>
      <w:proofErr w:type="spellEnd"/>
      <w:r w:rsidR="00944BA4">
        <w:t xml:space="preserve"> </w:t>
      </w:r>
      <w:r w:rsidR="001F126D" w:rsidRPr="001F126D">
        <w:t xml:space="preserve">The ‘stock’ of </w:t>
      </w:r>
      <w:r w:rsidR="002E3264">
        <w:t>foreign direct investment (</w:t>
      </w:r>
      <w:proofErr w:type="spellStart"/>
      <w:r w:rsidR="001F126D" w:rsidRPr="001F126D">
        <w:t>FDI</w:t>
      </w:r>
      <w:proofErr w:type="spellEnd"/>
      <w:r w:rsidR="002E3264">
        <w:t>)</w:t>
      </w:r>
      <w:r w:rsidR="001F126D" w:rsidRPr="001F126D">
        <w:t xml:space="preserve"> is a measure of all such investment at a point in time. </w:t>
      </w:r>
      <w:r w:rsidR="001F126D">
        <w:t xml:space="preserve">Data from 1991-92 to 1999-2000 </w:t>
      </w:r>
      <w:r w:rsidR="00DD7EB4">
        <w:t>are</w:t>
      </w:r>
      <w:r w:rsidR="001F126D">
        <w:t xml:space="preserve"> for financial years ending 30 June. Data from 2001 onwards </w:t>
      </w:r>
      <w:r w:rsidR="00DD7EB4">
        <w:t>are</w:t>
      </w:r>
      <w:r w:rsidR="001F126D">
        <w:t xml:space="preserve"> for calendar years ending 31 December. </w:t>
      </w:r>
      <w:r w:rsidR="001F126D">
        <w:rPr>
          <w:rStyle w:val="NoteLabel"/>
        </w:rPr>
        <w:t>b</w:t>
      </w:r>
      <w:r w:rsidR="003704E5">
        <w:t> </w:t>
      </w:r>
      <w:r w:rsidR="00805F00">
        <w:t xml:space="preserve">The level of stock can vary with </w:t>
      </w:r>
      <w:proofErr w:type="spellStart"/>
      <w:r w:rsidR="001F126D" w:rsidRPr="001F126D">
        <w:t>FDI</w:t>
      </w:r>
      <w:proofErr w:type="spellEnd"/>
      <w:r w:rsidR="001F126D" w:rsidRPr="001F126D">
        <w:t xml:space="preserve"> </w:t>
      </w:r>
      <w:r w:rsidR="00047400">
        <w:t>flows</w:t>
      </w:r>
      <w:r w:rsidR="00047400" w:rsidRPr="001F126D">
        <w:t xml:space="preserve"> </w:t>
      </w:r>
      <w:r w:rsidR="00047400">
        <w:t xml:space="preserve">as well as </w:t>
      </w:r>
      <w:r w:rsidR="00EA44A5">
        <w:t xml:space="preserve">changes in </w:t>
      </w:r>
      <w:r w:rsidR="002B3FB3">
        <w:t>asset</w:t>
      </w:r>
      <w:r w:rsidR="00DE7873">
        <w:t xml:space="preserve"> price</w:t>
      </w:r>
      <w:r w:rsidR="002B3FB3">
        <w:t>s</w:t>
      </w:r>
      <w:r w:rsidR="00047400">
        <w:t xml:space="preserve"> and</w:t>
      </w:r>
      <w:r w:rsidR="00DE7873">
        <w:t xml:space="preserve"> exchange </w:t>
      </w:r>
      <w:r w:rsidR="00B55355">
        <w:t>rates</w:t>
      </w:r>
      <w:r w:rsidR="00DE7873">
        <w:t>.</w:t>
      </w:r>
    </w:p>
    <w:p w:rsidR="005C5C46" w:rsidRDefault="00152E58" w:rsidP="0013571A">
      <w:pPr>
        <w:pStyle w:val="Source"/>
      </w:pPr>
      <w:r>
        <w:rPr>
          <w:i/>
        </w:rPr>
        <w:t>S</w:t>
      </w:r>
      <w:r w:rsidR="005C5C46">
        <w:rPr>
          <w:i/>
        </w:rPr>
        <w:t>ource</w:t>
      </w:r>
      <w:r w:rsidR="00D2083B">
        <w:rPr>
          <w:i/>
        </w:rPr>
        <w:t>s</w:t>
      </w:r>
      <w:r w:rsidR="005C5C46" w:rsidRPr="00167F06">
        <w:t xml:space="preserve">: </w:t>
      </w:r>
      <w:r>
        <w:t xml:space="preserve">ABS </w:t>
      </w:r>
      <w:r w:rsidR="00D2083B">
        <w:t>(</w:t>
      </w:r>
      <w:r w:rsidR="00031FDC">
        <w:t>2001</w:t>
      </w:r>
      <w:r w:rsidR="00541615">
        <w:t xml:space="preserve">, </w:t>
      </w:r>
      <w:r w:rsidR="00031FDC">
        <w:t>2012</w:t>
      </w:r>
      <w:r w:rsidR="000C06A8">
        <w:t>).</w:t>
      </w:r>
    </w:p>
    <w:p w:rsidR="00CE645A" w:rsidRPr="003704E5" w:rsidRDefault="00CE645A" w:rsidP="003704E5">
      <w:pPr>
        <w:pStyle w:val="BodyText"/>
      </w:pPr>
      <w:r w:rsidRPr="003704E5">
        <w:t xml:space="preserve">In 2010, Australia </w:t>
      </w:r>
      <w:r w:rsidR="00FA7162">
        <w:t>accounted for</w:t>
      </w:r>
      <w:r w:rsidR="00FA7162" w:rsidRPr="003704E5">
        <w:t xml:space="preserve"> </w:t>
      </w:r>
      <w:r w:rsidR="003E2EB0" w:rsidRPr="003704E5">
        <w:t xml:space="preserve">around </w:t>
      </w:r>
      <w:r w:rsidR="00944BA4" w:rsidRPr="003704E5">
        <w:t>53</w:t>
      </w:r>
      <w:r w:rsidR="003704E5" w:rsidRPr="003704E5">
        <w:t> </w:t>
      </w:r>
      <w:proofErr w:type="spellStart"/>
      <w:r w:rsidR="003704E5" w:rsidRPr="003704E5">
        <w:t>percent</w:t>
      </w:r>
      <w:proofErr w:type="spellEnd"/>
      <w:r w:rsidRPr="003704E5">
        <w:t xml:space="preserve"> of all </w:t>
      </w:r>
      <w:proofErr w:type="spellStart"/>
      <w:r w:rsidRPr="003704E5">
        <w:t>FDI</w:t>
      </w:r>
      <w:proofErr w:type="spellEnd"/>
      <w:r w:rsidRPr="003704E5">
        <w:t xml:space="preserve"> in N</w:t>
      </w:r>
      <w:r w:rsidR="007D1BD4" w:rsidRPr="003704E5">
        <w:t xml:space="preserve">ew </w:t>
      </w:r>
      <w:r w:rsidRPr="003704E5">
        <w:t>Z</w:t>
      </w:r>
      <w:r w:rsidR="007D1BD4" w:rsidRPr="003704E5">
        <w:t>ealand</w:t>
      </w:r>
      <w:r w:rsidRPr="003704E5">
        <w:t xml:space="preserve"> (about </w:t>
      </w:r>
      <w:proofErr w:type="spellStart"/>
      <w:r w:rsidRPr="003704E5">
        <w:t>NZ$49.7</w:t>
      </w:r>
      <w:proofErr w:type="spellEnd"/>
      <w:r w:rsidR="003704E5" w:rsidRPr="003704E5">
        <w:t> billion</w:t>
      </w:r>
      <w:r w:rsidRPr="003704E5">
        <w:t xml:space="preserve"> </w:t>
      </w:r>
      <w:r w:rsidR="00585D77">
        <w:t>from</w:t>
      </w:r>
      <w:r w:rsidR="00585D77" w:rsidRPr="003704E5">
        <w:t xml:space="preserve"> </w:t>
      </w:r>
      <w:r w:rsidRPr="003704E5">
        <w:t xml:space="preserve">a total of </w:t>
      </w:r>
      <w:proofErr w:type="spellStart"/>
      <w:r w:rsidRPr="003704E5">
        <w:t>NZ$93.8</w:t>
      </w:r>
      <w:proofErr w:type="spellEnd"/>
      <w:r w:rsidR="003704E5" w:rsidRPr="003704E5">
        <w:t> billion</w:t>
      </w:r>
      <w:r w:rsidRPr="003704E5">
        <w:t xml:space="preserve">) (figure </w:t>
      </w:r>
      <w:proofErr w:type="spellStart"/>
      <w:r w:rsidR="00843192" w:rsidRPr="003704E5">
        <w:t>C</w:t>
      </w:r>
      <w:r w:rsidR="00B6180C" w:rsidRPr="003704E5">
        <w:t>.</w:t>
      </w:r>
      <w:r w:rsidRPr="003704E5">
        <w:t>3a</w:t>
      </w:r>
      <w:proofErr w:type="spellEnd"/>
      <w:r w:rsidRPr="003704E5">
        <w:t>). This represent</w:t>
      </w:r>
      <w:r w:rsidR="00944BA4" w:rsidRPr="003704E5">
        <w:t>ed around 11</w:t>
      </w:r>
      <w:r w:rsidR="003704E5" w:rsidRPr="003704E5">
        <w:t> </w:t>
      </w:r>
      <w:proofErr w:type="spellStart"/>
      <w:r w:rsidR="003704E5" w:rsidRPr="003704E5">
        <w:t>percent</w:t>
      </w:r>
      <w:proofErr w:type="spellEnd"/>
      <w:r w:rsidR="002B3FB3" w:rsidRPr="003704E5">
        <w:t xml:space="preserve"> of Australia’s </w:t>
      </w:r>
      <w:r w:rsidR="001B0A6C">
        <w:t>outward</w:t>
      </w:r>
      <w:r w:rsidR="005144A6">
        <w:t xml:space="preserve"> </w:t>
      </w:r>
      <w:proofErr w:type="spellStart"/>
      <w:r w:rsidR="007D1BD4" w:rsidRPr="003704E5">
        <w:t>FDI</w:t>
      </w:r>
      <w:proofErr w:type="spellEnd"/>
      <w:r w:rsidR="007D1BD4" w:rsidRPr="003704E5">
        <w:t xml:space="preserve"> </w:t>
      </w:r>
      <w:r w:rsidRPr="003704E5">
        <w:t>(figure</w:t>
      </w:r>
      <w:r w:rsidR="000B3106">
        <w:t> </w:t>
      </w:r>
      <w:proofErr w:type="spellStart"/>
      <w:r w:rsidR="00843192" w:rsidRPr="003704E5">
        <w:t>C</w:t>
      </w:r>
      <w:r w:rsidR="00B6180C" w:rsidRPr="003704E5">
        <w:t>.</w:t>
      </w:r>
      <w:r w:rsidR="000B3106">
        <w:t>4</w:t>
      </w:r>
      <w:r w:rsidR="00B6180C" w:rsidRPr="003704E5">
        <w:t>b</w:t>
      </w:r>
      <w:proofErr w:type="spellEnd"/>
      <w:r w:rsidRPr="003704E5">
        <w:t xml:space="preserve">). </w:t>
      </w:r>
      <w:r w:rsidR="00CA7FDC" w:rsidRPr="003704E5">
        <w:t>In the</w:t>
      </w:r>
      <w:r w:rsidRPr="003704E5">
        <w:t xml:space="preserve"> same year, New Zealand </w:t>
      </w:r>
      <w:r w:rsidR="003728D7">
        <w:t>accounted for</w:t>
      </w:r>
      <w:r w:rsidR="00944BA4" w:rsidRPr="003704E5">
        <w:t xml:space="preserve"> around 1.4</w:t>
      </w:r>
      <w:r w:rsidR="003704E5" w:rsidRPr="003704E5">
        <w:t> </w:t>
      </w:r>
      <w:proofErr w:type="spellStart"/>
      <w:r w:rsidR="003704E5" w:rsidRPr="003704E5">
        <w:t>percent</w:t>
      </w:r>
      <w:proofErr w:type="spellEnd"/>
      <w:r w:rsidRPr="003704E5">
        <w:t xml:space="preserve"> of a</w:t>
      </w:r>
      <w:r w:rsidR="002B3FB3" w:rsidRPr="003704E5">
        <w:t xml:space="preserve">ll </w:t>
      </w:r>
      <w:proofErr w:type="spellStart"/>
      <w:r w:rsidR="002B3FB3" w:rsidRPr="003704E5">
        <w:t>FDI</w:t>
      </w:r>
      <w:proofErr w:type="spellEnd"/>
      <w:r w:rsidR="002B3FB3" w:rsidRPr="003704E5">
        <w:t xml:space="preserve"> in Australia (about </w:t>
      </w:r>
      <w:proofErr w:type="spellStart"/>
      <w:r w:rsidR="002B3FB3" w:rsidRPr="003704E5">
        <w:t>A$6.5</w:t>
      </w:r>
      <w:proofErr w:type="spellEnd"/>
      <w:r w:rsidR="003704E5" w:rsidRPr="003704E5">
        <w:t> billion</w:t>
      </w:r>
      <w:r w:rsidR="00F507C2" w:rsidRPr="003704E5">
        <w:t xml:space="preserve"> </w:t>
      </w:r>
      <w:r w:rsidR="00585D77">
        <w:t>from</w:t>
      </w:r>
      <w:r w:rsidR="00585D77" w:rsidRPr="003704E5">
        <w:t xml:space="preserve"> </w:t>
      </w:r>
      <w:r w:rsidR="00F507C2" w:rsidRPr="003704E5">
        <w:t xml:space="preserve">a total of </w:t>
      </w:r>
      <w:proofErr w:type="spellStart"/>
      <w:r w:rsidR="00F507C2" w:rsidRPr="003704E5">
        <w:t>A$473.7</w:t>
      </w:r>
      <w:proofErr w:type="spellEnd"/>
      <w:r w:rsidR="003704E5" w:rsidRPr="003704E5">
        <w:t> billion</w:t>
      </w:r>
      <w:r w:rsidRPr="003704E5">
        <w:t>) (figure</w:t>
      </w:r>
      <w:r w:rsidR="003728D7">
        <w:t> </w:t>
      </w:r>
      <w:proofErr w:type="spellStart"/>
      <w:r w:rsidR="00843192" w:rsidRPr="003704E5">
        <w:t>C</w:t>
      </w:r>
      <w:r w:rsidR="00B6180C" w:rsidRPr="003704E5">
        <w:t>.4a</w:t>
      </w:r>
      <w:proofErr w:type="spellEnd"/>
      <w:r w:rsidRPr="003704E5">
        <w:t>).</w:t>
      </w:r>
      <w:r w:rsidR="00944BA4" w:rsidRPr="003704E5">
        <w:t xml:space="preserve"> This represented around 54</w:t>
      </w:r>
      <w:r w:rsidR="003704E5" w:rsidRPr="003704E5">
        <w:t> </w:t>
      </w:r>
      <w:proofErr w:type="spellStart"/>
      <w:r w:rsidR="003704E5" w:rsidRPr="003704E5">
        <w:t>percent</w:t>
      </w:r>
      <w:proofErr w:type="spellEnd"/>
      <w:r w:rsidRPr="003704E5">
        <w:t xml:space="preserve"> of N</w:t>
      </w:r>
      <w:r w:rsidR="00CB7B2E" w:rsidRPr="003704E5">
        <w:t xml:space="preserve">ew </w:t>
      </w:r>
      <w:r w:rsidRPr="003704E5">
        <w:t>Z</w:t>
      </w:r>
      <w:r w:rsidR="00CB7B2E" w:rsidRPr="003704E5">
        <w:t>ealand</w:t>
      </w:r>
      <w:r w:rsidR="00F507C2" w:rsidRPr="003704E5">
        <w:t xml:space="preserve">’s </w:t>
      </w:r>
      <w:r w:rsidR="001B0A6C">
        <w:t>outward</w:t>
      </w:r>
      <w:r w:rsidRPr="003704E5">
        <w:t xml:space="preserve"> </w:t>
      </w:r>
      <w:proofErr w:type="spellStart"/>
      <w:r w:rsidRPr="003704E5">
        <w:t>FDI</w:t>
      </w:r>
      <w:proofErr w:type="spellEnd"/>
      <w:r w:rsidR="00CB7B2E" w:rsidRPr="003704E5">
        <w:t xml:space="preserve"> </w:t>
      </w:r>
      <w:r w:rsidR="00843192" w:rsidRPr="003704E5">
        <w:t xml:space="preserve">(figure </w:t>
      </w:r>
      <w:proofErr w:type="spellStart"/>
      <w:r w:rsidR="00843192" w:rsidRPr="003704E5">
        <w:t>C</w:t>
      </w:r>
      <w:r w:rsidR="00B6180C" w:rsidRPr="003704E5">
        <w:t>.</w:t>
      </w:r>
      <w:r w:rsidR="000B3106">
        <w:t>3</w:t>
      </w:r>
      <w:r w:rsidR="00B6180C" w:rsidRPr="003704E5">
        <w:t>b</w:t>
      </w:r>
      <w:proofErr w:type="spellEnd"/>
      <w:r w:rsidRPr="003704E5">
        <w:t>).</w:t>
      </w:r>
    </w:p>
    <w:p w:rsidR="001C5CCF" w:rsidRDefault="001C5CCF" w:rsidP="001C5CCF">
      <w:pPr>
        <w:pStyle w:val="FigureTitle"/>
      </w:pPr>
      <w:r>
        <w:rPr>
          <w:b w:val="0"/>
        </w:rPr>
        <w:lastRenderedPageBreak/>
        <w:t xml:space="preserve">Figure </w:t>
      </w:r>
      <w:proofErr w:type="spellStart"/>
      <w:r w:rsidR="00951F7D">
        <w:rPr>
          <w:b w:val="0"/>
        </w:rPr>
        <w:t>C.3</w:t>
      </w:r>
      <w:proofErr w:type="spellEnd"/>
      <w:r>
        <w:tab/>
      </w:r>
      <w:r w:rsidR="00FD2065">
        <w:t>New Zealand s</w:t>
      </w:r>
      <w:r w:rsidR="00180C2A">
        <w:t>tock of</w:t>
      </w:r>
      <w:r>
        <w:t xml:space="preserve"> </w:t>
      </w:r>
      <w:r w:rsidR="00541615">
        <w:t>foreign direct investment</w:t>
      </w:r>
      <w:r>
        <w:t>,</w:t>
      </w:r>
      <w:r w:rsidR="00FD2065">
        <w:t xml:space="preserve"> by country</w:t>
      </w:r>
      <w:r w:rsidR="00541615">
        <w:t xml:space="preserve">, </w:t>
      </w:r>
      <w:r w:rsidR="00180C2A">
        <w:t>2010</w:t>
      </w:r>
      <w:r w:rsidR="008A3B7F" w:rsidRPr="008A3B7F">
        <w:rPr>
          <w:rStyle w:val="NoteLabel"/>
          <w:b/>
        </w:rPr>
        <w:t>a</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1C5CCF" w:rsidTr="00675A27">
        <w:tc>
          <w:tcPr>
            <w:tcW w:w="8777" w:type="dxa"/>
          </w:tcPr>
          <w:p w:rsidR="00180C2A" w:rsidRDefault="00951F7D" w:rsidP="00180C2A">
            <w:pPr>
              <w:pStyle w:val="Figure"/>
            </w:pPr>
            <w:r>
              <w:t xml:space="preserve">(a) </w:t>
            </w:r>
            <w:proofErr w:type="spellStart"/>
            <w:r w:rsidR="00180C2A" w:rsidRPr="00180C2A">
              <w:t>FDI</w:t>
            </w:r>
            <w:proofErr w:type="spellEnd"/>
            <w:r w:rsidR="00180C2A" w:rsidRPr="00180C2A">
              <w:t xml:space="preserve"> </w:t>
            </w:r>
            <w:r w:rsidR="00180C2A">
              <w:t>in N</w:t>
            </w:r>
            <w:r w:rsidR="004A773D">
              <w:t xml:space="preserve">ew </w:t>
            </w:r>
            <w:r w:rsidR="00180C2A">
              <w:t>Z</w:t>
            </w:r>
            <w:r w:rsidR="004A773D">
              <w:t>ealand</w:t>
            </w:r>
          </w:p>
          <w:p w:rsidR="00180C2A" w:rsidRDefault="00180C2A" w:rsidP="00180C2A">
            <w:pPr>
              <w:pStyle w:val="Figure"/>
            </w:pPr>
            <w:proofErr w:type="spellStart"/>
            <w:r>
              <w:t>NZ$93.8</w:t>
            </w:r>
            <w:proofErr w:type="spellEnd"/>
            <w:r w:rsidR="003704E5">
              <w:t> billion</w:t>
            </w:r>
          </w:p>
          <w:p w:rsidR="00180C2A" w:rsidRDefault="006E0228" w:rsidP="001C5CCF">
            <w:pPr>
              <w:pStyle w:val="Figure"/>
            </w:pPr>
            <w:r>
              <w:rPr>
                <w:noProof/>
              </w:rPr>
              <w:pict>
                <v:shape id="_x0000_i1027" type="#_x0000_t75" alt="Figure C.3: New Zealand stock of FDI in 2010. Australia accounted for around 53 percent of all FDI in New Zealand (about NZ$49.7 billion from a total of NZ$93.8 billion). This represented around 11 percent of Australia’s outward FDI." style="width:424.9pt;height:225.8pt;mso-position-horizontal:absolute">
                  <v:imagedata r:id="rId11" o:title=""/>
                </v:shape>
              </w:pict>
            </w:r>
          </w:p>
          <w:p w:rsidR="00FD2065" w:rsidRDefault="00951F7D" w:rsidP="00FD2065">
            <w:pPr>
              <w:pStyle w:val="Figure"/>
              <w:tabs>
                <w:tab w:val="left" w:pos="3001"/>
                <w:tab w:val="center" w:pos="4280"/>
              </w:tabs>
            </w:pPr>
            <w:r>
              <w:t xml:space="preserve">(b) </w:t>
            </w:r>
            <w:r w:rsidR="00FD2065" w:rsidRPr="00180C2A">
              <w:t>N</w:t>
            </w:r>
            <w:r w:rsidR="00FD2065">
              <w:t xml:space="preserve">ew </w:t>
            </w:r>
            <w:r w:rsidR="00FD2065" w:rsidRPr="00180C2A">
              <w:t>Z</w:t>
            </w:r>
            <w:r w:rsidR="00FD2065">
              <w:t>ealand</w:t>
            </w:r>
            <w:r w:rsidR="00FD2065" w:rsidRPr="00180C2A">
              <w:t xml:space="preserve"> </w:t>
            </w:r>
            <w:proofErr w:type="spellStart"/>
            <w:r w:rsidR="00FD2065" w:rsidRPr="00180C2A">
              <w:t>FDI</w:t>
            </w:r>
            <w:proofErr w:type="spellEnd"/>
            <w:r w:rsidR="00FD2065" w:rsidRPr="00180C2A">
              <w:t xml:space="preserve"> overseas</w:t>
            </w:r>
          </w:p>
          <w:p w:rsidR="00FD2065" w:rsidRDefault="00FD2065" w:rsidP="00FD2065">
            <w:pPr>
              <w:pStyle w:val="Figure"/>
            </w:pPr>
            <w:proofErr w:type="spellStart"/>
            <w:r>
              <w:t>NZ$20.5</w:t>
            </w:r>
            <w:proofErr w:type="spellEnd"/>
            <w:r>
              <w:t xml:space="preserve"> billion </w:t>
            </w:r>
          </w:p>
          <w:p w:rsidR="00675A27" w:rsidRDefault="006E0228" w:rsidP="00180C2A">
            <w:pPr>
              <w:pStyle w:val="Figure"/>
            </w:pPr>
            <w:r>
              <w:rPr>
                <w:noProof/>
              </w:rPr>
              <w:pict>
                <v:shape id="_x0000_i1028" type="#_x0000_t75" alt="Figure C.3: New Zealand stock of FDI in 2010. Australia accounted for around 53 percent of all FDI in New Zealand (about NZ$49.7 billion from a total of NZ$93.8 billion). This represented around 11 percent of Australia’s outward FDI." style="width:424pt;height:226.65pt;mso-position-horizontal:absolute">
                  <v:imagedata r:id="rId12" o:title=""/>
                </v:shape>
              </w:pict>
            </w:r>
          </w:p>
        </w:tc>
      </w:tr>
    </w:tbl>
    <w:p w:rsidR="008A3B7F" w:rsidRDefault="008A3B7F" w:rsidP="008A3B7F">
      <w:pPr>
        <w:pStyle w:val="Note"/>
      </w:pPr>
      <w:r>
        <w:rPr>
          <w:rStyle w:val="NoteLabel"/>
        </w:rPr>
        <w:t>a</w:t>
      </w:r>
      <w:r w:rsidR="00951F7D">
        <w:t xml:space="preserve"> D</w:t>
      </w:r>
      <w:r>
        <w:t xml:space="preserve">ata </w:t>
      </w:r>
      <w:r w:rsidR="00FD2065">
        <w:t xml:space="preserve">are </w:t>
      </w:r>
      <w:r>
        <w:t>as at 31 March 2010</w:t>
      </w:r>
      <w:r w:rsidR="00FD2065">
        <w:t>.</w:t>
      </w:r>
      <w:r w:rsidR="00805F00">
        <w:t xml:space="preserve"> Rounded </w:t>
      </w:r>
      <w:r w:rsidR="00541615">
        <w:t>to the nearest percentage point.</w:t>
      </w:r>
    </w:p>
    <w:p w:rsidR="001C5CCF" w:rsidRPr="00675A27" w:rsidRDefault="00CB7B2E" w:rsidP="00675A27">
      <w:pPr>
        <w:pStyle w:val="Source"/>
      </w:pPr>
      <w:r>
        <w:rPr>
          <w:i/>
        </w:rPr>
        <w:t>S</w:t>
      </w:r>
      <w:r w:rsidR="001C5CCF">
        <w:rPr>
          <w:i/>
        </w:rPr>
        <w:t>ource</w:t>
      </w:r>
      <w:r w:rsidR="00FD2065">
        <w:t xml:space="preserve">: </w:t>
      </w:r>
      <w:r w:rsidR="00180C2A">
        <w:t>Statistics N</w:t>
      </w:r>
      <w:r w:rsidR="007868ED">
        <w:t xml:space="preserve">ew </w:t>
      </w:r>
      <w:r w:rsidR="00180C2A">
        <w:t>Z</w:t>
      </w:r>
      <w:r w:rsidR="007868ED">
        <w:t>ealand</w:t>
      </w:r>
      <w:r w:rsidR="00180C2A">
        <w:t xml:space="preserve"> </w:t>
      </w:r>
      <w:r>
        <w:t>(</w:t>
      </w:r>
      <w:r w:rsidR="003C2FEC">
        <w:t>2011</w:t>
      </w:r>
      <w:r>
        <w:t>).</w:t>
      </w:r>
    </w:p>
    <w:p w:rsidR="00180C2A" w:rsidRDefault="00180C2A" w:rsidP="00180C2A">
      <w:pPr>
        <w:pStyle w:val="FigureTitle"/>
      </w:pPr>
      <w:r>
        <w:rPr>
          <w:b w:val="0"/>
        </w:rPr>
        <w:lastRenderedPageBreak/>
        <w:t xml:space="preserve">Figure </w:t>
      </w:r>
      <w:proofErr w:type="spellStart"/>
      <w:r w:rsidR="00951F7D">
        <w:rPr>
          <w:b w:val="0"/>
        </w:rPr>
        <w:t>C.4</w:t>
      </w:r>
      <w:proofErr w:type="spellEnd"/>
      <w:r>
        <w:tab/>
      </w:r>
      <w:r w:rsidR="00FD2065">
        <w:t>Australian s</w:t>
      </w:r>
      <w:r>
        <w:t xml:space="preserve">tock of </w:t>
      </w:r>
      <w:r w:rsidR="00541615">
        <w:t>foreign direct investment</w:t>
      </w:r>
      <w:r>
        <w:t xml:space="preserve">, by country, </w:t>
      </w:r>
      <w:r w:rsidR="008A3B7F">
        <w:t>2010</w:t>
      </w:r>
      <w:r w:rsidR="008A3B7F" w:rsidRPr="008A3B7F">
        <w:rPr>
          <w:rStyle w:val="NoteLabel"/>
          <w:b/>
        </w:rPr>
        <w:t>a</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180C2A" w:rsidTr="00675A27">
        <w:tc>
          <w:tcPr>
            <w:tcW w:w="8777" w:type="dxa"/>
          </w:tcPr>
          <w:p w:rsidR="00152E58" w:rsidRDefault="00951F7D" w:rsidP="00152E58">
            <w:pPr>
              <w:pStyle w:val="Figure"/>
            </w:pPr>
            <w:r>
              <w:t xml:space="preserve">(a) </w:t>
            </w:r>
            <w:proofErr w:type="spellStart"/>
            <w:r w:rsidR="00152E58">
              <w:t>FDI</w:t>
            </w:r>
            <w:proofErr w:type="spellEnd"/>
            <w:r w:rsidR="00152E58">
              <w:t xml:space="preserve"> in Australia </w:t>
            </w:r>
          </w:p>
          <w:p w:rsidR="008E2E04" w:rsidRDefault="00DA19F2" w:rsidP="00180C2A">
            <w:pPr>
              <w:pStyle w:val="Figure"/>
            </w:pPr>
            <w:proofErr w:type="spellStart"/>
            <w:r>
              <w:t>A$</w:t>
            </w:r>
            <w:r w:rsidR="004A773D">
              <w:t>473</w:t>
            </w:r>
            <w:r w:rsidR="00152E58">
              <w:t>.7</w:t>
            </w:r>
            <w:proofErr w:type="spellEnd"/>
            <w:r w:rsidR="003704E5">
              <w:t> billion</w:t>
            </w:r>
          </w:p>
          <w:p w:rsidR="00DA19F2" w:rsidRDefault="006E0228" w:rsidP="00180C2A">
            <w:pPr>
              <w:pStyle w:val="Figure"/>
            </w:pPr>
            <w:r>
              <w:pict>
                <v:shape id="_x0000_i1029" type="#_x0000_t75" alt="Figure C.4: Australian stock of FDI in 2010. New Zealand accounted for around 1.4 percent of all FDI in Australia (about A$6.5 billion from a total of A$473.7 billion).This represented around 54 percent of New Zealand’s outward FDI." style="width:424.9pt;height:225.8pt;mso-position-horizontal:absolute">
                  <v:imagedata r:id="rId13" o:title=""/>
                </v:shape>
              </w:pict>
            </w:r>
          </w:p>
          <w:p w:rsidR="00FD2065" w:rsidRDefault="00951F7D" w:rsidP="00FD2065">
            <w:pPr>
              <w:pStyle w:val="Figure"/>
              <w:tabs>
                <w:tab w:val="left" w:pos="3001"/>
                <w:tab w:val="center" w:pos="4280"/>
              </w:tabs>
            </w:pPr>
            <w:r>
              <w:t xml:space="preserve">(b) </w:t>
            </w:r>
            <w:r w:rsidR="00C42B2B">
              <w:t xml:space="preserve">Australian </w:t>
            </w:r>
            <w:proofErr w:type="spellStart"/>
            <w:r w:rsidR="00C42B2B">
              <w:t>FDI</w:t>
            </w:r>
            <w:proofErr w:type="spellEnd"/>
            <w:r w:rsidR="00C42B2B">
              <w:t xml:space="preserve"> overseas</w:t>
            </w:r>
          </w:p>
          <w:p w:rsidR="00FD2065" w:rsidRDefault="00FD2065" w:rsidP="00FD2065">
            <w:pPr>
              <w:pStyle w:val="Figure"/>
              <w:tabs>
                <w:tab w:val="left" w:pos="3001"/>
                <w:tab w:val="center" w:pos="4280"/>
              </w:tabs>
            </w:pPr>
            <w:proofErr w:type="spellStart"/>
            <w:r>
              <w:t>A$361.8</w:t>
            </w:r>
            <w:proofErr w:type="spellEnd"/>
            <w:r>
              <w:t xml:space="preserve"> billion</w:t>
            </w:r>
          </w:p>
          <w:p w:rsidR="00B6180C" w:rsidRDefault="006E0228" w:rsidP="00B6180C">
            <w:pPr>
              <w:pStyle w:val="Figure"/>
            </w:pPr>
            <w:r>
              <w:pict>
                <v:shape id="_x0000_i1030" type="#_x0000_t75" alt="Figure C.4: Australian stock of FDI in 2010. New Zealand accounted for around 1.4 percent of all FDI in Australia (about A$6.5 billion from a total of A$473.7 billion).This represented around 54 percent of New Zealand’s outward FDI." style="width:424pt;height:225.8pt">
                  <v:imagedata r:id="rId14" o:title=""/>
                </v:shape>
              </w:pict>
            </w:r>
          </w:p>
        </w:tc>
      </w:tr>
    </w:tbl>
    <w:p w:rsidR="00180C2A" w:rsidRDefault="00180C2A" w:rsidP="00180C2A">
      <w:pPr>
        <w:pStyle w:val="Note"/>
      </w:pPr>
      <w:r>
        <w:rPr>
          <w:rStyle w:val="NoteLabel"/>
        </w:rPr>
        <w:t>a</w:t>
      </w:r>
      <w:r>
        <w:t xml:space="preserve"> </w:t>
      </w:r>
      <w:r w:rsidR="00951F7D">
        <w:t>Data are</w:t>
      </w:r>
      <w:r w:rsidR="008A3B7F">
        <w:t xml:space="preserve"> as at 31 December 2010.</w:t>
      </w:r>
      <w:r w:rsidR="00805F00">
        <w:t xml:space="preserve"> Rounded to the nearest percentage point.</w:t>
      </w:r>
    </w:p>
    <w:p w:rsidR="00180C2A" w:rsidRDefault="00CB7B2E" w:rsidP="00180C2A">
      <w:pPr>
        <w:pStyle w:val="Source"/>
      </w:pPr>
      <w:r>
        <w:rPr>
          <w:i/>
        </w:rPr>
        <w:t>S</w:t>
      </w:r>
      <w:r w:rsidR="00180C2A">
        <w:rPr>
          <w:i/>
        </w:rPr>
        <w:t>ource</w:t>
      </w:r>
      <w:r w:rsidR="00180C2A" w:rsidRPr="00167F06">
        <w:t xml:space="preserve">: </w:t>
      </w:r>
      <w:r w:rsidR="00F507C2">
        <w:t>ABS (2012</w:t>
      </w:r>
      <w:r w:rsidR="00FD2065">
        <w:t>).</w:t>
      </w:r>
    </w:p>
    <w:p w:rsidR="000F6965" w:rsidRDefault="00FF5E36" w:rsidP="000F6965">
      <w:pPr>
        <w:pStyle w:val="Heading2"/>
      </w:pPr>
      <w:proofErr w:type="spellStart"/>
      <w:r>
        <w:lastRenderedPageBreak/>
        <w:t>C.</w:t>
      </w:r>
      <w:r w:rsidR="00E5348A">
        <w:t>2</w:t>
      </w:r>
      <w:proofErr w:type="spellEnd"/>
      <w:r w:rsidR="000F6965">
        <w:tab/>
      </w:r>
      <w:r w:rsidR="00C01300">
        <w:t>Current restrictions</w:t>
      </w:r>
      <w:r w:rsidR="00940929">
        <w:t xml:space="preserve"> on </w:t>
      </w:r>
      <w:r w:rsidR="00A47A9A">
        <w:t>foreign direct investment</w:t>
      </w:r>
    </w:p>
    <w:p w:rsidR="000F15E7" w:rsidRDefault="000F6965" w:rsidP="000F6965">
      <w:pPr>
        <w:pStyle w:val="BodyText"/>
      </w:pPr>
      <w:r>
        <w:t xml:space="preserve">While </w:t>
      </w:r>
      <w:r w:rsidR="00124DCB">
        <w:t xml:space="preserve">the </w:t>
      </w:r>
      <w:r>
        <w:t>Australia</w:t>
      </w:r>
      <w:r w:rsidR="00124DCB">
        <w:t>n</w:t>
      </w:r>
      <w:r>
        <w:t xml:space="preserve"> and New Zealand </w:t>
      </w:r>
      <w:r w:rsidR="00124DCB">
        <w:t xml:space="preserve">Governments </w:t>
      </w:r>
      <w:r>
        <w:t xml:space="preserve">acknowledge the positive contribution that foreign investment makes to </w:t>
      </w:r>
      <w:r w:rsidR="00AD5684">
        <w:t xml:space="preserve">the wellbeing of their citizens, </w:t>
      </w:r>
      <w:r w:rsidR="00124DCB">
        <w:t>they</w:t>
      </w:r>
      <w:r w:rsidR="00AD5684">
        <w:t xml:space="preserve"> </w:t>
      </w:r>
      <w:r w:rsidR="00FA7162">
        <w:t xml:space="preserve">continue to </w:t>
      </w:r>
      <w:r w:rsidR="00AD5684">
        <w:t>place restrictions on such investment</w:t>
      </w:r>
      <w:r w:rsidR="00EA6072">
        <w:t xml:space="preserve"> (</w:t>
      </w:r>
      <w:proofErr w:type="spellStart"/>
      <w:r w:rsidR="00EA6072">
        <w:t>FIRB</w:t>
      </w:r>
      <w:proofErr w:type="spellEnd"/>
      <w:r w:rsidR="00EA6072">
        <w:t xml:space="preserve"> 2012;</w:t>
      </w:r>
      <w:r w:rsidR="00A54493">
        <w:t xml:space="preserve"> </w:t>
      </w:r>
      <w:r w:rsidR="00E10618">
        <w:t>N</w:t>
      </w:r>
      <w:r w:rsidR="007868ED">
        <w:t xml:space="preserve">ew </w:t>
      </w:r>
      <w:r w:rsidR="00E10618">
        <w:t>Z</w:t>
      </w:r>
      <w:r w:rsidR="007868ED">
        <w:t>ealand</w:t>
      </w:r>
      <w:r w:rsidR="00E10618">
        <w:t xml:space="preserve"> Treasury 2012</w:t>
      </w:r>
      <w:r w:rsidR="00EA6072">
        <w:t>)</w:t>
      </w:r>
      <w:r w:rsidR="00AD5684">
        <w:t xml:space="preserve">. </w:t>
      </w:r>
      <w:r w:rsidR="00AD077A">
        <w:t xml:space="preserve">The </w:t>
      </w:r>
      <w:proofErr w:type="spellStart"/>
      <w:r w:rsidR="00EA6072">
        <w:t>CER</w:t>
      </w:r>
      <w:proofErr w:type="spellEnd"/>
      <w:r w:rsidR="00EA6072">
        <w:t xml:space="preserve"> </w:t>
      </w:r>
      <w:r w:rsidR="00AD077A">
        <w:t>Investment P</w:t>
      </w:r>
      <w:r w:rsidR="003069CD">
        <w:t>rotocol</w:t>
      </w:r>
      <w:r w:rsidR="00EA6072">
        <w:t xml:space="preserve"> (Protocol)</w:t>
      </w:r>
      <w:r w:rsidR="003069CD">
        <w:t xml:space="preserve"> signed by Australia and New Zealand in 2011</w:t>
      </w:r>
      <w:r w:rsidR="006761AF">
        <w:t>,</w:t>
      </w:r>
      <w:r w:rsidR="003069CD">
        <w:t xml:space="preserve"> </w:t>
      </w:r>
      <w:r w:rsidR="000929D7">
        <w:t>but not yet enacted</w:t>
      </w:r>
      <w:r w:rsidR="006761AF">
        <w:t>,</w:t>
      </w:r>
      <w:r w:rsidR="000929D7">
        <w:t xml:space="preserve"> </w:t>
      </w:r>
      <w:r w:rsidR="003069CD">
        <w:t xml:space="preserve">reduces but does not eliminate </w:t>
      </w:r>
      <w:r w:rsidR="002B4EDB">
        <w:t xml:space="preserve">restrictions </w:t>
      </w:r>
      <w:r w:rsidR="00EA6072">
        <w:t xml:space="preserve">on </w:t>
      </w:r>
      <w:r w:rsidR="002B4EDB">
        <w:t>trans</w:t>
      </w:r>
      <w:r w:rsidR="002B4EDB">
        <w:noBreakHyphen/>
        <w:t xml:space="preserve">Tasman </w:t>
      </w:r>
      <w:r w:rsidR="00B70D0C">
        <w:t xml:space="preserve">direct </w:t>
      </w:r>
      <w:r w:rsidR="002B4EDB">
        <w:t>investment flows</w:t>
      </w:r>
      <w:r w:rsidR="003069CD">
        <w:t xml:space="preserve">. </w:t>
      </w:r>
      <w:r w:rsidR="007742BD">
        <w:t>Table</w:t>
      </w:r>
      <w:r w:rsidR="00826484">
        <w:t>s</w:t>
      </w:r>
      <w:r w:rsidR="00843192">
        <w:t xml:space="preserve"> </w:t>
      </w:r>
      <w:proofErr w:type="spellStart"/>
      <w:r w:rsidR="00843192">
        <w:t>C</w:t>
      </w:r>
      <w:r w:rsidR="007742BD">
        <w:t>.1</w:t>
      </w:r>
      <w:proofErr w:type="spellEnd"/>
      <w:r w:rsidR="00843192">
        <w:t xml:space="preserve"> and </w:t>
      </w:r>
      <w:proofErr w:type="spellStart"/>
      <w:r w:rsidR="00843192">
        <w:t>C</w:t>
      </w:r>
      <w:r w:rsidR="00826484">
        <w:t>.2</w:t>
      </w:r>
      <w:proofErr w:type="spellEnd"/>
      <w:r w:rsidR="00826484">
        <w:t xml:space="preserve"> summarise</w:t>
      </w:r>
      <w:r w:rsidR="00AC2E29">
        <w:t xml:space="preserve"> the main restrictions and </w:t>
      </w:r>
      <w:r w:rsidR="00AD077A">
        <w:t xml:space="preserve">how they </w:t>
      </w:r>
      <w:r w:rsidR="00CA7FDC">
        <w:t>will be affected</w:t>
      </w:r>
      <w:r w:rsidR="00AD077A">
        <w:t xml:space="preserve"> by the P</w:t>
      </w:r>
      <w:r w:rsidR="00AC2E29">
        <w:t>rotocol.</w:t>
      </w:r>
    </w:p>
    <w:p w:rsidR="0098752A" w:rsidRDefault="00AD077A" w:rsidP="000F6965">
      <w:pPr>
        <w:pStyle w:val="BodyText"/>
      </w:pPr>
      <w:r>
        <w:t>The P</w:t>
      </w:r>
      <w:r w:rsidR="007438A1" w:rsidRPr="007438A1">
        <w:t xml:space="preserve">rotocol </w:t>
      </w:r>
      <w:r w:rsidR="006761AF">
        <w:t xml:space="preserve">aims to </w:t>
      </w:r>
      <w:r w:rsidR="007438A1" w:rsidRPr="007438A1">
        <w:t xml:space="preserve">strengthen the economic relationship between Australia and New Zealand, reduce barriers to trans-Tasman investment flows and ensure the protection and security of investment within each country’s territory. </w:t>
      </w:r>
      <w:r w:rsidR="005B55D9">
        <w:t>T</w:t>
      </w:r>
      <w:r w:rsidR="00B6180C">
        <w:t>o achieve these goals, t</w:t>
      </w:r>
      <w:r>
        <w:t>he P</w:t>
      </w:r>
      <w:r w:rsidR="005B55D9">
        <w:t>rotocol</w:t>
      </w:r>
      <w:r w:rsidR="009F2950">
        <w:t xml:space="preserve"> </w:t>
      </w:r>
      <w:r w:rsidR="00C955A3">
        <w:t xml:space="preserve">will </w:t>
      </w:r>
      <w:r w:rsidR="009F2950">
        <w:t xml:space="preserve">raise the screening thresholds that </w:t>
      </w:r>
      <w:r w:rsidR="00C955A3">
        <w:t xml:space="preserve">currently </w:t>
      </w:r>
      <w:r w:rsidR="009F2950">
        <w:t xml:space="preserve">apply to each other’s investors </w:t>
      </w:r>
      <w:r w:rsidR="003D518E">
        <w:t xml:space="preserve">(except </w:t>
      </w:r>
      <w:r w:rsidR="00CF3FF5">
        <w:t xml:space="preserve">for </w:t>
      </w:r>
      <w:r w:rsidR="00940929">
        <w:t xml:space="preserve">a range of </w:t>
      </w:r>
      <w:r w:rsidR="00CF3FF5">
        <w:t xml:space="preserve">‘sensitive’ </w:t>
      </w:r>
      <w:r w:rsidR="000859B0">
        <w:t>areas</w:t>
      </w:r>
      <w:r w:rsidR="00CF3FF5">
        <w:t xml:space="preserve">) </w:t>
      </w:r>
      <w:r w:rsidR="009F2950">
        <w:t xml:space="preserve">and </w:t>
      </w:r>
      <w:r w:rsidR="00C955A3">
        <w:t xml:space="preserve">will </w:t>
      </w:r>
      <w:r w:rsidR="009F2950" w:rsidRPr="009F2950">
        <w:t xml:space="preserve">establish a </w:t>
      </w:r>
      <w:r w:rsidR="009F2950">
        <w:t xml:space="preserve">legally enforceable investment </w:t>
      </w:r>
      <w:r w:rsidR="009F2950" w:rsidRPr="009F2950">
        <w:t>framework</w:t>
      </w:r>
      <w:r w:rsidR="003704E5">
        <w:t>.</w:t>
      </w:r>
    </w:p>
    <w:p w:rsidR="00697534" w:rsidRDefault="0098752A" w:rsidP="00932322">
      <w:pPr>
        <w:pStyle w:val="ListBullet"/>
      </w:pPr>
      <w:r w:rsidRPr="0098752A">
        <w:t xml:space="preserve">Australia </w:t>
      </w:r>
      <w:r w:rsidR="00C955A3">
        <w:t>will extend</w:t>
      </w:r>
      <w:r w:rsidR="00B6180C">
        <w:t xml:space="preserve"> to</w:t>
      </w:r>
      <w:r w:rsidRPr="0098752A">
        <w:t xml:space="preserve"> New Zealand investors the </w:t>
      </w:r>
      <w:r w:rsidR="00B6180C">
        <w:t>same</w:t>
      </w:r>
      <w:r w:rsidRPr="0098752A">
        <w:t xml:space="preserve"> screening threshold</w:t>
      </w:r>
      <w:r w:rsidR="00B6180C">
        <w:t xml:space="preserve">s </w:t>
      </w:r>
      <w:r w:rsidR="00C955A3">
        <w:t>it currently offers</w:t>
      </w:r>
      <w:r w:rsidR="00B6180C">
        <w:t xml:space="preserve"> to US investors under </w:t>
      </w:r>
      <w:r w:rsidR="00AD077A">
        <w:t>the Australia United States Free Trade Agreement (</w:t>
      </w:r>
      <w:proofErr w:type="spellStart"/>
      <w:r w:rsidR="00B6180C">
        <w:t>AUSFTA</w:t>
      </w:r>
      <w:proofErr w:type="spellEnd"/>
      <w:r w:rsidR="00AD077A">
        <w:t>)</w:t>
      </w:r>
      <w:r w:rsidR="00B6180C">
        <w:t xml:space="preserve"> (an increase from </w:t>
      </w:r>
      <w:proofErr w:type="spellStart"/>
      <w:r w:rsidR="00B6180C" w:rsidRPr="0098752A">
        <w:t>A$231</w:t>
      </w:r>
      <w:proofErr w:type="spellEnd"/>
      <w:r w:rsidR="003704E5">
        <w:t> million</w:t>
      </w:r>
      <w:r w:rsidRPr="0098752A">
        <w:t xml:space="preserve"> </w:t>
      </w:r>
      <w:r w:rsidR="00B6180C">
        <w:t xml:space="preserve">to </w:t>
      </w:r>
      <w:proofErr w:type="spellStart"/>
      <w:r w:rsidR="00AD077A">
        <w:t>A$1</w:t>
      </w:r>
      <w:r w:rsidRPr="0098752A">
        <w:t>004</w:t>
      </w:r>
      <w:proofErr w:type="spellEnd"/>
      <w:r w:rsidR="003704E5">
        <w:t> million</w:t>
      </w:r>
      <w:r w:rsidR="00991DD6">
        <w:t>,</w:t>
      </w:r>
      <w:r w:rsidRPr="0098752A">
        <w:t xml:space="preserve"> indexed </w:t>
      </w:r>
      <w:r w:rsidR="004A24BE">
        <w:t>annually</w:t>
      </w:r>
      <w:r w:rsidRPr="0098752A">
        <w:t>)</w:t>
      </w:r>
      <w:r>
        <w:t xml:space="preserve">. </w:t>
      </w:r>
      <w:r w:rsidR="007742BD">
        <w:t xml:space="preserve">As under </w:t>
      </w:r>
      <w:r w:rsidR="00E10618">
        <w:t xml:space="preserve">the </w:t>
      </w:r>
      <w:proofErr w:type="spellStart"/>
      <w:r w:rsidR="007742BD">
        <w:t>AUSFTA</w:t>
      </w:r>
      <w:proofErr w:type="spellEnd"/>
      <w:r w:rsidR="007742BD">
        <w:t>, the higher threshold will not app</w:t>
      </w:r>
      <w:r w:rsidR="000020EA">
        <w:t xml:space="preserve">ly to investment in </w:t>
      </w:r>
      <w:r w:rsidR="00941B57">
        <w:t>‘</w:t>
      </w:r>
      <w:r w:rsidR="000020EA">
        <w:t>sensitive</w:t>
      </w:r>
      <w:r w:rsidR="00941B57">
        <w:t>'</w:t>
      </w:r>
      <w:r w:rsidR="007742BD">
        <w:t xml:space="preserve"> sectors</w:t>
      </w:r>
      <w:r w:rsidR="00951F7D">
        <w:t>,</w:t>
      </w:r>
      <w:r w:rsidR="007742BD">
        <w:t xml:space="preserve"> </w:t>
      </w:r>
      <w:r w:rsidR="006C58F1">
        <w:t xml:space="preserve">including </w:t>
      </w:r>
      <w:r w:rsidR="008F42DF">
        <w:t xml:space="preserve">finance, </w:t>
      </w:r>
      <w:r w:rsidR="00826484" w:rsidRPr="00826484">
        <w:t xml:space="preserve">media, telecommunications, </w:t>
      </w:r>
      <w:r w:rsidR="00951F7D">
        <w:t>transport, encryption services and</w:t>
      </w:r>
      <w:r w:rsidR="00826484" w:rsidRPr="00826484">
        <w:t xml:space="preserve"> uranium extraction</w:t>
      </w:r>
      <w:r w:rsidR="007742BD">
        <w:t>.</w:t>
      </w:r>
    </w:p>
    <w:p w:rsidR="0098752A" w:rsidRDefault="0098752A" w:rsidP="007742BD">
      <w:pPr>
        <w:pStyle w:val="ListBullet"/>
      </w:pPr>
      <w:r>
        <w:t xml:space="preserve">New Zealand </w:t>
      </w:r>
      <w:r w:rsidR="00C955A3">
        <w:t xml:space="preserve">will </w:t>
      </w:r>
      <w:r>
        <w:t xml:space="preserve">increase </w:t>
      </w:r>
      <w:r w:rsidR="00991DD6">
        <w:t xml:space="preserve">its </w:t>
      </w:r>
      <w:r w:rsidRPr="0098752A">
        <w:t xml:space="preserve">threshold </w:t>
      </w:r>
      <w:r>
        <w:t xml:space="preserve">for Australian investors </w:t>
      </w:r>
      <w:r w:rsidR="00697534">
        <w:t xml:space="preserve">from </w:t>
      </w:r>
      <w:proofErr w:type="spellStart"/>
      <w:r w:rsidR="00697534">
        <w:t>NZ$100</w:t>
      </w:r>
      <w:proofErr w:type="spellEnd"/>
      <w:r w:rsidR="003704E5">
        <w:t> million</w:t>
      </w:r>
      <w:r w:rsidR="00991DD6">
        <w:t xml:space="preserve"> </w:t>
      </w:r>
      <w:r>
        <w:t xml:space="preserve">to </w:t>
      </w:r>
      <w:proofErr w:type="spellStart"/>
      <w:r w:rsidRPr="0098752A">
        <w:t>NZ$4</w:t>
      </w:r>
      <w:r w:rsidR="00697534">
        <w:t>77</w:t>
      </w:r>
      <w:proofErr w:type="spellEnd"/>
      <w:r w:rsidR="003704E5">
        <w:t> million</w:t>
      </w:r>
      <w:r w:rsidR="00697534">
        <w:t xml:space="preserve"> (</w:t>
      </w:r>
      <w:r w:rsidR="00991DD6">
        <w:t xml:space="preserve">indexed </w:t>
      </w:r>
      <w:r w:rsidR="004A24BE">
        <w:t>annually</w:t>
      </w:r>
      <w:r w:rsidR="00250322">
        <w:t>)</w:t>
      </w:r>
      <w:r w:rsidR="00991DD6">
        <w:t xml:space="preserve">. </w:t>
      </w:r>
      <w:r w:rsidR="007742BD">
        <w:t xml:space="preserve">The higher threshold will not apply to </w:t>
      </w:r>
      <w:r w:rsidR="00826484">
        <w:t xml:space="preserve">investment in </w:t>
      </w:r>
      <w:r w:rsidR="000859B0">
        <w:t>‘</w:t>
      </w:r>
      <w:r w:rsidR="007742BD">
        <w:t>s</w:t>
      </w:r>
      <w:r w:rsidR="007742BD" w:rsidRPr="007742BD">
        <w:t>ensitive</w:t>
      </w:r>
      <w:r w:rsidR="000859B0">
        <w:t>’</w:t>
      </w:r>
      <w:r w:rsidR="007742BD" w:rsidRPr="007742BD">
        <w:t xml:space="preserve"> land, farm land or fishing rights</w:t>
      </w:r>
      <w:r w:rsidR="007742BD">
        <w:t>.</w:t>
      </w:r>
    </w:p>
    <w:p w:rsidR="0098752A" w:rsidRDefault="009F2950" w:rsidP="005B55D9">
      <w:pPr>
        <w:pStyle w:val="ListBullet"/>
      </w:pPr>
      <w:r>
        <w:t xml:space="preserve">Both countries </w:t>
      </w:r>
      <w:r w:rsidR="00C955A3">
        <w:t xml:space="preserve">will </w:t>
      </w:r>
      <w:r>
        <w:t xml:space="preserve">grant each other </w:t>
      </w:r>
      <w:r w:rsidR="005B55D9">
        <w:t xml:space="preserve">a set </w:t>
      </w:r>
      <w:r w:rsidR="005B55D9" w:rsidRPr="00697534">
        <w:rPr>
          <w:rStyle w:val="BodyTextChar"/>
        </w:rPr>
        <w:t xml:space="preserve">of </w:t>
      </w:r>
      <w:r w:rsidR="005B55D9">
        <w:t xml:space="preserve">investment </w:t>
      </w:r>
      <w:r>
        <w:t xml:space="preserve">rights </w:t>
      </w:r>
      <w:r w:rsidR="005B55D9" w:rsidRPr="0098752A">
        <w:t>(</w:t>
      </w:r>
      <w:r w:rsidR="005B55D9">
        <w:t>including</w:t>
      </w:r>
      <w:r w:rsidR="00C955A3">
        <w:t xml:space="preserve"> a right to</w:t>
      </w:r>
      <w:r w:rsidR="005B55D9" w:rsidRPr="0098752A">
        <w:t xml:space="preserve"> </w:t>
      </w:r>
      <w:r w:rsidR="00250322">
        <w:t>national treatment</w:t>
      </w:r>
      <w:r w:rsidR="00C955A3">
        <w:t xml:space="preserve">, </w:t>
      </w:r>
      <w:r w:rsidR="00C955A3" w:rsidRPr="0098752A">
        <w:t>protection from expropriation</w:t>
      </w:r>
      <w:r w:rsidR="00250322">
        <w:t xml:space="preserve"> </w:t>
      </w:r>
      <w:r w:rsidR="005B55D9" w:rsidRPr="0098752A">
        <w:t>and enha</w:t>
      </w:r>
      <w:r w:rsidR="005B55D9">
        <w:t>nced transparency requirements)</w:t>
      </w:r>
      <w:r>
        <w:t>.</w:t>
      </w:r>
      <w:r w:rsidR="00C955A3">
        <w:t xml:space="preserve"> </w:t>
      </w:r>
      <w:r>
        <w:t xml:space="preserve">These </w:t>
      </w:r>
      <w:r w:rsidR="00991DD6">
        <w:t xml:space="preserve">rights </w:t>
      </w:r>
      <w:r>
        <w:t xml:space="preserve">are similar to </w:t>
      </w:r>
      <w:r w:rsidR="00E10618">
        <w:t xml:space="preserve">the </w:t>
      </w:r>
      <w:r w:rsidR="00250322">
        <w:t>ones</w:t>
      </w:r>
      <w:r>
        <w:t xml:space="preserve"> </w:t>
      </w:r>
      <w:r w:rsidR="0098752A">
        <w:t xml:space="preserve">Australia has </w:t>
      </w:r>
      <w:r w:rsidR="0098752A" w:rsidRPr="0098752A">
        <w:t xml:space="preserve">extended to US investors under the </w:t>
      </w:r>
      <w:proofErr w:type="spellStart"/>
      <w:r w:rsidR="0098752A" w:rsidRPr="0098752A">
        <w:t>AUSFTA</w:t>
      </w:r>
      <w:proofErr w:type="spellEnd"/>
      <w:r w:rsidR="00943CFC">
        <w:t>,</w:t>
      </w:r>
      <w:r w:rsidR="0098752A" w:rsidRPr="0098752A">
        <w:t xml:space="preserve"> </w:t>
      </w:r>
      <w:r>
        <w:t>and New Zealand has extended to</w:t>
      </w:r>
      <w:r w:rsidR="00951F7D">
        <w:t xml:space="preserve"> Chinese investors under the N</w:t>
      </w:r>
      <w:r w:rsidR="007868ED">
        <w:t xml:space="preserve">ew </w:t>
      </w:r>
      <w:r w:rsidR="00951F7D">
        <w:t>Z</w:t>
      </w:r>
      <w:r w:rsidR="007868ED">
        <w:t>ealand</w:t>
      </w:r>
      <w:r w:rsidR="00951F7D">
        <w:t>–</w:t>
      </w:r>
      <w:r>
        <w:t xml:space="preserve">China </w:t>
      </w:r>
      <w:proofErr w:type="spellStart"/>
      <w:r>
        <w:t>FTA</w:t>
      </w:r>
      <w:proofErr w:type="spellEnd"/>
      <w:r>
        <w:t>.</w:t>
      </w:r>
      <w:r w:rsidR="00B74AAF" w:rsidRPr="00D423AB">
        <w:rPr>
          <w:rStyle w:val="FootnoteReference"/>
          <w:rFonts w:ascii="Arial" w:hAnsi="Arial" w:cs="Arial"/>
        </w:rPr>
        <w:footnoteReference w:id="1"/>
      </w:r>
    </w:p>
    <w:p w:rsidR="00697534" w:rsidRDefault="009F2950" w:rsidP="00B74AAF">
      <w:pPr>
        <w:pStyle w:val="ListBullet"/>
      </w:pPr>
      <w:r>
        <w:t>T</w:t>
      </w:r>
      <w:r w:rsidR="00AD077A">
        <w:t>he P</w:t>
      </w:r>
      <w:r w:rsidR="0098752A" w:rsidRPr="0098752A">
        <w:t xml:space="preserve">rotocol includes </w:t>
      </w:r>
      <w:r w:rsidR="00991DD6">
        <w:t>a</w:t>
      </w:r>
      <w:r w:rsidR="0098752A" w:rsidRPr="0098752A">
        <w:t xml:space="preserve"> ‘ratchet mechanism’ </w:t>
      </w:r>
      <w:r w:rsidR="00991DD6">
        <w:t xml:space="preserve">that </w:t>
      </w:r>
      <w:r w:rsidR="0098752A" w:rsidRPr="0098752A">
        <w:t>ensure</w:t>
      </w:r>
      <w:r w:rsidR="005B55D9">
        <w:t>s</w:t>
      </w:r>
      <w:r w:rsidR="0098752A" w:rsidRPr="0098752A">
        <w:t xml:space="preserve"> any future unilateral liberalisation by either country </w:t>
      </w:r>
      <w:r w:rsidR="00250322">
        <w:t>will</w:t>
      </w:r>
      <w:r w:rsidR="0098752A" w:rsidRPr="0098752A">
        <w:t xml:space="preserve"> automatically be bound by the agree</w:t>
      </w:r>
      <w:r w:rsidR="00991DD6">
        <w:t>ment and cannot be rolled back, and a</w:t>
      </w:r>
      <w:r w:rsidR="0098752A" w:rsidRPr="0098752A">
        <w:t xml:space="preserve"> </w:t>
      </w:r>
      <w:r w:rsidR="000020EA">
        <w:t>most favoured nation (</w:t>
      </w:r>
      <w:r w:rsidR="0098752A" w:rsidRPr="0098752A">
        <w:t>MFN</w:t>
      </w:r>
      <w:r w:rsidR="000020EA">
        <w:t>)</w:t>
      </w:r>
      <w:r w:rsidR="0098752A" w:rsidRPr="0098752A">
        <w:t xml:space="preserve"> commitment </w:t>
      </w:r>
      <w:r w:rsidR="00991DD6">
        <w:t xml:space="preserve">that </w:t>
      </w:r>
      <w:r w:rsidR="0098752A" w:rsidRPr="0098752A">
        <w:lastRenderedPageBreak/>
        <w:t>ensure</w:t>
      </w:r>
      <w:r w:rsidR="00B74AAF">
        <w:t>s</w:t>
      </w:r>
      <w:r w:rsidR="0098752A" w:rsidRPr="0098752A">
        <w:t xml:space="preserve"> that each country extends to the other the benefit of any additional liberalisation undertaken as a result of future agreements with other countries. </w:t>
      </w:r>
    </w:p>
    <w:p w:rsidR="0098752A" w:rsidRDefault="00951F7D" w:rsidP="00E10618">
      <w:pPr>
        <w:pStyle w:val="ListBullet"/>
      </w:pPr>
      <w:r>
        <w:t xml:space="preserve">The </w:t>
      </w:r>
      <w:r w:rsidR="00AD077A">
        <w:t>P</w:t>
      </w:r>
      <w:r w:rsidR="00697534" w:rsidRPr="00697534">
        <w:t>rotocol states that the MFN clause shall not be used to prevent the New Zealand Government from according more favourable treatment to M</w:t>
      </w:r>
      <w:r w:rsidR="00E10618" w:rsidRPr="00E10618">
        <w:t>ā</w:t>
      </w:r>
      <w:r w:rsidR="00697534" w:rsidRPr="00697534">
        <w:t xml:space="preserve">ori </w:t>
      </w:r>
      <w:r w:rsidR="00941B57">
        <w:t>(</w:t>
      </w:r>
      <w:r w:rsidR="00697534" w:rsidRPr="00697534">
        <w:t>including in fulfilment of its obligatio</w:t>
      </w:r>
      <w:r w:rsidR="00941B57">
        <w:t>ns under the Treaty of Waitangi)</w:t>
      </w:r>
      <w:r w:rsidR="00697534" w:rsidRPr="00697534">
        <w:t xml:space="preserve"> </w:t>
      </w:r>
      <w:r w:rsidR="00357BBC">
        <w:t>provided such</w:t>
      </w:r>
      <w:r w:rsidR="00697534" w:rsidRPr="00697534">
        <w:t xml:space="preserve"> treatment is </w:t>
      </w:r>
      <w:r w:rsidR="00357BBC">
        <w:t xml:space="preserve">not </w:t>
      </w:r>
      <w:r w:rsidR="00697534" w:rsidRPr="00697534">
        <w:t xml:space="preserve">used as a means of arbitrary or unjustified discrimination </w:t>
      </w:r>
      <w:r w:rsidR="00941B57">
        <w:t xml:space="preserve">against an Australian investor </w:t>
      </w:r>
      <w:r w:rsidR="00697534" w:rsidRPr="00697534">
        <w:t>or as a disguised restriction on investment.</w:t>
      </w:r>
    </w:p>
    <w:p w:rsidR="00097470" w:rsidRPr="001A3E24" w:rsidRDefault="00AD077A" w:rsidP="00097470">
      <w:pPr>
        <w:pStyle w:val="BodyText"/>
      </w:pPr>
      <w:r w:rsidRPr="001A3E24">
        <w:t>The P</w:t>
      </w:r>
      <w:r w:rsidR="00097470" w:rsidRPr="001A3E24">
        <w:t>rotocol also requires both countries to refrain from using various types of restrictions for investments from any country (for example, minimum domestic content rules are not pe</w:t>
      </w:r>
      <w:r w:rsidR="003704E5" w:rsidRPr="001A3E24">
        <w:t>rmitted in most circumstances).</w:t>
      </w:r>
    </w:p>
    <w:p w:rsidR="00097470" w:rsidRDefault="00097470" w:rsidP="00097470">
      <w:pPr>
        <w:pStyle w:val="BodyText"/>
      </w:pPr>
      <w:r>
        <w:t xml:space="preserve">Australia and New Zealand have </w:t>
      </w:r>
      <w:r w:rsidR="00AD077A">
        <w:t xml:space="preserve">also </w:t>
      </w:r>
      <w:r>
        <w:t xml:space="preserve">made various undertakings to eliminate </w:t>
      </w:r>
      <w:r w:rsidR="00AD077A">
        <w:t xml:space="preserve">investment </w:t>
      </w:r>
      <w:r>
        <w:t xml:space="preserve">restrictions under the OECD Code of Liberalisation of Capital Movements. Each country has lodged reservations under this code in relation to </w:t>
      </w:r>
      <w:r w:rsidR="009E1782">
        <w:t>restrictions such as equity limits</w:t>
      </w:r>
      <w:r w:rsidR="00BD6AFC">
        <w:t>.</w:t>
      </w:r>
    </w:p>
    <w:p w:rsidR="00AF532E" w:rsidRDefault="00AF532E" w:rsidP="00AF532E">
      <w:pPr>
        <w:pStyle w:val="TableTitle"/>
      </w:pPr>
      <w:r>
        <w:rPr>
          <w:b w:val="0"/>
        </w:rPr>
        <w:t xml:space="preserve">Table </w:t>
      </w:r>
      <w:proofErr w:type="spellStart"/>
      <w:r>
        <w:rPr>
          <w:b w:val="0"/>
        </w:rPr>
        <w:t>C.1</w:t>
      </w:r>
      <w:proofErr w:type="spellEnd"/>
      <w:r>
        <w:tab/>
      </w:r>
      <w:r w:rsidRPr="00FA4454">
        <w:t xml:space="preserve">Australian foreign </w:t>
      </w:r>
      <w:r w:rsidR="00541615">
        <w:t xml:space="preserve">direct </w:t>
      </w:r>
      <w:r w:rsidRPr="00FA4454">
        <w:t>investment restrictions</w:t>
      </w:r>
    </w:p>
    <w:tbl>
      <w:tblPr>
        <w:tblW w:w="5000" w:type="pct"/>
        <w:tblCellMar>
          <w:left w:w="0" w:type="dxa"/>
          <w:right w:w="0" w:type="dxa"/>
        </w:tblCellMar>
        <w:tblLook w:val="0000" w:firstRow="0" w:lastRow="0" w:firstColumn="0" w:lastColumn="0" w:noHBand="0" w:noVBand="0"/>
      </w:tblPr>
      <w:tblGrid>
        <w:gridCol w:w="1276"/>
        <w:gridCol w:w="4678"/>
        <w:gridCol w:w="2835"/>
      </w:tblGrid>
      <w:tr w:rsidR="00A2214F" w:rsidRPr="008C6BD5" w:rsidTr="00754AAC">
        <w:tc>
          <w:tcPr>
            <w:tcW w:w="726" w:type="pct"/>
            <w:tcBorders>
              <w:top w:val="single" w:sz="4" w:space="0" w:color="auto"/>
              <w:bottom w:val="single" w:sz="4" w:space="0" w:color="auto"/>
            </w:tcBorders>
            <w:shd w:val="clear" w:color="auto" w:fill="E7ECCE"/>
          </w:tcPr>
          <w:p w:rsidR="00AF532E" w:rsidRPr="008C6BD5" w:rsidRDefault="00AF532E" w:rsidP="00AB78F6">
            <w:pPr>
              <w:keepNext/>
              <w:keepLines/>
              <w:spacing w:before="80" w:after="80" w:line="220" w:lineRule="atLeast"/>
              <w:ind w:left="6" w:right="113"/>
              <w:rPr>
                <w:rFonts w:ascii="Arial" w:hAnsi="Arial"/>
                <w:i/>
                <w:color w:val="1C1C1C"/>
                <w:sz w:val="20"/>
                <w:szCs w:val="20"/>
              </w:rPr>
            </w:pPr>
            <w:r w:rsidRPr="008C6BD5">
              <w:rPr>
                <w:rFonts w:ascii="Arial" w:hAnsi="Arial"/>
                <w:i/>
                <w:color w:val="1C1C1C"/>
                <w:sz w:val="20"/>
                <w:szCs w:val="20"/>
              </w:rPr>
              <w:t>Type</w:t>
            </w:r>
          </w:p>
        </w:tc>
        <w:tc>
          <w:tcPr>
            <w:tcW w:w="2661" w:type="pct"/>
            <w:tcBorders>
              <w:top w:val="single" w:sz="4" w:space="0" w:color="auto"/>
              <w:bottom w:val="single" w:sz="4" w:space="0" w:color="auto"/>
            </w:tcBorders>
            <w:shd w:val="clear" w:color="auto" w:fill="E7ECCE"/>
          </w:tcPr>
          <w:p w:rsidR="00AF532E" w:rsidRPr="008C6BD5" w:rsidRDefault="00AF532E" w:rsidP="00AB78F6">
            <w:pPr>
              <w:keepNext/>
              <w:keepLines/>
              <w:spacing w:before="80" w:after="80" w:line="220" w:lineRule="atLeast"/>
              <w:ind w:left="6" w:right="113"/>
              <w:rPr>
                <w:rFonts w:ascii="Arial" w:hAnsi="Arial"/>
                <w:i/>
                <w:color w:val="1C1C1C"/>
                <w:sz w:val="20"/>
                <w:szCs w:val="20"/>
              </w:rPr>
            </w:pPr>
            <w:r>
              <w:rPr>
                <w:rFonts w:ascii="Arial" w:hAnsi="Arial"/>
                <w:i/>
                <w:color w:val="1C1C1C"/>
                <w:sz w:val="20"/>
                <w:szCs w:val="20"/>
              </w:rPr>
              <w:t>D</w:t>
            </w:r>
            <w:r w:rsidRPr="008C6BD5">
              <w:rPr>
                <w:rFonts w:ascii="Arial" w:hAnsi="Arial"/>
                <w:i/>
                <w:color w:val="1C1C1C"/>
                <w:sz w:val="20"/>
                <w:szCs w:val="20"/>
              </w:rPr>
              <w:t>escription</w:t>
            </w:r>
          </w:p>
        </w:tc>
        <w:tc>
          <w:tcPr>
            <w:tcW w:w="1613" w:type="pct"/>
            <w:tcBorders>
              <w:top w:val="single" w:sz="4" w:space="0" w:color="auto"/>
              <w:bottom w:val="single" w:sz="4" w:space="0" w:color="auto"/>
            </w:tcBorders>
            <w:shd w:val="clear" w:color="auto" w:fill="E7ECCE"/>
          </w:tcPr>
          <w:p w:rsidR="00AF532E" w:rsidRPr="008C6BD5" w:rsidRDefault="00AF532E" w:rsidP="00AB78F6">
            <w:pPr>
              <w:keepNext/>
              <w:keepLines/>
              <w:spacing w:before="80" w:after="80" w:line="220" w:lineRule="atLeast"/>
              <w:ind w:left="6" w:right="28"/>
              <w:rPr>
                <w:rFonts w:ascii="Arial" w:hAnsi="Arial"/>
                <w:i/>
                <w:color w:val="1C1C1C"/>
                <w:sz w:val="20"/>
                <w:szCs w:val="20"/>
              </w:rPr>
            </w:pPr>
            <w:r>
              <w:rPr>
                <w:rFonts w:ascii="Arial" w:hAnsi="Arial"/>
                <w:i/>
                <w:color w:val="1C1C1C"/>
                <w:sz w:val="20"/>
                <w:szCs w:val="20"/>
              </w:rPr>
              <w:t>T</w:t>
            </w:r>
            <w:r w:rsidRPr="008C6BD5">
              <w:rPr>
                <w:rFonts w:ascii="Arial" w:hAnsi="Arial"/>
                <w:i/>
                <w:color w:val="1C1C1C"/>
                <w:sz w:val="20"/>
                <w:szCs w:val="20"/>
              </w:rPr>
              <w:t>rans-Tasman modifications</w:t>
            </w:r>
          </w:p>
        </w:tc>
      </w:tr>
      <w:tr w:rsidR="00A2214F" w:rsidRPr="008C6BD5" w:rsidTr="00754AAC">
        <w:tc>
          <w:tcPr>
            <w:tcW w:w="726" w:type="pct"/>
          </w:tcPr>
          <w:p w:rsidR="00AF532E" w:rsidRPr="008C6BD5" w:rsidRDefault="00AF532E" w:rsidP="00AF532E">
            <w:pPr>
              <w:pStyle w:val="TableBodyText"/>
              <w:keepNext w:val="0"/>
              <w:spacing w:before="80"/>
              <w:jc w:val="left"/>
            </w:pPr>
            <w:r w:rsidRPr="008C6BD5">
              <w:t>Screening</w:t>
            </w:r>
          </w:p>
        </w:tc>
        <w:tc>
          <w:tcPr>
            <w:tcW w:w="2661" w:type="pct"/>
          </w:tcPr>
          <w:p w:rsidR="00AF532E" w:rsidRPr="008C6BD5" w:rsidRDefault="00943CFC" w:rsidP="004107B1">
            <w:pPr>
              <w:pStyle w:val="TableBodyText"/>
              <w:keepNext w:val="0"/>
              <w:spacing w:before="80"/>
              <w:jc w:val="left"/>
            </w:pPr>
            <w:r>
              <w:t>A t</w:t>
            </w:r>
            <w:r w:rsidR="00AF532E" w:rsidRPr="008C6BD5">
              <w:t xml:space="preserve">est of whether proposals are </w:t>
            </w:r>
            <w:r w:rsidR="005173E7">
              <w:t>‘</w:t>
            </w:r>
            <w:r w:rsidR="00AF532E" w:rsidRPr="008C6BD5">
              <w:t>contrary to the national interest</w:t>
            </w:r>
            <w:r w:rsidR="005173E7">
              <w:t>’</w:t>
            </w:r>
            <w:r w:rsidR="00AF532E" w:rsidRPr="008C6BD5">
              <w:t xml:space="preserve"> </w:t>
            </w:r>
            <w:r w:rsidR="00932322">
              <w:t xml:space="preserve">is </w:t>
            </w:r>
            <w:r w:rsidR="00AF532E" w:rsidRPr="008C6BD5">
              <w:t>applied to</w:t>
            </w:r>
            <w:r w:rsidR="00AF532E">
              <w:t xml:space="preserve"> foreigners acquiring a</w:t>
            </w:r>
            <w:r w:rsidR="00AF532E" w:rsidRPr="008C6BD5">
              <w:t>n interest of 15</w:t>
            </w:r>
            <w:r w:rsidR="004107B1">
              <w:t> </w:t>
            </w:r>
            <w:proofErr w:type="spellStart"/>
            <w:r w:rsidR="004107B1">
              <w:t>percent</w:t>
            </w:r>
            <w:proofErr w:type="spellEnd"/>
            <w:r w:rsidR="00AF532E" w:rsidRPr="008C6BD5">
              <w:t xml:space="preserve"> or more in a business or corporation valued above </w:t>
            </w:r>
            <w:proofErr w:type="spellStart"/>
            <w:r w:rsidR="00AF532E">
              <w:t>A</w:t>
            </w:r>
            <w:r w:rsidR="00AF532E" w:rsidRPr="008C6BD5">
              <w:t>$244</w:t>
            </w:r>
            <w:proofErr w:type="spellEnd"/>
            <w:r w:rsidR="00AF532E">
              <w:t> million.</w:t>
            </w:r>
          </w:p>
        </w:tc>
        <w:tc>
          <w:tcPr>
            <w:tcW w:w="1613" w:type="pct"/>
          </w:tcPr>
          <w:p w:rsidR="00AF532E" w:rsidRPr="008C6BD5" w:rsidRDefault="00AF532E" w:rsidP="00754AAC">
            <w:pPr>
              <w:pStyle w:val="TableBodyText"/>
              <w:keepNext w:val="0"/>
              <w:spacing w:before="80"/>
              <w:jc w:val="left"/>
            </w:pPr>
            <w:r w:rsidRPr="008C6BD5">
              <w:t xml:space="preserve">Threshold </w:t>
            </w:r>
            <w:r w:rsidR="00754AAC">
              <w:t>of</w:t>
            </w:r>
            <w:r w:rsidRPr="008C6BD5">
              <w:t xml:space="preserve"> </w:t>
            </w:r>
            <w:proofErr w:type="spellStart"/>
            <w:r>
              <w:t>A</w:t>
            </w:r>
            <w:r w:rsidRPr="008C6BD5">
              <w:t>$1062</w:t>
            </w:r>
            <w:proofErr w:type="spellEnd"/>
            <w:r>
              <w:t> million</w:t>
            </w:r>
            <w:r w:rsidRPr="008C6BD5">
              <w:t xml:space="preserve"> for N</w:t>
            </w:r>
            <w:r>
              <w:t>ew Zealand</w:t>
            </w:r>
            <w:r w:rsidRPr="008C6BD5">
              <w:t xml:space="preserve"> (</w:t>
            </w:r>
            <w:r>
              <w:t>and</w:t>
            </w:r>
            <w:r w:rsidRPr="008C6BD5">
              <w:t xml:space="preserve"> US) investors </w:t>
            </w:r>
            <w:r>
              <w:t xml:space="preserve">if a </w:t>
            </w:r>
            <w:r w:rsidR="00754AAC">
              <w:t>‘</w:t>
            </w:r>
            <w:r>
              <w:t>sensitive</w:t>
            </w:r>
            <w:r w:rsidR="00754AAC">
              <w:t>’</w:t>
            </w:r>
            <w:r>
              <w:t xml:space="preserve"> sector </w:t>
            </w:r>
            <w:r w:rsidRPr="008C6BD5">
              <w:t xml:space="preserve">is not </w:t>
            </w:r>
            <w:r>
              <w:t>involved.</w:t>
            </w:r>
            <w:proofErr w:type="spellStart"/>
            <w:r>
              <w:rPr>
                <w:b/>
                <w:position w:val="6"/>
                <w:sz w:val="18"/>
                <w:szCs w:val="18"/>
              </w:rPr>
              <w:t>a,b</w:t>
            </w:r>
            <w:proofErr w:type="spellEnd"/>
          </w:p>
        </w:tc>
      </w:tr>
      <w:tr w:rsidR="00A2214F" w:rsidRPr="008C6BD5" w:rsidTr="00754AAC">
        <w:tc>
          <w:tcPr>
            <w:tcW w:w="726" w:type="pct"/>
          </w:tcPr>
          <w:p w:rsidR="00AF532E" w:rsidRPr="008C6BD5" w:rsidRDefault="00AF532E" w:rsidP="00AF532E">
            <w:pPr>
              <w:pStyle w:val="TableBodyText"/>
              <w:keepNext w:val="0"/>
              <w:jc w:val="left"/>
            </w:pPr>
          </w:p>
        </w:tc>
        <w:tc>
          <w:tcPr>
            <w:tcW w:w="2661" w:type="pct"/>
          </w:tcPr>
          <w:p w:rsidR="00AF532E" w:rsidRDefault="00AF532E" w:rsidP="00AF532E">
            <w:pPr>
              <w:pStyle w:val="TableBodyText"/>
              <w:keepNext w:val="0"/>
              <w:jc w:val="left"/>
              <w:rPr>
                <w:i/>
              </w:rPr>
            </w:pPr>
            <w:r>
              <w:t>Additional screening applies to foreign investment proposals in ‘</w:t>
            </w:r>
            <w:r w:rsidRPr="006E45A7">
              <w:t>sensitive</w:t>
            </w:r>
            <w:r>
              <w:t>’</w:t>
            </w:r>
            <w:r w:rsidRPr="006E45A7">
              <w:t xml:space="preserve"> sectors</w:t>
            </w:r>
            <w:r>
              <w:t>, including for:</w:t>
            </w:r>
          </w:p>
        </w:tc>
        <w:tc>
          <w:tcPr>
            <w:tcW w:w="1613" w:type="pct"/>
          </w:tcPr>
          <w:p w:rsidR="00AF532E" w:rsidRPr="008C6BD5" w:rsidRDefault="00AF532E" w:rsidP="00AF532E">
            <w:pPr>
              <w:pStyle w:val="TableBodyText"/>
              <w:keepNext w:val="0"/>
              <w:jc w:val="left"/>
            </w:pPr>
          </w:p>
        </w:tc>
      </w:tr>
      <w:tr w:rsidR="00A2214F" w:rsidRPr="008C6BD5" w:rsidTr="00754AAC">
        <w:tc>
          <w:tcPr>
            <w:tcW w:w="726" w:type="pct"/>
          </w:tcPr>
          <w:p w:rsidR="00AF532E" w:rsidRPr="008C6BD5" w:rsidRDefault="00AF532E" w:rsidP="00AF532E">
            <w:pPr>
              <w:pStyle w:val="TableBodyText"/>
              <w:keepNext w:val="0"/>
              <w:jc w:val="left"/>
            </w:pPr>
          </w:p>
        </w:tc>
        <w:tc>
          <w:tcPr>
            <w:tcW w:w="2661" w:type="pct"/>
          </w:tcPr>
          <w:p w:rsidR="00AF532E" w:rsidRPr="008C6BD5" w:rsidRDefault="00AF532E" w:rsidP="00AF532E">
            <w:pPr>
              <w:pStyle w:val="TableBullet"/>
              <w:keepNext w:val="0"/>
            </w:pPr>
            <w:r>
              <w:t>n</w:t>
            </w:r>
            <w:r w:rsidRPr="008C6BD5">
              <w:t xml:space="preserve">on-residential commercial real estate </w:t>
            </w:r>
            <w:r>
              <w:t xml:space="preserve">valued above </w:t>
            </w:r>
            <w:proofErr w:type="spellStart"/>
            <w:r w:rsidRPr="008C6BD5">
              <w:t>A$53</w:t>
            </w:r>
            <w:proofErr w:type="spellEnd"/>
            <w:r>
              <w:t> million</w:t>
            </w:r>
          </w:p>
        </w:tc>
        <w:tc>
          <w:tcPr>
            <w:tcW w:w="1613" w:type="pct"/>
          </w:tcPr>
          <w:p w:rsidR="00AF532E" w:rsidRPr="008C6BD5" w:rsidRDefault="00AF532E" w:rsidP="00754AAC">
            <w:pPr>
              <w:pStyle w:val="TableBodyText"/>
              <w:keepNext w:val="0"/>
              <w:jc w:val="left"/>
            </w:pPr>
            <w:r w:rsidRPr="008C6BD5">
              <w:t xml:space="preserve">Threshold </w:t>
            </w:r>
            <w:r w:rsidR="00754AAC">
              <w:t>of</w:t>
            </w:r>
            <w:r w:rsidRPr="008C6BD5">
              <w:t xml:space="preserve"> </w:t>
            </w:r>
            <w:proofErr w:type="spellStart"/>
            <w:r>
              <w:t>A</w:t>
            </w:r>
            <w:r w:rsidRPr="008C6BD5">
              <w:t>$1062</w:t>
            </w:r>
            <w:proofErr w:type="spellEnd"/>
            <w:r>
              <w:t> million</w:t>
            </w:r>
            <w:r w:rsidRPr="008C6BD5">
              <w:t xml:space="preserve"> for New Zealand (and US) investors</w:t>
            </w:r>
            <w:r>
              <w:t>.</w:t>
            </w:r>
            <w:r>
              <w:rPr>
                <w:b/>
                <w:position w:val="6"/>
                <w:sz w:val="18"/>
                <w:szCs w:val="18"/>
              </w:rPr>
              <w:t>b</w:t>
            </w:r>
          </w:p>
        </w:tc>
      </w:tr>
      <w:tr w:rsidR="00A2214F" w:rsidRPr="008C6BD5" w:rsidTr="00754AAC">
        <w:tc>
          <w:tcPr>
            <w:tcW w:w="726" w:type="pct"/>
          </w:tcPr>
          <w:p w:rsidR="00AF532E" w:rsidRPr="008C6BD5" w:rsidRDefault="00AF532E" w:rsidP="00AF532E">
            <w:pPr>
              <w:pStyle w:val="TableBodyText"/>
              <w:keepNext w:val="0"/>
              <w:jc w:val="left"/>
            </w:pPr>
          </w:p>
        </w:tc>
        <w:tc>
          <w:tcPr>
            <w:tcW w:w="2661" w:type="pct"/>
          </w:tcPr>
          <w:p w:rsidR="00AF532E" w:rsidRPr="008C6BD5" w:rsidRDefault="00AF532E" w:rsidP="00235F48">
            <w:pPr>
              <w:pStyle w:val="TableBullet"/>
              <w:keepNext w:val="0"/>
            </w:pPr>
            <w:r>
              <w:t>r</w:t>
            </w:r>
            <w:r w:rsidRPr="008C6BD5">
              <w:t>esidential real</w:t>
            </w:r>
            <w:r>
              <w:t xml:space="preserve"> estate </w:t>
            </w:r>
          </w:p>
        </w:tc>
        <w:tc>
          <w:tcPr>
            <w:tcW w:w="1613" w:type="pct"/>
          </w:tcPr>
          <w:p w:rsidR="00AF532E" w:rsidRPr="008C6BD5" w:rsidRDefault="00AF532E" w:rsidP="00AF532E">
            <w:pPr>
              <w:pStyle w:val="TableBodyText"/>
              <w:keepNext w:val="0"/>
              <w:jc w:val="left"/>
            </w:pPr>
            <w:r w:rsidRPr="008C6BD5">
              <w:t>New Zealand citizens</w:t>
            </w:r>
            <w:r w:rsidR="00530D0A">
              <w:t xml:space="preserve"> exempt.</w:t>
            </w:r>
          </w:p>
        </w:tc>
      </w:tr>
      <w:tr w:rsidR="00A2214F" w:rsidRPr="008C6BD5" w:rsidTr="00754AAC">
        <w:tc>
          <w:tcPr>
            <w:tcW w:w="726" w:type="pct"/>
          </w:tcPr>
          <w:p w:rsidR="00AF532E" w:rsidRPr="008C6BD5" w:rsidRDefault="00AF532E" w:rsidP="00AF532E">
            <w:pPr>
              <w:pStyle w:val="TableBodyText"/>
              <w:keepNext w:val="0"/>
              <w:jc w:val="left"/>
            </w:pPr>
          </w:p>
        </w:tc>
        <w:tc>
          <w:tcPr>
            <w:tcW w:w="2661" w:type="pct"/>
          </w:tcPr>
          <w:p w:rsidR="00AF532E" w:rsidRPr="003E72D4" w:rsidRDefault="00AF532E" w:rsidP="004107B1">
            <w:pPr>
              <w:pStyle w:val="TableBullet"/>
              <w:keepNext w:val="0"/>
            </w:pPr>
            <w:r>
              <w:t>purchases of 5</w:t>
            </w:r>
            <w:r w:rsidR="004107B1">
              <w:t> </w:t>
            </w:r>
            <w:proofErr w:type="spellStart"/>
            <w:r w:rsidR="004107B1">
              <w:t>percent</w:t>
            </w:r>
            <w:proofErr w:type="spellEnd"/>
            <w:r>
              <w:t xml:space="preserve"> or more of a </w:t>
            </w:r>
            <w:r w:rsidR="004A24BE">
              <w:t xml:space="preserve">media </w:t>
            </w:r>
            <w:r>
              <w:t xml:space="preserve">firm </w:t>
            </w:r>
          </w:p>
        </w:tc>
        <w:tc>
          <w:tcPr>
            <w:tcW w:w="1613" w:type="pct"/>
          </w:tcPr>
          <w:p w:rsidR="00AF532E" w:rsidRPr="008C6BD5" w:rsidRDefault="00AF532E" w:rsidP="00AF532E">
            <w:pPr>
              <w:pStyle w:val="TableBodyText"/>
              <w:keepNext w:val="0"/>
              <w:jc w:val="left"/>
            </w:pPr>
            <w:r>
              <w:t>None</w:t>
            </w:r>
          </w:p>
        </w:tc>
      </w:tr>
      <w:tr w:rsidR="00A2214F" w:rsidRPr="008C6BD5" w:rsidTr="00754AAC">
        <w:tc>
          <w:tcPr>
            <w:tcW w:w="726" w:type="pct"/>
          </w:tcPr>
          <w:p w:rsidR="00AF532E" w:rsidRPr="008C6BD5" w:rsidRDefault="00AF532E" w:rsidP="00AF532E">
            <w:pPr>
              <w:pStyle w:val="TableBodyText"/>
              <w:keepNext w:val="0"/>
              <w:jc w:val="left"/>
            </w:pPr>
          </w:p>
        </w:tc>
        <w:tc>
          <w:tcPr>
            <w:tcW w:w="2661" w:type="pct"/>
          </w:tcPr>
          <w:p w:rsidR="00AF532E" w:rsidRDefault="00AF532E" w:rsidP="00AF532E">
            <w:pPr>
              <w:pStyle w:val="TableBullet"/>
              <w:keepNext w:val="0"/>
            </w:pPr>
            <w:r w:rsidRPr="006E45A7">
              <w:t xml:space="preserve">new entrants or existing </w:t>
            </w:r>
            <w:r>
              <w:t xml:space="preserve">carriers in the telecommunications sector </w:t>
            </w:r>
          </w:p>
        </w:tc>
        <w:tc>
          <w:tcPr>
            <w:tcW w:w="1613" w:type="pct"/>
          </w:tcPr>
          <w:p w:rsidR="00AF532E" w:rsidRDefault="00AF532E" w:rsidP="00AF532E">
            <w:pPr>
              <w:pStyle w:val="TableBodyText"/>
              <w:keepNext w:val="0"/>
              <w:jc w:val="left"/>
            </w:pPr>
            <w:r>
              <w:t>None</w:t>
            </w:r>
          </w:p>
        </w:tc>
      </w:tr>
      <w:tr w:rsidR="00A2214F" w:rsidRPr="008C6BD5" w:rsidTr="00754AAC">
        <w:tc>
          <w:tcPr>
            <w:tcW w:w="726" w:type="pct"/>
          </w:tcPr>
          <w:p w:rsidR="00AF532E" w:rsidRPr="008C6BD5" w:rsidRDefault="00AF532E" w:rsidP="00AF532E">
            <w:pPr>
              <w:pStyle w:val="TableBodyText"/>
              <w:keepNext w:val="0"/>
              <w:jc w:val="left"/>
            </w:pPr>
          </w:p>
        </w:tc>
        <w:tc>
          <w:tcPr>
            <w:tcW w:w="2661" w:type="pct"/>
          </w:tcPr>
          <w:p w:rsidR="00AF532E" w:rsidRDefault="00AF532E" w:rsidP="00AF532E">
            <w:pPr>
              <w:pStyle w:val="TableBullet"/>
              <w:keepNext w:val="0"/>
            </w:pPr>
            <w:r>
              <w:t xml:space="preserve">new entrants or existing banks in the finance sector (the investment must be </w:t>
            </w:r>
            <w:r w:rsidRPr="0087531B">
              <w:t xml:space="preserve">consistent with the </w:t>
            </w:r>
            <w:r w:rsidRPr="00951F7D">
              <w:rPr>
                <w:i/>
              </w:rPr>
              <w:t>Banking Act 1959</w:t>
            </w:r>
            <w:r>
              <w:t xml:space="preserve"> (</w:t>
            </w:r>
            <w:proofErr w:type="spellStart"/>
            <w:r>
              <w:t>Cwlth</w:t>
            </w:r>
            <w:proofErr w:type="spellEnd"/>
            <w:r>
              <w:t>)</w:t>
            </w:r>
            <w:r w:rsidRPr="0087531B">
              <w:t xml:space="preserve">, the </w:t>
            </w:r>
            <w:r w:rsidRPr="00951F7D">
              <w:rPr>
                <w:i/>
              </w:rPr>
              <w:t>Financial Sector (Shareholdings) Act</w:t>
            </w:r>
            <w:r>
              <w:t xml:space="preserve"> </w:t>
            </w:r>
            <w:r w:rsidRPr="00951F7D">
              <w:rPr>
                <w:i/>
              </w:rPr>
              <w:t>1998</w:t>
            </w:r>
            <w:r>
              <w:t xml:space="preserve"> (</w:t>
            </w:r>
            <w:proofErr w:type="spellStart"/>
            <w:r>
              <w:t>Cwlth</w:t>
            </w:r>
            <w:proofErr w:type="spellEnd"/>
            <w:r>
              <w:t xml:space="preserve">), </w:t>
            </w:r>
            <w:r w:rsidRPr="0087531B">
              <w:t xml:space="preserve">banking policy, </w:t>
            </w:r>
            <w:r>
              <w:t>and</w:t>
            </w:r>
            <w:r w:rsidRPr="0087531B">
              <w:t xml:space="preserve"> </w:t>
            </w:r>
            <w:r>
              <w:t xml:space="preserve">Australian </w:t>
            </w:r>
            <w:r w:rsidRPr="0087531B">
              <w:t>prudential requirements</w:t>
            </w:r>
          </w:p>
        </w:tc>
        <w:tc>
          <w:tcPr>
            <w:tcW w:w="1613" w:type="pct"/>
          </w:tcPr>
          <w:p w:rsidR="00AF532E" w:rsidRDefault="00AF532E" w:rsidP="00AF532E">
            <w:pPr>
              <w:pStyle w:val="TableBodyText"/>
              <w:keepNext w:val="0"/>
              <w:jc w:val="left"/>
            </w:pPr>
            <w:r>
              <w:t>None</w:t>
            </w:r>
          </w:p>
        </w:tc>
      </w:tr>
      <w:tr w:rsidR="00A2214F" w:rsidRPr="008C6BD5" w:rsidTr="00754AAC">
        <w:tc>
          <w:tcPr>
            <w:tcW w:w="726" w:type="pct"/>
          </w:tcPr>
          <w:p w:rsidR="00AF532E" w:rsidRPr="008C6BD5" w:rsidRDefault="00AF532E" w:rsidP="00AF532E">
            <w:pPr>
              <w:pStyle w:val="TableBodyText"/>
              <w:keepNext w:val="0"/>
              <w:jc w:val="left"/>
            </w:pPr>
          </w:p>
        </w:tc>
        <w:tc>
          <w:tcPr>
            <w:tcW w:w="2661" w:type="pct"/>
          </w:tcPr>
          <w:p w:rsidR="00AF532E" w:rsidRDefault="00AF532E" w:rsidP="00AF532E">
            <w:pPr>
              <w:pStyle w:val="TableBullet"/>
              <w:keepNext w:val="0"/>
            </w:pPr>
            <w:r>
              <w:t>domestic and international civil aviation</w:t>
            </w:r>
          </w:p>
        </w:tc>
        <w:tc>
          <w:tcPr>
            <w:tcW w:w="1613" w:type="pct"/>
          </w:tcPr>
          <w:p w:rsidR="00AF532E" w:rsidRDefault="00AF532E" w:rsidP="00AF532E">
            <w:pPr>
              <w:pStyle w:val="TableBodyText"/>
              <w:keepNext w:val="0"/>
              <w:jc w:val="left"/>
            </w:pPr>
            <w:r>
              <w:t>None</w:t>
            </w:r>
          </w:p>
        </w:tc>
      </w:tr>
      <w:tr w:rsidR="00A2214F" w:rsidRPr="008C6BD5" w:rsidTr="00754AAC">
        <w:tc>
          <w:tcPr>
            <w:tcW w:w="726" w:type="pct"/>
          </w:tcPr>
          <w:p w:rsidR="00AF532E" w:rsidRPr="008C6BD5" w:rsidRDefault="00AF532E" w:rsidP="00AF532E">
            <w:pPr>
              <w:pStyle w:val="TableBodyText"/>
              <w:keepNext w:val="0"/>
              <w:jc w:val="left"/>
            </w:pPr>
          </w:p>
        </w:tc>
        <w:tc>
          <w:tcPr>
            <w:tcW w:w="2661" w:type="pct"/>
          </w:tcPr>
          <w:p w:rsidR="00AF532E" w:rsidRDefault="00AF532E" w:rsidP="00AF532E">
            <w:pPr>
              <w:pStyle w:val="TableBullet"/>
              <w:keepNext w:val="0"/>
            </w:pPr>
            <w:r>
              <w:t>ships registered in Australia</w:t>
            </w:r>
          </w:p>
        </w:tc>
        <w:tc>
          <w:tcPr>
            <w:tcW w:w="1613" w:type="pct"/>
          </w:tcPr>
          <w:p w:rsidR="00AF532E" w:rsidRDefault="00AF532E" w:rsidP="00AF532E">
            <w:pPr>
              <w:pStyle w:val="TableBodyText"/>
              <w:keepNext w:val="0"/>
              <w:jc w:val="left"/>
            </w:pPr>
            <w:r>
              <w:t>None</w:t>
            </w:r>
          </w:p>
        </w:tc>
      </w:tr>
      <w:tr w:rsidR="00A2214F" w:rsidRPr="008C6BD5" w:rsidTr="00754AAC">
        <w:tc>
          <w:tcPr>
            <w:tcW w:w="726" w:type="pct"/>
          </w:tcPr>
          <w:p w:rsidR="00AF532E" w:rsidRPr="008C6BD5" w:rsidRDefault="00AF532E" w:rsidP="00AF532E">
            <w:pPr>
              <w:pStyle w:val="TableBodyText"/>
              <w:keepNext w:val="0"/>
              <w:jc w:val="left"/>
            </w:pPr>
          </w:p>
        </w:tc>
        <w:tc>
          <w:tcPr>
            <w:tcW w:w="2661" w:type="pct"/>
          </w:tcPr>
          <w:p w:rsidR="00AF532E" w:rsidRDefault="00AF532E" w:rsidP="00AF532E">
            <w:pPr>
              <w:pStyle w:val="TableBullet"/>
              <w:keepNext w:val="0"/>
            </w:pPr>
            <w:r>
              <w:t>Australian airports.</w:t>
            </w:r>
          </w:p>
        </w:tc>
        <w:tc>
          <w:tcPr>
            <w:tcW w:w="1613" w:type="pct"/>
          </w:tcPr>
          <w:p w:rsidR="00AF532E" w:rsidRDefault="00AF532E" w:rsidP="00AF532E">
            <w:pPr>
              <w:pStyle w:val="TableBodyText"/>
              <w:keepNext w:val="0"/>
              <w:jc w:val="left"/>
            </w:pPr>
            <w:r>
              <w:t>None</w:t>
            </w:r>
          </w:p>
        </w:tc>
      </w:tr>
      <w:tr w:rsidR="00A2214F" w:rsidRPr="008C6BD5" w:rsidTr="00754AAC">
        <w:tc>
          <w:tcPr>
            <w:tcW w:w="726" w:type="pct"/>
            <w:tcBorders>
              <w:bottom w:val="single" w:sz="4" w:space="0" w:color="auto"/>
            </w:tcBorders>
          </w:tcPr>
          <w:p w:rsidR="00AF532E" w:rsidRPr="008C6BD5" w:rsidRDefault="00AF532E" w:rsidP="00AF532E">
            <w:pPr>
              <w:pStyle w:val="TableBodyText"/>
              <w:keepNext w:val="0"/>
              <w:jc w:val="left"/>
            </w:pPr>
          </w:p>
        </w:tc>
        <w:tc>
          <w:tcPr>
            <w:tcW w:w="2661" w:type="pct"/>
            <w:tcBorders>
              <w:bottom w:val="single" w:sz="4" w:space="0" w:color="auto"/>
            </w:tcBorders>
          </w:tcPr>
          <w:p w:rsidR="00AF532E" w:rsidRPr="008C6BD5" w:rsidRDefault="005173E7" w:rsidP="00AF532E">
            <w:pPr>
              <w:pStyle w:val="TableBodyText"/>
              <w:keepNext w:val="0"/>
              <w:jc w:val="left"/>
            </w:pPr>
            <w:r>
              <w:t>A ‘n</w:t>
            </w:r>
            <w:r w:rsidR="00AF532E">
              <w:t>ational interest</w:t>
            </w:r>
            <w:r>
              <w:t>’</w:t>
            </w:r>
            <w:r w:rsidR="00AF532E">
              <w:t xml:space="preserve"> test is also applied to a</w:t>
            </w:r>
            <w:r w:rsidR="00AF532E" w:rsidRPr="008C6BD5">
              <w:t>ll direct investments by foreign governments and their related entities</w:t>
            </w:r>
            <w:r w:rsidR="00D4572D">
              <w:t xml:space="preserve"> (such as sovereign wealth funds and state owned enterprises)</w:t>
            </w:r>
            <w:r w:rsidR="00AF532E">
              <w:t>.</w:t>
            </w:r>
          </w:p>
        </w:tc>
        <w:tc>
          <w:tcPr>
            <w:tcW w:w="1613" w:type="pct"/>
            <w:tcBorders>
              <w:bottom w:val="single" w:sz="4" w:space="0" w:color="auto"/>
            </w:tcBorders>
          </w:tcPr>
          <w:p w:rsidR="00AF532E" w:rsidRPr="008C6BD5" w:rsidRDefault="00AF532E" w:rsidP="00AF532E">
            <w:pPr>
              <w:pStyle w:val="TableBodyText"/>
              <w:keepNext w:val="0"/>
              <w:jc w:val="left"/>
            </w:pPr>
            <w:r w:rsidRPr="008C6BD5">
              <w:t>None</w:t>
            </w:r>
          </w:p>
        </w:tc>
      </w:tr>
    </w:tbl>
    <w:p w:rsidR="00AF1D22" w:rsidRDefault="00AF1D22" w:rsidP="00AF1D22">
      <w:pPr>
        <w:pStyle w:val="Continued"/>
        <w:rPr>
          <w:b/>
        </w:rPr>
      </w:pPr>
      <w:r>
        <w:t>(Continued next page)</w:t>
      </w:r>
    </w:p>
    <w:p w:rsidR="00AC2E29" w:rsidRDefault="00FA4454">
      <w:pPr>
        <w:pStyle w:val="TableTitle"/>
      </w:pPr>
      <w:r>
        <w:rPr>
          <w:b w:val="0"/>
        </w:rPr>
        <w:lastRenderedPageBreak/>
        <w:t xml:space="preserve">Table </w:t>
      </w:r>
      <w:proofErr w:type="spellStart"/>
      <w:r w:rsidR="00E6190B">
        <w:rPr>
          <w:b w:val="0"/>
        </w:rPr>
        <w:t>C.1</w:t>
      </w:r>
      <w:proofErr w:type="spellEnd"/>
      <w:r>
        <w:tab/>
      </w:r>
      <w:r w:rsidR="00AF532E" w:rsidRPr="00AF1D22">
        <w:rPr>
          <w:b w:val="0"/>
          <w:sz w:val="18"/>
          <w:szCs w:val="18"/>
        </w:rPr>
        <w:t>(continued)</w:t>
      </w:r>
    </w:p>
    <w:tbl>
      <w:tblPr>
        <w:tblW w:w="5000" w:type="pct"/>
        <w:tblCellMar>
          <w:left w:w="0" w:type="dxa"/>
          <w:right w:w="0" w:type="dxa"/>
        </w:tblCellMar>
        <w:tblLook w:val="0000" w:firstRow="0" w:lastRow="0" w:firstColumn="0" w:lastColumn="0" w:noHBand="0" w:noVBand="0"/>
      </w:tblPr>
      <w:tblGrid>
        <w:gridCol w:w="1418"/>
        <w:gridCol w:w="4678"/>
        <w:gridCol w:w="2693"/>
      </w:tblGrid>
      <w:tr w:rsidR="008C6BD5" w:rsidRPr="008C6BD5" w:rsidTr="00530D0A">
        <w:tc>
          <w:tcPr>
            <w:tcW w:w="807" w:type="pct"/>
            <w:tcBorders>
              <w:top w:val="single" w:sz="4" w:space="0" w:color="auto"/>
              <w:bottom w:val="single" w:sz="4" w:space="0" w:color="auto"/>
            </w:tcBorders>
            <w:shd w:val="clear" w:color="auto" w:fill="E7ECCE"/>
          </w:tcPr>
          <w:p w:rsidR="008C6BD5" w:rsidRPr="008C6BD5" w:rsidRDefault="008C6BD5" w:rsidP="008C6BD5">
            <w:pPr>
              <w:keepNext/>
              <w:keepLines/>
              <w:spacing w:before="80" w:after="80" w:line="220" w:lineRule="atLeast"/>
              <w:ind w:left="6" w:right="113"/>
              <w:rPr>
                <w:rFonts w:ascii="Arial" w:hAnsi="Arial"/>
                <w:i/>
                <w:color w:val="1C1C1C"/>
                <w:sz w:val="20"/>
                <w:szCs w:val="20"/>
              </w:rPr>
            </w:pPr>
            <w:r w:rsidRPr="008C6BD5">
              <w:rPr>
                <w:rFonts w:ascii="Arial" w:hAnsi="Arial"/>
                <w:i/>
                <w:color w:val="1C1C1C"/>
                <w:sz w:val="20"/>
                <w:szCs w:val="20"/>
              </w:rPr>
              <w:t>Type</w:t>
            </w:r>
          </w:p>
        </w:tc>
        <w:tc>
          <w:tcPr>
            <w:tcW w:w="2661" w:type="pct"/>
            <w:tcBorders>
              <w:top w:val="single" w:sz="4" w:space="0" w:color="auto"/>
              <w:bottom w:val="single" w:sz="4" w:space="0" w:color="auto"/>
            </w:tcBorders>
            <w:shd w:val="clear" w:color="auto" w:fill="E7ECCE"/>
          </w:tcPr>
          <w:p w:rsidR="008C6BD5" w:rsidRPr="008C6BD5" w:rsidRDefault="00097470" w:rsidP="003D518E">
            <w:pPr>
              <w:keepNext/>
              <w:keepLines/>
              <w:spacing w:before="80" w:after="80" w:line="220" w:lineRule="atLeast"/>
              <w:ind w:left="6" w:right="113"/>
              <w:rPr>
                <w:rFonts w:ascii="Arial" w:hAnsi="Arial"/>
                <w:i/>
                <w:color w:val="1C1C1C"/>
                <w:sz w:val="20"/>
                <w:szCs w:val="20"/>
              </w:rPr>
            </w:pPr>
            <w:r>
              <w:rPr>
                <w:rFonts w:ascii="Arial" w:hAnsi="Arial"/>
                <w:i/>
                <w:color w:val="1C1C1C"/>
                <w:sz w:val="20"/>
                <w:szCs w:val="20"/>
              </w:rPr>
              <w:t>D</w:t>
            </w:r>
            <w:r w:rsidR="008C6BD5" w:rsidRPr="008C6BD5">
              <w:rPr>
                <w:rFonts w:ascii="Arial" w:hAnsi="Arial"/>
                <w:i/>
                <w:color w:val="1C1C1C"/>
                <w:sz w:val="20"/>
                <w:szCs w:val="20"/>
              </w:rPr>
              <w:t>escription</w:t>
            </w:r>
          </w:p>
        </w:tc>
        <w:tc>
          <w:tcPr>
            <w:tcW w:w="1532" w:type="pct"/>
            <w:tcBorders>
              <w:top w:val="single" w:sz="4" w:space="0" w:color="auto"/>
              <w:bottom w:val="single" w:sz="4" w:space="0" w:color="auto"/>
            </w:tcBorders>
            <w:shd w:val="clear" w:color="auto" w:fill="E7ECCE"/>
          </w:tcPr>
          <w:p w:rsidR="008C6BD5" w:rsidRPr="008C6BD5" w:rsidRDefault="00097470" w:rsidP="003D518E">
            <w:pPr>
              <w:keepNext/>
              <w:keepLines/>
              <w:spacing w:before="80" w:after="80" w:line="220" w:lineRule="atLeast"/>
              <w:ind w:left="6" w:right="28"/>
              <w:rPr>
                <w:rFonts w:ascii="Arial" w:hAnsi="Arial"/>
                <w:i/>
                <w:color w:val="1C1C1C"/>
                <w:sz w:val="20"/>
                <w:szCs w:val="20"/>
              </w:rPr>
            </w:pPr>
            <w:r>
              <w:rPr>
                <w:rFonts w:ascii="Arial" w:hAnsi="Arial"/>
                <w:i/>
                <w:color w:val="1C1C1C"/>
                <w:sz w:val="20"/>
                <w:szCs w:val="20"/>
              </w:rPr>
              <w:t>T</w:t>
            </w:r>
            <w:r w:rsidR="008C6BD5" w:rsidRPr="008C6BD5">
              <w:rPr>
                <w:rFonts w:ascii="Arial" w:hAnsi="Arial"/>
                <w:i/>
                <w:color w:val="1C1C1C"/>
                <w:sz w:val="20"/>
                <w:szCs w:val="20"/>
              </w:rPr>
              <w:t>rans-Tasman modifications</w:t>
            </w:r>
          </w:p>
        </w:tc>
      </w:tr>
      <w:tr w:rsidR="008C6BD5" w:rsidRPr="008C6BD5" w:rsidTr="00530D0A">
        <w:tc>
          <w:tcPr>
            <w:tcW w:w="807" w:type="pct"/>
          </w:tcPr>
          <w:p w:rsidR="008C6BD5" w:rsidRPr="008C6BD5" w:rsidRDefault="006E45A7" w:rsidP="00C42B2B">
            <w:pPr>
              <w:pStyle w:val="TableBodyText"/>
              <w:spacing w:before="80"/>
              <w:jc w:val="left"/>
            </w:pPr>
            <w:r>
              <w:t>F</w:t>
            </w:r>
            <w:r w:rsidR="00E9401F">
              <w:t>oreign equity limits</w:t>
            </w:r>
          </w:p>
        </w:tc>
        <w:tc>
          <w:tcPr>
            <w:tcW w:w="2661" w:type="pct"/>
          </w:tcPr>
          <w:p w:rsidR="006C2636" w:rsidRPr="008C6BD5" w:rsidRDefault="00151AD6" w:rsidP="00C42B2B">
            <w:pPr>
              <w:pStyle w:val="TableBodyText"/>
              <w:spacing w:before="80"/>
              <w:jc w:val="left"/>
            </w:pPr>
            <w:r>
              <w:t>T</w:t>
            </w:r>
            <w:r w:rsidR="003A2580" w:rsidRPr="003A2580">
              <w:t xml:space="preserve">otal foreign investment in Australian international airlines is limited to 49 </w:t>
            </w:r>
            <w:proofErr w:type="spellStart"/>
            <w:r w:rsidR="003A2580" w:rsidRPr="003A2580">
              <w:t>percent</w:t>
            </w:r>
            <w:proofErr w:type="spellEnd"/>
            <w:r w:rsidR="003A2580" w:rsidRPr="003A2580">
              <w:t>. Additionally, for Qantas, a single foreign in</w:t>
            </w:r>
            <w:r w:rsidR="00754AAC">
              <w:t xml:space="preserve">vestor is limited to 25 </w:t>
            </w:r>
            <w:proofErr w:type="spellStart"/>
            <w:r w:rsidR="00754AAC">
              <w:t>percent</w:t>
            </w:r>
            <w:proofErr w:type="spellEnd"/>
            <w:r w:rsidR="00754AAC">
              <w:t xml:space="preserve">, </w:t>
            </w:r>
            <w:r w:rsidR="003A2580" w:rsidRPr="003A2580">
              <w:t xml:space="preserve">aggregate ownership by foreign airlines is limited to 35 </w:t>
            </w:r>
            <w:proofErr w:type="spellStart"/>
            <w:r w:rsidR="003A2580" w:rsidRPr="003A2580">
              <w:t>percent</w:t>
            </w:r>
            <w:proofErr w:type="spellEnd"/>
            <w:r w:rsidR="003A2580" w:rsidRPr="003A2580">
              <w:t>.</w:t>
            </w:r>
            <w:r w:rsidR="003A2580">
              <w:t xml:space="preserve"> </w:t>
            </w:r>
            <w:r w:rsidR="00754AAC">
              <w:t>C</w:t>
            </w:r>
            <w:r w:rsidR="003A2580" w:rsidRPr="006C2636">
              <w:t xml:space="preserve">riteria </w:t>
            </w:r>
            <w:r w:rsidR="00754AAC">
              <w:t>relating to the nationality of b</w:t>
            </w:r>
            <w:r w:rsidR="003A2580" w:rsidRPr="006C2636">
              <w:t xml:space="preserve">oard members and operational location </w:t>
            </w:r>
            <w:r w:rsidR="00754AAC" w:rsidRPr="006C2636">
              <w:t xml:space="preserve">must </w:t>
            </w:r>
            <w:r w:rsidR="00754AAC">
              <w:t xml:space="preserve">also </w:t>
            </w:r>
            <w:r w:rsidR="00754AAC" w:rsidRPr="006C2636">
              <w:t>be satisfied</w:t>
            </w:r>
            <w:r w:rsidR="00754AAC">
              <w:t>.</w:t>
            </w:r>
          </w:p>
        </w:tc>
        <w:tc>
          <w:tcPr>
            <w:tcW w:w="1532" w:type="pct"/>
          </w:tcPr>
          <w:p w:rsidR="008C6BD5" w:rsidRPr="008C6BD5" w:rsidRDefault="008C6BD5" w:rsidP="00C42B2B">
            <w:pPr>
              <w:pStyle w:val="TableBodyText"/>
              <w:spacing w:before="80"/>
              <w:jc w:val="left"/>
            </w:pPr>
            <w:r w:rsidRPr="008C6BD5">
              <w:t>None</w:t>
            </w:r>
          </w:p>
        </w:tc>
      </w:tr>
      <w:tr w:rsidR="00151AD6" w:rsidRPr="008C6BD5" w:rsidTr="00530D0A">
        <w:tc>
          <w:tcPr>
            <w:tcW w:w="807" w:type="pct"/>
          </w:tcPr>
          <w:p w:rsidR="00151AD6" w:rsidRDefault="00151AD6" w:rsidP="003704E5">
            <w:pPr>
              <w:pStyle w:val="TableBodyText"/>
              <w:jc w:val="left"/>
            </w:pPr>
          </w:p>
        </w:tc>
        <w:tc>
          <w:tcPr>
            <w:tcW w:w="2661" w:type="pct"/>
          </w:tcPr>
          <w:p w:rsidR="00151AD6" w:rsidRDefault="00151AD6" w:rsidP="0049697E">
            <w:pPr>
              <w:pStyle w:val="TableBodyText"/>
              <w:jc w:val="left"/>
            </w:pPr>
            <w:r w:rsidRPr="00151AD6">
              <w:t>Total foreign investment in Telstra is limited to 35</w:t>
            </w:r>
            <w:r w:rsidR="0049697E">
              <w:t> </w:t>
            </w:r>
            <w:proofErr w:type="spellStart"/>
            <w:r w:rsidR="0049697E">
              <w:t>percent</w:t>
            </w:r>
            <w:proofErr w:type="spellEnd"/>
            <w:r w:rsidRPr="00151AD6">
              <w:t xml:space="preserve"> (5</w:t>
            </w:r>
            <w:r w:rsidR="0049697E">
              <w:t> </w:t>
            </w:r>
            <w:proofErr w:type="spellStart"/>
            <w:r w:rsidR="0049697E">
              <w:t>percent</w:t>
            </w:r>
            <w:proofErr w:type="spellEnd"/>
            <w:r w:rsidRPr="00151AD6">
              <w:t xml:space="preserve"> for individual foreign investors). </w:t>
            </w:r>
            <w:r w:rsidR="00754AAC">
              <w:t>C</w:t>
            </w:r>
            <w:r w:rsidRPr="00151AD6">
              <w:t>riteria relating to the nationalit</w:t>
            </w:r>
            <w:r w:rsidR="00754AAC">
              <w:t>y of b</w:t>
            </w:r>
            <w:r w:rsidRPr="00151AD6">
              <w:t xml:space="preserve">oard members and operational location </w:t>
            </w:r>
            <w:r w:rsidR="00754AAC" w:rsidRPr="00151AD6">
              <w:t xml:space="preserve">must </w:t>
            </w:r>
            <w:r w:rsidR="00754AAC">
              <w:t>also be satisfied.</w:t>
            </w:r>
          </w:p>
        </w:tc>
        <w:tc>
          <w:tcPr>
            <w:tcW w:w="1532" w:type="pct"/>
          </w:tcPr>
          <w:p w:rsidR="00151AD6" w:rsidRPr="008C6BD5" w:rsidRDefault="00151AD6" w:rsidP="003704E5">
            <w:pPr>
              <w:pStyle w:val="TableBodyText"/>
              <w:jc w:val="left"/>
            </w:pPr>
            <w:r>
              <w:t>None</w:t>
            </w:r>
          </w:p>
        </w:tc>
      </w:tr>
      <w:tr w:rsidR="008C6BD5" w:rsidRPr="008C6BD5" w:rsidTr="00530D0A">
        <w:tc>
          <w:tcPr>
            <w:tcW w:w="807" w:type="pct"/>
          </w:tcPr>
          <w:p w:rsidR="008C6BD5" w:rsidRPr="008C6BD5" w:rsidRDefault="008C6BD5" w:rsidP="003704E5">
            <w:pPr>
              <w:pStyle w:val="TableBodyText"/>
              <w:jc w:val="left"/>
            </w:pPr>
            <w:r w:rsidRPr="008C6BD5">
              <w:t xml:space="preserve"> </w:t>
            </w:r>
          </w:p>
        </w:tc>
        <w:tc>
          <w:tcPr>
            <w:tcW w:w="2661" w:type="pct"/>
          </w:tcPr>
          <w:p w:rsidR="008C6BD5" w:rsidRPr="008C6BD5" w:rsidRDefault="00AE6BEE" w:rsidP="0049697E">
            <w:pPr>
              <w:pStyle w:val="TableBodyText"/>
              <w:jc w:val="left"/>
            </w:pPr>
            <w:r>
              <w:t>T</w:t>
            </w:r>
            <w:r w:rsidR="008C6BD5" w:rsidRPr="008C6BD5">
              <w:t>otal foreign investment in Australian airports offered for sale by Commonwealth is limited to 49</w:t>
            </w:r>
            <w:r w:rsidR="0049697E">
              <w:t> </w:t>
            </w:r>
            <w:proofErr w:type="spellStart"/>
            <w:r w:rsidR="0049697E">
              <w:t>percent</w:t>
            </w:r>
            <w:proofErr w:type="spellEnd"/>
            <w:r w:rsidR="008C6BD5" w:rsidRPr="008C6BD5">
              <w:t xml:space="preserve"> (additional limits on cross ownership with airlines and other airports)</w:t>
            </w:r>
            <w:r w:rsidR="00A54493">
              <w:t>.</w:t>
            </w:r>
          </w:p>
        </w:tc>
        <w:tc>
          <w:tcPr>
            <w:tcW w:w="1532" w:type="pct"/>
          </w:tcPr>
          <w:p w:rsidR="008C6BD5" w:rsidRPr="008C6BD5" w:rsidRDefault="008C6BD5" w:rsidP="003704E5">
            <w:pPr>
              <w:pStyle w:val="TableBodyText"/>
              <w:jc w:val="left"/>
            </w:pPr>
            <w:r w:rsidRPr="008C6BD5">
              <w:t>None</w:t>
            </w:r>
          </w:p>
        </w:tc>
      </w:tr>
      <w:tr w:rsidR="00151AD6" w:rsidRPr="008C6BD5" w:rsidTr="00530D0A">
        <w:tc>
          <w:tcPr>
            <w:tcW w:w="807" w:type="pct"/>
            <w:tcBorders>
              <w:bottom w:val="single" w:sz="4" w:space="0" w:color="auto"/>
            </w:tcBorders>
          </w:tcPr>
          <w:p w:rsidR="00151AD6" w:rsidRPr="008C6BD5" w:rsidRDefault="00151AD6" w:rsidP="00C42B2B">
            <w:pPr>
              <w:pStyle w:val="TableBodyText"/>
              <w:jc w:val="left"/>
            </w:pPr>
          </w:p>
        </w:tc>
        <w:tc>
          <w:tcPr>
            <w:tcW w:w="2661" w:type="pct"/>
            <w:tcBorders>
              <w:bottom w:val="single" w:sz="4" w:space="0" w:color="auto"/>
            </w:tcBorders>
          </w:tcPr>
          <w:p w:rsidR="00151AD6" w:rsidRDefault="00151AD6" w:rsidP="00C42B2B">
            <w:pPr>
              <w:pStyle w:val="TableBodyText"/>
              <w:jc w:val="left"/>
            </w:pPr>
            <w:r>
              <w:t>S</w:t>
            </w:r>
            <w:r w:rsidRPr="008C6BD5">
              <w:t>hips registered in Australia must be majority Australian-owned</w:t>
            </w:r>
            <w:r w:rsidR="00A54493">
              <w:t>.</w:t>
            </w:r>
          </w:p>
        </w:tc>
        <w:tc>
          <w:tcPr>
            <w:tcW w:w="1532" w:type="pct"/>
            <w:tcBorders>
              <w:bottom w:val="single" w:sz="4" w:space="0" w:color="auto"/>
            </w:tcBorders>
          </w:tcPr>
          <w:p w:rsidR="00151AD6" w:rsidRPr="008C6BD5" w:rsidRDefault="00151AD6" w:rsidP="00C42B2B">
            <w:pPr>
              <w:pStyle w:val="TableBodyText"/>
              <w:jc w:val="left"/>
            </w:pPr>
            <w:r w:rsidRPr="008C6BD5">
              <w:t>None</w:t>
            </w:r>
          </w:p>
        </w:tc>
      </w:tr>
    </w:tbl>
    <w:p w:rsidR="00826484" w:rsidRDefault="00826484" w:rsidP="00826484">
      <w:pPr>
        <w:pStyle w:val="Note"/>
      </w:pPr>
      <w:r w:rsidRPr="006A119A">
        <w:rPr>
          <w:rStyle w:val="NoteLabel"/>
        </w:rPr>
        <w:t>a</w:t>
      </w:r>
      <w:r>
        <w:t xml:space="preserve"> </w:t>
      </w:r>
      <w:r w:rsidRPr="00826484">
        <w:t xml:space="preserve">Australian sensitive sectors include </w:t>
      </w:r>
      <w:r w:rsidR="006D445E">
        <w:t xml:space="preserve">finance, </w:t>
      </w:r>
      <w:r w:rsidRPr="00826484">
        <w:t xml:space="preserve">media, telecommunications, transport, encryption services </w:t>
      </w:r>
      <w:r w:rsidR="003D518E">
        <w:t>and</w:t>
      </w:r>
      <w:r w:rsidRPr="00826484">
        <w:t xml:space="preserve"> uranium extraction.</w:t>
      </w:r>
      <w:r w:rsidR="008F42DF">
        <w:t xml:space="preserve"> </w:t>
      </w:r>
      <w:r w:rsidR="003C4002">
        <w:rPr>
          <w:rStyle w:val="NoteLabel"/>
        </w:rPr>
        <w:t>b </w:t>
      </w:r>
      <w:r w:rsidR="006D445E">
        <w:t>The a</w:t>
      </w:r>
      <w:r w:rsidR="008F42DF">
        <w:t xml:space="preserve">mount is </w:t>
      </w:r>
      <w:r w:rsidR="006D445E">
        <w:t xml:space="preserve">for 2012 and is </w:t>
      </w:r>
      <w:r w:rsidR="008F42DF">
        <w:t>indexed annually</w:t>
      </w:r>
      <w:r w:rsidR="006D445E">
        <w:t xml:space="preserve"> by the </w:t>
      </w:r>
      <w:r w:rsidR="006D445E" w:rsidRPr="006D445E">
        <w:t>GDP implicit price deflator</w:t>
      </w:r>
      <w:r w:rsidR="008F42DF">
        <w:t>.</w:t>
      </w:r>
    </w:p>
    <w:p w:rsidR="00C826AA" w:rsidRPr="00826484" w:rsidRDefault="00826484" w:rsidP="00826484">
      <w:pPr>
        <w:pStyle w:val="Source"/>
        <w:rPr>
          <w:rStyle w:val="NoteLabel"/>
          <w:b w:val="0"/>
          <w:position w:val="0"/>
        </w:rPr>
      </w:pPr>
      <w:r w:rsidRPr="00826484">
        <w:rPr>
          <w:i/>
        </w:rPr>
        <w:t>Sources</w:t>
      </w:r>
      <w:r w:rsidRPr="005701EB">
        <w:t>:</w:t>
      </w:r>
      <w:r w:rsidR="00E6190B">
        <w:t xml:space="preserve"> </w:t>
      </w:r>
      <w:r w:rsidR="00E6190B" w:rsidRPr="008C6BD5">
        <w:t>Austral</w:t>
      </w:r>
      <w:r w:rsidR="00E6190B">
        <w:t>ian Government Treasurer (2012);</w:t>
      </w:r>
      <w:r w:rsidRPr="00826484">
        <w:rPr>
          <w:i/>
        </w:rPr>
        <w:t xml:space="preserve"> </w:t>
      </w:r>
      <w:proofErr w:type="spellStart"/>
      <w:r w:rsidRPr="008C6BD5">
        <w:t>DFAT</w:t>
      </w:r>
      <w:proofErr w:type="spellEnd"/>
      <w:r w:rsidRPr="008C6BD5">
        <w:t xml:space="preserve"> (2012); </w:t>
      </w:r>
      <w:proofErr w:type="spellStart"/>
      <w:r w:rsidR="00DC56EA">
        <w:t>FIRB</w:t>
      </w:r>
      <w:proofErr w:type="spellEnd"/>
      <w:r w:rsidR="00DC56EA">
        <w:t xml:space="preserve"> (2012).</w:t>
      </w:r>
    </w:p>
    <w:p w:rsidR="00CB7B2E" w:rsidRDefault="00FA4454" w:rsidP="00CB7B2E">
      <w:pPr>
        <w:pStyle w:val="TableTitle"/>
      </w:pPr>
      <w:r>
        <w:rPr>
          <w:b w:val="0"/>
        </w:rPr>
        <w:t xml:space="preserve">Table </w:t>
      </w:r>
      <w:proofErr w:type="spellStart"/>
      <w:r w:rsidR="00E5348A">
        <w:rPr>
          <w:b w:val="0"/>
        </w:rPr>
        <w:t>C.2</w:t>
      </w:r>
      <w:proofErr w:type="spellEnd"/>
      <w:r>
        <w:tab/>
        <w:t xml:space="preserve">New Zealand foreign </w:t>
      </w:r>
      <w:r w:rsidR="00541615">
        <w:t xml:space="preserve">direct </w:t>
      </w:r>
      <w:r>
        <w:t>investment restrictions</w:t>
      </w:r>
    </w:p>
    <w:tbl>
      <w:tblPr>
        <w:tblW w:w="5000" w:type="pct"/>
        <w:tblCellMar>
          <w:left w:w="0" w:type="dxa"/>
          <w:right w:w="0" w:type="dxa"/>
        </w:tblCellMar>
        <w:tblLook w:val="0000" w:firstRow="0" w:lastRow="0" w:firstColumn="0" w:lastColumn="0" w:noHBand="0" w:noVBand="0"/>
      </w:tblPr>
      <w:tblGrid>
        <w:gridCol w:w="1418"/>
        <w:gridCol w:w="4678"/>
        <w:gridCol w:w="2693"/>
      </w:tblGrid>
      <w:tr w:rsidR="00CB7B2E" w:rsidRPr="008C6BD5" w:rsidTr="00530D0A">
        <w:tc>
          <w:tcPr>
            <w:tcW w:w="807" w:type="pct"/>
            <w:tcBorders>
              <w:top w:val="single" w:sz="4" w:space="0" w:color="auto"/>
              <w:bottom w:val="single" w:sz="4" w:space="0" w:color="auto"/>
            </w:tcBorders>
            <w:shd w:val="clear" w:color="auto" w:fill="E7ECCE"/>
          </w:tcPr>
          <w:p w:rsidR="00CB7B2E" w:rsidRPr="008C6BD5" w:rsidRDefault="00CB7B2E" w:rsidP="00CB7B2E">
            <w:pPr>
              <w:keepNext/>
              <w:keepLines/>
              <w:spacing w:before="80" w:after="80" w:line="220" w:lineRule="atLeast"/>
              <w:ind w:left="6" w:right="113"/>
              <w:rPr>
                <w:rFonts w:ascii="Arial" w:hAnsi="Arial"/>
                <w:i/>
                <w:color w:val="1C1C1C"/>
                <w:sz w:val="20"/>
                <w:szCs w:val="20"/>
              </w:rPr>
            </w:pPr>
            <w:r w:rsidRPr="008C6BD5">
              <w:rPr>
                <w:rFonts w:ascii="Arial" w:hAnsi="Arial"/>
                <w:i/>
                <w:color w:val="1C1C1C"/>
                <w:sz w:val="20"/>
                <w:szCs w:val="20"/>
              </w:rPr>
              <w:t>Type</w:t>
            </w:r>
          </w:p>
        </w:tc>
        <w:tc>
          <w:tcPr>
            <w:tcW w:w="2661" w:type="pct"/>
            <w:tcBorders>
              <w:top w:val="single" w:sz="4" w:space="0" w:color="auto"/>
              <w:bottom w:val="single" w:sz="4" w:space="0" w:color="auto"/>
            </w:tcBorders>
            <w:shd w:val="clear" w:color="auto" w:fill="E7ECCE"/>
          </w:tcPr>
          <w:p w:rsidR="00CB7B2E" w:rsidRPr="008C6BD5" w:rsidRDefault="00097470" w:rsidP="003D518E">
            <w:pPr>
              <w:keepNext/>
              <w:keepLines/>
              <w:spacing w:before="80" w:after="80" w:line="220" w:lineRule="atLeast"/>
              <w:ind w:left="6" w:right="113"/>
              <w:rPr>
                <w:rFonts w:ascii="Arial" w:hAnsi="Arial"/>
                <w:i/>
                <w:color w:val="1C1C1C"/>
                <w:sz w:val="20"/>
                <w:szCs w:val="20"/>
              </w:rPr>
            </w:pPr>
            <w:r>
              <w:rPr>
                <w:rFonts w:ascii="Arial" w:hAnsi="Arial"/>
                <w:i/>
                <w:color w:val="1C1C1C"/>
                <w:sz w:val="20"/>
                <w:szCs w:val="20"/>
              </w:rPr>
              <w:t>D</w:t>
            </w:r>
            <w:r w:rsidR="00CB7B2E" w:rsidRPr="008C6BD5">
              <w:rPr>
                <w:rFonts w:ascii="Arial" w:hAnsi="Arial"/>
                <w:i/>
                <w:color w:val="1C1C1C"/>
                <w:sz w:val="20"/>
                <w:szCs w:val="20"/>
              </w:rPr>
              <w:t>escription</w:t>
            </w:r>
          </w:p>
        </w:tc>
        <w:tc>
          <w:tcPr>
            <w:tcW w:w="1532" w:type="pct"/>
            <w:tcBorders>
              <w:top w:val="single" w:sz="4" w:space="0" w:color="auto"/>
              <w:bottom w:val="single" w:sz="4" w:space="0" w:color="auto"/>
            </w:tcBorders>
            <w:shd w:val="clear" w:color="auto" w:fill="E7ECCE"/>
          </w:tcPr>
          <w:p w:rsidR="00CB7B2E" w:rsidRPr="008C6BD5" w:rsidRDefault="00097470" w:rsidP="003D518E">
            <w:pPr>
              <w:keepNext/>
              <w:keepLines/>
              <w:spacing w:before="80" w:after="80" w:line="220" w:lineRule="atLeast"/>
              <w:ind w:left="6" w:right="28"/>
              <w:rPr>
                <w:rFonts w:ascii="Arial" w:hAnsi="Arial"/>
                <w:i/>
                <w:color w:val="1C1C1C"/>
                <w:sz w:val="20"/>
                <w:szCs w:val="20"/>
              </w:rPr>
            </w:pPr>
            <w:r>
              <w:rPr>
                <w:rFonts w:ascii="Arial" w:hAnsi="Arial"/>
                <w:i/>
                <w:color w:val="1C1C1C"/>
                <w:sz w:val="20"/>
                <w:szCs w:val="20"/>
              </w:rPr>
              <w:t>T</w:t>
            </w:r>
            <w:r w:rsidR="00CB7B2E" w:rsidRPr="008C6BD5">
              <w:rPr>
                <w:rFonts w:ascii="Arial" w:hAnsi="Arial"/>
                <w:i/>
                <w:color w:val="1C1C1C"/>
                <w:sz w:val="20"/>
                <w:szCs w:val="20"/>
              </w:rPr>
              <w:t>rans-Tasman modifications</w:t>
            </w:r>
          </w:p>
        </w:tc>
      </w:tr>
      <w:tr w:rsidR="00CB7B2E" w:rsidRPr="008C6BD5" w:rsidTr="00530D0A">
        <w:tc>
          <w:tcPr>
            <w:tcW w:w="807" w:type="pct"/>
          </w:tcPr>
          <w:p w:rsidR="00CB7B2E" w:rsidRPr="008C6BD5" w:rsidRDefault="00CB7B2E" w:rsidP="003C4002">
            <w:pPr>
              <w:pStyle w:val="TableBodyText"/>
              <w:spacing w:before="80"/>
              <w:jc w:val="left"/>
            </w:pPr>
            <w:r w:rsidRPr="008C6BD5">
              <w:t>Screening</w:t>
            </w:r>
          </w:p>
        </w:tc>
        <w:tc>
          <w:tcPr>
            <w:tcW w:w="2661" w:type="pct"/>
          </w:tcPr>
          <w:p w:rsidR="00CB7B2E" w:rsidRPr="008C6BD5" w:rsidRDefault="005173E7" w:rsidP="00102F45">
            <w:pPr>
              <w:pStyle w:val="TableBodyText"/>
              <w:spacing w:before="80"/>
              <w:jc w:val="left"/>
            </w:pPr>
            <w:r>
              <w:t>A</w:t>
            </w:r>
            <w:r w:rsidR="00AD077A">
              <w:t xml:space="preserve"> </w:t>
            </w:r>
            <w:r w:rsidR="00754AAC">
              <w:rPr>
                <w:lang w:val="en"/>
              </w:rPr>
              <w:t>‘</w:t>
            </w:r>
            <w:r w:rsidR="00AD077A" w:rsidRPr="007956B7">
              <w:rPr>
                <w:lang w:val="en"/>
              </w:rPr>
              <w:t>character, business acumen and level of financial commitment</w:t>
            </w:r>
            <w:r w:rsidR="00754AAC">
              <w:rPr>
                <w:lang w:val="en"/>
              </w:rPr>
              <w:t>’ test</w:t>
            </w:r>
            <w:r w:rsidR="00AD077A">
              <w:rPr>
                <w:lang w:val="en"/>
              </w:rPr>
              <w:t xml:space="preserve"> is </w:t>
            </w:r>
            <w:r w:rsidR="00CB7B2E" w:rsidRPr="008C6BD5">
              <w:t>applied to</w:t>
            </w:r>
            <w:r w:rsidR="00CB7B2E">
              <w:t xml:space="preserve"> foreigners acquiring </w:t>
            </w:r>
            <w:r w:rsidR="00CB7B2E" w:rsidRPr="008C6BD5">
              <w:t>an interest of 25</w:t>
            </w:r>
            <w:r w:rsidR="00102F45">
              <w:t> </w:t>
            </w:r>
            <w:proofErr w:type="spellStart"/>
            <w:r w:rsidR="00102F45">
              <w:t>percent</w:t>
            </w:r>
            <w:proofErr w:type="spellEnd"/>
            <w:r w:rsidR="00CB7B2E" w:rsidRPr="008C6BD5">
              <w:t xml:space="preserve"> or more in a business with assets exceeding </w:t>
            </w:r>
            <w:proofErr w:type="spellStart"/>
            <w:r w:rsidR="00CB7B2E" w:rsidRPr="008C6BD5">
              <w:t>NZ$100</w:t>
            </w:r>
            <w:proofErr w:type="spellEnd"/>
            <w:r w:rsidR="003704E5">
              <w:t> million</w:t>
            </w:r>
            <w:r w:rsidR="00754AAC">
              <w:t>,</w:t>
            </w:r>
            <w:r w:rsidR="00CB7B2E" w:rsidRPr="008C6BD5">
              <w:t xml:space="preserve"> or shares (valued at over </w:t>
            </w:r>
            <w:proofErr w:type="spellStart"/>
            <w:r w:rsidR="00CB7B2E" w:rsidRPr="008C6BD5">
              <w:t>NZ$100</w:t>
            </w:r>
            <w:proofErr w:type="spellEnd"/>
            <w:r w:rsidR="003704E5">
              <w:t> million</w:t>
            </w:r>
            <w:r w:rsidR="003D518E">
              <w:t>) in an existing business</w:t>
            </w:r>
            <w:r w:rsidR="00A54493">
              <w:t>.</w:t>
            </w:r>
          </w:p>
        </w:tc>
        <w:tc>
          <w:tcPr>
            <w:tcW w:w="1532" w:type="pct"/>
          </w:tcPr>
          <w:p w:rsidR="00CB7B2E" w:rsidRPr="008C6BD5" w:rsidRDefault="00CB7B2E" w:rsidP="003C4002">
            <w:pPr>
              <w:pStyle w:val="TableBodyText"/>
              <w:spacing w:before="80"/>
              <w:jc w:val="left"/>
            </w:pPr>
            <w:r w:rsidRPr="008C6BD5">
              <w:t xml:space="preserve">Threshold is </w:t>
            </w:r>
            <w:proofErr w:type="spellStart"/>
            <w:r w:rsidRPr="008C6BD5">
              <w:t>NZ$477</w:t>
            </w:r>
            <w:proofErr w:type="spellEnd"/>
            <w:r w:rsidR="003704E5">
              <w:t> million</w:t>
            </w:r>
            <w:r w:rsidRPr="008C6BD5">
              <w:t xml:space="preserve"> for Australian investors for business assets not involving </w:t>
            </w:r>
            <w:r w:rsidR="00235F48">
              <w:t>‘</w:t>
            </w:r>
            <w:r w:rsidRPr="008C6BD5">
              <w:t>sensitive</w:t>
            </w:r>
            <w:r w:rsidR="00235F48">
              <w:t>’</w:t>
            </w:r>
            <w:r w:rsidRPr="008C6BD5">
              <w:t xml:space="preserve"> land, farm land or fishing rights</w:t>
            </w:r>
            <w:r w:rsidR="00A54493">
              <w:t>.</w:t>
            </w:r>
            <w:r w:rsidR="008F42DF" w:rsidRPr="006A119A">
              <w:rPr>
                <w:rStyle w:val="NoteLabel"/>
              </w:rPr>
              <w:t>a</w:t>
            </w:r>
          </w:p>
        </w:tc>
      </w:tr>
      <w:tr w:rsidR="00CB7B2E" w:rsidRPr="008C6BD5" w:rsidTr="00530D0A">
        <w:tc>
          <w:tcPr>
            <w:tcW w:w="807" w:type="pct"/>
          </w:tcPr>
          <w:p w:rsidR="00CB7B2E" w:rsidRPr="008C6BD5" w:rsidRDefault="00CB7B2E" w:rsidP="003C4002">
            <w:pPr>
              <w:pStyle w:val="TableBodyText"/>
              <w:jc w:val="left"/>
            </w:pPr>
          </w:p>
        </w:tc>
        <w:tc>
          <w:tcPr>
            <w:tcW w:w="2661" w:type="pct"/>
          </w:tcPr>
          <w:p w:rsidR="00CB7B2E" w:rsidRPr="008C6BD5" w:rsidRDefault="00754AAC" w:rsidP="003C4002">
            <w:pPr>
              <w:pStyle w:val="TableBodyText"/>
              <w:jc w:val="left"/>
            </w:pPr>
            <w:r>
              <w:t>A ‘l</w:t>
            </w:r>
            <w:r w:rsidR="00CB7B2E" w:rsidRPr="008C6BD5">
              <w:t>ikely to yield net benefits</w:t>
            </w:r>
            <w:r w:rsidR="00CB7B2E">
              <w:t xml:space="preserve"> that are substantial and identifiable’ test </w:t>
            </w:r>
            <w:r>
              <w:t xml:space="preserve">is </w:t>
            </w:r>
            <w:r w:rsidR="00CB7B2E" w:rsidRPr="008C6BD5">
              <w:t>applied to</w:t>
            </w:r>
            <w:r w:rsidR="00CB7B2E">
              <w:t xml:space="preserve"> foreigners acquiring </w:t>
            </w:r>
            <w:r w:rsidR="00CB7B2E" w:rsidRPr="00CA46AE">
              <w:t xml:space="preserve">any business that holds </w:t>
            </w:r>
            <w:r>
              <w:t>‘</w:t>
            </w:r>
            <w:r w:rsidR="00CB7B2E" w:rsidRPr="00CA46AE">
              <w:t>sensitive</w:t>
            </w:r>
            <w:r>
              <w:t>’</w:t>
            </w:r>
            <w:r w:rsidR="00CB7B2E" w:rsidRPr="00CA46AE">
              <w:t xml:space="preserve"> land, farm land or fishing rights</w:t>
            </w:r>
            <w:r w:rsidR="00A54493">
              <w:t>.</w:t>
            </w:r>
          </w:p>
        </w:tc>
        <w:tc>
          <w:tcPr>
            <w:tcW w:w="1532" w:type="pct"/>
          </w:tcPr>
          <w:p w:rsidR="00CB7B2E" w:rsidRPr="008C6BD5" w:rsidRDefault="00CB7B2E" w:rsidP="003C4002">
            <w:pPr>
              <w:pStyle w:val="TableBodyText"/>
              <w:jc w:val="left"/>
            </w:pPr>
            <w:r>
              <w:t>None</w:t>
            </w:r>
          </w:p>
        </w:tc>
      </w:tr>
      <w:tr w:rsidR="00CB7B2E" w:rsidRPr="008C6BD5" w:rsidTr="00530D0A">
        <w:tc>
          <w:tcPr>
            <w:tcW w:w="807" w:type="pct"/>
          </w:tcPr>
          <w:p w:rsidR="00CB7B2E" w:rsidRPr="008C6BD5" w:rsidRDefault="00151AD6" w:rsidP="003C4002">
            <w:pPr>
              <w:pStyle w:val="TableBodyText"/>
              <w:jc w:val="left"/>
            </w:pPr>
            <w:r>
              <w:t>Foreign equity l</w:t>
            </w:r>
            <w:r w:rsidR="00126DE3">
              <w:t>imits</w:t>
            </w:r>
          </w:p>
        </w:tc>
        <w:tc>
          <w:tcPr>
            <w:tcW w:w="2661" w:type="pct"/>
          </w:tcPr>
          <w:p w:rsidR="00CB7B2E" w:rsidRPr="008C6BD5" w:rsidRDefault="00CB7B2E" w:rsidP="00102F45">
            <w:pPr>
              <w:pStyle w:val="TableBodyText"/>
              <w:jc w:val="left"/>
            </w:pPr>
            <w:r>
              <w:t>T</w:t>
            </w:r>
            <w:r w:rsidRPr="008C6BD5">
              <w:t>otal foreign acquisition of 10</w:t>
            </w:r>
            <w:r w:rsidR="00102F45">
              <w:t> </w:t>
            </w:r>
            <w:proofErr w:type="spellStart"/>
            <w:r w:rsidR="00102F45">
              <w:t>percent</w:t>
            </w:r>
            <w:proofErr w:type="spellEnd"/>
            <w:r w:rsidRPr="008C6BD5">
              <w:t xml:space="preserve"> or more of Chorus (</w:t>
            </w:r>
            <w:r>
              <w:t xml:space="preserve">previously part of </w:t>
            </w:r>
            <w:r w:rsidRPr="008C6BD5">
              <w:t>Telecom N</w:t>
            </w:r>
            <w:r w:rsidR="00235F48">
              <w:t xml:space="preserve">ew </w:t>
            </w:r>
            <w:r w:rsidRPr="008C6BD5">
              <w:t>Z</w:t>
            </w:r>
            <w:r w:rsidR="00235F48">
              <w:t>ealand</w:t>
            </w:r>
            <w:r w:rsidRPr="008C6BD5">
              <w:t>) voting shares requires approval by N</w:t>
            </w:r>
            <w:r w:rsidR="00235F48">
              <w:t xml:space="preserve">ew </w:t>
            </w:r>
            <w:r w:rsidRPr="008C6BD5">
              <w:t>Z</w:t>
            </w:r>
            <w:r w:rsidR="00235F48">
              <w:t>ealand</w:t>
            </w:r>
            <w:r w:rsidRPr="008C6BD5">
              <w:t xml:space="preserve"> shareholders and </w:t>
            </w:r>
            <w:r w:rsidR="00037DBD">
              <w:t xml:space="preserve">the </w:t>
            </w:r>
            <w:r w:rsidRPr="008C6BD5">
              <w:t>Chorus board</w:t>
            </w:r>
            <w:r w:rsidR="00A54493">
              <w:t>.</w:t>
            </w:r>
          </w:p>
        </w:tc>
        <w:tc>
          <w:tcPr>
            <w:tcW w:w="1532" w:type="pct"/>
          </w:tcPr>
          <w:p w:rsidR="00CB7B2E" w:rsidRPr="008C6BD5" w:rsidRDefault="00CB7B2E" w:rsidP="003C4002">
            <w:pPr>
              <w:pStyle w:val="TableBodyText"/>
              <w:jc w:val="left"/>
            </w:pPr>
            <w:r w:rsidRPr="008C6BD5">
              <w:t>None</w:t>
            </w:r>
          </w:p>
        </w:tc>
      </w:tr>
      <w:tr w:rsidR="00CB7B2E" w:rsidRPr="008C6BD5" w:rsidTr="00530D0A">
        <w:tc>
          <w:tcPr>
            <w:tcW w:w="807" w:type="pct"/>
          </w:tcPr>
          <w:p w:rsidR="00CB7B2E" w:rsidRPr="008C6BD5" w:rsidRDefault="00CB7B2E" w:rsidP="003C4002">
            <w:pPr>
              <w:pStyle w:val="TableBodyText"/>
              <w:jc w:val="left"/>
            </w:pPr>
          </w:p>
        </w:tc>
        <w:tc>
          <w:tcPr>
            <w:tcW w:w="2661" w:type="pct"/>
          </w:tcPr>
          <w:p w:rsidR="00CB7B2E" w:rsidRPr="008C6BD5" w:rsidRDefault="00CB7B2E" w:rsidP="00102F45">
            <w:pPr>
              <w:pStyle w:val="TableBodyText"/>
              <w:jc w:val="left"/>
            </w:pPr>
            <w:r>
              <w:t>A</w:t>
            </w:r>
            <w:r w:rsidRPr="008C6BD5">
              <w:t>ny forei</w:t>
            </w:r>
            <w:r w:rsidR="00C36621">
              <w:t xml:space="preserve">gn investor wishing to acquire </w:t>
            </w:r>
            <w:r w:rsidRPr="008C6BD5">
              <w:t>49.9</w:t>
            </w:r>
            <w:r w:rsidR="00102F45">
              <w:t> </w:t>
            </w:r>
            <w:proofErr w:type="spellStart"/>
            <w:r w:rsidR="00102F45">
              <w:t>percent</w:t>
            </w:r>
            <w:proofErr w:type="spellEnd"/>
            <w:r w:rsidRPr="008C6BD5">
              <w:t xml:space="preserve"> or more of Chorus voting shares must obtain separate government approval</w:t>
            </w:r>
            <w:r w:rsidR="00A54493">
              <w:t>.</w:t>
            </w:r>
          </w:p>
        </w:tc>
        <w:tc>
          <w:tcPr>
            <w:tcW w:w="1532" w:type="pct"/>
          </w:tcPr>
          <w:p w:rsidR="00CB7B2E" w:rsidRPr="008C6BD5" w:rsidRDefault="00CB7B2E" w:rsidP="003C4002">
            <w:pPr>
              <w:pStyle w:val="TableBodyText"/>
              <w:jc w:val="left"/>
            </w:pPr>
            <w:r w:rsidRPr="008C6BD5">
              <w:t>None</w:t>
            </w:r>
          </w:p>
        </w:tc>
      </w:tr>
      <w:tr w:rsidR="00CB7B2E" w:rsidRPr="008C6BD5" w:rsidTr="00530D0A">
        <w:tc>
          <w:tcPr>
            <w:tcW w:w="807" w:type="pct"/>
            <w:tcBorders>
              <w:bottom w:val="single" w:sz="4" w:space="0" w:color="auto"/>
            </w:tcBorders>
          </w:tcPr>
          <w:p w:rsidR="00CB7B2E" w:rsidRPr="008C6BD5" w:rsidRDefault="00CB7B2E" w:rsidP="00C42B2B">
            <w:pPr>
              <w:pStyle w:val="TableBodyText"/>
              <w:jc w:val="left"/>
            </w:pPr>
          </w:p>
        </w:tc>
        <w:tc>
          <w:tcPr>
            <w:tcW w:w="2661" w:type="pct"/>
            <w:tcBorders>
              <w:bottom w:val="single" w:sz="4" w:space="0" w:color="auto"/>
            </w:tcBorders>
          </w:tcPr>
          <w:p w:rsidR="00CB7B2E" w:rsidRPr="00544AA9" w:rsidRDefault="00CB7B2E" w:rsidP="00102F45">
            <w:pPr>
              <w:pStyle w:val="TableBodyText"/>
              <w:jc w:val="left"/>
              <w:rPr>
                <w:rStyle w:val="DraftingNote"/>
                <w:b w:val="0"/>
                <w:color w:val="1C1C1C"/>
                <w:sz w:val="20"/>
                <w:u w:val="none"/>
              </w:rPr>
            </w:pPr>
            <w:r>
              <w:t>T</w:t>
            </w:r>
            <w:r w:rsidRPr="008C6BD5">
              <w:t>otal foreign acquisition of Air N</w:t>
            </w:r>
            <w:r w:rsidR="00037DBD">
              <w:t xml:space="preserve">ew </w:t>
            </w:r>
            <w:r w:rsidRPr="008C6BD5">
              <w:t>Z</w:t>
            </w:r>
            <w:r w:rsidR="00037DBD">
              <w:t>ealand</w:t>
            </w:r>
            <w:r w:rsidR="00235F48">
              <w:t xml:space="preserve"> </w:t>
            </w:r>
            <w:r w:rsidRPr="008C6BD5">
              <w:t xml:space="preserve">shares and </w:t>
            </w:r>
            <w:r w:rsidR="00235F48">
              <w:t xml:space="preserve">single </w:t>
            </w:r>
            <w:r w:rsidRPr="008C6BD5">
              <w:t>acquisition of more than 10</w:t>
            </w:r>
            <w:r w:rsidR="00102F45">
              <w:t> </w:t>
            </w:r>
            <w:proofErr w:type="spellStart"/>
            <w:r w:rsidR="00102F45">
              <w:t>percent</w:t>
            </w:r>
            <w:proofErr w:type="spellEnd"/>
            <w:r w:rsidRPr="008C6BD5">
              <w:t xml:space="preserve"> of voting rights must be approved by N</w:t>
            </w:r>
            <w:r w:rsidR="00235F48">
              <w:t xml:space="preserve">ew </w:t>
            </w:r>
            <w:r w:rsidRPr="008C6BD5">
              <w:t>Z</w:t>
            </w:r>
            <w:r w:rsidR="00235F48">
              <w:t>ealand</w:t>
            </w:r>
            <w:r w:rsidRPr="008C6BD5">
              <w:t xml:space="preserve"> shareholders</w:t>
            </w:r>
            <w:r w:rsidR="00A54493">
              <w:t>.</w:t>
            </w:r>
            <w:r w:rsidR="009E2122">
              <w:t xml:space="preserve"> </w:t>
            </w:r>
            <w:r w:rsidR="00A917CB">
              <w:t>No more than 49</w:t>
            </w:r>
            <w:r w:rsidR="00102F45">
              <w:t> </w:t>
            </w:r>
            <w:proofErr w:type="spellStart"/>
            <w:r w:rsidR="00102F45">
              <w:t>percent</w:t>
            </w:r>
            <w:proofErr w:type="spellEnd"/>
            <w:r w:rsidR="009E2122" w:rsidRPr="009E2122">
              <w:t xml:space="preserve"> </w:t>
            </w:r>
            <w:r w:rsidR="00A917CB">
              <w:t>of the carrier can be foreign owned</w:t>
            </w:r>
            <w:r w:rsidR="009E2122" w:rsidRPr="009E2122">
              <w:t>.</w:t>
            </w:r>
          </w:p>
        </w:tc>
        <w:tc>
          <w:tcPr>
            <w:tcW w:w="1532" w:type="pct"/>
            <w:tcBorders>
              <w:bottom w:val="single" w:sz="4" w:space="0" w:color="auto"/>
            </w:tcBorders>
          </w:tcPr>
          <w:p w:rsidR="00CB7B2E" w:rsidRPr="008C6BD5" w:rsidRDefault="00CB7B2E" w:rsidP="00C42B2B">
            <w:pPr>
              <w:pStyle w:val="TableBodyText"/>
              <w:jc w:val="left"/>
            </w:pPr>
            <w:r w:rsidRPr="008C6BD5">
              <w:t>None</w:t>
            </w:r>
          </w:p>
        </w:tc>
      </w:tr>
    </w:tbl>
    <w:p w:rsidR="008F42DF" w:rsidRPr="008F42DF" w:rsidRDefault="008F42DF" w:rsidP="008F42DF">
      <w:pPr>
        <w:pStyle w:val="Note"/>
      </w:pPr>
      <w:proofErr w:type="spellStart"/>
      <w:r w:rsidRPr="006A119A">
        <w:rPr>
          <w:rStyle w:val="NoteLabel"/>
        </w:rPr>
        <w:t>a</w:t>
      </w:r>
      <w:proofErr w:type="spellEnd"/>
      <w:r>
        <w:t xml:space="preserve"> </w:t>
      </w:r>
      <w:r w:rsidR="006D445E">
        <w:t xml:space="preserve">The amount is for 2012 and is indexed annually by the </w:t>
      </w:r>
      <w:r w:rsidR="006D445E" w:rsidRPr="006D445E">
        <w:t>GDP implicit price deflator</w:t>
      </w:r>
      <w:r w:rsidR="006D445E">
        <w:t>.</w:t>
      </w:r>
    </w:p>
    <w:p w:rsidR="00CB7B2E" w:rsidRDefault="00CB7B2E" w:rsidP="00826484">
      <w:pPr>
        <w:pStyle w:val="Source"/>
      </w:pPr>
      <w:r w:rsidRPr="00826484">
        <w:rPr>
          <w:i/>
        </w:rPr>
        <w:t>Sources</w:t>
      </w:r>
      <w:r w:rsidRPr="005701EB">
        <w:t xml:space="preserve">: </w:t>
      </w:r>
      <w:r w:rsidRPr="00AD077A">
        <w:t>Chorus</w:t>
      </w:r>
      <w:r w:rsidRPr="008C6BD5">
        <w:t xml:space="preserve"> (2012); Heatley and Howell (2010)</w:t>
      </w:r>
      <w:r w:rsidR="00E6190B">
        <w:t xml:space="preserve">; </w:t>
      </w:r>
      <w:r w:rsidR="00951F7D">
        <w:t>N</w:t>
      </w:r>
      <w:r w:rsidR="00AF7FCB">
        <w:t xml:space="preserve">ew </w:t>
      </w:r>
      <w:r w:rsidR="00951F7D">
        <w:t>Z</w:t>
      </w:r>
      <w:r w:rsidR="00AF7FCB">
        <w:t>ealand</w:t>
      </w:r>
      <w:r w:rsidR="00E6190B">
        <w:t xml:space="preserve"> T</w:t>
      </w:r>
      <w:r w:rsidR="003C2FEC">
        <w:t>reasury (2012</w:t>
      </w:r>
      <w:r w:rsidR="00E6190B">
        <w:t>).</w:t>
      </w:r>
    </w:p>
    <w:p w:rsidR="003F6D6F" w:rsidRDefault="00932322" w:rsidP="003F6D6F">
      <w:pPr>
        <w:pStyle w:val="BodyText"/>
      </w:pPr>
      <w:r>
        <w:lastRenderedPageBreak/>
        <w:t xml:space="preserve">Participants expressed a </w:t>
      </w:r>
      <w:r w:rsidR="003F6D6F">
        <w:t xml:space="preserve">range of views on the </w:t>
      </w:r>
      <w:proofErr w:type="spellStart"/>
      <w:r w:rsidR="003F6D6F">
        <w:t>FDI</w:t>
      </w:r>
      <w:proofErr w:type="spellEnd"/>
      <w:r w:rsidR="003F6D6F">
        <w:t xml:space="preserve"> arrangements that currently regulate </w:t>
      </w:r>
      <w:r w:rsidR="00843192">
        <w:t>trans-Tasman investment (</w:t>
      </w:r>
      <w:r w:rsidR="00A552E6">
        <w:t>box </w:t>
      </w:r>
      <w:proofErr w:type="spellStart"/>
      <w:r w:rsidR="00843192">
        <w:t>C</w:t>
      </w:r>
      <w:r w:rsidR="00CC6E2B">
        <w:t>.2</w:t>
      </w:r>
      <w:proofErr w:type="spellEnd"/>
      <w:r w:rsidR="003F6D6F">
        <w:t>).</w:t>
      </w:r>
    </w:p>
    <w:p w:rsidR="00D557A0" w:rsidRDefault="00D557A0">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D557A0" w:rsidTr="004C3CF6">
        <w:tc>
          <w:tcPr>
            <w:tcW w:w="8771" w:type="dxa"/>
            <w:tcBorders>
              <w:top w:val="nil"/>
              <w:left w:val="nil"/>
              <w:bottom w:val="nil"/>
              <w:right w:val="nil"/>
            </w:tcBorders>
            <w:shd w:val="clear" w:color="auto" w:fill="D9EAF0"/>
          </w:tcPr>
          <w:p w:rsidR="00D557A0" w:rsidRDefault="00D557A0" w:rsidP="00541615">
            <w:pPr>
              <w:pStyle w:val="BoxTitle"/>
            </w:pPr>
            <w:r>
              <w:rPr>
                <w:b w:val="0"/>
              </w:rPr>
              <w:t xml:space="preserve">Box </w:t>
            </w:r>
            <w:proofErr w:type="spellStart"/>
            <w:r w:rsidR="00415A1F">
              <w:rPr>
                <w:b w:val="0"/>
              </w:rPr>
              <w:t>C.2</w:t>
            </w:r>
            <w:proofErr w:type="spellEnd"/>
            <w:r>
              <w:tab/>
            </w:r>
            <w:r w:rsidRPr="00D557A0">
              <w:t xml:space="preserve">Participant views on </w:t>
            </w:r>
            <w:r w:rsidR="00541615">
              <w:t>foreign direct investment</w:t>
            </w:r>
            <w:r w:rsidRPr="00D557A0">
              <w:t xml:space="preserve"> restrictions</w:t>
            </w:r>
          </w:p>
        </w:tc>
      </w:tr>
      <w:tr w:rsidR="00D557A0" w:rsidTr="004C3CF6">
        <w:trPr>
          <w:cantSplit/>
        </w:trPr>
        <w:tc>
          <w:tcPr>
            <w:tcW w:w="8771" w:type="dxa"/>
            <w:tcBorders>
              <w:top w:val="nil"/>
              <w:left w:val="nil"/>
              <w:bottom w:val="nil"/>
              <w:right w:val="nil"/>
            </w:tcBorders>
            <w:shd w:val="clear" w:color="auto" w:fill="D9EAF0"/>
          </w:tcPr>
          <w:p w:rsidR="00D557A0" w:rsidRDefault="00D557A0" w:rsidP="00D557A0">
            <w:pPr>
              <w:pStyle w:val="Box"/>
            </w:pPr>
            <w:r>
              <w:t>Lloyd (</w:t>
            </w:r>
            <w:r w:rsidR="00A552E6">
              <w:t>sub. </w:t>
            </w:r>
            <w:r>
              <w:t>5) argue</w:t>
            </w:r>
            <w:r w:rsidR="00357BBC">
              <w:t>d</w:t>
            </w:r>
            <w:r>
              <w:t xml:space="preserve"> for the removal of remaining trans-Tasman </w:t>
            </w:r>
            <w:proofErr w:type="spellStart"/>
            <w:r>
              <w:t>FDI</w:t>
            </w:r>
            <w:proofErr w:type="spellEnd"/>
            <w:r w:rsidR="005B0C14">
              <w:t xml:space="preserve"> restrictions, but noted</w:t>
            </w:r>
            <w:r>
              <w:t xml:space="preserve"> that </w:t>
            </w:r>
            <w:proofErr w:type="spellStart"/>
            <w:r>
              <w:t>AUSFTA</w:t>
            </w:r>
            <w:proofErr w:type="spellEnd"/>
            <w:r>
              <w:t xml:space="preserve"> </w:t>
            </w:r>
            <w:r w:rsidR="009C519D">
              <w:t xml:space="preserve">could be </w:t>
            </w:r>
            <w:r>
              <w:t xml:space="preserve">an obstacle to this </w:t>
            </w:r>
            <w:r w:rsidR="009C519D">
              <w:t xml:space="preserve">as </w:t>
            </w:r>
            <w:r>
              <w:t>it commits Australia to granting US investors the treatment it offers to in</w:t>
            </w:r>
            <w:r w:rsidR="00C42B2B">
              <w:t>vestors from any other country.</w:t>
            </w:r>
          </w:p>
          <w:p w:rsidR="00D557A0" w:rsidRDefault="00D557A0" w:rsidP="00D557A0">
            <w:pPr>
              <w:pStyle w:val="Box"/>
            </w:pPr>
            <w:proofErr w:type="spellStart"/>
            <w:r>
              <w:t>Nga</w:t>
            </w:r>
            <w:proofErr w:type="spellEnd"/>
            <w:r>
              <w:t xml:space="preserve"> </w:t>
            </w:r>
            <w:proofErr w:type="spellStart"/>
            <w:r>
              <w:t>Hap</w:t>
            </w:r>
            <w:r w:rsidR="00E10618" w:rsidRPr="00E10618">
              <w:t>ū</w:t>
            </w:r>
            <w:proofErr w:type="spellEnd"/>
            <w:r>
              <w:t xml:space="preserve"> o </w:t>
            </w:r>
            <w:proofErr w:type="spellStart"/>
            <w:r>
              <w:t>Niu</w:t>
            </w:r>
            <w:proofErr w:type="spellEnd"/>
            <w:r>
              <w:t xml:space="preserve"> </w:t>
            </w:r>
            <w:proofErr w:type="spellStart"/>
            <w:r>
              <w:t>Tireni</w:t>
            </w:r>
            <w:proofErr w:type="spellEnd"/>
            <w:r>
              <w:t>/Treaty of Waitangi Partners (</w:t>
            </w:r>
            <w:r w:rsidR="00A552E6">
              <w:t>sub. </w:t>
            </w:r>
            <w:r>
              <w:t>20) indicat</w:t>
            </w:r>
            <w:r w:rsidR="00357BBC">
              <w:t>ed</w:t>
            </w:r>
            <w:r>
              <w:t xml:space="preserve"> their </w:t>
            </w:r>
            <w:r w:rsidR="00E10618">
              <w:t xml:space="preserve">concern </w:t>
            </w:r>
            <w:r>
              <w:t xml:space="preserve">at ‘how the predatory foreign investment funds are given more rights than New Zealand investors under Free Trade Agreements with China and Australia’, </w:t>
            </w:r>
            <w:r w:rsidR="00951F7D">
              <w:t>arguing that this</w:t>
            </w:r>
            <w:r>
              <w:t xml:space="preserve"> affects housing affordability and natural </w:t>
            </w:r>
            <w:r w:rsidR="00E6190B">
              <w:t>resource management</w:t>
            </w:r>
            <w:r>
              <w:t>.</w:t>
            </w:r>
          </w:p>
          <w:p w:rsidR="00D557A0" w:rsidRDefault="00D557A0" w:rsidP="00D557A0">
            <w:pPr>
              <w:pStyle w:val="Box"/>
            </w:pPr>
            <w:proofErr w:type="spellStart"/>
            <w:r>
              <w:t>Mahony</w:t>
            </w:r>
            <w:proofErr w:type="spellEnd"/>
            <w:r>
              <w:t xml:space="preserve"> and Sadleir (</w:t>
            </w:r>
            <w:r w:rsidR="00A552E6">
              <w:t>sub. </w:t>
            </w:r>
            <w:r>
              <w:t>28) argue</w:t>
            </w:r>
            <w:r w:rsidR="00357BBC">
              <w:t>d</w:t>
            </w:r>
            <w:r>
              <w:t xml:space="preserve"> that the </w:t>
            </w:r>
            <w:proofErr w:type="spellStart"/>
            <w:r>
              <w:t>CER</w:t>
            </w:r>
            <w:proofErr w:type="spellEnd"/>
            <w:r>
              <w:t xml:space="preserve"> agenda should focus more on the regulation of </w:t>
            </w:r>
            <w:proofErr w:type="spellStart"/>
            <w:r>
              <w:t>FDI</w:t>
            </w:r>
            <w:proofErr w:type="spellEnd"/>
            <w:r>
              <w:t xml:space="preserve"> and the `identification of the limits to integration’ and processes to ameliorate these.</w:t>
            </w:r>
          </w:p>
          <w:p w:rsidR="00357BBC" w:rsidRDefault="00D557A0" w:rsidP="00D557A0">
            <w:pPr>
              <w:pStyle w:val="Box"/>
            </w:pPr>
            <w:r>
              <w:t>Telstra (</w:t>
            </w:r>
            <w:r w:rsidR="00A552E6">
              <w:t>sub. </w:t>
            </w:r>
            <w:r>
              <w:t xml:space="preserve">56) </w:t>
            </w:r>
            <w:r w:rsidR="009E1782">
              <w:t>asserted</w:t>
            </w:r>
            <w:r>
              <w:t xml:space="preserve"> that both countries maintain amongst the most open telecommunications industries in the world in terms of foreign ownership, except for legacy restrictions on ownership of the former incumbents. The latter rules are somewhat aligned but less restrictive in New Zealand.</w:t>
            </w:r>
          </w:p>
          <w:p w:rsidR="00E24A84" w:rsidRDefault="00357BBC">
            <w:pPr>
              <w:pStyle w:val="Box"/>
            </w:pPr>
            <w:r>
              <w:t xml:space="preserve">Qantas (sub. </w:t>
            </w:r>
            <w:proofErr w:type="spellStart"/>
            <w:r w:rsidR="001402C2">
              <w:t>DR</w:t>
            </w:r>
            <w:r>
              <w:t>117</w:t>
            </w:r>
            <w:proofErr w:type="spellEnd"/>
            <w:r>
              <w:t>) supported the removal of restrictions on foreign ownership</w:t>
            </w:r>
            <w:r w:rsidR="00DC54AE">
              <w:t xml:space="preserve"> (including for Single Aviation Market carriers). </w:t>
            </w:r>
            <w:r w:rsidR="00D75787">
              <w:t>It</w:t>
            </w:r>
            <w:r w:rsidR="00DC54AE">
              <w:t xml:space="preserve"> argued this</w:t>
            </w:r>
            <w:r>
              <w:t xml:space="preserve"> would bring Australia’s aviation industry in</w:t>
            </w:r>
            <w:r w:rsidR="00DC54AE">
              <w:t>to</w:t>
            </w:r>
            <w:r>
              <w:t xml:space="preserve"> line with other industries and </w:t>
            </w:r>
            <w:r w:rsidR="00DC54AE">
              <w:t xml:space="preserve">improve </w:t>
            </w:r>
            <w:r w:rsidR="00D75787">
              <w:t>its</w:t>
            </w:r>
            <w:r>
              <w:t xml:space="preserve"> ability to compete. </w:t>
            </w:r>
            <w:r w:rsidR="00DC54AE">
              <w:t>It</w:t>
            </w:r>
            <w:r>
              <w:t xml:space="preserve"> would also improve opportunities to participate in cross-border industry consolidation and strategic alliances.</w:t>
            </w:r>
            <w:r w:rsidR="00DC54AE">
              <w:t xml:space="preserve"> </w:t>
            </w:r>
          </w:p>
          <w:p w:rsidR="00790DD7" w:rsidRDefault="00AC54A6" w:rsidP="00AC54A6">
            <w:pPr>
              <w:pStyle w:val="Box"/>
            </w:pPr>
            <w:r>
              <w:t xml:space="preserve">The Australian Council of Trade Unions (ACTU) and the New Zealand Council of Trade Unions </w:t>
            </w:r>
            <w:proofErr w:type="spellStart"/>
            <w:r>
              <w:t>Te</w:t>
            </w:r>
            <w:proofErr w:type="spellEnd"/>
            <w:r>
              <w:t xml:space="preserve"> </w:t>
            </w:r>
            <w:proofErr w:type="spellStart"/>
            <w:r>
              <w:t>Kauae</w:t>
            </w:r>
            <w:proofErr w:type="spellEnd"/>
            <w:r>
              <w:t xml:space="preserve"> </w:t>
            </w:r>
            <w:proofErr w:type="spellStart"/>
            <w:r>
              <w:t>Kaimahi</w:t>
            </w:r>
            <w:proofErr w:type="spellEnd"/>
            <w:r>
              <w:t xml:space="preserve"> (</w:t>
            </w:r>
            <w:proofErr w:type="spellStart"/>
            <w:r>
              <w:t>NZCTU</w:t>
            </w:r>
            <w:proofErr w:type="spellEnd"/>
            <w:r>
              <w:t xml:space="preserve">) (sub. </w:t>
            </w:r>
            <w:proofErr w:type="spellStart"/>
            <w:r>
              <w:t>DR118</w:t>
            </w:r>
            <w:proofErr w:type="spellEnd"/>
            <w:r>
              <w:t>) opposed</w:t>
            </w:r>
            <w:r w:rsidR="00790DD7">
              <w:t xml:space="preserve"> any </w:t>
            </w:r>
            <w:r w:rsidR="00790DD7" w:rsidRPr="00E24A84">
              <w:t xml:space="preserve">lessening </w:t>
            </w:r>
            <w:r w:rsidR="00790DD7">
              <w:t>of trans</w:t>
            </w:r>
            <w:r w:rsidR="00790DD7">
              <w:noBreakHyphen/>
              <w:t xml:space="preserve">Tasman </w:t>
            </w:r>
            <w:r w:rsidR="00790DD7" w:rsidRPr="00E24A84">
              <w:t>restrictions on foreign investment</w:t>
            </w:r>
            <w:r w:rsidR="00790DD7">
              <w:t xml:space="preserve">, including </w:t>
            </w:r>
            <w:r w:rsidR="00306A65">
              <w:t xml:space="preserve">the </w:t>
            </w:r>
            <w:r>
              <w:t>implementation of the Investment Protocol</w:t>
            </w:r>
            <w:r w:rsidR="005B0C14">
              <w:t xml:space="preserve">. </w:t>
            </w:r>
            <w:r w:rsidR="00306A65">
              <w:t xml:space="preserve">They </w:t>
            </w:r>
            <w:r>
              <w:t xml:space="preserve">argued that </w:t>
            </w:r>
            <w:r w:rsidR="00306A65">
              <w:t xml:space="preserve">trans-Tasman </w:t>
            </w:r>
            <w:r>
              <w:t>i</w:t>
            </w:r>
            <w:r w:rsidRPr="001402C2">
              <w:t xml:space="preserve">nvestment </w:t>
            </w:r>
            <w:r w:rsidR="00790DD7">
              <w:t>ha</w:t>
            </w:r>
            <w:r w:rsidR="00306A65">
              <w:t>d</w:t>
            </w:r>
            <w:r w:rsidRPr="001402C2">
              <w:t xml:space="preserve"> grown</w:t>
            </w:r>
            <w:r>
              <w:t xml:space="preserve"> substantially without </w:t>
            </w:r>
            <w:r w:rsidR="00790DD7">
              <w:t>the Protocol</w:t>
            </w:r>
            <w:r w:rsidR="00306A65">
              <w:t xml:space="preserve"> and that the current </w:t>
            </w:r>
            <w:proofErr w:type="spellStart"/>
            <w:r w:rsidR="00306A65">
              <w:t>FDI</w:t>
            </w:r>
            <w:proofErr w:type="spellEnd"/>
            <w:r w:rsidR="00306A65">
              <w:t xml:space="preserve"> regimes were not as restrictive as suggested by</w:t>
            </w:r>
            <w:r w:rsidR="00790DD7" w:rsidRPr="00E24A84">
              <w:t xml:space="preserve"> the OECD </w:t>
            </w:r>
            <w:proofErr w:type="spellStart"/>
            <w:r w:rsidR="00790DD7" w:rsidRPr="00E24A84">
              <w:t>FDI</w:t>
            </w:r>
            <w:proofErr w:type="spellEnd"/>
            <w:r w:rsidR="00790DD7" w:rsidRPr="00E24A84">
              <w:t xml:space="preserve"> Regulatory Restrictiveness Index</w:t>
            </w:r>
            <w:r w:rsidR="005B0C14">
              <w:t xml:space="preserve"> (box </w:t>
            </w:r>
            <w:proofErr w:type="spellStart"/>
            <w:r w:rsidR="005B0C14">
              <w:t>C.3</w:t>
            </w:r>
            <w:proofErr w:type="spellEnd"/>
            <w:r w:rsidR="005B0C14">
              <w:t>)</w:t>
            </w:r>
            <w:r w:rsidR="00306A65">
              <w:t>.</w:t>
            </w:r>
            <w:r w:rsidR="00790DD7" w:rsidRPr="00E24A84">
              <w:t xml:space="preserve"> </w:t>
            </w:r>
            <w:r>
              <w:t xml:space="preserve">They </w:t>
            </w:r>
            <w:r w:rsidR="00306A65">
              <w:t>stated</w:t>
            </w:r>
            <w:r>
              <w:t xml:space="preserve"> that b</w:t>
            </w:r>
            <w:r w:rsidRPr="00E24A84">
              <w:t xml:space="preserve">oth countries have </w:t>
            </w:r>
            <w:r>
              <w:t>‘</w:t>
            </w:r>
            <w:r w:rsidRPr="00E24A84">
              <w:t>understandable sensitivities</w:t>
            </w:r>
            <w:r w:rsidR="005D4602">
              <w:t>’</w:t>
            </w:r>
            <w:r w:rsidRPr="00E24A84">
              <w:t xml:space="preserve"> in </w:t>
            </w:r>
            <w:r w:rsidR="005D4602">
              <w:t xml:space="preserve">certain </w:t>
            </w:r>
            <w:r w:rsidRPr="00E24A84">
              <w:t>areas which t</w:t>
            </w:r>
            <w:r w:rsidR="00C42B2B">
              <w:t>hey have the right to maintain.</w:t>
            </w:r>
          </w:p>
          <w:p w:rsidR="00AC54A6" w:rsidRDefault="00306A65" w:rsidP="00AC54A6">
            <w:pPr>
              <w:pStyle w:val="Box"/>
            </w:pPr>
            <w:r>
              <w:t xml:space="preserve">The ACTU and </w:t>
            </w:r>
            <w:proofErr w:type="spellStart"/>
            <w:r w:rsidR="00D75787">
              <w:t>NZCTU</w:t>
            </w:r>
            <w:proofErr w:type="spellEnd"/>
            <w:r>
              <w:t xml:space="preserve"> supported </w:t>
            </w:r>
            <w:r w:rsidR="005D4602">
              <w:t xml:space="preserve">tighter restrictions on </w:t>
            </w:r>
            <w:proofErr w:type="spellStart"/>
            <w:r>
              <w:t>FDI</w:t>
            </w:r>
            <w:proofErr w:type="spellEnd"/>
            <w:r>
              <w:t xml:space="preserve"> </w:t>
            </w:r>
            <w:r w:rsidR="006B7908">
              <w:t>generally</w:t>
            </w:r>
            <w:r w:rsidR="00B8718E">
              <w:t xml:space="preserve">. They </w:t>
            </w:r>
            <w:r w:rsidR="006B7908">
              <w:t>argued</w:t>
            </w:r>
            <w:r>
              <w:t xml:space="preserve"> that </w:t>
            </w:r>
            <w:r w:rsidR="005D4602">
              <w:t>regulation</w:t>
            </w:r>
            <w:r w:rsidR="00790DD7">
              <w:t xml:space="preserve"> </w:t>
            </w:r>
            <w:r w:rsidR="005D4602">
              <w:t>could be used</w:t>
            </w:r>
            <w:r w:rsidR="00790DD7">
              <w:t xml:space="preserve"> to </w:t>
            </w:r>
            <w:r w:rsidR="00D75787">
              <w:t xml:space="preserve">ensure that </w:t>
            </w:r>
            <w:proofErr w:type="spellStart"/>
            <w:r w:rsidR="00D75787">
              <w:t>spill</w:t>
            </w:r>
            <w:r w:rsidR="00AC54A6" w:rsidRPr="00E24A84">
              <w:t>over</w:t>
            </w:r>
            <w:proofErr w:type="spellEnd"/>
            <w:r w:rsidR="00AC54A6" w:rsidRPr="00E24A84">
              <w:t xml:space="preserve"> benefits </w:t>
            </w:r>
            <w:r w:rsidR="00B8718E">
              <w:t xml:space="preserve">of </w:t>
            </w:r>
            <w:proofErr w:type="spellStart"/>
            <w:r w:rsidR="00B8718E">
              <w:t>FDI</w:t>
            </w:r>
            <w:proofErr w:type="spellEnd"/>
            <w:r w:rsidR="00B8718E">
              <w:t xml:space="preserve"> </w:t>
            </w:r>
            <w:r w:rsidR="00AC54A6">
              <w:t>accrue</w:t>
            </w:r>
            <w:r w:rsidR="00B8718E">
              <w:t>d</w:t>
            </w:r>
            <w:r w:rsidR="00AC54A6">
              <w:t xml:space="preserve"> to the </w:t>
            </w:r>
            <w:r w:rsidR="006B7908">
              <w:t>host</w:t>
            </w:r>
            <w:r w:rsidR="00AC54A6">
              <w:t xml:space="preserve"> country</w:t>
            </w:r>
            <w:r w:rsidR="005D4602">
              <w:t>,</w:t>
            </w:r>
            <w:r w:rsidR="00AC54A6">
              <w:t xml:space="preserve"> and </w:t>
            </w:r>
            <w:r w:rsidR="005D4602">
              <w:t xml:space="preserve">to manage </w:t>
            </w:r>
            <w:r w:rsidR="00AC54A6">
              <w:t xml:space="preserve">the damaging effects of </w:t>
            </w:r>
            <w:proofErr w:type="spellStart"/>
            <w:r w:rsidR="00AC54A6">
              <w:t>FDI</w:t>
            </w:r>
            <w:proofErr w:type="spellEnd"/>
            <w:r w:rsidR="00AC54A6">
              <w:t xml:space="preserve"> (such as the destabilising effects from the </w:t>
            </w:r>
            <w:r w:rsidR="00AC54A6" w:rsidRPr="00B87E20">
              <w:t>movement of funds controlled by fore</w:t>
            </w:r>
            <w:r>
              <w:t>ign direct investors).</w:t>
            </w:r>
          </w:p>
          <w:p w:rsidR="00AC54A6" w:rsidRDefault="00790DD7" w:rsidP="003E3A68">
            <w:pPr>
              <w:pStyle w:val="Box"/>
            </w:pPr>
            <w:r>
              <w:t xml:space="preserve">The ACTU and </w:t>
            </w:r>
            <w:proofErr w:type="spellStart"/>
            <w:r>
              <w:t>NZCTU</w:t>
            </w:r>
            <w:proofErr w:type="spellEnd"/>
            <w:r>
              <w:t xml:space="preserve"> opposed making investment</w:t>
            </w:r>
            <w:r w:rsidR="003E3A68">
              <w:t>s</w:t>
            </w:r>
            <w:r>
              <w:t xml:space="preserve"> in</w:t>
            </w:r>
            <w:r w:rsidRPr="001402C2">
              <w:t xml:space="preserve"> water rights </w:t>
            </w:r>
            <w:r>
              <w:t>subject to the P</w:t>
            </w:r>
            <w:r w:rsidRPr="001402C2">
              <w:t>rotocol</w:t>
            </w:r>
            <w:r>
              <w:t>. They noted that w</w:t>
            </w:r>
            <w:r w:rsidRPr="001402C2">
              <w:t>ater is not only important economically</w:t>
            </w:r>
            <w:r w:rsidR="00B8718E">
              <w:t>,</w:t>
            </w:r>
            <w:r w:rsidRPr="001402C2">
              <w:t xml:space="preserve"> but </w:t>
            </w:r>
            <w:r>
              <w:t>is also vital in daily life</w:t>
            </w:r>
            <w:r w:rsidRPr="001402C2">
              <w:t xml:space="preserve"> and </w:t>
            </w:r>
            <w:r>
              <w:t>has</w:t>
            </w:r>
            <w:r w:rsidRPr="001402C2">
              <w:t xml:space="preserve"> environmental and cultural significance.</w:t>
            </w:r>
            <w:r w:rsidR="003E3A68">
              <w:t xml:space="preserve"> </w:t>
            </w:r>
            <w:r>
              <w:t>The</w:t>
            </w:r>
            <w:r w:rsidR="005D4602">
              <w:t>y argued that the</w:t>
            </w:r>
            <w:r>
              <w:t xml:space="preserve"> Protocol</w:t>
            </w:r>
            <w:r w:rsidRPr="001402C2">
              <w:t xml:space="preserve"> has a commercial focus and</w:t>
            </w:r>
            <w:r>
              <w:t xml:space="preserve"> rules out a range of measures </w:t>
            </w:r>
            <w:r w:rsidRPr="001402C2">
              <w:t xml:space="preserve">that may be required </w:t>
            </w:r>
            <w:r>
              <w:t xml:space="preserve">to </w:t>
            </w:r>
            <w:r w:rsidR="003E3A68">
              <w:t>protect</w:t>
            </w:r>
            <w:r>
              <w:t xml:space="preserve"> </w:t>
            </w:r>
            <w:r w:rsidR="00306A65">
              <w:t>important environmental assets.</w:t>
            </w:r>
          </w:p>
        </w:tc>
      </w:tr>
      <w:tr w:rsidR="00D557A0" w:rsidTr="004C3CF6">
        <w:trPr>
          <w:cantSplit/>
        </w:trPr>
        <w:tc>
          <w:tcPr>
            <w:tcW w:w="8771" w:type="dxa"/>
            <w:tcBorders>
              <w:top w:val="nil"/>
              <w:left w:val="nil"/>
              <w:bottom w:val="nil"/>
              <w:right w:val="nil"/>
            </w:tcBorders>
            <w:shd w:val="clear" w:color="auto" w:fill="D9EAF0"/>
          </w:tcPr>
          <w:p w:rsidR="00D557A0" w:rsidRDefault="00D557A0">
            <w:pPr>
              <w:pStyle w:val="Box"/>
              <w:spacing w:before="0" w:line="120" w:lineRule="exact"/>
            </w:pPr>
          </w:p>
        </w:tc>
      </w:tr>
      <w:tr w:rsidR="00D423AB" w:rsidRPr="00D423AB" w:rsidTr="004C3CF6">
        <w:tc>
          <w:tcPr>
            <w:tcW w:w="8771" w:type="dxa"/>
            <w:tcBorders>
              <w:top w:val="nil"/>
              <w:left w:val="nil"/>
              <w:bottom w:val="nil"/>
              <w:right w:val="nil"/>
            </w:tcBorders>
          </w:tcPr>
          <w:p w:rsidR="00D557A0" w:rsidRPr="00D423AB" w:rsidRDefault="00D557A0">
            <w:pPr>
              <w:pStyle w:val="Box"/>
              <w:keepNext w:val="0"/>
              <w:spacing w:before="60" w:after="60" w:line="80" w:lineRule="exact"/>
              <w:rPr>
                <w:b/>
                <w:color w:val="auto"/>
                <w:sz w:val="14"/>
              </w:rPr>
            </w:pPr>
          </w:p>
        </w:tc>
      </w:tr>
    </w:tbl>
    <w:p w:rsidR="00C01300" w:rsidRDefault="00FF5E36" w:rsidP="00C01300">
      <w:pPr>
        <w:pStyle w:val="Heading2"/>
      </w:pPr>
      <w:proofErr w:type="spellStart"/>
      <w:r>
        <w:lastRenderedPageBreak/>
        <w:t>C.</w:t>
      </w:r>
      <w:r w:rsidR="00E5348A">
        <w:t>3</w:t>
      </w:r>
      <w:proofErr w:type="spellEnd"/>
      <w:r w:rsidR="00C01300">
        <w:tab/>
        <w:t>How restrictive</w:t>
      </w:r>
      <w:r w:rsidR="001461B0">
        <w:t xml:space="preserve"> are the </w:t>
      </w:r>
      <w:r w:rsidR="00A47A9A">
        <w:t>foreign direct investment</w:t>
      </w:r>
      <w:r w:rsidR="001461B0">
        <w:t xml:space="preserve"> regimes</w:t>
      </w:r>
      <w:r w:rsidR="00C01300">
        <w:t>?</w:t>
      </w:r>
    </w:p>
    <w:p w:rsidR="003251CB" w:rsidRDefault="003251CB" w:rsidP="00537BB8">
      <w:pPr>
        <w:pStyle w:val="BodyText"/>
      </w:pPr>
      <w:r>
        <w:t>Determining the restri</w:t>
      </w:r>
      <w:r w:rsidR="003E03AC">
        <w:t xml:space="preserve">ctiveness of an </w:t>
      </w:r>
      <w:proofErr w:type="spellStart"/>
      <w:r w:rsidR="003E03AC">
        <w:t>FDI</w:t>
      </w:r>
      <w:proofErr w:type="spellEnd"/>
      <w:r w:rsidR="003E03AC">
        <w:t xml:space="preserve"> regime is </w:t>
      </w:r>
      <w:r>
        <w:t xml:space="preserve">difficult as it requires an estimation of the counterfactual </w:t>
      </w:r>
      <w:r w:rsidR="00816E0B">
        <w:t xml:space="preserve">— </w:t>
      </w:r>
      <w:r>
        <w:t xml:space="preserve">how much </w:t>
      </w:r>
      <w:proofErr w:type="spellStart"/>
      <w:r>
        <w:t>FDI</w:t>
      </w:r>
      <w:proofErr w:type="spellEnd"/>
      <w:r>
        <w:t xml:space="preserve"> would there be in the absence of the restrictions? </w:t>
      </w:r>
      <w:r w:rsidR="000B565B">
        <w:t>A</w:t>
      </w:r>
      <w:r>
        <w:t xml:space="preserve">nalysis must rely on measures of comparative restrictiveness or estimates of how much investment has been deterred. There is some literature on how restrictive the Australian and New Zealand </w:t>
      </w:r>
      <w:proofErr w:type="spellStart"/>
      <w:r>
        <w:t>FDI</w:t>
      </w:r>
      <w:proofErr w:type="spellEnd"/>
      <w:r>
        <w:t xml:space="preserve"> regimes may be in general. However, there is little evidence</w:t>
      </w:r>
      <w:r w:rsidR="00805197">
        <w:t xml:space="preserve"> on</w:t>
      </w:r>
      <w:r>
        <w:t xml:space="preserve"> the </w:t>
      </w:r>
      <w:r w:rsidR="00C22686">
        <w:t xml:space="preserve">specific </w:t>
      </w:r>
      <w:r>
        <w:t>impact on trans</w:t>
      </w:r>
      <w:r w:rsidR="00527FD3">
        <w:noBreakHyphen/>
      </w:r>
      <w:r>
        <w:t>Tasman investment flows.</w:t>
      </w:r>
      <w:r w:rsidR="00E27DE2" w:rsidRPr="00C42B2B">
        <w:rPr>
          <w:rStyle w:val="FootnoteReference"/>
          <w:rFonts w:ascii="Arial" w:hAnsi="Arial" w:cs="Arial"/>
        </w:rPr>
        <w:footnoteReference w:id="2"/>
      </w:r>
      <w:r>
        <w:t xml:space="preserve"> This section examines the restrictiveness of Australia’s and New Zealand’s </w:t>
      </w:r>
      <w:proofErr w:type="spellStart"/>
      <w:r>
        <w:t>FDI</w:t>
      </w:r>
      <w:proofErr w:type="spellEnd"/>
      <w:r>
        <w:t xml:space="preserve"> policy regimes in general, before considering the extent to which the </w:t>
      </w:r>
      <w:proofErr w:type="spellStart"/>
      <w:r>
        <w:t>CER</w:t>
      </w:r>
      <w:proofErr w:type="spellEnd"/>
      <w:r>
        <w:t xml:space="preserve"> Investment Protocol is likely to liberalise trans</w:t>
      </w:r>
      <w:r w:rsidR="0076069C">
        <w:noBreakHyphen/>
      </w:r>
      <w:r>
        <w:t xml:space="preserve">Tasman </w:t>
      </w:r>
      <w:proofErr w:type="spellStart"/>
      <w:r>
        <w:t>FDI</w:t>
      </w:r>
      <w:proofErr w:type="spellEnd"/>
      <w:r>
        <w:t>.</w:t>
      </w:r>
    </w:p>
    <w:p w:rsidR="00FA4454" w:rsidRPr="001A3E24" w:rsidRDefault="00357BBC" w:rsidP="00537BB8">
      <w:pPr>
        <w:pStyle w:val="BodyText"/>
      </w:pPr>
      <w:r w:rsidRPr="00357BBC">
        <w:t>One attempt to quantify and comp</w:t>
      </w:r>
      <w:r w:rsidR="00A470B2">
        <w:t>are investment barriers is the Foreign Direct I</w:t>
      </w:r>
      <w:r w:rsidRPr="00357BBC">
        <w:t xml:space="preserve">nvestment </w:t>
      </w:r>
      <w:r w:rsidR="00A470B2">
        <w:t>Regulatory Restrictiveness I</w:t>
      </w:r>
      <w:r w:rsidRPr="00357BBC">
        <w:t>ndex compiled by the OECD (</w:t>
      </w:r>
      <w:r w:rsidR="00A470B2">
        <w:t>box</w:t>
      </w:r>
      <w:r w:rsidR="00816E0B">
        <w:t> </w:t>
      </w:r>
      <w:proofErr w:type="spellStart"/>
      <w:r w:rsidR="00A470B2">
        <w:t>C.3</w:t>
      </w:r>
      <w:proofErr w:type="spellEnd"/>
      <w:r w:rsidRPr="00357BBC">
        <w:t>).</w:t>
      </w:r>
      <w:r w:rsidR="00C42B2B">
        <w:t xml:space="preserve"> </w:t>
      </w:r>
      <w:r w:rsidR="00B12D44">
        <w:t xml:space="preserve">The </w:t>
      </w:r>
      <w:r w:rsidR="00A470B2">
        <w:t>i</w:t>
      </w:r>
      <w:r w:rsidR="00B12D44">
        <w:t xml:space="preserve">ndex indicates that Australia and New Zealand have more restrictive investment regimes than </w:t>
      </w:r>
      <w:r w:rsidR="00843192">
        <w:t>many other countries</w:t>
      </w:r>
      <w:r w:rsidR="00B12D44">
        <w:t>.</w:t>
      </w:r>
      <w:r w:rsidR="00537BB8">
        <w:t xml:space="preserve"> For</w:t>
      </w:r>
      <w:r w:rsidR="00537BB8" w:rsidRPr="00F56BB3">
        <w:t xml:space="preserve"> 2012, Australia’s index score was 0.128, New Zealand’s 0.249 and the OECD average 0.083</w:t>
      </w:r>
      <w:r w:rsidR="00C42B2B">
        <w:t xml:space="preserve"> (where 0 </w:t>
      </w:r>
      <w:r w:rsidR="006A12B4">
        <w:t>represents full openness</w:t>
      </w:r>
      <w:r w:rsidR="00537BB8">
        <w:t xml:space="preserve"> and 1 </w:t>
      </w:r>
      <w:r w:rsidR="006A12B4">
        <w:t xml:space="preserve">a prohibition on </w:t>
      </w:r>
      <w:proofErr w:type="spellStart"/>
      <w:r w:rsidR="006A12B4">
        <w:t>FDI</w:t>
      </w:r>
      <w:proofErr w:type="spellEnd"/>
      <w:r w:rsidR="00537BB8">
        <w:t>)</w:t>
      </w:r>
      <w:r w:rsidR="00537BB8" w:rsidRPr="00F56BB3">
        <w:t>. Of the 55 countries</w:t>
      </w:r>
      <w:r w:rsidR="00537BB8">
        <w:t xml:space="preserve"> </w:t>
      </w:r>
      <w:r w:rsidR="003F35EF">
        <w:t>reviewed</w:t>
      </w:r>
      <w:r w:rsidR="00537BB8" w:rsidRPr="00F56BB3">
        <w:t xml:space="preserve">, New Zealand policies were </w:t>
      </w:r>
      <w:r w:rsidR="00537BB8">
        <w:t>the 6th most restrictive</w:t>
      </w:r>
      <w:r w:rsidR="00951F7D">
        <w:t>,</w:t>
      </w:r>
      <w:r w:rsidR="00537BB8">
        <w:t xml:space="preserve"> while </w:t>
      </w:r>
      <w:r w:rsidR="00537BB8" w:rsidRPr="00F56BB3">
        <w:t>Australian policies were 15th.</w:t>
      </w:r>
      <w:r w:rsidR="00537BB8">
        <w:t xml:space="preserve"> </w:t>
      </w:r>
      <w:r w:rsidR="00537BB8" w:rsidRPr="001A3E24">
        <w:t>The Australia</w:t>
      </w:r>
      <w:r w:rsidR="005B0C14" w:rsidRPr="001A3E24">
        <w:t>n</w:t>
      </w:r>
      <w:r w:rsidR="00537BB8" w:rsidRPr="001A3E24">
        <w:t xml:space="preserve"> and New Zealand rating</w:t>
      </w:r>
      <w:r w:rsidR="003F35EF" w:rsidRPr="001A3E24">
        <w:t>s</w:t>
      </w:r>
      <w:r w:rsidR="00537BB8" w:rsidRPr="001A3E24">
        <w:t xml:space="preserve"> were driven </w:t>
      </w:r>
      <w:r w:rsidR="006A12B4" w:rsidRPr="001A3E24">
        <w:t xml:space="preserve">primarily </w:t>
      </w:r>
      <w:r w:rsidR="00537BB8" w:rsidRPr="001A3E24">
        <w:t xml:space="preserve">by the foreign investment </w:t>
      </w:r>
      <w:r w:rsidR="00BE2CFC" w:rsidRPr="001A3E24">
        <w:t>screening</w:t>
      </w:r>
      <w:r w:rsidR="00537BB8" w:rsidRPr="001A3E24">
        <w:t xml:space="preserve"> regimes</w:t>
      </w:r>
      <w:r w:rsidR="00554BF0" w:rsidRPr="001A3E24">
        <w:t xml:space="preserve"> </w:t>
      </w:r>
      <w:r w:rsidR="006A12B4" w:rsidRPr="001A3E24">
        <w:t xml:space="preserve">in the two countries </w:t>
      </w:r>
      <w:r w:rsidR="00554BF0" w:rsidRPr="001A3E24">
        <w:t>and</w:t>
      </w:r>
      <w:r w:rsidR="00BB0DED" w:rsidRPr="001A3E24">
        <w:t>,</w:t>
      </w:r>
      <w:r w:rsidR="00554BF0" w:rsidRPr="001A3E24">
        <w:t xml:space="preserve"> to a lesser extent</w:t>
      </w:r>
      <w:r w:rsidR="00BB0DED" w:rsidRPr="001A3E24">
        <w:t>,</w:t>
      </w:r>
      <w:r w:rsidR="00554BF0" w:rsidRPr="001A3E24">
        <w:t xml:space="preserve"> </w:t>
      </w:r>
      <w:r w:rsidR="00E10618" w:rsidRPr="001A3E24">
        <w:t xml:space="preserve">by </w:t>
      </w:r>
      <w:r w:rsidR="00554BF0" w:rsidRPr="001A3E24">
        <w:t xml:space="preserve">foreign equity limits </w:t>
      </w:r>
      <w:r w:rsidR="006848B1" w:rsidRPr="001A3E24">
        <w:t>o</w:t>
      </w:r>
      <w:r w:rsidR="006A12B4" w:rsidRPr="001A3E24">
        <w:t xml:space="preserve">n specific companies </w:t>
      </w:r>
      <w:r w:rsidR="00554BF0" w:rsidRPr="001A3E24">
        <w:t>(</w:t>
      </w:r>
      <w:r w:rsidR="006A12B4" w:rsidRPr="001A3E24">
        <w:t>such as</w:t>
      </w:r>
      <w:r w:rsidR="00554BF0" w:rsidRPr="001A3E24">
        <w:t xml:space="preserve"> a</w:t>
      </w:r>
      <w:r w:rsidR="00792F63" w:rsidRPr="001A3E24">
        <w:t>irlines and telecommunications</w:t>
      </w:r>
      <w:r w:rsidR="006A12B4" w:rsidRPr="001A3E24">
        <w:t xml:space="preserve"> carriers</w:t>
      </w:r>
      <w:r w:rsidR="00792F63" w:rsidRPr="001A3E24">
        <w:t>)</w:t>
      </w:r>
      <w:r w:rsidR="00964C4D" w:rsidRPr="001A3E24">
        <w:t xml:space="preserve"> and specific infrastructure (such as airports)</w:t>
      </w:r>
      <w:r w:rsidR="00792F63" w:rsidRPr="001A3E24">
        <w:t xml:space="preserve">. </w:t>
      </w:r>
      <w:r w:rsidR="00186739" w:rsidRPr="001A3E24">
        <w:t>N</w:t>
      </w:r>
      <w:r w:rsidR="00554BF0" w:rsidRPr="001A3E24">
        <w:t xml:space="preserve">ew Zealand’s </w:t>
      </w:r>
      <w:r w:rsidR="001A3EFC" w:rsidRPr="001A3E24">
        <w:t xml:space="preserve">screening </w:t>
      </w:r>
      <w:r w:rsidR="00554BF0" w:rsidRPr="001A3E24">
        <w:t xml:space="preserve">regime </w:t>
      </w:r>
      <w:r w:rsidR="00792F63" w:rsidRPr="001A3E24">
        <w:t xml:space="preserve">was </w:t>
      </w:r>
      <w:r w:rsidR="00554BF0" w:rsidRPr="001A3E24">
        <w:t>rated as substantially more restrictive than Australia’s.</w:t>
      </w:r>
      <w:r w:rsidR="00537BB8" w:rsidRPr="00D423AB">
        <w:rPr>
          <w:rStyle w:val="FootnoteReference"/>
          <w:rFonts w:ascii="Arial" w:hAnsi="Arial" w:cs="Arial"/>
        </w:rPr>
        <w:footnoteReference w:id="3"/>
      </w: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537BB8" w:rsidTr="00537BB8">
        <w:tc>
          <w:tcPr>
            <w:tcW w:w="8771" w:type="dxa"/>
            <w:tcBorders>
              <w:top w:val="nil"/>
              <w:left w:val="nil"/>
              <w:bottom w:val="nil"/>
              <w:right w:val="nil"/>
            </w:tcBorders>
            <w:shd w:val="clear" w:color="auto" w:fill="D9EAF0"/>
          </w:tcPr>
          <w:p w:rsidR="00537BB8" w:rsidRDefault="00FA4454" w:rsidP="00415A1F">
            <w:pPr>
              <w:pStyle w:val="BoxTitle"/>
            </w:pPr>
            <w:r w:rsidRPr="00FA4454">
              <w:rPr>
                <w:b w:val="0"/>
              </w:rPr>
              <w:lastRenderedPageBreak/>
              <w:t xml:space="preserve">Box </w:t>
            </w:r>
            <w:proofErr w:type="spellStart"/>
            <w:r w:rsidR="00415A1F">
              <w:rPr>
                <w:b w:val="0"/>
              </w:rPr>
              <w:t>C.3</w:t>
            </w:r>
            <w:proofErr w:type="spellEnd"/>
            <w:r w:rsidR="00537BB8">
              <w:tab/>
            </w:r>
            <w:r w:rsidR="00EF607D">
              <w:t>OECD ratings of</w:t>
            </w:r>
            <w:r w:rsidR="00B12D44">
              <w:t xml:space="preserve"> </w:t>
            </w:r>
            <w:r w:rsidR="00541615">
              <w:t>foreign direct investment</w:t>
            </w:r>
            <w:r w:rsidR="00B12D44">
              <w:t xml:space="preserve"> restrictiveness, by country</w:t>
            </w:r>
            <w:r w:rsidR="00541615">
              <w:t>, 2012</w:t>
            </w:r>
          </w:p>
        </w:tc>
      </w:tr>
      <w:tr w:rsidR="00537BB8" w:rsidTr="00537BB8">
        <w:trPr>
          <w:cantSplit/>
        </w:trPr>
        <w:tc>
          <w:tcPr>
            <w:tcW w:w="8771" w:type="dxa"/>
            <w:tcBorders>
              <w:top w:val="nil"/>
              <w:left w:val="nil"/>
              <w:bottom w:val="nil"/>
              <w:right w:val="nil"/>
            </w:tcBorders>
            <w:shd w:val="clear" w:color="auto" w:fill="D9EAF0"/>
          </w:tcPr>
          <w:p w:rsidR="004955E5" w:rsidRDefault="00537BB8" w:rsidP="00537BB8">
            <w:pPr>
              <w:pStyle w:val="Box"/>
            </w:pPr>
            <w:r>
              <w:t xml:space="preserve">The </w:t>
            </w:r>
            <w:r w:rsidR="00A470B2">
              <w:t xml:space="preserve">OECD </w:t>
            </w:r>
            <w:r w:rsidR="00541615">
              <w:t>Foreign Direct Investment (</w:t>
            </w:r>
            <w:proofErr w:type="spellStart"/>
            <w:r w:rsidR="00A470B2">
              <w:t>FDI</w:t>
            </w:r>
            <w:proofErr w:type="spellEnd"/>
            <w:r w:rsidR="00541615">
              <w:t>)</w:t>
            </w:r>
            <w:r w:rsidR="00A470B2">
              <w:t xml:space="preserve"> </w:t>
            </w:r>
            <w:r w:rsidR="00A470B2" w:rsidRPr="00A470B2">
              <w:t xml:space="preserve">Regulatory Restrictiveness Index </w:t>
            </w:r>
            <w:r>
              <w:t xml:space="preserve">has been calculated for 55 </w:t>
            </w:r>
            <w:r w:rsidR="00294C14">
              <w:t xml:space="preserve">OECD and non-OECD </w:t>
            </w:r>
            <w:r>
              <w:t>countries</w:t>
            </w:r>
            <w:r w:rsidR="00294C14">
              <w:t xml:space="preserve">. It </w:t>
            </w:r>
            <w:r>
              <w:t xml:space="preserve">attempts to measure the deviation from </w:t>
            </w:r>
            <w:r w:rsidR="00B8718E">
              <w:t>‘</w:t>
            </w:r>
            <w:r>
              <w:t>national treatment</w:t>
            </w:r>
            <w:r w:rsidR="00B8718E">
              <w:t>’</w:t>
            </w:r>
            <w:r>
              <w:t xml:space="preserve"> for foreign investors, where 0 represents full openness and 1 a prohibition on </w:t>
            </w:r>
            <w:proofErr w:type="spellStart"/>
            <w:r>
              <w:t>FDI</w:t>
            </w:r>
            <w:proofErr w:type="spellEnd"/>
            <w:r w:rsidR="00A470B2">
              <w:t xml:space="preserve"> (figure below)</w:t>
            </w:r>
            <w:r w:rsidR="00C42B2B">
              <w:t>.</w:t>
            </w:r>
          </w:p>
          <w:p w:rsidR="00537BB8" w:rsidRDefault="00537BB8" w:rsidP="00537BB8">
            <w:pPr>
              <w:pStyle w:val="Box"/>
            </w:pPr>
            <w:r w:rsidRPr="001E2BE2">
              <w:t xml:space="preserve">The </w:t>
            </w:r>
            <w:r>
              <w:t>index</w:t>
            </w:r>
            <w:r w:rsidRPr="001E2BE2">
              <w:t xml:space="preserve"> </w:t>
            </w:r>
            <w:r w:rsidR="004955E5">
              <w:t xml:space="preserve">number </w:t>
            </w:r>
            <w:r w:rsidR="006E62DD">
              <w:t xml:space="preserve">for a country </w:t>
            </w:r>
            <w:r w:rsidR="00294C14">
              <w:t xml:space="preserve">is a </w:t>
            </w:r>
            <w:r w:rsidR="004955E5">
              <w:t xml:space="preserve">weighted </w:t>
            </w:r>
            <w:r w:rsidR="00294C14">
              <w:t xml:space="preserve">composite of </w:t>
            </w:r>
            <w:r>
              <w:t>rat</w:t>
            </w:r>
            <w:r w:rsidR="00294C14">
              <w:t>ing</w:t>
            </w:r>
            <w:r w:rsidR="000C4338">
              <w:t>s</w:t>
            </w:r>
            <w:r w:rsidR="00294C14">
              <w:t xml:space="preserve"> given to</w:t>
            </w:r>
            <w:r w:rsidRPr="001E2BE2">
              <w:t xml:space="preserve"> </w:t>
            </w:r>
            <w:r w:rsidR="00294C14">
              <w:t>four categories</w:t>
            </w:r>
            <w:r>
              <w:t xml:space="preserve"> of policies </w:t>
            </w:r>
            <w:r w:rsidR="00294C14">
              <w:t>in 22 sectors of an economy</w:t>
            </w:r>
            <w:r w:rsidR="004955E5">
              <w:t xml:space="preserve">. The categories of policies </w:t>
            </w:r>
            <w:r>
              <w:t>includ</w:t>
            </w:r>
            <w:r w:rsidR="004955E5">
              <w:t>e</w:t>
            </w:r>
            <w:r>
              <w:t xml:space="preserve"> </w:t>
            </w:r>
            <w:r w:rsidR="009B1E66">
              <w:t xml:space="preserve">foreign </w:t>
            </w:r>
            <w:r w:rsidRPr="001E2BE2">
              <w:t xml:space="preserve">equity restrictions, </w:t>
            </w:r>
            <w:r w:rsidR="006F7D27">
              <w:t xml:space="preserve">investment </w:t>
            </w:r>
            <w:r w:rsidRPr="001E2BE2">
              <w:t>screening</w:t>
            </w:r>
            <w:r>
              <w:t xml:space="preserve"> processes</w:t>
            </w:r>
            <w:r w:rsidRPr="001E2BE2">
              <w:t xml:space="preserve">, </w:t>
            </w:r>
            <w:r w:rsidR="009B1E66">
              <w:t>regulation</w:t>
            </w:r>
            <w:r>
              <w:t xml:space="preserve"> of </w:t>
            </w:r>
            <w:r w:rsidRPr="001E2BE2">
              <w:t>key personnel (</w:t>
            </w:r>
            <w:r w:rsidR="004955E5">
              <w:t xml:space="preserve">such as </w:t>
            </w:r>
            <w:r w:rsidR="009B1E66">
              <w:t xml:space="preserve">nationality requirements for </w:t>
            </w:r>
            <w:r w:rsidRPr="001E2BE2">
              <w:t>directors</w:t>
            </w:r>
            <w:r w:rsidR="004955E5">
              <w:t xml:space="preserve"> and executives</w:t>
            </w:r>
            <w:r w:rsidRPr="001E2BE2">
              <w:t xml:space="preserve">) and other </w:t>
            </w:r>
            <w:r>
              <w:t>requirements imposed on foreign investors</w:t>
            </w:r>
            <w:r w:rsidR="00294C14">
              <w:t xml:space="preserve"> (such as local content </w:t>
            </w:r>
            <w:r w:rsidR="00637684">
              <w:t>rules</w:t>
            </w:r>
            <w:r w:rsidR="00294C14">
              <w:t>)</w:t>
            </w:r>
            <w:r w:rsidRPr="001E2BE2">
              <w:t>.</w:t>
            </w:r>
          </w:p>
          <w:p w:rsidR="00537BB8" w:rsidRDefault="00537BB8" w:rsidP="009F5649">
            <w:pPr>
              <w:pStyle w:val="Box"/>
            </w:pPr>
            <w:r>
              <w:t xml:space="preserve">While the index </w:t>
            </w:r>
            <w:r w:rsidR="00816E0B">
              <w:t>allows</w:t>
            </w:r>
            <w:r>
              <w:t xml:space="preserve"> </w:t>
            </w:r>
            <w:proofErr w:type="spellStart"/>
            <w:r>
              <w:t>FDI</w:t>
            </w:r>
            <w:proofErr w:type="spellEnd"/>
            <w:r>
              <w:t xml:space="preserve"> regimes </w:t>
            </w:r>
            <w:r w:rsidR="00816E0B">
              <w:t xml:space="preserve">to </w:t>
            </w:r>
            <w:r>
              <w:t>be compared on a common basis across countries</w:t>
            </w:r>
            <w:r w:rsidR="00816E0B">
              <w:t xml:space="preserve">, it has </w:t>
            </w:r>
            <w:r>
              <w:t xml:space="preserve">a number of limitations. </w:t>
            </w:r>
            <w:r w:rsidR="006E62DD">
              <w:t>Rating</w:t>
            </w:r>
            <w:r w:rsidR="00637684">
              <w:t>s</w:t>
            </w:r>
            <w:r w:rsidR="006E62DD">
              <w:t xml:space="preserve"> are based on stated government policies rather than their application in practice.</w:t>
            </w:r>
            <w:r w:rsidR="00A54493">
              <w:t xml:space="preserve"> </w:t>
            </w:r>
            <w:r w:rsidR="000C4338">
              <w:t xml:space="preserve">Some </w:t>
            </w:r>
            <w:r w:rsidR="00A54493">
              <w:t xml:space="preserve">barriers </w:t>
            </w:r>
            <w:r w:rsidR="000C4338">
              <w:t xml:space="preserve">to </w:t>
            </w:r>
            <w:proofErr w:type="spellStart"/>
            <w:r w:rsidR="000C4338">
              <w:t>FDI</w:t>
            </w:r>
            <w:proofErr w:type="spellEnd"/>
            <w:r w:rsidR="000C4338">
              <w:t xml:space="preserve"> are</w:t>
            </w:r>
            <w:r w:rsidR="009F5649">
              <w:t xml:space="preserve"> not measured</w:t>
            </w:r>
            <w:r w:rsidR="000C4338">
              <w:t xml:space="preserve"> (for example, </w:t>
            </w:r>
            <w:r w:rsidR="00A54493">
              <w:t>state ownership in key sectors</w:t>
            </w:r>
            <w:r w:rsidR="000C4338">
              <w:t>)</w:t>
            </w:r>
            <w:r w:rsidR="00A54493">
              <w:t xml:space="preserve">. </w:t>
            </w:r>
            <w:r w:rsidR="00637684">
              <w:t>T</w:t>
            </w:r>
            <w:r>
              <w:t xml:space="preserve">here </w:t>
            </w:r>
            <w:r w:rsidR="000C4338">
              <w:t xml:space="preserve">is </w:t>
            </w:r>
            <w:r w:rsidR="006F7D27">
              <w:t xml:space="preserve">also </w:t>
            </w:r>
            <w:r w:rsidR="006E62DD">
              <w:t>a</w:t>
            </w:r>
            <w:r w:rsidR="000C4338">
              <w:t xml:space="preserve"> degree of subjectivity in </w:t>
            </w:r>
            <w:r w:rsidR="009B1E66">
              <w:t xml:space="preserve">how </w:t>
            </w:r>
            <w:r w:rsidR="000C4338">
              <w:t xml:space="preserve">ratings </w:t>
            </w:r>
            <w:r w:rsidR="009B1E66">
              <w:t xml:space="preserve">are </w:t>
            </w:r>
            <w:r w:rsidR="006F7D27">
              <w:t xml:space="preserve">assigned </w:t>
            </w:r>
            <w:r w:rsidR="009B1E66">
              <w:t xml:space="preserve">to individual policies. </w:t>
            </w:r>
            <w:r w:rsidR="000C4338">
              <w:t>T</w:t>
            </w:r>
            <w:r w:rsidR="006F7D27">
              <w:t>he OECD</w:t>
            </w:r>
            <w:r>
              <w:t xml:space="preserve"> caution</w:t>
            </w:r>
            <w:r w:rsidR="006F7D27">
              <w:t>s</w:t>
            </w:r>
            <w:r>
              <w:t xml:space="preserve"> that the index should not be used in isolation</w:t>
            </w:r>
            <w:r w:rsidR="006E62DD">
              <w:t>.</w:t>
            </w:r>
          </w:p>
          <w:p w:rsidR="006C58F1" w:rsidRDefault="00DF3105" w:rsidP="00C42B2B">
            <w:pPr>
              <w:pStyle w:val="FigureTitle"/>
              <w:spacing w:before="240"/>
              <w:ind w:left="1395" w:hanging="1395"/>
            </w:pPr>
            <w:r>
              <w:rPr>
                <w:b w:val="0"/>
              </w:rPr>
              <w:t>Figure</w:t>
            </w:r>
            <w:r>
              <w:tab/>
              <w:t xml:space="preserve">OECD </w:t>
            </w:r>
            <w:proofErr w:type="spellStart"/>
            <w:r w:rsidR="00A47A9A">
              <w:t>FDI</w:t>
            </w:r>
            <w:proofErr w:type="spellEnd"/>
            <w:r w:rsidR="00AC11ED">
              <w:t xml:space="preserve"> regulatory restrictiveness</w:t>
            </w:r>
            <w:r>
              <w:t xml:space="preserve"> index, selected countries, 2012</w:t>
            </w:r>
          </w:p>
          <w:tbl>
            <w:tblPr>
              <w:tblW w:w="8810" w:type="dxa"/>
              <w:tblBorders>
                <w:top w:val="single" w:sz="6" w:space="0" w:color="auto"/>
                <w:bottom w:val="single" w:sz="6" w:space="0" w:color="auto"/>
              </w:tblBorders>
              <w:tblLayout w:type="fixed"/>
              <w:tblLook w:val="0000" w:firstRow="0" w:lastRow="0" w:firstColumn="0" w:lastColumn="0" w:noHBand="0" w:noVBand="0"/>
            </w:tblPr>
            <w:tblGrid>
              <w:gridCol w:w="8810"/>
            </w:tblGrid>
            <w:tr w:rsidR="006C58F1" w:rsidTr="006C58F1">
              <w:tc>
                <w:tcPr>
                  <w:tcW w:w="8810" w:type="dxa"/>
                </w:tcPr>
                <w:p w:rsidR="006C58F1" w:rsidRDefault="006C58F1" w:rsidP="006C58F1">
                  <w:pPr>
                    <w:pStyle w:val="Figure"/>
                    <w:jc w:val="left"/>
                  </w:pPr>
                  <w:r>
                    <w:rPr>
                      <w:noProof/>
                    </w:rPr>
                    <w:drawing>
                      <wp:inline distT="0" distB="0" distL="0" distR="0" wp14:anchorId="49CD0163" wp14:editId="58BB1126">
                        <wp:extent cx="5262113" cy="2881223"/>
                        <wp:effectExtent l="0" t="0" r="0" b="0"/>
                        <wp:docPr id="1" name="Chart 1" descr="The figure in box C.3 shows the OECD foreign direct investiment  (FDI) regulatory restrictiveness index, scores for select countries, for the year 2012. The graph shows that in 2012, of 55 countries rated by the OECD, New Zealand had the 6th most restrictive FDI policies while Australia had the 11th most restrictive."/>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6C58F1" w:rsidRPr="006C58F1" w:rsidRDefault="006C58F1" w:rsidP="006C58F1">
            <w:pPr>
              <w:pStyle w:val="Source"/>
            </w:pPr>
          </w:p>
        </w:tc>
      </w:tr>
      <w:tr w:rsidR="00537BB8" w:rsidTr="00537BB8">
        <w:trPr>
          <w:cantSplit/>
        </w:trPr>
        <w:tc>
          <w:tcPr>
            <w:tcW w:w="8771" w:type="dxa"/>
            <w:tcBorders>
              <w:top w:val="nil"/>
              <w:left w:val="nil"/>
              <w:bottom w:val="nil"/>
              <w:right w:val="nil"/>
            </w:tcBorders>
            <w:shd w:val="clear" w:color="auto" w:fill="D9EAF0"/>
          </w:tcPr>
          <w:p w:rsidR="00537BB8" w:rsidRDefault="00537BB8" w:rsidP="00537BB8">
            <w:pPr>
              <w:pStyle w:val="BoxSource"/>
            </w:pPr>
            <w:r>
              <w:rPr>
                <w:i/>
              </w:rPr>
              <w:t>Source</w:t>
            </w:r>
            <w:r w:rsidRPr="00167F06">
              <w:t xml:space="preserve">: </w:t>
            </w:r>
            <w:r>
              <w:t xml:space="preserve">OECD </w:t>
            </w:r>
            <w:r w:rsidR="00B12D44">
              <w:t>(</w:t>
            </w:r>
            <w:proofErr w:type="spellStart"/>
            <w:r>
              <w:t>2012a</w:t>
            </w:r>
            <w:proofErr w:type="spellEnd"/>
            <w:r w:rsidR="00B12D44">
              <w:t>)</w:t>
            </w:r>
            <w:r w:rsidR="00A552E6">
              <w:t>.</w:t>
            </w:r>
          </w:p>
        </w:tc>
      </w:tr>
      <w:tr w:rsidR="00537BB8" w:rsidTr="00537BB8">
        <w:trPr>
          <w:cantSplit/>
        </w:trPr>
        <w:tc>
          <w:tcPr>
            <w:tcW w:w="8771" w:type="dxa"/>
            <w:tcBorders>
              <w:top w:val="nil"/>
              <w:left w:val="nil"/>
              <w:bottom w:val="nil"/>
              <w:right w:val="nil"/>
            </w:tcBorders>
            <w:shd w:val="clear" w:color="auto" w:fill="D9EAF0"/>
          </w:tcPr>
          <w:p w:rsidR="00537BB8" w:rsidRDefault="00537BB8" w:rsidP="00537BB8">
            <w:pPr>
              <w:pStyle w:val="Box"/>
              <w:spacing w:before="0" w:line="120" w:lineRule="exact"/>
            </w:pPr>
          </w:p>
        </w:tc>
      </w:tr>
      <w:tr w:rsidR="00D423AB" w:rsidRPr="00D423AB" w:rsidTr="00537BB8">
        <w:tc>
          <w:tcPr>
            <w:tcW w:w="8771" w:type="dxa"/>
            <w:tcBorders>
              <w:top w:val="nil"/>
              <w:left w:val="nil"/>
              <w:bottom w:val="nil"/>
              <w:right w:val="nil"/>
            </w:tcBorders>
          </w:tcPr>
          <w:p w:rsidR="00537BB8" w:rsidRPr="00D423AB" w:rsidRDefault="00537BB8" w:rsidP="00537BB8">
            <w:pPr>
              <w:pStyle w:val="Box"/>
              <w:keepNext w:val="0"/>
              <w:spacing w:before="60" w:after="60" w:line="80" w:lineRule="exact"/>
              <w:rPr>
                <w:b/>
                <w:color w:val="auto"/>
                <w:sz w:val="14"/>
              </w:rPr>
            </w:pPr>
          </w:p>
        </w:tc>
      </w:tr>
    </w:tbl>
    <w:p w:rsidR="00FA4454" w:rsidRPr="00D544D4" w:rsidRDefault="00B12D44" w:rsidP="00FB595A">
      <w:pPr>
        <w:pStyle w:val="BodyText"/>
      </w:pPr>
      <w:r w:rsidRPr="00D544D4">
        <w:t>Some analysts argue</w:t>
      </w:r>
      <w:r w:rsidR="00FB595A" w:rsidRPr="00D544D4">
        <w:t xml:space="preserve"> that the Australia</w:t>
      </w:r>
      <w:r w:rsidR="004F2424" w:rsidRPr="00D544D4">
        <w:t>n</w:t>
      </w:r>
      <w:r w:rsidR="00FB595A" w:rsidRPr="00D544D4">
        <w:t xml:space="preserve"> and New Zealand </w:t>
      </w:r>
      <w:proofErr w:type="spellStart"/>
      <w:r w:rsidR="00FB595A" w:rsidRPr="00D544D4">
        <w:t>FDI</w:t>
      </w:r>
      <w:proofErr w:type="spellEnd"/>
      <w:r w:rsidR="00FB595A" w:rsidRPr="00D544D4">
        <w:t xml:space="preserve"> regimes </w:t>
      </w:r>
      <w:r w:rsidR="006A12B4" w:rsidRPr="00D544D4">
        <w:t>are</w:t>
      </w:r>
      <w:r w:rsidR="00FB595A" w:rsidRPr="00D544D4">
        <w:t xml:space="preserve"> less restrictive in practic</w:t>
      </w:r>
      <w:r w:rsidR="00DF3105" w:rsidRPr="00D544D4">
        <w:t>e than the OECD ratings suggest</w:t>
      </w:r>
      <w:r w:rsidR="00FB595A" w:rsidRPr="00D544D4">
        <w:t xml:space="preserve">. </w:t>
      </w:r>
      <w:r w:rsidR="00A54493" w:rsidRPr="00D544D4">
        <w:t>For example, a</w:t>
      </w:r>
      <w:r w:rsidR="00FB595A" w:rsidRPr="00D544D4">
        <w:t xml:space="preserve"> Grattan Institute report on economic reform priorities for the Australia</w:t>
      </w:r>
      <w:r w:rsidR="004F2424" w:rsidRPr="00D544D4">
        <w:t>n</w:t>
      </w:r>
      <w:r w:rsidR="00FB595A" w:rsidRPr="00D544D4">
        <w:t xml:space="preserve"> economy found that there was </w:t>
      </w:r>
      <w:r w:rsidR="00AA121D" w:rsidRPr="00D544D4">
        <w:t xml:space="preserve">little </w:t>
      </w:r>
      <w:r w:rsidR="00FB595A" w:rsidRPr="00D544D4">
        <w:t xml:space="preserve">evidence that Australia's foreign investment regime was preventing </w:t>
      </w:r>
      <w:r w:rsidR="00FB595A" w:rsidRPr="00D544D4">
        <w:lastRenderedPageBreak/>
        <w:t xml:space="preserve">investment and </w:t>
      </w:r>
      <w:r w:rsidR="00AA121D" w:rsidRPr="00D544D4">
        <w:t xml:space="preserve">that </w:t>
      </w:r>
      <w:r w:rsidR="00792F63" w:rsidRPr="00D544D4">
        <w:t xml:space="preserve">any </w:t>
      </w:r>
      <w:r w:rsidR="00FB595A" w:rsidRPr="00D544D4">
        <w:t>gains from it</w:t>
      </w:r>
      <w:r w:rsidR="003D518E" w:rsidRPr="00D544D4">
        <w:t>s removal would likely be small (</w:t>
      </w:r>
      <w:r w:rsidR="0043673D" w:rsidRPr="00D544D4">
        <w:t xml:space="preserve">Daley, </w:t>
      </w:r>
      <w:proofErr w:type="spellStart"/>
      <w:r w:rsidR="0043673D" w:rsidRPr="00D544D4">
        <w:t>McGannon</w:t>
      </w:r>
      <w:proofErr w:type="spellEnd"/>
      <w:r w:rsidR="0043673D" w:rsidRPr="00D544D4">
        <w:t xml:space="preserve"> and </w:t>
      </w:r>
      <w:proofErr w:type="spellStart"/>
      <w:r w:rsidR="0043673D" w:rsidRPr="00D544D4">
        <w:t>Ginnivan</w:t>
      </w:r>
      <w:proofErr w:type="spellEnd"/>
      <w:r w:rsidR="0043673D" w:rsidRPr="00D544D4">
        <w:t xml:space="preserve"> 2012</w:t>
      </w:r>
      <w:r w:rsidR="003D518E" w:rsidRPr="00D544D4">
        <w:t>).</w:t>
      </w:r>
      <w:r w:rsidR="00FB595A" w:rsidRPr="00D544D4">
        <w:t xml:space="preserve"> </w:t>
      </w:r>
      <w:r w:rsidR="007F503C" w:rsidRPr="00D544D4">
        <w:t>As evidence of this, t</w:t>
      </w:r>
      <w:r w:rsidR="00AA121D" w:rsidRPr="00D544D4">
        <w:t>he report</w:t>
      </w:r>
      <w:r w:rsidR="00FB595A" w:rsidRPr="00D544D4">
        <w:t xml:space="preserve"> point</w:t>
      </w:r>
      <w:r w:rsidR="00AA121D" w:rsidRPr="00D544D4">
        <w:t>ed</w:t>
      </w:r>
      <w:r w:rsidR="00FB595A" w:rsidRPr="00D544D4">
        <w:t xml:space="preserve"> to</w:t>
      </w:r>
      <w:r w:rsidR="00AA121D" w:rsidRPr="00D544D4">
        <w:t xml:space="preserve"> data showing</w:t>
      </w:r>
      <w:r w:rsidR="00FB595A" w:rsidRPr="00D544D4">
        <w:t xml:space="preserve"> that the vast majority of </w:t>
      </w:r>
      <w:r w:rsidR="00A97C92" w:rsidRPr="00D544D4">
        <w:t xml:space="preserve">foreign </w:t>
      </w:r>
      <w:r w:rsidR="00FB595A" w:rsidRPr="00D544D4">
        <w:t xml:space="preserve">investment applications in Australia </w:t>
      </w:r>
      <w:r w:rsidR="007F503C" w:rsidRPr="00D544D4">
        <w:t xml:space="preserve">are </w:t>
      </w:r>
      <w:r w:rsidR="00940929" w:rsidRPr="00D544D4">
        <w:t>approved</w:t>
      </w:r>
      <w:r w:rsidR="00843192" w:rsidRPr="00D544D4">
        <w:t xml:space="preserve"> (table </w:t>
      </w:r>
      <w:proofErr w:type="spellStart"/>
      <w:r w:rsidR="00843192" w:rsidRPr="00D544D4">
        <w:t>C</w:t>
      </w:r>
      <w:r w:rsidR="00FB595A" w:rsidRPr="00D544D4">
        <w:t>.</w:t>
      </w:r>
      <w:r w:rsidR="00BD6AFC" w:rsidRPr="00D544D4">
        <w:t>3</w:t>
      </w:r>
      <w:proofErr w:type="spellEnd"/>
      <w:r w:rsidR="0064703A" w:rsidRPr="00D544D4">
        <w:t>).</w:t>
      </w:r>
    </w:p>
    <w:p w:rsidR="00EF607D" w:rsidRDefault="00FA4454" w:rsidP="00235F54">
      <w:pPr>
        <w:pStyle w:val="TableTitle"/>
      </w:pPr>
      <w:r w:rsidRPr="00415A1F">
        <w:rPr>
          <w:b w:val="0"/>
        </w:rPr>
        <w:t xml:space="preserve">Table </w:t>
      </w:r>
      <w:proofErr w:type="spellStart"/>
      <w:r w:rsidR="00E6190B">
        <w:rPr>
          <w:b w:val="0"/>
        </w:rPr>
        <w:t>C.3</w:t>
      </w:r>
      <w:proofErr w:type="spellEnd"/>
      <w:r w:rsidR="000020EA">
        <w:tab/>
        <w:t>I</w:t>
      </w:r>
      <w:r w:rsidR="00EF607D">
        <w:t>nvestment applications</w:t>
      </w:r>
      <w:r w:rsidR="000020EA">
        <w:t xml:space="preserve"> from all countries</w:t>
      </w:r>
      <w:r w:rsidR="00EF607D">
        <w:t>, Australia</w:t>
      </w:r>
      <w:r w:rsidR="00235F54">
        <w:t>, 2010-11</w:t>
      </w:r>
    </w:p>
    <w:tbl>
      <w:tblPr>
        <w:tblW w:w="5000" w:type="pct"/>
        <w:tblCellMar>
          <w:left w:w="0" w:type="dxa"/>
          <w:right w:w="0" w:type="dxa"/>
        </w:tblCellMar>
        <w:tblLook w:val="0000" w:firstRow="0" w:lastRow="0" w:firstColumn="0" w:lastColumn="0" w:noHBand="0" w:noVBand="0"/>
      </w:tblPr>
      <w:tblGrid>
        <w:gridCol w:w="2203"/>
        <w:gridCol w:w="2197"/>
        <w:gridCol w:w="2195"/>
        <w:gridCol w:w="2194"/>
      </w:tblGrid>
      <w:tr w:rsidR="00EF607D" w:rsidTr="00EF607D">
        <w:tc>
          <w:tcPr>
            <w:tcW w:w="1253" w:type="pct"/>
            <w:tcBorders>
              <w:top w:val="single" w:sz="6" w:space="0" w:color="auto"/>
              <w:bottom w:val="single" w:sz="6" w:space="0" w:color="auto"/>
            </w:tcBorders>
            <w:shd w:val="clear" w:color="auto" w:fill="E7ECCE"/>
          </w:tcPr>
          <w:p w:rsidR="00EF607D" w:rsidRDefault="00EF607D" w:rsidP="00EF607D">
            <w:pPr>
              <w:pStyle w:val="TableColumnHeading"/>
              <w:jc w:val="left"/>
            </w:pPr>
            <w:r>
              <w:t>Application stage</w:t>
            </w:r>
          </w:p>
        </w:tc>
        <w:tc>
          <w:tcPr>
            <w:tcW w:w="1250" w:type="pct"/>
            <w:tcBorders>
              <w:top w:val="single" w:sz="6" w:space="0" w:color="auto"/>
              <w:bottom w:val="single" w:sz="6" w:space="0" w:color="auto"/>
            </w:tcBorders>
            <w:shd w:val="clear" w:color="auto" w:fill="E7ECCE"/>
          </w:tcPr>
          <w:p w:rsidR="00EF607D" w:rsidRDefault="00EF607D" w:rsidP="0064703A">
            <w:pPr>
              <w:pStyle w:val="TableColumnHeading"/>
            </w:pPr>
            <w:r>
              <w:t>Total</w:t>
            </w:r>
          </w:p>
        </w:tc>
        <w:tc>
          <w:tcPr>
            <w:tcW w:w="1249" w:type="pct"/>
            <w:tcBorders>
              <w:top w:val="single" w:sz="6" w:space="0" w:color="auto"/>
              <w:bottom w:val="single" w:sz="6" w:space="0" w:color="auto"/>
            </w:tcBorders>
            <w:shd w:val="clear" w:color="auto" w:fill="E7ECCE"/>
          </w:tcPr>
          <w:p w:rsidR="00EF607D" w:rsidRDefault="00EF607D" w:rsidP="0064703A">
            <w:pPr>
              <w:pStyle w:val="TableColumnHeading"/>
              <w:ind w:right="28"/>
            </w:pPr>
            <w:r>
              <w:t>Real estate</w:t>
            </w:r>
          </w:p>
        </w:tc>
        <w:tc>
          <w:tcPr>
            <w:tcW w:w="1248" w:type="pct"/>
            <w:tcBorders>
              <w:top w:val="single" w:sz="6" w:space="0" w:color="auto"/>
              <w:bottom w:val="single" w:sz="6" w:space="0" w:color="auto"/>
            </w:tcBorders>
            <w:shd w:val="clear" w:color="auto" w:fill="E7ECCE"/>
          </w:tcPr>
          <w:p w:rsidR="00EF607D" w:rsidRDefault="00A97C92" w:rsidP="0064703A">
            <w:pPr>
              <w:pStyle w:val="TableColumnHeading"/>
              <w:ind w:right="28"/>
            </w:pPr>
            <w:r>
              <w:t>B</w:t>
            </w:r>
            <w:r w:rsidR="00EF607D">
              <w:t xml:space="preserve">usiness </w:t>
            </w:r>
          </w:p>
        </w:tc>
      </w:tr>
      <w:tr w:rsidR="00EF607D" w:rsidTr="00EF607D">
        <w:tc>
          <w:tcPr>
            <w:tcW w:w="1253" w:type="pct"/>
          </w:tcPr>
          <w:p w:rsidR="00EF607D" w:rsidRDefault="00EF607D" w:rsidP="0064703A">
            <w:pPr>
              <w:pStyle w:val="TableBodyText"/>
              <w:spacing w:before="80"/>
              <w:jc w:val="left"/>
            </w:pPr>
            <w:r>
              <w:t>Considered</w:t>
            </w:r>
          </w:p>
        </w:tc>
        <w:tc>
          <w:tcPr>
            <w:tcW w:w="1250" w:type="pct"/>
          </w:tcPr>
          <w:p w:rsidR="00EF607D" w:rsidRDefault="00EF607D" w:rsidP="0064703A">
            <w:pPr>
              <w:pStyle w:val="TableBodyText"/>
              <w:spacing w:before="80"/>
            </w:pPr>
            <w:r>
              <w:t>10</w:t>
            </w:r>
            <w:r w:rsidR="0064703A">
              <w:t> </w:t>
            </w:r>
            <w:r>
              <w:t>865</w:t>
            </w:r>
          </w:p>
        </w:tc>
        <w:tc>
          <w:tcPr>
            <w:tcW w:w="1249" w:type="pct"/>
          </w:tcPr>
          <w:p w:rsidR="00EF607D" w:rsidRPr="004C4E0D" w:rsidRDefault="00552FCA" w:rsidP="0064703A">
            <w:pPr>
              <w:pStyle w:val="TableBodyText"/>
              <w:spacing w:before="80"/>
              <w:ind w:right="28"/>
            </w:pPr>
            <w:proofErr w:type="spellStart"/>
            <w:r w:rsidRPr="004C4E0D">
              <w:t>na</w:t>
            </w:r>
            <w:proofErr w:type="spellEnd"/>
          </w:p>
        </w:tc>
        <w:tc>
          <w:tcPr>
            <w:tcW w:w="1248" w:type="pct"/>
          </w:tcPr>
          <w:p w:rsidR="00EF607D" w:rsidRPr="004C4E0D" w:rsidRDefault="00552FCA" w:rsidP="0064703A">
            <w:pPr>
              <w:pStyle w:val="TableBodyText"/>
              <w:spacing w:before="80"/>
              <w:ind w:right="28"/>
            </w:pPr>
            <w:proofErr w:type="spellStart"/>
            <w:r w:rsidRPr="004C4E0D">
              <w:t>na</w:t>
            </w:r>
            <w:proofErr w:type="spellEnd"/>
          </w:p>
        </w:tc>
      </w:tr>
      <w:tr w:rsidR="00EF607D" w:rsidTr="00EF607D">
        <w:tc>
          <w:tcPr>
            <w:tcW w:w="1253" w:type="pct"/>
          </w:tcPr>
          <w:p w:rsidR="00EF607D" w:rsidRDefault="00EF607D" w:rsidP="00EF607D">
            <w:pPr>
              <w:pStyle w:val="TableBodyText"/>
              <w:jc w:val="left"/>
            </w:pPr>
            <w:r>
              <w:t>Approved</w:t>
            </w:r>
          </w:p>
        </w:tc>
        <w:tc>
          <w:tcPr>
            <w:tcW w:w="1250" w:type="pct"/>
          </w:tcPr>
          <w:p w:rsidR="00EF607D" w:rsidRDefault="0082598B" w:rsidP="00EF607D">
            <w:pPr>
              <w:pStyle w:val="TableBodyText"/>
            </w:pPr>
            <w:r>
              <w:t>10</w:t>
            </w:r>
            <w:r w:rsidR="0064703A">
              <w:t> </w:t>
            </w:r>
            <w:r>
              <w:t>293</w:t>
            </w:r>
          </w:p>
        </w:tc>
        <w:tc>
          <w:tcPr>
            <w:tcW w:w="1249" w:type="pct"/>
          </w:tcPr>
          <w:p w:rsidR="00EF607D" w:rsidRPr="004C4E0D" w:rsidRDefault="00B12D44" w:rsidP="00EF607D">
            <w:pPr>
              <w:pStyle w:val="TableBodyText"/>
              <w:ind w:right="28"/>
            </w:pPr>
            <w:r w:rsidRPr="004C4E0D">
              <w:t>9</w:t>
            </w:r>
            <w:r w:rsidR="0064703A" w:rsidRPr="004C4E0D">
              <w:t> </w:t>
            </w:r>
            <w:r w:rsidR="0082598B" w:rsidRPr="004C4E0D">
              <w:t>771</w:t>
            </w:r>
          </w:p>
        </w:tc>
        <w:tc>
          <w:tcPr>
            <w:tcW w:w="1248" w:type="pct"/>
          </w:tcPr>
          <w:p w:rsidR="00EF607D" w:rsidRPr="004C4E0D" w:rsidRDefault="0082598B" w:rsidP="00EF607D">
            <w:pPr>
              <w:pStyle w:val="TableBodyText"/>
              <w:ind w:right="28"/>
            </w:pPr>
            <w:r w:rsidRPr="004C4E0D">
              <w:t>448</w:t>
            </w:r>
          </w:p>
        </w:tc>
      </w:tr>
      <w:tr w:rsidR="00EF607D" w:rsidTr="00EF607D">
        <w:tc>
          <w:tcPr>
            <w:tcW w:w="1253" w:type="pct"/>
          </w:tcPr>
          <w:p w:rsidR="00EF607D" w:rsidRDefault="00EF607D" w:rsidP="00EF607D">
            <w:pPr>
              <w:pStyle w:val="TableBodyText"/>
              <w:numPr>
                <w:ilvl w:val="0"/>
                <w:numId w:val="20"/>
              </w:numPr>
              <w:jc w:val="left"/>
            </w:pPr>
            <w:r>
              <w:t>unconditionally</w:t>
            </w:r>
          </w:p>
        </w:tc>
        <w:tc>
          <w:tcPr>
            <w:tcW w:w="1250" w:type="pct"/>
          </w:tcPr>
          <w:p w:rsidR="00EF607D" w:rsidRDefault="0082598B" w:rsidP="00EF607D">
            <w:pPr>
              <w:pStyle w:val="TableBodyText"/>
            </w:pPr>
            <w:r>
              <w:t>4</w:t>
            </w:r>
            <w:r w:rsidR="0064703A">
              <w:t> </w:t>
            </w:r>
            <w:r>
              <w:t>606</w:t>
            </w:r>
          </w:p>
        </w:tc>
        <w:tc>
          <w:tcPr>
            <w:tcW w:w="1249" w:type="pct"/>
          </w:tcPr>
          <w:p w:rsidR="00EF607D" w:rsidRPr="004C4E0D" w:rsidRDefault="00552FCA" w:rsidP="00EF607D">
            <w:pPr>
              <w:pStyle w:val="TableBodyText"/>
              <w:ind w:right="28"/>
            </w:pPr>
            <w:proofErr w:type="spellStart"/>
            <w:r w:rsidRPr="004C4E0D">
              <w:t>na</w:t>
            </w:r>
            <w:proofErr w:type="spellEnd"/>
          </w:p>
        </w:tc>
        <w:tc>
          <w:tcPr>
            <w:tcW w:w="1248" w:type="pct"/>
          </w:tcPr>
          <w:p w:rsidR="00EF607D" w:rsidRPr="004C4E0D" w:rsidRDefault="00D423AB" w:rsidP="00D423AB">
            <w:pPr>
              <w:pStyle w:val="TableBodyText"/>
              <w:ind w:right="28"/>
            </w:pPr>
            <w:proofErr w:type="spellStart"/>
            <w:r w:rsidRPr="004C4E0D">
              <w:t>n</w:t>
            </w:r>
            <w:r w:rsidR="00552FCA" w:rsidRPr="004C4E0D">
              <w:t>a</w:t>
            </w:r>
            <w:proofErr w:type="spellEnd"/>
          </w:p>
        </w:tc>
      </w:tr>
      <w:tr w:rsidR="00EF607D" w:rsidTr="00EF607D">
        <w:tc>
          <w:tcPr>
            <w:tcW w:w="1253" w:type="pct"/>
          </w:tcPr>
          <w:p w:rsidR="00EF607D" w:rsidRDefault="00EF607D" w:rsidP="00EF607D">
            <w:pPr>
              <w:pStyle w:val="TableBodyText"/>
              <w:numPr>
                <w:ilvl w:val="0"/>
                <w:numId w:val="20"/>
              </w:numPr>
              <w:jc w:val="left"/>
            </w:pPr>
            <w:r>
              <w:t>with conditions</w:t>
            </w:r>
          </w:p>
        </w:tc>
        <w:tc>
          <w:tcPr>
            <w:tcW w:w="1250" w:type="pct"/>
          </w:tcPr>
          <w:p w:rsidR="00EF607D" w:rsidRDefault="0082598B" w:rsidP="00EF607D">
            <w:pPr>
              <w:pStyle w:val="TableBodyText"/>
            </w:pPr>
            <w:r>
              <w:t>5</w:t>
            </w:r>
            <w:r w:rsidR="0064703A">
              <w:t> </w:t>
            </w:r>
            <w:r>
              <w:t>687</w:t>
            </w:r>
          </w:p>
        </w:tc>
        <w:tc>
          <w:tcPr>
            <w:tcW w:w="1249" w:type="pct"/>
          </w:tcPr>
          <w:p w:rsidR="00EF607D" w:rsidRPr="004C4E0D" w:rsidRDefault="00B12D44" w:rsidP="00EF607D">
            <w:pPr>
              <w:pStyle w:val="TableBodyText"/>
              <w:ind w:right="28"/>
            </w:pPr>
            <w:r w:rsidRPr="004C4E0D">
              <w:t>5</w:t>
            </w:r>
            <w:r w:rsidR="0064703A" w:rsidRPr="004C4E0D">
              <w:t> </w:t>
            </w:r>
            <w:r w:rsidR="00EF607D" w:rsidRPr="004C4E0D">
              <w:t>683</w:t>
            </w:r>
          </w:p>
        </w:tc>
        <w:tc>
          <w:tcPr>
            <w:tcW w:w="1248" w:type="pct"/>
          </w:tcPr>
          <w:p w:rsidR="00EF607D" w:rsidRPr="004C4E0D" w:rsidRDefault="00EF607D" w:rsidP="00EF607D">
            <w:pPr>
              <w:pStyle w:val="TableBodyText"/>
              <w:ind w:right="28"/>
            </w:pPr>
            <w:r w:rsidRPr="004C4E0D">
              <w:t>4</w:t>
            </w:r>
          </w:p>
        </w:tc>
      </w:tr>
      <w:tr w:rsidR="00EF607D" w:rsidTr="00EF607D">
        <w:tc>
          <w:tcPr>
            <w:tcW w:w="1253" w:type="pct"/>
            <w:shd w:val="clear" w:color="auto" w:fill="auto"/>
          </w:tcPr>
          <w:p w:rsidR="00EF607D" w:rsidRDefault="00EF607D" w:rsidP="00EF607D">
            <w:pPr>
              <w:pStyle w:val="TableBodyText"/>
              <w:jc w:val="left"/>
            </w:pPr>
            <w:r>
              <w:t>Withdrawn</w:t>
            </w:r>
            <w:r w:rsidRPr="008E77FE">
              <w:rPr>
                <w:rStyle w:val="NoteLabel"/>
              </w:rPr>
              <w:t>a</w:t>
            </w:r>
          </w:p>
        </w:tc>
        <w:tc>
          <w:tcPr>
            <w:tcW w:w="1250" w:type="pct"/>
            <w:shd w:val="clear" w:color="auto" w:fill="auto"/>
          </w:tcPr>
          <w:p w:rsidR="00EF607D" w:rsidRDefault="00EF607D" w:rsidP="00EF607D">
            <w:pPr>
              <w:pStyle w:val="TableBodyText"/>
            </w:pPr>
            <w:r>
              <w:t>390</w:t>
            </w:r>
          </w:p>
        </w:tc>
        <w:tc>
          <w:tcPr>
            <w:tcW w:w="1249" w:type="pct"/>
            <w:shd w:val="clear" w:color="auto" w:fill="auto"/>
          </w:tcPr>
          <w:p w:rsidR="00EF607D" w:rsidRPr="004C4E0D" w:rsidRDefault="00EF607D" w:rsidP="00EF607D">
            <w:pPr>
              <w:pStyle w:val="TableBodyText"/>
              <w:ind w:right="28"/>
            </w:pPr>
            <w:r w:rsidRPr="004C4E0D">
              <w:t>261</w:t>
            </w:r>
          </w:p>
        </w:tc>
        <w:tc>
          <w:tcPr>
            <w:tcW w:w="1248" w:type="pct"/>
          </w:tcPr>
          <w:p w:rsidR="00EF607D" w:rsidRPr="004C4E0D" w:rsidRDefault="00EF607D" w:rsidP="00EF607D">
            <w:pPr>
              <w:pStyle w:val="TableBodyText"/>
              <w:ind w:right="28"/>
            </w:pPr>
            <w:r w:rsidRPr="004C4E0D">
              <w:t>128</w:t>
            </w:r>
          </w:p>
        </w:tc>
      </w:tr>
      <w:tr w:rsidR="00552FCA" w:rsidTr="00EF607D">
        <w:tc>
          <w:tcPr>
            <w:tcW w:w="1253" w:type="pct"/>
            <w:shd w:val="clear" w:color="auto" w:fill="auto"/>
          </w:tcPr>
          <w:p w:rsidR="00552FCA" w:rsidRDefault="00552FCA" w:rsidP="00EF607D">
            <w:pPr>
              <w:pStyle w:val="TableBodyText"/>
              <w:jc w:val="left"/>
            </w:pPr>
            <w:r>
              <w:t>Exempted</w:t>
            </w:r>
          </w:p>
        </w:tc>
        <w:tc>
          <w:tcPr>
            <w:tcW w:w="1250" w:type="pct"/>
            <w:shd w:val="clear" w:color="auto" w:fill="auto"/>
          </w:tcPr>
          <w:p w:rsidR="00552FCA" w:rsidRDefault="00552FCA" w:rsidP="00EF607D">
            <w:pPr>
              <w:pStyle w:val="TableBodyText"/>
            </w:pPr>
            <w:r>
              <w:t>139</w:t>
            </w:r>
          </w:p>
        </w:tc>
        <w:tc>
          <w:tcPr>
            <w:tcW w:w="1249" w:type="pct"/>
            <w:shd w:val="clear" w:color="auto" w:fill="auto"/>
          </w:tcPr>
          <w:p w:rsidR="00552FCA" w:rsidRPr="004C4E0D" w:rsidRDefault="00552FCA" w:rsidP="00EF607D">
            <w:pPr>
              <w:pStyle w:val="TableBodyText"/>
              <w:ind w:right="28"/>
            </w:pPr>
            <w:proofErr w:type="spellStart"/>
            <w:r w:rsidRPr="004C4E0D">
              <w:t>na</w:t>
            </w:r>
            <w:proofErr w:type="spellEnd"/>
          </w:p>
        </w:tc>
        <w:tc>
          <w:tcPr>
            <w:tcW w:w="1248" w:type="pct"/>
          </w:tcPr>
          <w:p w:rsidR="00552FCA" w:rsidRPr="004C4E0D" w:rsidRDefault="00552FCA" w:rsidP="00EF607D">
            <w:pPr>
              <w:pStyle w:val="TableBodyText"/>
              <w:ind w:right="28"/>
            </w:pPr>
            <w:proofErr w:type="spellStart"/>
            <w:r w:rsidRPr="004C4E0D">
              <w:t>na</w:t>
            </w:r>
            <w:proofErr w:type="spellEnd"/>
          </w:p>
        </w:tc>
      </w:tr>
      <w:tr w:rsidR="00EF607D" w:rsidTr="00EF607D">
        <w:tc>
          <w:tcPr>
            <w:tcW w:w="1253" w:type="pct"/>
            <w:tcBorders>
              <w:bottom w:val="single" w:sz="6" w:space="0" w:color="auto"/>
            </w:tcBorders>
            <w:shd w:val="clear" w:color="auto" w:fill="auto"/>
          </w:tcPr>
          <w:p w:rsidR="00EF607D" w:rsidRDefault="00EF607D" w:rsidP="00EF607D">
            <w:pPr>
              <w:pStyle w:val="TableBodyText"/>
              <w:jc w:val="left"/>
            </w:pPr>
            <w:r>
              <w:t>Rejected</w:t>
            </w:r>
          </w:p>
        </w:tc>
        <w:tc>
          <w:tcPr>
            <w:tcW w:w="1250" w:type="pct"/>
            <w:tcBorders>
              <w:bottom w:val="single" w:sz="6" w:space="0" w:color="auto"/>
            </w:tcBorders>
            <w:shd w:val="clear" w:color="auto" w:fill="auto"/>
          </w:tcPr>
          <w:p w:rsidR="00EF607D" w:rsidRDefault="0082598B" w:rsidP="00EF607D">
            <w:pPr>
              <w:pStyle w:val="TableBodyText"/>
            </w:pPr>
            <w:r>
              <w:t>43</w:t>
            </w:r>
          </w:p>
        </w:tc>
        <w:tc>
          <w:tcPr>
            <w:tcW w:w="1249" w:type="pct"/>
            <w:tcBorders>
              <w:bottom w:val="single" w:sz="6" w:space="0" w:color="auto"/>
            </w:tcBorders>
            <w:shd w:val="clear" w:color="auto" w:fill="auto"/>
          </w:tcPr>
          <w:p w:rsidR="00EF607D" w:rsidRDefault="00EF607D" w:rsidP="00EF607D">
            <w:pPr>
              <w:pStyle w:val="TableBodyText"/>
              <w:ind w:right="28"/>
            </w:pPr>
            <w:r>
              <w:t>42</w:t>
            </w:r>
          </w:p>
        </w:tc>
        <w:tc>
          <w:tcPr>
            <w:tcW w:w="1248" w:type="pct"/>
            <w:tcBorders>
              <w:bottom w:val="single" w:sz="6" w:space="0" w:color="auto"/>
            </w:tcBorders>
          </w:tcPr>
          <w:p w:rsidR="00EF607D" w:rsidRDefault="00EF607D" w:rsidP="00EF607D">
            <w:pPr>
              <w:pStyle w:val="TableBodyText"/>
              <w:ind w:right="28"/>
            </w:pPr>
            <w:r>
              <w:t>1</w:t>
            </w:r>
          </w:p>
        </w:tc>
      </w:tr>
    </w:tbl>
    <w:p w:rsidR="00EF607D" w:rsidRDefault="00EF607D" w:rsidP="00EF607D">
      <w:pPr>
        <w:pStyle w:val="Note"/>
      </w:pPr>
      <w:r w:rsidRPr="008E77FE">
        <w:rPr>
          <w:rStyle w:val="NoteLabel"/>
        </w:rPr>
        <w:t>a</w:t>
      </w:r>
      <w:r>
        <w:t xml:space="preserve"> Proposals </w:t>
      </w:r>
      <w:r w:rsidR="00A97C92">
        <w:t xml:space="preserve">could be </w:t>
      </w:r>
      <w:r>
        <w:t>withdrawn for a range of reasons, including because the investment was deferred or the applicant decided not to</w:t>
      </w:r>
      <w:r w:rsidR="00A97C92">
        <w:t xml:space="preserve"> proceed for commercial reasons.</w:t>
      </w:r>
      <w:r w:rsidR="00622141">
        <w:t xml:space="preserve"> Many of the real estate-</w:t>
      </w:r>
      <w:r>
        <w:t>related withdrawals resulted from applicants submitting multiple applications for a number of properties</w:t>
      </w:r>
      <w:r w:rsidR="004F2424">
        <w:t xml:space="preserve"> then withdrawing</w:t>
      </w:r>
      <w:r>
        <w:t xml:space="preserve"> once </w:t>
      </w:r>
      <w:r w:rsidR="00A97C92">
        <w:t>one property had been purchased</w:t>
      </w:r>
      <w:r w:rsidR="00A6025B">
        <w:t>.</w:t>
      </w:r>
      <w:r w:rsidR="00D423AB">
        <w:t xml:space="preserve"> </w:t>
      </w:r>
      <w:proofErr w:type="spellStart"/>
      <w:r w:rsidR="00552FCA" w:rsidRPr="00D423AB">
        <w:rPr>
          <w:b/>
        </w:rPr>
        <w:t>na</w:t>
      </w:r>
      <w:proofErr w:type="spellEnd"/>
      <w:r w:rsidR="00A6025B">
        <w:t> </w:t>
      </w:r>
      <w:r w:rsidR="00D423AB">
        <w:t>D</w:t>
      </w:r>
      <w:r w:rsidR="0043673D">
        <w:t xml:space="preserve">ata </w:t>
      </w:r>
      <w:r>
        <w:t>not available</w:t>
      </w:r>
      <w:r w:rsidR="00A6025B">
        <w:t>.</w:t>
      </w:r>
    </w:p>
    <w:p w:rsidR="00E523E1" w:rsidRPr="00E523E1" w:rsidRDefault="00EF607D" w:rsidP="00E523E1">
      <w:pPr>
        <w:pStyle w:val="Source"/>
      </w:pPr>
      <w:r>
        <w:rPr>
          <w:i/>
        </w:rPr>
        <w:t>Source</w:t>
      </w:r>
      <w:r w:rsidR="00B12D44">
        <w:t xml:space="preserve">: </w:t>
      </w:r>
      <w:r w:rsidR="0094748B">
        <w:t xml:space="preserve">Adapted from </w:t>
      </w:r>
      <w:proofErr w:type="spellStart"/>
      <w:r w:rsidR="00B12D44">
        <w:t>FIRB</w:t>
      </w:r>
      <w:proofErr w:type="spellEnd"/>
      <w:r w:rsidR="00B12D44">
        <w:t xml:space="preserve"> </w:t>
      </w:r>
      <w:r w:rsidR="0094748B">
        <w:t>(</w:t>
      </w:r>
      <w:r w:rsidR="00E651D8">
        <w:t>2011</w:t>
      </w:r>
      <w:r w:rsidR="0094748B">
        <w:t>)</w:t>
      </w:r>
      <w:r w:rsidR="00B12D44">
        <w:t>.</w:t>
      </w:r>
    </w:p>
    <w:p w:rsidR="00FA4454" w:rsidRPr="00D544D4" w:rsidRDefault="00640E16" w:rsidP="007A7C4D">
      <w:pPr>
        <w:pStyle w:val="BodyText"/>
      </w:pPr>
      <w:r w:rsidRPr="00C42B2B">
        <w:rPr>
          <w:color w:val="auto"/>
        </w:rPr>
        <w:t>In the year ended June 2011, the Australian Government rejected 43 foreign investment applica</w:t>
      </w:r>
      <w:r w:rsidRPr="00D544D4">
        <w:t xml:space="preserve">tions </w:t>
      </w:r>
      <w:r w:rsidR="00A97C92" w:rsidRPr="00D544D4">
        <w:t>and approved</w:t>
      </w:r>
      <w:r w:rsidR="00DF3105" w:rsidRPr="00D544D4">
        <w:t xml:space="preserve"> 10 </w:t>
      </w:r>
      <w:r w:rsidRPr="00D544D4">
        <w:t>293 (a reje</w:t>
      </w:r>
      <w:r w:rsidR="00944BA4" w:rsidRPr="00D544D4">
        <w:t>ction rate of less than 0.5</w:t>
      </w:r>
      <w:r w:rsidR="003704E5" w:rsidRPr="00D544D4">
        <w:t> </w:t>
      </w:r>
      <w:proofErr w:type="spellStart"/>
      <w:r w:rsidR="003704E5" w:rsidRPr="00D544D4">
        <w:t>percent</w:t>
      </w:r>
      <w:proofErr w:type="spellEnd"/>
      <w:r w:rsidRPr="00D544D4">
        <w:t xml:space="preserve">). Of the 43 applications rejected, 42 were in real estate and </w:t>
      </w:r>
      <w:r w:rsidR="006A741B">
        <w:t>one</w:t>
      </w:r>
      <w:r w:rsidRPr="00D544D4">
        <w:t xml:space="preserve"> was a business proposal. </w:t>
      </w:r>
      <w:r w:rsidR="00792F63" w:rsidRPr="00D544D4">
        <w:t>The rejected business proposal</w:t>
      </w:r>
      <w:r w:rsidRPr="00D544D4">
        <w:t xml:space="preserve"> </w:t>
      </w:r>
      <w:r w:rsidR="00792F63" w:rsidRPr="00D544D4">
        <w:t>—</w:t>
      </w:r>
      <w:r w:rsidRPr="00D544D4">
        <w:t xml:space="preserve"> </w:t>
      </w:r>
      <w:r w:rsidR="00622141" w:rsidRPr="00D544D4">
        <w:t>the</w:t>
      </w:r>
      <w:r w:rsidRPr="00D544D4">
        <w:t xml:space="preserve"> </w:t>
      </w:r>
      <w:proofErr w:type="spellStart"/>
      <w:r w:rsidR="00552FCA" w:rsidRPr="00D544D4">
        <w:t>A</w:t>
      </w:r>
      <w:r w:rsidRPr="00D544D4">
        <w:t>$8.4</w:t>
      </w:r>
      <w:proofErr w:type="spellEnd"/>
      <w:r w:rsidR="003704E5" w:rsidRPr="00D544D4">
        <w:t> billion</w:t>
      </w:r>
      <w:r w:rsidRPr="00D544D4">
        <w:t xml:space="preserve"> takeover of the Australian Securities Exchange by the Singapore Stock Exchange </w:t>
      </w:r>
      <w:r w:rsidR="00792F63" w:rsidRPr="00D544D4">
        <w:t xml:space="preserve">— </w:t>
      </w:r>
      <w:r w:rsidRPr="00D544D4">
        <w:t xml:space="preserve">was the first business </w:t>
      </w:r>
      <w:r w:rsidR="003A040C" w:rsidRPr="00D544D4">
        <w:t xml:space="preserve">application </w:t>
      </w:r>
      <w:r w:rsidRPr="00D544D4">
        <w:t xml:space="preserve">rejected since the </w:t>
      </w:r>
      <w:r w:rsidR="00C35A5E" w:rsidRPr="00D544D4">
        <w:t xml:space="preserve">attempted </w:t>
      </w:r>
      <w:r w:rsidRPr="00D544D4">
        <w:t>takeover of Woodside Petroleum by Shell Australia in 2001.</w:t>
      </w:r>
      <w:r w:rsidR="0011039D" w:rsidRPr="00D544D4">
        <w:t xml:space="preserve"> </w:t>
      </w:r>
      <w:r w:rsidR="007A7C4D" w:rsidRPr="00D544D4">
        <w:t xml:space="preserve">The </w:t>
      </w:r>
      <w:r w:rsidR="00A97C92" w:rsidRPr="00D544D4">
        <w:t xml:space="preserve">Grattan Institute </w:t>
      </w:r>
      <w:r w:rsidR="007A7C4D" w:rsidRPr="00D544D4">
        <w:t xml:space="preserve">also noted that Australia's inflows and stock </w:t>
      </w:r>
      <w:r w:rsidR="00792F63" w:rsidRPr="00D544D4">
        <w:t xml:space="preserve">of </w:t>
      </w:r>
      <w:proofErr w:type="spellStart"/>
      <w:r w:rsidR="00792F63" w:rsidRPr="00D544D4">
        <w:t>FDI</w:t>
      </w:r>
      <w:proofErr w:type="spellEnd"/>
      <w:r w:rsidR="00792F63" w:rsidRPr="00D544D4">
        <w:t xml:space="preserve"> </w:t>
      </w:r>
      <w:r w:rsidR="007A7C4D" w:rsidRPr="00D544D4">
        <w:t>(as a</w:t>
      </w:r>
      <w:r w:rsidR="003704E5" w:rsidRPr="00D544D4">
        <w:t> percent</w:t>
      </w:r>
      <w:r w:rsidR="007A7C4D" w:rsidRPr="00D544D4">
        <w:t xml:space="preserve">age of GDP) </w:t>
      </w:r>
      <w:r w:rsidR="00792F63" w:rsidRPr="00D544D4">
        <w:t>have been</w:t>
      </w:r>
      <w:r w:rsidR="007A7C4D" w:rsidRPr="00D544D4">
        <w:t xml:space="preserve"> substantially higher than the OECD average </w:t>
      </w:r>
      <w:r w:rsidR="00792F63" w:rsidRPr="00D544D4">
        <w:t xml:space="preserve">in recent years </w:t>
      </w:r>
      <w:r w:rsidR="00843192" w:rsidRPr="00D544D4">
        <w:t xml:space="preserve">(table </w:t>
      </w:r>
      <w:proofErr w:type="spellStart"/>
      <w:r w:rsidR="00843192" w:rsidRPr="00D544D4">
        <w:t>C</w:t>
      </w:r>
      <w:r w:rsidR="007A7C4D" w:rsidRPr="00D544D4">
        <w:t>.</w:t>
      </w:r>
      <w:r w:rsidR="00BD6AFC" w:rsidRPr="00D544D4">
        <w:t>4</w:t>
      </w:r>
      <w:proofErr w:type="spellEnd"/>
      <w:r w:rsidR="007A7C4D" w:rsidRPr="00D544D4">
        <w:t>).</w:t>
      </w:r>
    </w:p>
    <w:p w:rsidR="007A7C4D" w:rsidRDefault="00FA4454" w:rsidP="00D240C4">
      <w:pPr>
        <w:pStyle w:val="TableTitle"/>
      </w:pPr>
      <w:r w:rsidRPr="00415A1F">
        <w:rPr>
          <w:b w:val="0"/>
        </w:rPr>
        <w:t xml:space="preserve">Table </w:t>
      </w:r>
      <w:proofErr w:type="spellStart"/>
      <w:r w:rsidR="00E6190B">
        <w:rPr>
          <w:b w:val="0"/>
        </w:rPr>
        <w:t>C.4</w:t>
      </w:r>
      <w:proofErr w:type="spellEnd"/>
      <w:r w:rsidR="00944BA4">
        <w:tab/>
        <w:t>F</w:t>
      </w:r>
      <w:r w:rsidR="00622141">
        <w:t>oreign direct investment</w:t>
      </w:r>
      <w:r w:rsidR="00944BA4">
        <w:t xml:space="preserve"> as a</w:t>
      </w:r>
      <w:r w:rsidR="00A6025B">
        <w:t xml:space="preserve"> </w:t>
      </w:r>
      <w:proofErr w:type="spellStart"/>
      <w:r w:rsidR="003704E5">
        <w:t>percent</w:t>
      </w:r>
      <w:proofErr w:type="spellEnd"/>
      <w:r w:rsidR="007A7C4D">
        <w:t xml:space="preserve"> of GDP, 2008</w:t>
      </w:r>
      <w:r w:rsidR="0064703A">
        <w:t>–</w:t>
      </w:r>
      <w:r w:rsidR="007A7C4D">
        <w:t>11</w:t>
      </w:r>
      <w:r w:rsidR="003728D7" w:rsidRPr="003728D7">
        <w:rPr>
          <w:rStyle w:val="NoteLabel"/>
          <w:b/>
        </w:rPr>
        <w:t>a</w:t>
      </w:r>
    </w:p>
    <w:tbl>
      <w:tblPr>
        <w:tblW w:w="5000" w:type="pct"/>
        <w:tblCellMar>
          <w:left w:w="0" w:type="dxa"/>
          <w:right w:w="0" w:type="dxa"/>
        </w:tblCellMar>
        <w:tblLook w:val="0000" w:firstRow="0" w:lastRow="0" w:firstColumn="0" w:lastColumn="0" w:noHBand="0" w:noVBand="0"/>
      </w:tblPr>
      <w:tblGrid>
        <w:gridCol w:w="1732"/>
        <w:gridCol w:w="883"/>
        <w:gridCol w:w="883"/>
        <w:gridCol w:w="882"/>
        <w:gridCol w:w="882"/>
        <w:gridCol w:w="882"/>
        <w:gridCol w:w="882"/>
        <w:gridCol w:w="882"/>
        <w:gridCol w:w="881"/>
      </w:tblGrid>
      <w:tr w:rsidR="007A7C4D" w:rsidTr="00640E16">
        <w:tc>
          <w:tcPr>
            <w:tcW w:w="985" w:type="pct"/>
            <w:tcBorders>
              <w:top w:val="single" w:sz="6" w:space="0" w:color="auto"/>
              <w:bottom w:val="single" w:sz="6" w:space="0" w:color="auto"/>
            </w:tcBorders>
            <w:shd w:val="clear" w:color="auto" w:fill="E7ECCE"/>
          </w:tcPr>
          <w:p w:rsidR="007A7C4D" w:rsidRDefault="007A7C4D" w:rsidP="007A7C4D">
            <w:pPr>
              <w:pStyle w:val="TableColumnHeading"/>
              <w:jc w:val="left"/>
            </w:pPr>
          </w:p>
        </w:tc>
        <w:tc>
          <w:tcPr>
            <w:tcW w:w="2008" w:type="pct"/>
            <w:gridSpan w:val="4"/>
            <w:tcBorders>
              <w:top w:val="single" w:sz="6" w:space="0" w:color="auto"/>
              <w:bottom w:val="single" w:sz="6" w:space="0" w:color="auto"/>
              <w:right w:val="single" w:sz="4" w:space="0" w:color="auto"/>
            </w:tcBorders>
            <w:shd w:val="clear" w:color="auto" w:fill="E7ECCE"/>
          </w:tcPr>
          <w:p w:rsidR="007A7C4D" w:rsidRDefault="007A7C4D" w:rsidP="007A7C4D">
            <w:pPr>
              <w:pStyle w:val="TableColumnHeading"/>
              <w:ind w:right="28"/>
              <w:jc w:val="center"/>
            </w:pPr>
            <w:r>
              <w:t>Inflows</w:t>
            </w:r>
          </w:p>
        </w:tc>
        <w:tc>
          <w:tcPr>
            <w:tcW w:w="2006" w:type="pct"/>
            <w:gridSpan w:val="4"/>
            <w:tcBorders>
              <w:top w:val="single" w:sz="6" w:space="0" w:color="auto"/>
              <w:left w:val="single" w:sz="4" w:space="0" w:color="auto"/>
              <w:bottom w:val="single" w:sz="6" w:space="0" w:color="auto"/>
            </w:tcBorders>
            <w:shd w:val="clear" w:color="auto" w:fill="E7ECCE"/>
          </w:tcPr>
          <w:p w:rsidR="007A7C4D" w:rsidRDefault="007A7C4D" w:rsidP="007A7C4D">
            <w:pPr>
              <w:pStyle w:val="TableColumnHeading"/>
              <w:ind w:right="28"/>
              <w:jc w:val="center"/>
            </w:pPr>
            <w:r>
              <w:t>Stock</w:t>
            </w:r>
          </w:p>
        </w:tc>
      </w:tr>
      <w:tr w:rsidR="007A7C4D" w:rsidRPr="00A6025B" w:rsidTr="00640E16">
        <w:tc>
          <w:tcPr>
            <w:tcW w:w="985" w:type="pct"/>
          </w:tcPr>
          <w:p w:rsidR="007A7C4D" w:rsidRPr="00A6025B" w:rsidRDefault="007A7C4D" w:rsidP="00A6025B">
            <w:pPr>
              <w:pStyle w:val="TableColumnHeading"/>
              <w:rPr>
                <w:i w:val="0"/>
              </w:rPr>
            </w:pPr>
          </w:p>
        </w:tc>
        <w:tc>
          <w:tcPr>
            <w:tcW w:w="502" w:type="pct"/>
          </w:tcPr>
          <w:p w:rsidR="007A7C4D" w:rsidRPr="00A6025B" w:rsidRDefault="007A7C4D" w:rsidP="00A6025B">
            <w:pPr>
              <w:pStyle w:val="TableColumnHeading"/>
              <w:rPr>
                <w:i w:val="0"/>
              </w:rPr>
            </w:pPr>
            <w:r w:rsidRPr="00A6025B">
              <w:rPr>
                <w:i w:val="0"/>
              </w:rPr>
              <w:t>2008</w:t>
            </w:r>
          </w:p>
        </w:tc>
        <w:tc>
          <w:tcPr>
            <w:tcW w:w="502" w:type="pct"/>
          </w:tcPr>
          <w:p w:rsidR="007A7C4D" w:rsidRPr="00A6025B" w:rsidRDefault="007A7C4D" w:rsidP="00A6025B">
            <w:pPr>
              <w:pStyle w:val="TableColumnHeading"/>
              <w:rPr>
                <w:i w:val="0"/>
              </w:rPr>
            </w:pPr>
            <w:r w:rsidRPr="00A6025B">
              <w:rPr>
                <w:i w:val="0"/>
              </w:rPr>
              <w:t>2009</w:t>
            </w:r>
          </w:p>
        </w:tc>
        <w:tc>
          <w:tcPr>
            <w:tcW w:w="502" w:type="pct"/>
          </w:tcPr>
          <w:p w:rsidR="007A7C4D" w:rsidRPr="00A6025B" w:rsidRDefault="007A7C4D" w:rsidP="00A6025B">
            <w:pPr>
              <w:pStyle w:val="TableColumnHeading"/>
              <w:rPr>
                <w:i w:val="0"/>
              </w:rPr>
            </w:pPr>
            <w:r w:rsidRPr="00A6025B">
              <w:rPr>
                <w:i w:val="0"/>
              </w:rPr>
              <w:t>2010</w:t>
            </w:r>
          </w:p>
        </w:tc>
        <w:tc>
          <w:tcPr>
            <w:tcW w:w="502" w:type="pct"/>
            <w:tcBorders>
              <w:right w:val="single" w:sz="4" w:space="0" w:color="auto"/>
            </w:tcBorders>
          </w:tcPr>
          <w:p w:rsidR="007A7C4D" w:rsidRPr="00A6025B" w:rsidRDefault="007A7C4D" w:rsidP="00A6025B">
            <w:pPr>
              <w:pStyle w:val="TableColumnHeading"/>
              <w:rPr>
                <w:i w:val="0"/>
              </w:rPr>
            </w:pPr>
            <w:r w:rsidRPr="00A6025B">
              <w:rPr>
                <w:i w:val="0"/>
              </w:rPr>
              <w:t>2011</w:t>
            </w:r>
          </w:p>
        </w:tc>
        <w:tc>
          <w:tcPr>
            <w:tcW w:w="502" w:type="pct"/>
            <w:tcBorders>
              <w:left w:val="single" w:sz="4" w:space="0" w:color="auto"/>
            </w:tcBorders>
          </w:tcPr>
          <w:p w:rsidR="007A7C4D" w:rsidRPr="00A6025B" w:rsidRDefault="007A7C4D" w:rsidP="00A6025B">
            <w:pPr>
              <w:pStyle w:val="TableColumnHeading"/>
              <w:rPr>
                <w:i w:val="0"/>
              </w:rPr>
            </w:pPr>
            <w:r w:rsidRPr="00A6025B">
              <w:rPr>
                <w:i w:val="0"/>
              </w:rPr>
              <w:t>2008</w:t>
            </w:r>
          </w:p>
        </w:tc>
        <w:tc>
          <w:tcPr>
            <w:tcW w:w="502" w:type="pct"/>
          </w:tcPr>
          <w:p w:rsidR="007A7C4D" w:rsidRPr="00A6025B" w:rsidRDefault="007A7C4D" w:rsidP="00A6025B">
            <w:pPr>
              <w:pStyle w:val="TableColumnHeading"/>
              <w:rPr>
                <w:i w:val="0"/>
              </w:rPr>
            </w:pPr>
            <w:r w:rsidRPr="00A6025B">
              <w:rPr>
                <w:i w:val="0"/>
              </w:rPr>
              <w:t>2009</w:t>
            </w:r>
          </w:p>
        </w:tc>
        <w:tc>
          <w:tcPr>
            <w:tcW w:w="502" w:type="pct"/>
          </w:tcPr>
          <w:p w:rsidR="007A7C4D" w:rsidRPr="00A6025B" w:rsidRDefault="007A7C4D" w:rsidP="00A6025B">
            <w:pPr>
              <w:pStyle w:val="TableColumnHeading"/>
              <w:rPr>
                <w:i w:val="0"/>
              </w:rPr>
            </w:pPr>
            <w:r w:rsidRPr="00A6025B">
              <w:rPr>
                <w:i w:val="0"/>
              </w:rPr>
              <w:t>2010</w:t>
            </w:r>
          </w:p>
        </w:tc>
        <w:tc>
          <w:tcPr>
            <w:tcW w:w="501" w:type="pct"/>
          </w:tcPr>
          <w:p w:rsidR="007A7C4D" w:rsidRPr="00A6025B" w:rsidRDefault="007A7C4D" w:rsidP="00BB0DED">
            <w:pPr>
              <w:pStyle w:val="TableColumnHeading"/>
              <w:ind w:right="0"/>
              <w:rPr>
                <w:i w:val="0"/>
              </w:rPr>
            </w:pPr>
            <w:r w:rsidRPr="00A6025B">
              <w:rPr>
                <w:i w:val="0"/>
              </w:rPr>
              <w:t>2011</w:t>
            </w:r>
          </w:p>
        </w:tc>
      </w:tr>
      <w:tr w:rsidR="007A7C4D" w:rsidTr="00640E16">
        <w:tc>
          <w:tcPr>
            <w:tcW w:w="985" w:type="pct"/>
          </w:tcPr>
          <w:p w:rsidR="007A7C4D" w:rsidRDefault="007A7C4D" w:rsidP="007A7C4D">
            <w:pPr>
              <w:pStyle w:val="TableBodyText"/>
              <w:jc w:val="left"/>
            </w:pPr>
            <w:r>
              <w:t>Australia</w:t>
            </w:r>
          </w:p>
        </w:tc>
        <w:tc>
          <w:tcPr>
            <w:tcW w:w="502" w:type="pct"/>
          </w:tcPr>
          <w:p w:rsidR="007A7C4D" w:rsidRDefault="00640E16" w:rsidP="00A552E6">
            <w:pPr>
              <w:pStyle w:val="TableBodyText"/>
            </w:pPr>
            <w:r>
              <w:t>4.5</w:t>
            </w:r>
          </w:p>
        </w:tc>
        <w:tc>
          <w:tcPr>
            <w:tcW w:w="502" w:type="pct"/>
          </w:tcPr>
          <w:p w:rsidR="007A7C4D" w:rsidRDefault="00640E16" w:rsidP="00BB0DED">
            <w:pPr>
              <w:pStyle w:val="TableBodyText"/>
              <w:rPr>
                <w:i/>
              </w:rPr>
            </w:pPr>
            <w:r>
              <w:t>2.6</w:t>
            </w:r>
          </w:p>
        </w:tc>
        <w:tc>
          <w:tcPr>
            <w:tcW w:w="502" w:type="pct"/>
          </w:tcPr>
          <w:p w:rsidR="007A7C4D" w:rsidRDefault="00640E16" w:rsidP="00BB0DED">
            <w:pPr>
              <w:pStyle w:val="TableBodyText"/>
              <w:rPr>
                <w:i/>
              </w:rPr>
            </w:pPr>
            <w:r>
              <w:t>2.6</w:t>
            </w:r>
          </w:p>
        </w:tc>
        <w:tc>
          <w:tcPr>
            <w:tcW w:w="502" w:type="pct"/>
            <w:tcBorders>
              <w:right w:val="single" w:sz="4" w:space="0" w:color="auto"/>
            </w:tcBorders>
          </w:tcPr>
          <w:p w:rsidR="007A7C4D" w:rsidRDefault="00640E16" w:rsidP="00BB0DED">
            <w:pPr>
              <w:pStyle w:val="TableBodyText"/>
              <w:rPr>
                <w:i/>
              </w:rPr>
            </w:pPr>
            <w:r>
              <w:t>4.4</w:t>
            </w:r>
          </w:p>
        </w:tc>
        <w:tc>
          <w:tcPr>
            <w:tcW w:w="502" w:type="pct"/>
            <w:tcBorders>
              <w:left w:val="single" w:sz="4" w:space="0" w:color="auto"/>
            </w:tcBorders>
          </w:tcPr>
          <w:p w:rsidR="007A7C4D" w:rsidRDefault="00640E16" w:rsidP="00BB0DED">
            <w:pPr>
              <w:pStyle w:val="TableBodyText"/>
              <w:rPr>
                <w:i/>
              </w:rPr>
            </w:pPr>
            <w:r>
              <w:t>29.2</w:t>
            </w:r>
          </w:p>
        </w:tc>
        <w:tc>
          <w:tcPr>
            <w:tcW w:w="502" w:type="pct"/>
          </w:tcPr>
          <w:p w:rsidR="007A7C4D" w:rsidRDefault="00640E16" w:rsidP="00BB0DED">
            <w:pPr>
              <w:pStyle w:val="TableBodyText"/>
              <w:rPr>
                <w:i/>
              </w:rPr>
            </w:pPr>
            <w:r>
              <w:t>42.5</w:t>
            </w:r>
          </w:p>
        </w:tc>
        <w:tc>
          <w:tcPr>
            <w:tcW w:w="502" w:type="pct"/>
          </w:tcPr>
          <w:p w:rsidR="007A7C4D" w:rsidRDefault="00640E16" w:rsidP="00BB0DED">
            <w:pPr>
              <w:pStyle w:val="TableBodyText"/>
              <w:rPr>
                <w:i/>
              </w:rPr>
            </w:pPr>
            <w:r>
              <w:t>40.1</w:t>
            </w:r>
          </w:p>
        </w:tc>
        <w:tc>
          <w:tcPr>
            <w:tcW w:w="501" w:type="pct"/>
          </w:tcPr>
          <w:p w:rsidR="007A7C4D" w:rsidRDefault="00640E16" w:rsidP="00BB0DED">
            <w:pPr>
              <w:pStyle w:val="TableBodyText"/>
              <w:ind w:right="0"/>
              <w:rPr>
                <w:i/>
              </w:rPr>
            </w:pPr>
            <w:r>
              <w:t>36.5</w:t>
            </w:r>
          </w:p>
        </w:tc>
      </w:tr>
      <w:tr w:rsidR="007A7C4D" w:rsidTr="00640E16">
        <w:tc>
          <w:tcPr>
            <w:tcW w:w="985" w:type="pct"/>
            <w:shd w:val="clear" w:color="auto" w:fill="auto"/>
          </w:tcPr>
          <w:p w:rsidR="007A7C4D" w:rsidRDefault="007A7C4D" w:rsidP="007A7C4D">
            <w:pPr>
              <w:pStyle w:val="TableBodyText"/>
              <w:jc w:val="left"/>
            </w:pPr>
            <w:r>
              <w:t>New Zealand</w:t>
            </w:r>
          </w:p>
        </w:tc>
        <w:tc>
          <w:tcPr>
            <w:tcW w:w="502" w:type="pct"/>
            <w:shd w:val="clear" w:color="auto" w:fill="auto"/>
          </w:tcPr>
          <w:p w:rsidR="007A7C4D" w:rsidRDefault="00640E16" w:rsidP="00A552E6">
            <w:pPr>
              <w:pStyle w:val="TableBodyText"/>
            </w:pPr>
            <w:r>
              <w:t>3.8</w:t>
            </w:r>
          </w:p>
        </w:tc>
        <w:tc>
          <w:tcPr>
            <w:tcW w:w="502" w:type="pct"/>
            <w:shd w:val="clear" w:color="auto" w:fill="auto"/>
          </w:tcPr>
          <w:p w:rsidR="007A7C4D" w:rsidRPr="004C4E0D" w:rsidRDefault="00552FCA" w:rsidP="00BB0DED">
            <w:pPr>
              <w:pStyle w:val="TableBodyText"/>
              <w:rPr>
                <w:i/>
              </w:rPr>
            </w:pPr>
            <w:proofErr w:type="spellStart"/>
            <w:r w:rsidRPr="004C4E0D">
              <w:t>na</w:t>
            </w:r>
            <w:proofErr w:type="spellEnd"/>
          </w:p>
        </w:tc>
        <w:tc>
          <w:tcPr>
            <w:tcW w:w="502" w:type="pct"/>
          </w:tcPr>
          <w:p w:rsidR="007A7C4D" w:rsidRDefault="00640E16" w:rsidP="00BB0DED">
            <w:pPr>
              <w:pStyle w:val="TableBodyText"/>
              <w:rPr>
                <w:i/>
              </w:rPr>
            </w:pPr>
            <w:r>
              <w:t>0.4</w:t>
            </w:r>
          </w:p>
        </w:tc>
        <w:tc>
          <w:tcPr>
            <w:tcW w:w="502" w:type="pct"/>
            <w:tcBorders>
              <w:right w:val="single" w:sz="4" w:space="0" w:color="auto"/>
            </w:tcBorders>
          </w:tcPr>
          <w:p w:rsidR="007A7C4D" w:rsidRDefault="00640E16" w:rsidP="00BB0DED">
            <w:pPr>
              <w:pStyle w:val="TableBodyText"/>
              <w:rPr>
                <w:i/>
              </w:rPr>
            </w:pPr>
            <w:r>
              <w:t>2.2</w:t>
            </w:r>
          </w:p>
        </w:tc>
        <w:tc>
          <w:tcPr>
            <w:tcW w:w="502" w:type="pct"/>
            <w:tcBorders>
              <w:left w:val="single" w:sz="4" w:space="0" w:color="auto"/>
            </w:tcBorders>
          </w:tcPr>
          <w:p w:rsidR="007A7C4D" w:rsidRDefault="00640E16" w:rsidP="00BB0DED">
            <w:pPr>
              <w:pStyle w:val="TableBodyText"/>
              <w:rPr>
                <w:i/>
              </w:rPr>
            </w:pPr>
            <w:r>
              <w:t>39.9</w:t>
            </w:r>
          </w:p>
        </w:tc>
        <w:tc>
          <w:tcPr>
            <w:tcW w:w="502" w:type="pct"/>
          </w:tcPr>
          <w:p w:rsidR="007A7C4D" w:rsidRDefault="00640E16" w:rsidP="00BB0DED">
            <w:pPr>
              <w:pStyle w:val="TableBodyText"/>
              <w:rPr>
                <w:i/>
              </w:rPr>
            </w:pPr>
            <w:r>
              <w:t>55.2</w:t>
            </w:r>
          </w:p>
        </w:tc>
        <w:tc>
          <w:tcPr>
            <w:tcW w:w="502" w:type="pct"/>
          </w:tcPr>
          <w:p w:rsidR="007A7C4D" w:rsidRDefault="00640E16" w:rsidP="00BB0DED">
            <w:pPr>
              <w:pStyle w:val="TableBodyText"/>
              <w:rPr>
                <w:i/>
              </w:rPr>
            </w:pPr>
            <w:r>
              <w:t>47.6</w:t>
            </w:r>
          </w:p>
        </w:tc>
        <w:tc>
          <w:tcPr>
            <w:tcW w:w="501" w:type="pct"/>
          </w:tcPr>
          <w:p w:rsidR="007A7C4D" w:rsidRDefault="00640E16" w:rsidP="00BB0DED">
            <w:pPr>
              <w:pStyle w:val="TableBodyText"/>
              <w:ind w:right="0"/>
              <w:rPr>
                <w:i/>
              </w:rPr>
            </w:pPr>
            <w:r>
              <w:t>46.0</w:t>
            </w:r>
          </w:p>
        </w:tc>
      </w:tr>
      <w:tr w:rsidR="007A7C4D" w:rsidTr="00640E16">
        <w:tc>
          <w:tcPr>
            <w:tcW w:w="985" w:type="pct"/>
            <w:tcBorders>
              <w:bottom w:val="single" w:sz="6" w:space="0" w:color="auto"/>
            </w:tcBorders>
            <w:shd w:val="clear" w:color="auto" w:fill="auto"/>
          </w:tcPr>
          <w:p w:rsidR="007A7C4D" w:rsidRDefault="007A7C4D" w:rsidP="00BB0DED">
            <w:pPr>
              <w:pStyle w:val="TableBodyText"/>
              <w:spacing w:after="80"/>
              <w:jc w:val="left"/>
              <w:rPr>
                <w:i/>
              </w:rPr>
            </w:pPr>
            <w:r>
              <w:t>OECD average</w:t>
            </w:r>
          </w:p>
        </w:tc>
        <w:tc>
          <w:tcPr>
            <w:tcW w:w="502" w:type="pct"/>
            <w:tcBorders>
              <w:bottom w:val="single" w:sz="6" w:space="0" w:color="auto"/>
            </w:tcBorders>
            <w:shd w:val="clear" w:color="auto" w:fill="auto"/>
          </w:tcPr>
          <w:p w:rsidR="007A7C4D" w:rsidRDefault="00640E16" w:rsidP="00BB0DED">
            <w:pPr>
              <w:pStyle w:val="TableBodyText"/>
              <w:spacing w:after="80"/>
              <w:rPr>
                <w:i/>
              </w:rPr>
            </w:pPr>
            <w:r>
              <w:t>2.4</w:t>
            </w:r>
          </w:p>
        </w:tc>
        <w:tc>
          <w:tcPr>
            <w:tcW w:w="502" w:type="pct"/>
            <w:tcBorders>
              <w:bottom w:val="single" w:sz="6" w:space="0" w:color="auto"/>
            </w:tcBorders>
            <w:shd w:val="clear" w:color="auto" w:fill="auto"/>
          </w:tcPr>
          <w:p w:rsidR="007A7C4D" w:rsidRDefault="00640E16" w:rsidP="00BB0DED">
            <w:pPr>
              <w:pStyle w:val="TableBodyText"/>
              <w:spacing w:after="80"/>
              <w:rPr>
                <w:i/>
              </w:rPr>
            </w:pPr>
            <w:r>
              <w:t>1.6</w:t>
            </w:r>
          </w:p>
        </w:tc>
        <w:tc>
          <w:tcPr>
            <w:tcW w:w="502" w:type="pct"/>
            <w:tcBorders>
              <w:bottom w:val="single" w:sz="6" w:space="0" w:color="auto"/>
            </w:tcBorders>
          </w:tcPr>
          <w:p w:rsidR="007A7C4D" w:rsidRDefault="00640E16" w:rsidP="00BB0DED">
            <w:pPr>
              <w:pStyle w:val="TableBodyText"/>
              <w:spacing w:after="80"/>
              <w:rPr>
                <w:i/>
              </w:rPr>
            </w:pPr>
            <w:r>
              <w:t>1.6</w:t>
            </w:r>
          </w:p>
        </w:tc>
        <w:tc>
          <w:tcPr>
            <w:tcW w:w="502" w:type="pct"/>
            <w:tcBorders>
              <w:bottom w:val="single" w:sz="6" w:space="0" w:color="auto"/>
              <w:right w:val="single" w:sz="4" w:space="0" w:color="auto"/>
            </w:tcBorders>
          </w:tcPr>
          <w:p w:rsidR="007A7C4D" w:rsidRDefault="00640E16" w:rsidP="00BB0DED">
            <w:pPr>
              <w:pStyle w:val="TableBodyText"/>
              <w:spacing w:after="80"/>
              <w:rPr>
                <w:i/>
              </w:rPr>
            </w:pPr>
            <w:r>
              <w:t>1.8</w:t>
            </w:r>
          </w:p>
        </w:tc>
        <w:tc>
          <w:tcPr>
            <w:tcW w:w="502" w:type="pct"/>
            <w:tcBorders>
              <w:left w:val="single" w:sz="4" w:space="0" w:color="auto"/>
              <w:bottom w:val="single" w:sz="6" w:space="0" w:color="auto"/>
            </w:tcBorders>
          </w:tcPr>
          <w:p w:rsidR="007A7C4D" w:rsidRDefault="00640E16" w:rsidP="00BB0DED">
            <w:pPr>
              <w:pStyle w:val="TableBodyText"/>
              <w:spacing w:after="80"/>
              <w:rPr>
                <w:i/>
              </w:rPr>
            </w:pPr>
            <w:r>
              <w:t>29.1</w:t>
            </w:r>
          </w:p>
        </w:tc>
        <w:tc>
          <w:tcPr>
            <w:tcW w:w="502" w:type="pct"/>
            <w:tcBorders>
              <w:bottom w:val="single" w:sz="6" w:space="0" w:color="auto"/>
            </w:tcBorders>
          </w:tcPr>
          <w:p w:rsidR="007A7C4D" w:rsidRDefault="00640E16" w:rsidP="00BB0DED">
            <w:pPr>
              <w:pStyle w:val="TableBodyText"/>
              <w:spacing w:after="80"/>
              <w:rPr>
                <w:i/>
              </w:rPr>
            </w:pPr>
            <w:r>
              <w:t>25.9</w:t>
            </w:r>
          </w:p>
        </w:tc>
        <w:tc>
          <w:tcPr>
            <w:tcW w:w="502" w:type="pct"/>
            <w:tcBorders>
              <w:bottom w:val="single" w:sz="6" w:space="0" w:color="auto"/>
            </w:tcBorders>
          </w:tcPr>
          <w:p w:rsidR="007A7C4D" w:rsidRDefault="00640E16" w:rsidP="00BB0DED">
            <w:pPr>
              <w:pStyle w:val="TableBodyText"/>
              <w:spacing w:after="80"/>
              <w:rPr>
                <w:i/>
              </w:rPr>
            </w:pPr>
            <w:r>
              <w:t>30.3</w:t>
            </w:r>
          </w:p>
        </w:tc>
        <w:tc>
          <w:tcPr>
            <w:tcW w:w="501" w:type="pct"/>
            <w:tcBorders>
              <w:bottom w:val="single" w:sz="6" w:space="0" w:color="auto"/>
            </w:tcBorders>
          </w:tcPr>
          <w:p w:rsidR="007A7C4D" w:rsidRDefault="00640E16" w:rsidP="00BB0DED">
            <w:pPr>
              <w:pStyle w:val="TableBodyText"/>
              <w:spacing w:after="80"/>
              <w:ind w:right="0"/>
              <w:rPr>
                <w:i/>
              </w:rPr>
            </w:pPr>
            <w:r>
              <w:t>29.7</w:t>
            </w:r>
          </w:p>
        </w:tc>
      </w:tr>
    </w:tbl>
    <w:p w:rsidR="004C60A8" w:rsidRDefault="003728D7" w:rsidP="007A7C4D">
      <w:pPr>
        <w:pStyle w:val="Source"/>
        <w:rPr>
          <w:i/>
        </w:rPr>
      </w:pPr>
      <w:r w:rsidRPr="008E77FE">
        <w:rPr>
          <w:rStyle w:val="NoteLabel"/>
        </w:rPr>
        <w:t>a</w:t>
      </w:r>
      <w:r>
        <w:t xml:space="preserve"> </w:t>
      </w:r>
      <w:r w:rsidR="004F22D2">
        <w:t>Changes in the p</w:t>
      </w:r>
      <w:r>
        <w:t xml:space="preserve">ercentages </w:t>
      </w:r>
      <w:r w:rsidR="004F22D2">
        <w:t>can be due to</w:t>
      </w:r>
      <w:r>
        <w:t xml:space="preserve"> change</w:t>
      </w:r>
      <w:r w:rsidR="004F22D2">
        <w:t>s</w:t>
      </w:r>
      <w:r>
        <w:t xml:space="preserve"> in the level of stock and </w:t>
      </w:r>
      <w:r w:rsidR="004F22D2">
        <w:t xml:space="preserve">the level of </w:t>
      </w:r>
      <w:r>
        <w:t xml:space="preserve">gross domestic product. </w:t>
      </w:r>
      <w:r w:rsidR="00622141">
        <w:t xml:space="preserve">The level of </w:t>
      </w:r>
      <w:r w:rsidR="004F22D2">
        <w:t>s</w:t>
      </w:r>
      <w:r w:rsidR="00622141">
        <w:t>tock</w:t>
      </w:r>
      <w:r w:rsidRPr="003728D7">
        <w:t xml:space="preserve"> reflects the accumulated effects of all previous </w:t>
      </w:r>
      <w:proofErr w:type="spellStart"/>
      <w:r w:rsidRPr="003728D7">
        <w:t>FDI</w:t>
      </w:r>
      <w:proofErr w:type="spellEnd"/>
      <w:r w:rsidRPr="003728D7">
        <w:t xml:space="preserve"> flows as well </w:t>
      </w:r>
      <w:r w:rsidR="004F22D2">
        <w:t xml:space="preserve">as </w:t>
      </w:r>
      <w:r w:rsidR="005530CD">
        <w:t xml:space="preserve">changes in </w:t>
      </w:r>
      <w:r w:rsidRPr="003728D7">
        <w:t>asset prices and exchange rates.</w:t>
      </w:r>
      <w:r>
        <w:t xml:space="preserve"> </w:t>
      </w:r>
      <w:proofErr w:type="spellStart"/>
      <w:r w:rsidR="00552FCA" w:rsidRPr="00A77CB6">
        <w:rPr>
          <w:b/>
        </w:rPr>
        <w:t>na</w:t>
      </w:r>
      <w:proofErr w:type="spellEnd"/>
      <w:r w:rsidR="004C60A8">
        <w:t xml:space="preserve"> </w:t>
      </w:r>
      <w:r w:rsidR="00D423AB">
        <w:t>D</w:t>
      </w:r>
      <w:r w:rsidR="0043673D">
        <w:t xml:space="preserve">ata </w:t>
      </w:r>
      <w:r w:rsidR="004C60A8">
        <w:t>not available</w:t>
      </w:r>
      <w:r w:rsidR="00A6025B">
        <w:t>.</w:t>
      </w:r>
    </w:p>
    <w:p w:rsidR="007A7C4D" w:rsidRPr="007A7C4D" w:rsidRDefault="007A7C4D" w:rsidP="007A7C4D">
      <w:pPr>
        <w:pStyle w:val="Source"/>
      </w:pPr>
      <w:r>
        <w:rPr>
          <w:i/>
        </w:rPr>
        <w:t>Source</w:t>
      </w:r>
      <w:r w:rsidR="00B12D44">
        <w:t xml:space="preserve">: OECD </w:t>
      </w:r>
      <w:r w:rsidR="0094748B">
        <w:t>(</w:t>
      </w:r>
      <w:proofErr w:type="spellStart"/>
      <w:r w:rsidR="00B12D44">
        <w:t>2012b</w:t>
      </w:r>
      <w:proofErr w:type="spellEnd"/>
      <w:r w:rsidR="0094748B">
        <w:t>)</w:t>
      </w:r>
      <w:r w:rsidR="00B12D44">
        <w:t>.</w:t>
      </w:r>
    </w:p>
    <w:p w:rsidR="00FA4454" w:rsidRPr="00D544D4" w:rsidRDefault="00552FCA" w:rsidP="00640E16">
      <w:pPr>
        <w:pStyle w:val="BodyText"/>
      </w:pPr>
      <w:r w:rsidRPr="00D544D4">
        <w:t>Similarly, t</w:t>
      </w:r>
      <w:r w:rsidR="00FB595A" w:rsidRPr="00D544D4">
        <w:t xml:space="preserve">he New Zealand Treasury </w:t>
      </w:r>
      <w:r w:rsidR="007F0B1C" w:rsidRPr="00D544D4">
        <w:t>— in a 2009 review of policy settings —</w:t>
      </w:r>
      <w:r w:rsidR="00FB595A" w:rsidRPr="00D544D4">
        <w:t xml:space="preserve">argued that while </w:t>
      </w:r>
      <w:r w:rsidR="007F0B1C" w:rsidRPr="00D544D4">
        <w:t xml:space="preserve">New Zealand’s </w:t>
      </w:r>
      <w:proofErr w:type="spellStart"/>
      <w:r w:rsidR="00FB595A" w:rsidRPr="00D544D4">
        <w:t>FDI</w:t>
      </w:r>
      <w:proofErr w:type="spellEnd"/>
      <w:r w:rsidR="00FB595A" w:rsidRPr="00D544D4">
        <w:t xml:space="preserve"> </w:t>
      </w:r>
      <w:r w:rsidR="005530CD" w:rsidRPr="00D544D4">
        <w:t xml:space="preserve">regime was </w:t>
      </w:r>
      <w:r w:rsidR="00FB595A" w:rsidRPr="00D544D4">
        <w:t xml:space="preserve">rated as </w:t>
      </w:r>
      <w:r w:rsidR="005530CD" w:rsidRPr="00D544D4">
        <w:t xml:space="preserve">more </w:t>
      </w:r>
      <w:r w:rsidR="00FB595A" w:rsidRPr="00D544D4">
        <w:t xml:space="preserve">restrictive </w:t>
      </w:r>
      <w:r w:rsidR="005530CD" w:rsidRPr="00D544D4">
        <w:t>than</w:t>
      </w:r>
      <w:r w:rsidR="00FB595A" w:rsidRPr="00D544D4">
        <w:t xml:space="preserve"> </w:t>
      </w:r>
      <w:r w:rsidR="00FB595A" w:rsidRPr="00D544D4">
        <w:lastRenderedPageBreak/>
        <w:t xml:space="preserve">other countries, </w:t>
      </w:r>
      <w:r w:rsidR="00E523E1" w:rsidRPr="00D544D4">
        <w:t xml:space="preserve">barriers </w:t>
      </w:r>
      <w:r w:rsidR="00A57782" w:rsidRPr="00D544D4">
        <w:t xml:space="preserve">were </w:t>
      </w:r>
      <w:r w:rsidR="00D71A53" w:rsidRPr="00D544D4">
        <w:t xml:space="preserve">relatively </w:t>
      </w:r>
      <w:r w:rsidR="00FB595A" w:rsidRPr="00D544D4">
        <w:t xml:space="preserve">low </w:t>
      </w:r>
      <w:r w:rsidR="009740A2" w:rsidRPr="00D544D4">
        <w:t>in practice</w:t>
      </w:r>
      <w:r w:rsidR="00A57782" w:rsidRPr="00D544D4">
        <w:t xml:space="preserve"> (although</w:t>
      </w:r>
      <w:r w:rsidR="008D738C">
        <w:t>,</w:t>
      </w:r>
      <w:r w:rsidR="00A57782" w:rsidRPr="00D544D4">
        <w:t xml:space="preserve"> as discussed below</w:t>
      </w:r>
      <w:r w:rsidR="008D738C">
        <w:t>, the report noted</w:t>
      </w:r>
      <w:r w:rsidR="00A57782" w:rsidRPr="00D544D4">
        <w:t xml:space="preserve"> </w:t>
      </w:r>
      <w:r w:rsidR="007F0B1C" w:rsidRPr="00D544D4">
        <w:t xml:space="preserve">barriers were </w:t>
      </w:r>
      <w:r w:rsidR="00622141" w:rsidRPr="00D544D4">
        <w:t xml:space="preserve">still </w:t>
      </w:r>
      <w:r w:rsidR="00A57782" w:rsidRPr="00D544D4">
        <w:t>unduly restrictive)</w:t>
      </w:r>
      <w:r w:rsidR="0046533F" w:rsidRPr="00D544D4">
        <w:t xml:space="preserve"> (New Zealand Treasury </w:t>
      </w:r>
      <w:proofErr w:type="spellStart"/>
      <w:r w:rsidR="0046533F" w:rsidRPr="00D544D4">
        <w:t>2009a</w:t>
      </w:r>
      <w:proofErr w:type="spellEnd"/>
      <w:r w:rsidR="0046533F" w:rsidRPr="00D544D4">
        <w:t>)</w:t>
      </w:r>
      <w:r w:rsidR="00FB595A" w:rsidRPr="00D544D4">
        <w:t xml:space="preserve">. </w:t>
      </w:r>
      <w:r w:rsidR="00622141" w:rsidRPr="00D544D4">
        <w:t>As evidence of this</w:t>
      </w:r>
      <w:r w:rsidR="009740A2" w:rsidRPr="00D544D4">
        <w:t xml:space="preserve">, </w:t>
      </w:r>
      <w:r w:rsidR="007F0B1C" w:rsidRPr="00D544D4">
        <w:t>the report</w:t>
      </w:r>
      <w:r w:rsidR="00A57782" w:rsidRPr="00D544D4">
        <w:t xml:space="preserve"> pointed to data showing</w:t>
      </w:r>
      <w:r w:rsidR="00FB595A" w:rsidRPr="00D544D4">
        <w:t xml:space="preserve"> that </w:t>
      </w:r>
      <w:r w:rsidR="00CC196B" w:rsidRPr="00D544D4">
        <w:t>f</w:t>
      </w:r>
      <w:r w:rsidR="0082598B" w:rsidRPr="00D544D4">
        <w:t xml:space="preserve">rom 2002 to 2008, </w:t>
      </w:r>
      <w:r w:rsidR="004E1E88" w:rsidRPr="00D544D4">
        <w:t xml:space="preserve">only </w:t>
      </w:r>
      <w:r w:rsidR="00FB595A" w:rsidRPr="00D544D4">
        <w:t xml:space="preserve">33 </w:t>
      </w:r>
      <w:proofErr w:type="spellStart"/>
      <w:r w:rsidR="009740A2" w:rsidRPr="00D544D4">
        <w:t>FDI</w:t>
      </w:r>
      <w:proofErr w:type="spellEnd"/>
      <w:r w:rsidR="009740A2" w:rsidRPr="00D544D4">
        <w:t xml:space="preserve"> </w:t>
      </w:r>
      <w:r w:rsidR="00FB595A" w:rsidRPr="00D544D4">
        <w:t xml:space="preserve">applications were declined </w:t>
      </w:r>
      <w:r w:rsidR="004E1E88" w:rsidRPr="00D544D4">
        <w:t xml:space="preserve">while </w:t>
      </w:r>
      <w:r w:rsidR="00630354" w:rsidRPr="00D544D4">
        <w:t>1050</w:t>
      </w:r>
      <w:r w:rsidR="00A97C92" w:rsidRPr="00D544D4">
        <w:t xml:space="preserve"> were </w:t>
      </w:r>
      <w:r w:rsidR="00B011FE">
        <w:t>consented</w:t>
      </w:r>
      <w:r w:rsidR="00A97C92" w:rsidRPr="00D544D4">
        <w:t xml:space="preserve"> </w:t>
      </w:r>
      <w:r w:rsidR="00630354" w:rsidRPr="00D544D4">
        <w:t>(a rejection rate of 3.</w:t>
      </w:r>
      <w:r w:rsidR="00B011FE">
        <w:t>0</w:t>
      </w:r>
      <w:r w:rsidR="003704E5" w:rsidRPr="00D544D4">
        <w:t> </w:t>
      </w:r>
      <w:proofErr w:type="spellStart"/>
      <w:r w:rsidR="003704E5" w:rsidRPr="00D544D4">
        <w:t>percent</w:t>
      </w:r>
      <w:proofErr w:type="spellEnd"/>
      <w:r w:rsidR="00A97C92" w:rsidRPr="00D544D4">
        <w:t>)</w:t>
      </w:r>
      <w:r w:rsidR="00A57782" w:rsidRPr="00D544D4">
        <w:t xml:space="preserve"> </w:t>
      </w:r>
      <w:r w:rsidR="00235F54" w:rsidRPr="00D544D4">
        <w:t xml:space="preserve">(table </w:t>
      </w:r>
      <w:proofErr w:type="spellStart"/>
      <w:r w:rsidR="00235F54" w:rsidRPr="00D544D4">
        <w:t>C</w:t>
      </w:r>
      <w:r w:rsidR="00BD6AFC" w:rsidRPr="00D544D4">
        <w:t>.5</w:t>
      </w:r>
      <w:proofErr w:type="spellEnd"/>
      <w:r w:rsidR="007F0B1C" w:rsidRPr="00D544D4">
        <w:t xml:space="preserve">). </w:t>
      </w:r>
      <w:r w:rsidR="00AE0587" w:rsidRPr="00D544D4">
        <w:t>No business-only applicatio</w:t>
      </w:r>
      <w:r w:rsidR="00622141" w:rsidRPr="00D544D4">
        <w:t>ns had been rejected since 1984.</w:t>
      </w:r>
      <w:r w:rsidR="0011039D" w:rsidRPr="00D544D4">
        <w:t xml:space="preserve"> </w:t>
      </w:r>
      <w:r w:rsidR="00640E16" w:rsidRPr="00D544D4">
        <w:t xml:space="preserve">The </w:t>
      </w:r>
      <w:r w:rsidR="0046533F" w:rsidRPr="00D544D4">
        <w:t>New Zealand T</w:t>
      </w:r>
      <w:r w:rsidR="007F0B1C" w:rsidRPr="00D544D4">
        <w:t xml:space="preserve">reasury </w:t>
      </w:r>
      <w:r w:rsidR="00640E16" w:rsidRPr="00D544D4">
        <w:t xml:space="preserve">report </w:t>
      </w:r>
      <w:r w:rsidR="00FB595A" w:rsidRPr="00D544D4">
        <w:t xml:space="preserve">also noted that </w:t>
      </w:r>
      <w:r w:rsidR="00640E16">
        <w:t xml:space="preserve">New Zealand’s stock of </w:t>
      </w:r>
      <w:proofErr w:type="spellStart"/>
      <w:r w:rsidR="00640E16">
        <w:t>FDI</w:t>
      </w:r>
      <w:proofErr w:type="spellEnd"/>
      <w:r w:rsidR="00640E16">
        <w:t xml:space="preserve"> (as a</w:t>
      </w:r>
      <w:r w:rsidR="003704E5">
        <w:t> percent</w:t>
      </w:r>
      <w:r w:rsidR="00640E16">
        <w:t xml:space="preserve">age of GDP) </w:t>
      </w:r>
      <w:r w:rsidR="00940929">
        <w:t xml:space="preserve">has been </w:t>
      </w:r>
      <w:r w:rsidR="00640E16">
        <w:t xml:space="preserve">substantially higher than the OECD average </w:t>
      </w:r>
      <w:r w:rsidR="00940929">
        <w:t xml:space="preserve">in recent years </w:t>
      </w:r>
      <w:r w:rsidR="00640E16">
        <w:t xml:space="preserve">(while </w:t>
      </w:r>
      <w:r w:rsidR="00A97C92">
        <w:t xml:space="preserve">inflows </w:t>
      </w:r>
      <w:r w:rsidR="00AE0587">
        <w:t xml:space="preserve">of </w:t>
      </w:r>
      <w:proofErr w:type="spellStart"/>
      <w:r w:rsidR="00AE0587">
        <w:t>FDI</w:t>
      </w:r>
      <w:proofErr w:type="spellEnd"/>
      <w:r w:rsidR="00AE0587">
        <w:t xml:space="preserve"> </w:t>
      </w:r>
      <w:r w:rsidR="00A97C92">
        <w:t>have varied</w:t>
      </w:r>
      <w:r w:rsidR="00640E16">
        <w:t xml:space="preserve"> above and below</w:t>
      </w:r>
      <w:r w:rsidR="00A97C92">
        <w:t xml:space="preserve"> the OECD average</w:t>
      </w:r>
      <w:r w:rsidR="00843192">
        <w:t xml:space="preserve">) (table </w:t>
      </w:r>
      <w:proofErr w:type="spellStart"/>
      <w:r w:rsidR="00843192">
        <w:t>C</w:t>
      </w:r>
      <w:r w:rsidR="00640E16">
        <w:t>.</w:t>
      </w:r>
      <w:r w:rsidR="00BD6AFC">
        <w:t>4</w:t>
      </w:r>
      <w:proofErr w:type="spellEnd"/>
      <w:r w:rsidR="00F0397E">
        <w:t>).</w:t>
      </w:r>
    </w:p>
    <w:p w:rsidR="00593794" w:rsidRPr="00593794" w:rsidRDefault="00593794" w:rsidP="00593794">
      <w:pPr>
        <w:keepNext/>
        <w:keepLines/>
        <w:spacing w:before="360" w:after="80" w:line="280" w:lineRule="exact"/>
        <w:ind w:left="1474" w:hanging="1474"/>
        <w:rPr>
          <w:rFonts w:ascii="Arial" w:hAnsi="Arial"/>
          <w:b/>
          <w:sz w:val="24"/>
        </w:rPr>
      </w:pPr>
      <w:r w:rsidRPr="00593794">
        <w:rPr>
          <w:rFonts w:ascii="Arial" w:hAnsi="Arial"/>
          <w:sz w:val="24"/>
        </w:rPr>
        <w:t xml:space="preserve">Table </w:t>
      </w:r>
      <w:proofErr w:type="spellStart"/>
      <w:r w:rsidRPr="00593794">
        <w:rPr>
          <w:rFonts w:ascii="Arial" w:hAnsi="Arial"/>
          <w:sz w:val="24"/>
        </w:rPr>
        <w:t>C.5</w:t>
      </w:r>
      <w:proofErr w:type="spellEnd"/>
      <w:r w:rsidRPr="00593794">
        <w:rPr>
          <w:rFonts w:ascii="Arial" w:hAnsi="Arial"/>
          <w:b/>
          <w:sz w:val="24"/>
        </w:rPr>
        <w:tab/>
        <w:t xml:space="preserve">Investment applications from all countries, New Zealand, </w:t>
      </w:r>
      <w:r w:rsidRPr="00593794">
        <w:rPr>
          <w:rFonts w:ascii="Arial" w:hAnsi="Arial"/>
          <w:b/>
          <w:sz w:val="24"/>
        </w:rPr>
        <w:br/>
        <w:t>2002–2008</w:t>
      </w:r>
      <w:r w:rsidRPr="00593794">
        <w:rPr>
          <w:rFonts w:ascii="Arial" w:hAnsi="Arial"/>
          <w:b/>
          <w:position w:val="6"/>
          <w:sz w:val="18"/>
        </w:rPr>
        <w:t>a</w:t>
      </w:r>
    </w:p>
    <w:tbl>
      <w:tblPr>
        <w:tblW w:w="4988" w:type="pct"/>
        <w:tblCellMar>
          <w:left w:w="0" w:type="dxa"/>
          <w:right w:w="0" w:type="dxa"/>
        </w:tblCellMar>
        <w:tblLook w:val="0000" w:firstRow="0" w:lastRow="0" w:firstColumn="0" w:lastColumn="0" w:noHBand="0" w:noVBand="0"/>
      </w:tblPr>
      <w:tblGrid>
        <w:gridCol w:w="1471"/>
        <w:gridCol w:w="1464"/>
        <w:gridCol w:w="1461"/>
        <w:gridCol w:w="1461"/>
        <w:gridCol w:w="1459"/>
        <w:gridCol w:w="1452"/>
      </w:tblGrid>
      <w:tr w:rsidR="00593794" w:rsidRPr="00593794" w:rsidTr="00750293">
        <w:trPr>
          <w:trHeight w:val="500"/>
        </w:trPr>
        <w:tc>
          <w:tcPr>
            <w:tcW w:w="839" w:type="pct"/>
            <w:tcBorders>
              <w:top w:val="single" w:sz="6" w:space="0" w:color="auto"/>
              <w:bottom w:val="single" w:sz="6" w:space="0" w:color="auto"/>
            </w:tcBorders>
            <w:shd w:val="clear" w:color="auto" w:fill="E7ECCE"/>
          </w:tcPr>
          <w:p w:rsidR="00593794" w:rsidRPr="00593794" w:rsidRDefault="00593794" w:rsidP="00593794">
            <w:pPr>
              <w:keepNext/>
              <w:keepLines/>
              <w:spacing w:before="80" w:after="80" w:line="220" w:lineRule="atLeast"/>
              <w:ind w:left="6" w:right="113"/>
              <w:rPr>
                <w:rFonts w:ascii="Arial" w:hAnsi="Arial"/>
                <w:i/>
                <w:color w:val="1C1C1C"/>
                <w:sz w:val="20"/>
                <w:szCs w:val="20"/>
              </w:rPr>
            </w:pPr>
          </w:p>
        </w:tc>
        <w:tc>
          <w:tcPr>
            <w:tcW w:w="835" w:type="pct"/>
            <w:tcBorders>
              <w:top w:val="single" w:sz="6" w:space="0" w:color="auto"/>
              <w:bottom w:val="single" w:sz="6" w:space="0" w:color="auto"/>
            </w:tcBorders>
            <w:shd w:val="clear" w:color="auto" w:fill="E7ECCE"/>
          </w:tcPr>
          <w:p w:rsidR="00593794" w:rsidRPr="00593794" w:rsidRDefault="00593794" w:rsidP="00593794">
            <w:pPr>
              <w:keepNext/>
              <w:keepLines/>
              <w:spacing w:before="80" w:after="80" w:line="220" w:lineRule="atLeast"/>
              <w:ind w:left="6" w:right="28"/>
              <w:jc w:val="right"/>
              <w:rPr>
                <w:rFonts w:ascii="Arial" w:hAnsi="Arial"/>
                <w:i/>
                <w:color w:val="1C1C1C"/>
                <w:sz w:val="20"/>
                <w:szCs w:val="20"/>
              </w:rPr>
            </w:pPr>
            <w:r w:rsidRPr="00593794">
              <w:rPr>
                <w:rFonts w:ascii="Arial" w:hAnsi="Arial"/>
                <w:i/>
                <w:color w:val="1C1C1C"/>
                <w:sz w:val="20"/>
                <w:szCs w:val="20"/>
              </w:rPr>
              <w:t>Total</w:t>
            </w:r>
          </w:p>
        </w:tc>
        <w:tc>
          <w:tcPr>
            <w:tcW w:w="833" w:type="pct"/>
            <w:tcBorders>
              <w:top w:val="single" w:sz="6" w:space="0" w:color="auto"/>
              <w:bottom w:val="single" w:sz="6" w:space="0" w:color="auto"/>
            </w:tcBorders>
            <w:shd w:val="clear" w:color="auto" w:fill="E7ECCE"/>
          </w:tcPr>
          <w:p w:rsidR="00593794" w:rsidRPr="00593794" w:rsidRDefault="00593794" w:rsidP="00593794">
            <w:pPr>
              <w:keepNext/>
              <w:keepLines/>
              <w:spacing w:before="80" w:after="80" w:line="220" w:lineRule="atLeast"/>
              <w:ind w:left="6" w:right="28"/>
              <w:jc w:val="right"/>
              <w:rPr>
                <w:rFonts w:ascii="Arial" w:hAnsi="Arial"/>
                <w:i/>
                <w:color w:val="1C1C1C"/>
                <w:sz w:val="20"/>
                <w:szCs w:val="20"/>
              </w:rPr>
            </w:pPr>
            <w:r w:rsidRPr="00593794">
              <w:rPr>
                <w:rFonts w:ascii="Arial" w:hAnsi="Arial"/>
                <w:i/>
                <w:color w:val="1C1C1C"/>
                <w:sz w:val="20"/>
                <w:szCs w:val="20"/>
              </w:rPr>
              <w:t>Fishing quota</w:t>
            </w:r>
          </w:p>
        </w:tc>
        <w:tc>
          <w:tcPr>
            <w:tcW w:w="833" w:type="pct"/>
            <w:tcBorders>
              <w:top w:val="single" w:sz="6" w:space="0" w:color="auto"/>
              <w:bottom w:val="single" w:sz="6" w:space="0" w:color="auto"/>
            </w:tcBorders>
            <w:shd w:val="clear" w:color="auto" w:fill="E7ECCE"/>
          </w:tcPr>
          <w:p w:rsidR="00593794" w:rsidRPr="00593794" w:rsidRDefault="00593794" w:rsidP="00593794">
            <w:pPr>
              <w:keepNext/>
              <w:keepLines/>
              <w:spacing w:before="80" w:after="80" w:line="220" w:lineRule="atLeast"/>
              <w:ind w:left="6" w:right="28"/>
              <w:jc w:val="right"/>
              <w:rPr>
                <w:rFonts w:ascii="Arial" w:hAnsi="Arial"/>
                <w:i/>
                <w:color w:val="1C1C1C"/>
                <w:sz w:val="20"/>
                <w:szCs w:val="20"/>
              </w:rPr>
            </w:pPr>
            <w:r w:rsidRPr="00593794">
              <w:rPr>
                <w:rFonts w:ascii="Arial" w:hAnsi="Arial"/>
                <w:i/>
                <w:color w:val="1C1C1C"/>
                <w:sz w:val="20"/>
                <w:szCs w:val="20"/>
              </w:rPr>
              <w:t xml:space="preserve">Business </w:t>
            </w:r>
          </w:p>
        </w:tc>
        <w:tc>
          <w:tcPr>
            <w:tcW w:w="832" w:type="pct"/>
            <w:tcBorders>
              <w:top w:val="single" w:sz="6" w:space="0" w:color="auto"/>
              <w:bottom w:val="single" w:sz="6" w:space="0" w:color="auto"/>
            </w:tcBorders>
            <w:shd w:val="clear" w:color="auto" w:fill="E7ECCE"/>
          </w:tcPr>
          <w:p w:rsidR="00593794" w:rsidRPr="00593794" w:rsidRDefault="00593794" w:rsidP="00593794">
            <w:pPr>
              <w:keepNext/>
              <w:keepLines/>
              <w:spacing w:before="80" w:after="80" w:line="220" w:lineRule="atLeast"/>
              <w:ind w:left="6" w:right="28"/>
              <w:jc w:val="right"/>
              <w:rPr>
                <w:rFonts w:ascii="Arial" w:hAnsi="Arial"/>
                <w:i/>
                <w:color w:val="1C1C1C"/>
                <w:sz w:val="20"/>
                <w:szCs w:val="20"/>
              </w:rPr>
            </w:pPr>
            <w:r w:rsidRPr="00593794">
              <w:rPr>
                <w:rFonts w:ascii="Arial" w:hAnsi="Arial"/>
                <w:i/>
                <w:color w:val="1C1C1C"/>
                <w:sz w:val="20"/>
                <w:szCs w:val="20"/>
              </w:rPr>
              <w:t>Business and sensitive land</w:t>
            </w:r>
          </w:p>
        </w:tc>
        <w:tc>
          <w:tcPr>
            <w:tcW w:w="828" w:type="pct"/>
            <w:tcBorders>
              <w:top w:val="single" w:sz="6" w:space="0" w:color="auto"/>
              <w:bottom w:val="single" w:sz="6" w:space="0" w:color="auto"/>
            </w:tcBorders>
            <w:shd w:val="clear" w:color="auto" w:fill="E7ECCE"/>
          </w:tcPr>
          <w:p w:rsidR="00593794" w:rsidRPr="00593794" w:rsidRDefault="00593794" w:rsidP="00593794">
            <w:pPr>
              <w:keepNext/>
              <w:keepLines/>
              <w:spacing w:before="80" w:after="80" w:line="220" w:lineRule="atLeast"/>
              <w:ind w:left="6" w:right="28"/>
              <w:jc w:val="right"/>
              <w:rPr>
                <w:rFonts w:ascii="Arial" w:hAnsi="Arial"/>
                <w:i/>
                <w:color w:val="1C1C1C"/>
                <w:sz w:val="20"/>
                <w:szCs w:val="20"/>
              </w:rPr>
            </w:pPr>
            <w:r w:rsidRPr="00593794">
              <w:rPr>
                <w:rFonts w:ascii="Arial" w:hAnsi="Arial"/>
                <w:i/>
                <w:color w:val="1C1C1C"/>
                <w:sz w:val="20"/>
                <w:szCs w:val="20"/>
              </w:rPr>
              <w:t>Sensitive land</w:t>
            </w:r>
          </w:p>
        </w:tc>
      </w:tr>
      <w:tr w:rsidR="00593794" w:rsidRPr="00593794" w:rsidTr="00750293">
        <w:trPr>
          <w:trHeight w:val="338"/>
        </w:trPr>
        <w:tc>
          <w:tcPr>
            <w:tcW w:w="839" w:type="pct"/>
          </w:tcPr>
          <w:p w:rsidR="00593794" w:rsidRPr="00593794" w:rsidRDefault="00593794" w:rsidP="00593794">
            <w:pPr>
              <w:keepNext/>
              <w:keepLines/>
              <w:spacing w:before="80" w:after="40" w:line="220" w:lineRule="atLeast"/>
              <w:ind w:left="6" w:right="113"/>
              <w:rPr>
                <w:rFonts w:ascii="Arial" w:hAnsi="Arial"/>
                <w:color w:val="1C1C1C"/>
                <w:sz w:val="20"/>
                <w:szCs w:val="20"/>
              </w:rPr>
            </w:pPr>
            <w:r w:rsidRPr="00593794">
              <w:rPr>
                <w:rFonts w:ascii="Arial" w:hAnsi="Arial"/>
                <w:color w:val="1C1C1C"/>
                <w:sz w:val="20"/>
                <w:szCs w:val="20"/>
              </w:rPr>
              <w:t>Consented</w:t>
            </w:r>
          </w:p>
        </w:tc>
        <w:tc>
          <w:tcPr>
            <w:tcW w:w="835" w:type="pct"/>
          </w:tcPr>
          <w:p w:rsidR="00593794" w:rsidRPr="00593794" w:rsidRDefault="00593794" w:rsidP="00593794">
            <w:pPr>
              <w:keepNext/>
              <w:keepLines/>
              <w:spacing w:before="80" w:after="40" w:line="220" w:lineRule="atLeast"/>
              <w:ind w:left="6" w:right="113"/>
              <w:jc w:val="right"/>
              <w:rPr>
                <w:rFonts w:ascii="Arial" w:hAnsi="Arial"/>
                <w:i/>
                <w:color w:val="1C1C1C"/>
                <w:sz w:val="20"/>
                <w:szCs w:val="20"/>
              </w:rPr>
            </w:pPr>
            <w:r w:rsidRPr="00593794">
              <w:rPr>
                <w:rFonts w:ascii="Arial" w:hAnsi="Arial"/>
                <w:color w:val="1C1C1C"/>
                <w:sz w:val="20"/>
                <w:szCs w:val="20"/>
              </w:rPr>
              <w:t>1 050</w:t>
            </w:r>
          </w:p>
        </w:tc>
        <w:tc>
          <w:tcPr>
            <w:tcW w:w="833" w:type="pct"/>
          </w:tcPr>
          <w:p w:rsidR="00593794" w:rsidRPr="00593794" w:rsidRDefault="00593794" w:rsidP="00593794">
            <w:pPr>
              <w:keepNext/>
              <w:keepLines/>
              <w:spacing w:before="80" w:after="40" w:line="220" w:lineRule="atLeast"/>
              <w:ind w:left="6" w:right="28"/>
              <w:jc w:val="right"/>
              <w:rPr>
                <w:rFonts w:ascii="Arial" w:hAnsi="Arial"/>
                <w:i/>
                <w:color w:val="1C1C1C"/>
                <w:sz w:val="20"/>
                <w:szCs w:val="20"/>
              </w:rPr>
            </w:pPr>
            <w:r w:rsidRPr="00593794">
              <w:rPr>
                <w:rFonts w:ascii="Arial" w:hAnsi="Arial"/>
                <w:color w:val="1C1C1C"/>
                <w:sz w:val="20"/>
                <w:szCs w:val="20"/>
              </w:rPr>
              <w:t>1</w:t>
            </w:r>
          </w:p>
        </w:tc>
        <w:tc>
          <w:tcPr>
            <w:tcW w:w="833" w:type="pct"/>
          </w:tcPr>
          <w:p w:rsidR="00593794" w:rsidRPr="00593794" w:rsidRDefault="00593794" w:rsidP="00593794">
            <w:pPr>
              <w:keepNext/>
              <w:keepLines/>
              <w:spacing w:before="80" w:after="40" w:line="220" w:lineRule="atLeast"/>
              <w:ind w:left="6" w:right="28"/>
              <w:jc w:val="right"/>
              <w:rPr>
                <w:rFonts w:ascii="Arial" w:hAnsi="Arial"/>
                <w:i/>
                <w:color w:val="1C1C1C"/>
                <w:sz w:val="20"/>
                <w:szCs w:val="20"/>
              </w:rPr>
            </w:pPr>
            <w:r w:rsidRPr="00593794">
              <w:rPr>
                <w:rFonts w:ascii="Arial" w:hAnsi="Arial"/>
                <w:color w:val="1C1C1C"/>
                <w:sz w:val="20"/>
                <w:szCs w:val="20"/>
              </w:rPr>
              <w:t>127</w:t>
            </w:r>
          </w:p>
        </w:tc>
        <w:tc>
          <w:tcPr>
            <w:tcW w:w="832" w:type="pct"/>
          </w:tcPr>
          <w:p w:rsidR="00593794" w:rsidRPr="00593794" w:rsidRDefault="00593794" w:rsidP="00593794">
            <w:pPr>
              <w:keepNext/>
              <w:keepLines/>
              <w:spacing w:before="80" w:after="40" w:line="220" w:lineRule="atLeast"/>
              <w:ind w:left="6" w:right="28"/>
              <w:jc w:val="right"/>
              <w:rPr>
                <w:rFonts w:ascii="Arial" w:hAnsi="Arial"/>
                <w:i/>
                <w:color w:val="1C1C1C"/>
                <w:sz w:val="20"/>
                <w:szCs w:val="20"/>
              </w:rPr>
            </w:pPr>
            <w:r w:rsidRPr="00593794">
              <w:rPr>
                <w:rFonts w:ascii="Arial" w:hAnsi="Arial"/>
                <w:color w:val="1C1C1C"/>
                <w:sz w:val="20"/>
                <w:szCs w:val="20"/>
              </w:rPr>
              <w:t>56</w:t>
            </w:r>
          </w:p>
        </w:tc>
        <w:tc>
          <w:tcPr>
            <w:tcW w:w="828" w:type="pct"/>
          </w:tcPr>
          <w:p w:rsidR="00593794" w:rsidRPr="00593794" w:rsidRDefault="00593794" w:rsidP="00593794">
            <w:pPr>
              <w:keepNext/>
              <w:keepLines/>
              <w:spacing w:before="80" w:after="40" w:line="220" w:lineRule="atLeast"/>
              <w:ind w:left="6" w:right="28"/>
              <w:jc w:val="right"/>
              <w:rPr>
                <w:rFonts w:ascii="Arial" w:hAnsi="Arial"/>
                <w:color w:val="1C1C1C"/>
                <w:sz w:val="20"/>
                <w:szCs w:val="20"/>
              </w:rPr>
            </w:pPr>
            <w:r w:rsidRPr="00593794">
              <w:rPr>
                <w:rFonts w:ascii="Arial" w:hAnsi="Arial"/>
                <w:color w:val="1C1C1C"/>
                <w:sz w:val="20"/>
                <w:szCs w:val="20"/>
              </w:rPr>
              <w:t>866</w:t>
            </w:r>
          </w:p>
        </w:tc>
      </w:tr>
      <w:tr w:rsidR="00593794" w:rsidRPr="00593794" w:rsidTr="00750293">
        <w:trPr>
          <w:trHeight w:val="265"/>
        </w:trPr>
        <w:tc>
          <w:tcPr>
            <w:tcW w:w="839" w:type="pct"/>
          </w:tcPr>
          <w:p w:rsidR="00593794" w:rsidRPr="00593794" w:rsidRDefault="00593794" w:rsidP="00593794">
            <w:pPr>
              <w:keepNext/>
              <w:keepLines/>
              <w:spacing w:after="40" w:line="220" w:lineRule="atLeast"/>
              <w:ind w:left="6" w:right="113"/>
              <w:rPr>
                <w:rFonts w:ascii="Arial" w:hAnsi="Arial"/>
                <w:color w:val="1C1C1C"/>
                <w:sz w:val="20"/>
                <w:szCs w:val="20"/>
              </w:rPr>
            </w:pPr>
            <w:r w:rsidRPr="00593794">
              <w:rPr>
                <w:rFonts w:ascii="Arial" w:hAnsi="Arial"/>
                <w:color w:val="1C1C1C"/>
                <w:sz w:val="20"/>
                <w:szCs w:val="20"/>
              </w:rPr>
              <w:t>Declined</w:t>
            </w:r>
          </w:p>
        </w:tc>
        <w:tc>
          <w:tcPr>
            <w:tcW w:w="835" w:type="pct"/>
          </w:tcPr>
          <w:p w:rsidR="00593794" w:rsidRPr="00593794" w:rsidRDefault="00593794" w:rsidP="00593794">
            <w:pPr>
              <w:keepNext/>
              <w:keepLines/>
              <w:spacing w:after="40" w:line="220" w:lineRule="atLeast"/>
              <w:ind w:left="6" w:right="113"/>
              <w:jc w:val="right"/>
              <w:rPr>
                <w:rFonts w:ascii="Arial" w:hAnsi="Arial"/>
                <w:color w:val="1C1C1C"/>
                <w:sz w:val="20"/>
                <w:szCs w:val="20"/>
              </w:rPr>
            </w:pPr>
            <w:r w:rsidRPr="00593794">
              <w:rPr>
                <w:rFonts w:ascii="Arial" w:hAnsi="Arial"/>
                <w:color w:val="1C1C1C"/>
                <w:sz w:val="20"/>
                <w:szCs w:val="20"/>
              </w:rPr>
              <w:t>33</w:t>
            </w:r>
          </w:p>
        </w:tc>
        <w:tc>
          <w:tcPr>
            <w:tcW w:w="833" w:type="pct"/>
          </w:tcPr>
          <w:p w:rsidR="00593794" w:rsidRPr="00593794" w:rsidRDefault="00593794" w:rsidP="00593794">
            <w:pPr>
              <w:keepNext/>
              <w:keepLines/>
              <w:spacing w:after="40" w:line="220" w:lineRule="atLeast"/>
              <w:ind w:left="6" w:right="28"/>
              <w:jc w:val="right"/>
              <w:rPr>
                <w:rFonts w:ascii="Arial" w:hAnsi="Arial"/>
                <w:color w:val="1C1C1C"/>
                <w:sz w:val="20"/>
                <w:szCs w:val="20"/>
              </w:rPr>
            </w:pPr>
            <w:r w:rsidRPr="00593794">
              <w:rPr>
                <w:rFonts w:ascii="Arial" w:hAnsi="Arial"/>
                <w:color w:val="1C1C1C"/>
                <w:sz w:val="20"/>
                <w:szCs w:val="20"/>
              </w:rPr>
              <w:t>0</w:t>
            </w:r>
          </w:p>
        </w:tc>
        <w:tc>
          <w:tcPr>
            <w:tcW w:w="833" w:type="pct"/>
          </w:tcPr>
          <w:p w:rsidR="00593794" w:rsidRPr="00593794" w:rsidRDefault="00593794" w:rsidP="00593794">
            <w:pPr>
              <w:keepNext/>
              <w:keepLines/>
              <w:spacing w:after="40" w:line="220" w:lineRule="atLeast"/>
              <w:ind w:left="6" w:right="28"/>
              <w:jc w:val="right"/>
              <w:rPr>
                <w:rFonts w:ascii="Arial" w:hAnsi="Arial"/>
                <w:color w:val="1C1C1C"/>
                <w:sz w:val="20"/>
                <w:szCs w:val="20"/>
              </w:rPr>
            </w:pPr>
            <w:r w:rsidRPr="00593794">
              <w:rPr>
                <w:rFonts w:ascii="Arial" w:hAnsi="Arial"/>
                <w:color w:val="1C1C1C"/>
                <w:sz w:val="20"/>
                <w:szCs w:val="20"/>
              </w:rPr>
              <w:t>0</w:t>
            </w:r>
          </w:p>
        </w:tc>
        <w:tc>
          <w:tcPr>
            <w:tcW w:w="832" w:type="pct"/>
          </w:tcPr>
          <w:p w:rsidR="00593794" w:rsidRPr="00593794" w:rsidRDefault="00593794" w:rsidP="00593794">
            <w:pPr>
              <w:keepNext/>
              <w:keepLines/>
              <w:spacing w:after="40" w:line="220" w:lineRule="atLeast"/>
              <w:ind w:left="6" w:right="28"/>
              <w:jc w:val="right"/>
              <w:rPr>
                <w:rFonts w:ascii="Arial" w:hAnsi="Arial"/>
                <w:color w:val="1C1C1C"/>
                <w:sz w:val="20"/>
                <w:szCs w:val="20"/>
              </w:rPr>
            </w:pPr>
            <w:r w:rsidRPr="00593794">
              <w:rPr>
                <w:rFonts w:ascii="Arial" w:hAnsi="Arial"/>
                <w:color w:val="1C1C1C"/>
                <w:sz w:val="20"/>
                <w:szCs w:val="20"/>
              </w:rPr>
              <w:t>2</w:t>
            </w:r>
          </w:p>
        </w:tc>
        <w:tc>
          <w:tcPr>
            <w:tcW w:w="828" w:type="pct"/>
          </w:tcPr>
          <w:p w:rsidR="00593794" w:rsidRPr="00593794" w:rsidRDefault="00593794" w:rsidP="00593794">
            <w:pPr>
              <w:keepNext/>
              <w:keepLines/>
              <w:spacing w:after="40" w:line="220" w:lineRule="atLeast"/>
              <w:ind w:left="6" w:right="28"/>
              <w:jc w:val="right"/>
              <w:rPr>
                <w:rFonts w:ascii="Arial" w:hAnsi="Arial"/>
                <w:color w:val="1C1C1C"/>
                <w:sz w:val="20"/>
                <w:szCs w:val="20"/>
              </w:rPr>
            </w:pPr>
            <w:r w:rsidRPr="00593794">
              <w:rPr>
                <w:rFonts w:ascii="Arial" w:hAnsi="Arial"/>
                <w:color w:val="1C1C1C"/>
                <w:sz w:val="20"/>
                <w:szCs w:val="20"/>
              </w:rPr>
              <w:t>31</w:t>
            </w:r>
          </w:p>
        </w:tc>
      </w:tr>
      <w:tr w:rsidR="00593794" w:rsidRPr="00593794" w:rsidTr="00750293">
        <w:trPr>
          <w:trHeight w:val="309"/>
        </w:trPr>
        <w:tc>
          <w:tcPr>
            <w:tcW w:w="839" w:type="pct"/>
            <w:tcBorders>
              <w:bottom w:val="single" w:sz="6" w:space="0" w:color="auto"/>
            </w:tcBorders>
            <w:shd w:val="clear" w:color="auto" w:fill="auto"/>
          </w:tcPr>
          <w:p w:rsidR="00593794" w:rsidRPr="00593794" w:rsidRDefault="00593794" w:rsidP="00593794">
            <w:pPr>
              <w:keepNext/>
              <w:keepLines/>
              <w:spacing w:after="80" w:line="220" w:lineRule="atLeast"/>
              <w:ind w:left="6" w:right="113"/>
              <w:rPr>
                <w:rFonts w:ascii="Arial" w:hAnsi="Arial"/>
                <w:i/>
                <w:color w:val="1C1C1C"/>
                <w:sz w:val="20"/>
                <w:szCs w:val="20"/>
              </w:rPr>
            </w:pPr>
            <w:r w:rsidRPr="00593794">
              <w:rPr>
                <w:rFonts w:ascii="Arial" w:hAnsi="Arial"/>
                <w:color w:val="1C1C1C"/>
                <w:sz w:val="20"/>
                <w:szCs w:val="20"/>
              </w:rPr>
              <w:t>Other</w:t>
            </w:r>
            <w:r w:rsidRPr="00593794">
              <w:rPr>
                <w:rFonts w:ascii="Arial" w:hAnsi="Arial"/>
                <w:b/>
                <w:color w:val="1C1C1C"/>
                <w:position w:val="6"/>
                <w:sz w:val="18"/>
                <w:szCs w:val="20"/>
              </w:rPr>
              <w:t>b</w:t>
            </w:r>
          </w:p>
        </w:tc>
        <w:tc>
          <w:tcPr>
            <w:tcW w:w="835" w:type="pct"/>
            <w:tcBorders>
              <w:bottom w:val="single" w:sz="6" w:space="0" w:color="auto"/>
            </w:tcBorders>
            <w:shd w:val="clear" w:color="auto" w:fill="auto"/>
          </w:tcPr>
          <w:p w:rsidR="00593794" w:rsidRPr="00593794" w:rsidRDefault="00593794" w:rsidP="00593794">
            <w:pPr>
              <w:keepNext/>
              <w:keepLines/>
              <w:spacing w:after="80" w:line="220" w:lineRule="atLeast"/>
              <w:ind w:left="6" w:right="113"/>
              <w:jc w:val="right"/>
              <w:rPr>
                <w:rFonts w:ascii="Arial" w:hAnsi="Arial"/>
                <w:i/>
                <w:color w:val="1C1C1C"/>
                <w:sz w:val="20"/>
                <w:szCs w:val="20"/>
              </w:rPr>
            </w:pPr>
            <w:r w:rsidRPr="00593794">
              <w:rPr>
                <w:rFonts w:ascii="Arial" w:hAnsi="Arial"/>
                <w:color w:val="1C1C1C"/>
                <w:sz w:val="20"/>
                <w:szCs w:val="20"/>
              </w:rPr>
              <w:t>526</w:t>
            </w:r>
          </w:p>
        </w:tc>
        <w:tc>
          <w:tcPr>
            <w:tcW w:w="833" w:type="pct"/>
            <w:tcBorders>
              <w:bottom w:val="single" w:sz="6" w:space="0" w:color="auto"/>
            </w:tcBorders>
            <w:shd w:val="clear" w:color="auto" w:fill="auto"/>
          </w:tcPr>
          <w:p w:rsidR="00593794" w:rsidRPr="00593794" w:rsidRDefault="00593794" w:rsidP="00593794">
            <w:pPr>
              <w:keepNext/>
              <w:keepLines/>
              <w:spacing w:after="80" w:line="220" w:lineRule="atLeast"/>
              <w:ind w:left="6" w:right="28"/>
              <w:jc w:val="right"/>
              <w:rPr>
                <w:rFonts w:ascii="Arial" w:hAnsi="Arial"/>
                <w:i/>
                <w:color w:val="1C1C1C"/>
                <w:sz w:val="20"/>
                <w:szCs w:val="20"/>
              </w:rPr>
            </w:pPr>
            <w:proofErr w:type="spellStart"/>
            <w:r w:rsidRPr="00593794">
              <w:rPr>
                <w:rFonts w:ascii="Arial" w:hAnsi="Arial"/>
                <w:color w:val="1C1C1C"/>
                <w:sz w:val="20"/>
                <w:szCs w:val="20"/>
              </w:rPr>
              <w:t>na</w:t>
            </w:r>
            <w:proofErr w:type="spellEnd"/>
          </w:p>
        </w:tc>
        <w:tc>
          <w:tcPr>
            <w:tcW w:w="833" w:type="pct"/>
            <w:tcBorders>
              <w:bottom w:val="single" w:sz="6" w:space="0" w:color="auto"/>
            </w:tcBorders>
          </w:tcPr>
          <w:p w:rsidR="00593794" w:rsidRPr="00593794" w:rsidRDefault="00593794" w:rsidP="00593794">
            <w:pPr>
              <w:keepNext/>
              <w:keepLines/>
              <w:spacing w:after="80" w:line="220" w:lineRule="atLeast"/>
              <w:ind w:left="6" w:right="28"/>
              <w:jc w:val="right"/>
              <w:rPr>
                <w:rFonts w:ascii="Arial" w:hAnsi="Arial"/>
                <w:i/>
                <w:color w:val="1C1C1C"/>
                <w:sz w:val="20"/>
                <w:szCs w:val="20"/>
              </w:rPr>
            </w:pPr>
            <w:proofErr w:type="spellStart"/>
            <w:r w:rsidRPr="00593794">
              <w:rPr>
                <w:rFonts w:ascii="Arial" w:hAnsi="Arial"/>
                <w:color w:val="1C1C1C"/>
                <w:sz w:val="20"/>
                <w:szCs w:val="20"/>
              </w:rPr>
              <w:t>na</w:t>
            </w:r>
            <w:proofErr w:type="spellEnd"/>
          </w:p>
        </w:tc>
        <w:tc>
          <w:tcPr>
            <w:tcW w:w="832" w:type="pct"/>
            <w:tcBorders>
              <w:bottom w:val="single" w:sz="6" w:space="0" w:color="auto"/>
            </w:tcBorders>
          </w:tcPr>
          <w:p w:rsidR="00593794" w:rsidRPr="00593794" w:rsidRDefault="00593794" w:rsidP="00593794">
            <w:pPr>
              <w:keepNext/>
              <w:keepLines/>
              <w:spacing w:after="80" w:line="220" w:lineRule="atLeast"/>
              <w:ind w:left="6" w:right="28"/>
              <w:jc w:val="right"/>
              <w:rPr>
                <w:rFonts w:ascii="Arial" w:hAnsi="Arial"/>
                <w:i/>
                <w:color w:val="1C1C1C"/>
                <w:sz w:val="20"/>
                <w:szCs w:val="20"/>
              </w:rPr>
            </w:pPr>
            <w:proofErr w:type="spellStart"/>
            <w:r w:rsidRPr="00593794">
              <w:rPr>
                <w:rFonts w:ascii="Arial" w:hAnsi="Arial"/>
                <w:color w:val="1C1C1C"/>
                <w:sz w:val="20"/>
                <w:szCs w:val="20"/>
              </w:rPr>
              <w:t>na</w:t>
            </w:r>
            <w:proofErr w:type="spellEnd"/>
          </w:p>
        </w:tc>
        <w:tc>
          <w:tcPr>
            <w:tcW w:w="828" w:type="pct"/>
            <w:tcBorders>
              <w:bottom w:val="single" w:sz="6" w:space="0" w:color="auto"/>
            </w:tcBorders>
          </w:tcPr>
          <w:p w:rsidR="00593794" w:rsidRPr="00593794" w:rsidRDefault="00593794" w:rsidP="00593794">
            <w:pPr>
              <w:keepNext/>
              <w:keepLines/>
              <w:spacing w:after="80" w:line="220" w:lineRule="atLeast"/>
              <w:ind w:left="6" w:right="28"/>
              <w:jc w:val="right"/>
              <w:rPr>
                <w:rFonts w:ascii="Arial" w:hAnsi="Arial"/>
                <w:color w:val="1C1C1C"/>
                <w:sz w:val="20"/>
                <w:szCs w:val="20"/>
              </w:rPr>
            </w:pPr>
            <w:proofErr w:type="spellStart"/>
            <w:r w:rsidRPr="00593794">
              <w:rPr>
                <w:rFonts w:ascii="Arial" w:hAnsi="Arial"/>
                <w:color w:val="1C1C1C"/>
                <w:sz w:val="20"/>
                <w:szCs w:val="20"/>
              </w:rPr>
              <w:t>na</w:t>
            </w:r>
            <w:proofErr w:type="spellEnd"/>
          </w:p>
        </w:tc>
      </w:tr>
    </w:tbl>
    <w:p w:rsidR="00593794" w:rsidRPr="00593794" w:rsidRDefault="00593794" w:rsidP="00593794">
      <w:pPr>
        <w:keepLines/>
        <w:spacing w:before="80" w:after="120" w:line="220" w:lineRule="exact"/>
        <w:jc w:val="both"/>
        <w:rPr>
          <w:rFonts w:ascii="Arial" w:hAnsi="Arial"/>
          <w:i/>
          <w:color w:val="1C1C1C"/>
          <w:sz w:val="18"/>
          <w:szCs w:val="20"/>
        </w:rPr>
      </w:pPr>
      <w:proofErr w:type="spellStart"/>
      <w:r w:rsidRPr="00593794">
        <w:rPr>
          <w:rFonts w:ascii="Arial" w:hAnsi="Arial"/>
          <w:b/>
          <w:color w:val="1C1C1C"/>
          <w:position w:val="6"/>
          <w:sz w:val="18"/>
          <w:szCs w:val="20"/>
        </w:rPr>
        <w:t>a</w:t>
      </w:r>
      <w:proofErr w:type="spellEnd"/>
      <w:r w:rsidRPr="00593794">
        <w:rPr>
          <w:rFonts w:ascii="Arial" w:hAnsi="Arial"/>
          <w:color w:val="1C1C1C"/>
          <w:sz w:val="18"/>
          <w:szCs w:val="20"/>
        </w:rPr>
        <w:t xml:space="preserve"> For the period 26 August 2002 to 25 August 2008. </w:t>
      </w:r>
      <w:r w:rsidRPr="00593794">
        <w:rPr>
          <w:rFonts w:ascii="Arial" w:hAnsi="Arial"/>
          <w:b/>
          <w:color w:val="1C1C1C"/>
          <w:position w:val="6"/>
          <w:sz w:val="18"/>
          <w:szCs w:val="20"/>
        </w:rPr>
        <w:t>b </w:t>
      </w:r>
      <w:r w:rsidRPr="00593794">
        <w:rPr>
          <w:rFonts w:ascii="Arial" w:hAnsi="Arial"/>
          <w:sz w:val="18"/>
          <w:szCs w:val="20"/>
        </w:rPr>
        <w:t xml:space="preserve">526 applications were processed, but involved exemptions, variations to existing consents, consent if proceeds, no consent required or were applications that were either withdrawn by the applicant or lapsed. </w:t>
      </w:r>
      <w:proofErr w:type="spellStart"/>
      <w:r w:rsidRPr="00593794">
        <w:rPr>
          <w:rFonts w:ascii="Arial" w:hAnsi="Arial"/>
          <w:b/>
          <w:color w:val="1C1C1C"/>
          <w:sz w:val="18"/>
          <w:szCs w:val="20"/>
        </w:rPr>
        <w:t>na</w:t>
      </w:r>
      <w:proofErr w:type="spellEnd"/>
      <w:r w:rsidRPr="00593794">
        <w:rPr>
          <w:rFonts w:ascii="Arial" w:hAnsi="Arial"/>
          <w:sz w:val="18"/>
          <w:szCs w:val="20"/>
        </w:rPr>
        <w:t> Data not available.</w:t>
      </w:r>
    </w:p>
    <w:p w:rsidR="00593794" w:rsidRPr="00593794" w:rsidRDefault="00593794" w:rsidP="00593794">
      <w:pPr>
        <w:keepLines/>
        <w:spacing w:before="80" w:after="120" w:line="220" w:lineRule="exact"/>
        <w:jc w:val="both"/>
        <w:rPr>
          <w:rFonts w:ascii="Arial" w:hAnsi="Arial"/>
          <w:color w:val="1C1C1C"/>
          <w:sz w:val="18"/>
          <w:szCs w:val="20"/>
        </w:rPr>
      </w:pPr>
      <w:r w:rsidRPr="00593794">
        <w:rPr>
          <w:rFonts w:ascii="Arial" w:hAnsi="Arial"/>
          <w:color w:val="1C1C1C"/>
          <w:sz w:val="18"/>
          <w:szCs w:val="20"/>
        </w:rPr>
        <w:t>Source: New Zealand Treasury (</w:t>
      </w:r>
      <w:proofErr w:type="spellStart"/>
      <w:r w:rsidRPr="00593794">
        <w:rPr>
          <w:rFonts w:ascii="Arial" w:hAnsi="Arial"/>
          <w:color w:val="1C1C1C"/>
          <w:sz w:val="18"/>
          <w:szCs w:val="20"/>
        </w:rPr>
        <w:t>2009b</w:t>
      </w:r>
      <w:proofErr w:type="spellEnd"/>
      <w:r w:rsidRPr="00593794">
        <w:rPr>
          <w:rFonts w:ascii="Arial" w:hAnsi="Arial"/>
          <w:color w:val="1C1C1C"/>
          <w:sz w:val="18"/>
          <w:szCs w:val="20"/>
        </w:rPr>
        <w:t>).</w:t>
      </w:r>
    </w:p>
    <w:p w:rsidR="00022537" w:rsidRPr="00D544D4" w:rsidRDefault="00FB595A" w:rsidP="00242DA4">
      <w:pPr>
        <w:pStyle w:val="BodyText"/>
      </w:pPr>
      <w:r w:rsidRPr="00D544D4">
        <w:t>On the face of it, th</w:t>
      </w:r>
      <w:r w:rsidR="0087682A" w:rsidRPr="00D544D4">
        <w:t xml:space="preserve">ese data </w:t>
      </w:r>
      <w:r w:rsidRPr="00D544D4">
        <w:t xml:space="preserve">suggest that the </w:t>
      </w:r>
      <w:proofErr w:type="spellStart"/>
      <w:r w:rsidR="0087682A" w:rsidRPr="00D544D4">
        <w:t>FDI</w:t>
      </w:r>
      <w:proofErr w:type="spellEnd"/>
      <w:r w:rsidR="0087682A" w:rsidRPr="00D544D4">
        <w:t xml:space="preserve"> </w:t>
      </w:r>
      <w:r w:rsidRPr="00D544D4">
        <w:t xml:space="preserve">regimes </w:t>
      </w:r>
      <w:r w:rsidR="00C87461" w:rsidRPr="00D544D4">
        <w:t xml:space="preserve">in both countries </w:t>
      </w:r>
      <w:r w:rsidRPr="00D544D4">
        <w:t>ar</w:t>
      </w:r>
      <w:r w:rsidR="0087682A" w:rsidRPr="00D544D4">
        <w:t xml:space="preserve">e not particularly restrictive. </w:t>
      </w:r>
      <w:r w:rsidR="00B44B2D" w:rsidRPr="00D544D4">
        <w:t xml:space="preserve">However, this </w:t>
      </w:r>
      <w:r w:rsidR="00BB0DED" w:rsidRPr="00D544D4">
        <w:t>may be</w:t>
      </w:r>
      <w:r w:rsidR="00B44B2D" w:rsidRPr="00D544D4">
        <w:t xml:space="preserve"> misleading for </w:t>
      </w:r>
      <w:r w:rsidR="00E10618" w:rsidRPr="00D544D4">
        <w:t xml:space="preserve">several </w:t>
      </w:r>
      <w:r w:rsidR="00B44B2D" w:rsidRPr="00D544D4">
        <w:t>reasons.</w:t>
      </w:r>
    </w:p>
    <w:p w:rsidR="00B44B2D" w:rsidRPr="00D544D4" w:rsidRDefault="00D12C2E" w:rsidP="00242DA4">
      <w:pPr>
        <w:pStyle w:val="BodyText"/>
      </w:pPr>
      <w:r w:rsidRPr="00D544D4">
        <w:t>First, t</w:t>
      </w:r>
      <w:r w:rsidR="00C87461" w:rsidRPr="00D544D4">
        <w:t xml:space="preserve">he </w:t>
      </w:r>
      <w:r w:rsidR="00E03852" w:rsidRPr="00D544D4">
        <w:t>data do not show the number of foreign investment proposals not ma</w:t>
      </w:r>
      <w:r w:rsidR="00022537" w:rsidRPr="00D544D4">
        <w:t xml:space="preserve">de </w:t>
      </w:r>
      <w:r w:rsidR="00B44B2D" w:rsidRPr="00D544D4">
        <w:t xml:space="preserve">because of the </w:t>
      </w:r>
      <w:r w:rsidR="00A536B3">
        <w:t>presence</w:t>
      </w:r>
      <w:r w:rsidR="008D738C">
        <w:t xml:space="preserve"> of the screening regimes.</w:t>
      </w:r>
    </w:p>
    <w:p w:rsidR="00B44B2D" w:rsidRPr="00D544D4" w:rsidRDefault="00B44B2D" w:rsidP="00242DA4">
      <w:pPr>
        <w:pStyle w:val="BodyText"/>
      </w:pPr>
      <w:r w:rsidRPr="00D544D4">
        <w:t xml:space="preserve">Second, the data do not show applications modified before submission to improve the chances of approval. </w:t>
      </w:r>
      <w:r w:rsidR="009E7811">
        <w:t>Such modifications are</w:t>
      </w:r>
      <w:r w:rsidRPr="00D544D4">
        <w:t xml:space="preserve"> a cost to the applicant. </w:t>
      </w:r>
      <w:r w:rsidR="009E7811">
        <w:t>They</w:t>
      </w:r>
      <w:r w:rsidRPr="00D544D4">
        <w:t xml:space="preserve"> may also impose costs on the host economies should the modified investment project offer lower benefits than the original</w:t>
      </w:r>
      <w:r w:rsidR="00CD3670" w:rsidRPr="00D544D4">
        <w:t xml:space="preserve"> proposal.</w:t>
      </w:r>
    </w:p>
    <w:p w:rsidR="00750293" w:rsidRPr="00750293" w:rsidRDefault="00B44B2D" w:rsidP="00750293">
      <w:pPr>
        <w:pStyle w:val="BodyText"/>
      </w:pPr>
      <w:r w:rsidRPr="00D544D4">
        <w:t>Thir</w:t>
      </w:r>
      <w:r w:rsidR="00E03852" w:rsidRPr="00D544D4">
        <w:t>d</w:t>
      </w:r>
      <w:r w:rsidR="00D12C2E" w:rsidRPr="00D544D4">
        <w:t>,</w:t>
      </w:r>
      <w:r w:rsidR="001563F8" w:rsidRPr="00D544D4">
        <w:t xml:space="preserve"> applications can be made</w:t>
      </w:r>
      <w:r w:rsidR="00A536B3">
        <w:t xml:space="preserve"> and</w:t>
      </w:r>
      <w:r w:rsidR="001563F8" w:rsidRPr="00D544D4">
        <w:t xml:space="preserve"> then withdrawn before being assessed. For example, in Australia in 2010</w:t>
      </w:r>
      <w:r w:rsidR="00CD3670" w:rsidRPr="00D544D4">
        <w:t>-</w:t>
      </w:r>
      <w:r w:rsidR="001563F8" w:rsidRPr="00D544D4">
        <w:t xml:space="preserve">11, </w:t>
      </w:r>
      <w:r w:rsidR="00944BA4" w:rsidRPr="00D544D4">
        <w:t>390 application</w:t>
      </w:r>
      <w:r w:rsidRPr="00D544D4">
        <w:t>s</w:t>
      </w:r>
      <w:r w:rsidR="00944BA4" w:rsidRPr="00D544D4">
        <w:t xml:space="preserve"> (around 3.6</w:t>
      </w:r>
      <w:r w:rsidR="003704E5" w:rsidRPr="00D544D4">
        <w:t> </w:t>
      </w:r>
      <w:proofErr w:type="spellStart"/>
      <w:r w:rsidR="003704E5" w:rsidRPr="00D544D4">
        <w:t>percent</w:t>
      </w:r>
      <w:proofErr w:type="spellEnd"/>
      <w:r w:rsidR="001563F8" w:rsidRPr="00D544D4">
        <w:t xml:space="preserve"> of all applications) were withdrawn before a final assessment was made — 128 of these were business applications representing</w:t>
      </w:r>
      <w:r w:rsidR="00944BA4" w:rsidRPr="00D544D4">
        <w:t xml:space="preserve"> around 20</w:t>
      </w:r>
      <w:r w:rsidR="003704E5" w:rsidRPr="00D544D4">
        <w:t> </w:t>
      </w:r>
      <w:proofErr w:type="spellStart"/>
      <w:r w:rsidR="003704E5" w:rsidRPr="00D544D4">
        <w:t>percent</w:t>
      </w:r>
      <w:proofErr w:type="spellEnd"/>
      <w:r w:rsidR="001563F8" w:rsidRPr="00D544D4">
        <w:t xml:space="preserve"> of all business applications made </w:t>
      </w:r>
      <w:r w:rsidR="00E10618" w:rsidRPr="00D544D4">
        <w:t xml:space="preserve">in </w:t>
      </w:r>
      <w:r w:rsidR="001563F8" w:rsidRPr="00D544D4">
        <w:t>that year</w:t>
      </w:r>
      <w:r w:rsidR="00DF3105" w:rsidRPr="00D544D4">
        <w:t xml:space="preserve"> (table </w:t>
      </w:r>
      <w:proofErr w:type="spellStart"/>
      <w:r w:rsidR="00DF3105" w:rsidRPr="00D544D4">
        <w:t>C.3</w:t>
      </w:r>
      <w:proofErr w:type="spellEnd"/>
      <w:r w:rsidR="00DF3105" w:rsidRPr="00D544D4">
        <w:t>)</w:t>
      </w:r>
      <w:r w:rsidR="001563F8" w:rsidRPr="00D544D4">
        <w:t xml:space="preserve">. </w:t>
      </w:r>
      <w:r w:rsidR="00750293" w:rsidRPr="00750293">
        <w:t xml:space="preserve">In New Zealand, 136 of the 526 applications in the ‘other’ category in table </w:t>
      </w:r>
      <w:proofErr w:type="spellStart"/>
      <w:r w:rsidR="00750293" w:rsidRPr="00750293">
        <w:t>C.5</w:t>
      </w:r>
      <w:proofErr w:type="spellEnd"/>
      <w:r w:rsidR="00750293" w:rsidRPr="00750293">
        <w:t xml:space="preserve"> (8.5 </w:t>
      </w:r>
      <w:proofErr w:type="spellStart"/>
      <w:r w:rsidR="00750293" w:rsidRPr="00750293">
        <w:t>percent</w:t>
      </w:r>
      <w:proofErr w:type="spellEnd"/>
      <w:r w:rsidR="00750293" w:rsidRPr="00750293">
        <w:t xml:space="preserve"> of all applications) were voluntarily withdrawn by applicants or lapsed by the Regulator due to the a</w:t>
      </w:r>
      <w:r w:rsidR="0078011A">
        <w:t>pplicant failing to provide the</w:t>
      </w:r>
      <w:r w:rsidR="00750293" w:rsidRPr="00750293">
        <w:t xml:space="preserve"> information necessary to make a final assessment (Overseas Investment Office, pers. comm.).</w:t>
      </w:r>
    </w:p>
    <w:p w:rsidR="00B456AC" w:rsidRPr="00D544D4" w:rsidRDefault="00B44B2D" w:rsidP="00242DA4">
      <w:pPr>
        <w:pStyle w:val="BodyText"/>
      </w:pPr>
      <w:r w:rsidRPr="00D544D4">
        <w:lastRenderedPageBreak/>
        <w:t>Fourth</w:t>
      </w:r>
      <w:r w:rsidR="001563F8" w:rsidRPr="00D544D4">
        <w:t>,</w:t>
      </w:r>
      <w:r w:rsidR="00D12C2E" w:rsidRPr="00D544D4">
        <w:t xml:space="preserve"> i</w:t>
      </w:r>
      <w:r w:rsidR="00C87461" w:rsidRPr="00D544D4">
        <w:t xml:space="preserve">nvestment proposals may be </w:t>
      </w:r>
      <w:r w:rsidR="00D12C2E" w:rsidRPr="00D544D4">
        <w:t>approved subject to conditions (</w:t>
      </w:r>
      <w:r w:rsidR="001563F8" w:rsidRPr="00D544D4">
        <w:t>imposing</w:t>
      </w:r>
      <w:r w:rsidR="0087682A" w:rsidRPr="00D544D4">
        <w:t xml:space="preserve"> costs </w:t>
      </w:r>
      <w:r w:rsidR="001563F8" w:rsidRPr="00D544D4">
        <w:t>on the investor or reducing the benefits of the investment</w:t>
      </w:r>
      <w:r w:rsidR="00D12C2E" w:rsidRPr="00D544D4">
        <w:t xml:space="preserve">). </w:t>
      </w:r>
      <w:r w:rsidR="000020EA" w:rsidRPr="00D544D4">
        <w:t>For example, i</w:t>
      </w:r>
      <w:r w:rsidR="00C87461" w:rsidRPr="00D544D4">
        <w:t>n Australia</w:t>
      </w:r>
      <w:r w:rsidR="00D12C2E" w:rsidRPr="00D544D4">
        <w:t xml:space="preserve"> in 2010</w:t>
      </w:r>
      <w:r w:rsidR="001B2416" w:rsidRPr="00D544D4">
        <w:t>-</w:t>
      </w:r>
      <w:r w:rsidR="00D12C2E" w:rsidRPr="00D544D4">
        <w:t>11, jus</w:t>
      </w:r>
      <w:r w:rsidR="001B2416" w:rsidRPr="00D544D4">
        <w:t>t over half of</w:t>
      </w:r>
      <w:r w:rsidR="00D12C2E" w:rsidRPr="00D544D4">
        <w:t xml:space="preserve"> all applications </w:t>
      </w:r>
      <w:r w:rsidR="00940929" w:rsidRPr="00D544D4">
        <w:t xml:space="preserve">made </w:t>
      </w:r>
      <w:r w:rsidR="005C7B97" w:rsidRPr="00D544D4">
        <w:t xml:space="preserve">were </w:t>
      </w:r>
      <w:r w:rsidR="00E03852" w:rsidRPr="00D544D4">
        <w:t xml:space="preserve">approved </w:t>
      </w:r>
      <w:r w:rsidR="00D12C2E" w:rsidRPr="00D544D4">
        <w:t>subject to conditions</w:t>
      </w:r>
      <w:r w:rsidR="00843192" w:rsidRPr="00D544D4">
        <w:t xml:space="preserve"> (table </w:t>
      </w:r>
      <w:proofErr w:type="spellStart"/>
      <w:r w:rsidR="00843192" w:rsidRPr="00D544D4">
        <w:t>C</w:t>
      </w:r>
      <w:r w:rsidR="006F4CE9" w:rsidRPr="00D544D4">
        <w:t>.3</w:t>
      </w:r>
      <w:proofErr w:type="spellEnd"/>
      <w:r w:rsidR="006F4CE9" w:rsidRPr="00D544D4">
        <w:t>)</w:t>
      </w:r>
      <w:r w:rsidR="00A6025B" w:rsidRPr="00D544D4">
        <w:t>.</w:t>
      </w:r>
    </w:p>
    <w:p w:rsidR="00D77127" w:rsidRDefault="00236822" w:rsidP="00D77127">
      <w:pPr>
        <w:pStyle w:val="BodyText"/>
      </w:pPr>
      <w:r>
        <w:t xml:space="preserve">Some literature argues that screening tests can restrict </w:t>
      </w:r>
      <w:proofErr w:type="spellStart"/>
      <w:r>
        <w:t>FDI</w:t>
      </w:r>
      <w:proofErr w:type="spellEnd"/>
      <w:r>
        <w:t xml:space="preserve"> by </w:t>
      </w:r>
      <w:r w:rsidR="000B3E5B">
        <w:t xml:space="preserve">imposing costs and </w:t>
      </w:r>
      <w:r>
        <w:t>increa</w:t>
      </w:r>
      <w:r w:rsidR="0009567D">
        <w:t>sing uncertainty for investors</w:t>
      </w:r>
      <w:r w:rsidR="0078011A">
        <w:t>. I</w:t>
      </w:r>
      <w:r w:rsidR="009363A0">
        <w:t>n a 2008 review of Australia’s foreign investment regime</w:t>
      </w:r>
      <w:r w:rsidR="0078011A">
        <w:t>, economic consultancy ITS Global</w:t>
      </w:r>
      <w:r w:rsidR="009363A0">
        <w:t xml:space="preserve"> </w:t>
      </w:r>
      <w:r>
        <w:t>argue</w:t>
      </w:r>
      <w:r w:rsidR="009363A0">
        <w:t>d</w:t>
      </w:r>
      <w:r>
        <w:t xml:space="preserve"> that </w:t>
      </w:r>
      <w:r w:rsidR="00D77127">
        <w:t xml:space="preserve">foreign investors faced </w:t>
      </w:r>
      <w:r w:rsidR="009363A0">
        <w:t xml:space="preserve">significant uncertainty </w:t>
      </w:r>
      <w:r w:rsidR="009363A0" w:rsidRPr="009363A0">
        <w:t xml:space="preserve">due to the ambiguity </w:t>
      </w:r>
      <w:r w:rsidR="00D77127">
        <w:t>around</w:t>
      </w:r>
      <w:r w:rsidR="009363A0" w:rsidRPr="009363A0">
        <w:t xml:space="preserve"> the definition of the Australian </w:t>
      </w:r>
      <w:r w:rsidR="0011039D">
        <w:t>‘</w:t>
      </w:r>
      <w:r w:rsidR="009363A0" w:rsidRPr="009363A0">
        <w:t>national interest</w:t>
      </w:r>
      <w:r w:rsidR="0011039D">
        <w:t>’</w:t>
      </w:r>
      <w:r w:rsidR="00D77127">
        <w:t xml:space="preserve"> (ITS Global 2008). The review</w:t>
      </w:r>
      <w:r w:rsidR="009363A0">
        <w:t xml:space="preserve"> </w:t>
      </w:r>
      <w:r w:rsidR="00D77127">
        <w:t>noted</w:t>
      </w:r>
      <w:r w:rsidR="009363A0">
        <w:t xml:space="preserve"> that</w:t>
      </w:r>
      <w:r w:rsidR="00D77127">
        <w:t xml:space="preserve"> the </w:t>
      </w:r>
      <w:r w:rsidR="00D77127" w:rsidRPr="00D77127">
        <w:rPr>
          <w:i/>
        </w:rPr>
        <w:t>Foreign Acquisitions and Takeovers Act 1975</w:t>
      </w:r>
      <w:r w:rsidR="00D77127">
        <w:t xml:space="preserve"> (</w:t>
      </w:r>
      <w:proofErr w:type="spellStart"/>
      <w:r w:rsidR="00D77127">
        <w:t>Cwlth</w:t>
      </w:r>
      <w:proofErr w:type="spellEnd"/>
      <w:r w:rsidR="00D77127">
        <w:t xml:space="preserve">) does not define the national interest and </w:t>
      </w:r>
      <w:r w:rsidR="00D77127" w:rsidRPr="00D77127">
        <w:t xml:space="preserve">the Australian Government’s Foreign Investment Policy </w:t>
      </w:r>
      <w:r w:rsidR="00D77127">
        <w:t xml:space="preserve">merely states that the Government determines what is contrary to the national interest by ‘having regard to the widely held community concerns of Australians’. ITS Global argued that the legislative intent seemed to </w:t>
      </w:r>
      <w:r w:rsidR="00B456AC">
        <w:t>be</w:t>
      </w:r>
      <w:r w:rsidR="00D77127">
        <w:t xml:space="preserve"> to leave considerable discretion </w:t>
      </w:r>
      <w:r w:rsidR="00B456AC">
        <w:t>with</w:t>
      </w:r>
      <w:r w:rsidR="00D77127">
        <w:t xml:space="preserve"> the Government</w:t>
      </w:r>
      <w:r w:rsidR="00B456AC">
        <w:t>.</w:t>
      </w:r>
    </w:p>
    <w:p w:rsidR="00071299" w:rsidRDefault="00D240C4" w:rsidP="00D240C4">
      <w:pPr>
        <w:pStyle w:val="BodyText"/>
      </w:pPr>
      <w:r w:rsidRPr="00D544D4">
        <w:t xml:space="preserve">Analysts have </w:t>
      </w:r>
      <w:r w:rsidR="00A470B2" w:rsidRPr="00D544D4">
        <w:t xml:space="preserve">also </w:t>
      </w:r>
      <w:r w:rsidRPr="00D544D4">
        <w:t>argued that the New Zealand screening regime</w:t>
      </w:r>
      <w:r w:rsidR="00C0626E" w:rsidRPr="00D544D4">
        <w:t xml:space="preserve"> </w:t>
      </w:r>
      <w:r w:rsidRPr="00D544D4">
        <w:t>creates unnecessary uncertainty for overseas investors and that there is potential for improvements, including by adopting elements of Australia’s approach</w:t>
      </w:r>
      <w:r w:rsidR="0043673D" w:rsidRPr="00D544D4">
        <w:t xml:space="preserve"> (such as greater specificity in the criteria and limits that apply)</w:t>
      </w:r>
      <w:r w:rsidRPr="00D544D4">
        <w:t>.</w:t>
      </w:r>
      <w:r w:rsidR="00C0626E" w:rsidRPr="00D544D4">
        <w:t xml:space="preserve"> </w:t>
      </w:r>
    </w:p>
    <w:p w:rsidR="000A2F33" w:rsidRPr="000A2F33" w:rsidRDefault="00E10618" w:rsidP="00D240C4">
      <w:pPr>
        <w:pStyle w:val="BodyText"/>
      </w:pPr>
      <w:r w:rsidRPr="00D544D4">
        <w:t xml:space="preserve">For example, </w:t>
      </w:r>
      <w:r w:rsidR="00D240C4" w:rsidRPr="00D544D4">
        <w:t>Heatley and Howell (2010) draw attention to uncertainty associated with the New Zealand screening regime</w:t>
      </w:r>
      <w:r w:rsidR="00DA6E05" w:rsidRPr="00D544D4">
        <w:t>, most of which relates to the treatment of ‘sensitive</w:t>
      </w:r>
      <w:r w:rsidR="00AE0587" w:rsidRPr="00D544D4">
        <w:t>’</w:t>
      </w:r>
      <w:r w:rsidR="00DA6E05" w:rsidRPr="00D544D4">
        <w:t xml:space="preserve"> land</w:t>
      </w:r>
      <w:r w:rsidR="00D240C4" w:rsidRPr="00D544D4">
        <w:t>.</w:t>
      </w:r>
      <w:r w:rsidR="00071299">
        <w:t xml:space="preserve"> </w:t>
      </w:r>
      <w:r w:rsidR="00C0626E" w:rsidRPr="00D544D4">
        <w:t>The authors argue that u</w:t>
      </w:r>
      <w:r w:rsidR="00D240C4" w:rsidRPr="00D544D4">
        <w:t xml:space="preserve">ncertainty for investors is high because the </w:t>
      </w:r>
      <w:r w:rsidR="00D240C4" w:rsidRPr="00D544D4">
        <w:rPr>
          <w:i/>
        </w:rPr>
        <w:t>Overseas Investment Act 2005</w:t>
      </w:r>
      <w:r w:rsidR="00D240C4" w:rsidRPr="00D544D4">
        <w:t xml:space="preserve"> allows decision makers full discretion to weight the factors specified in the Act. Further</w:t>
      </w:r>
      <w:r w:rsidR="009D2EF1" w:rsidRPr="00D544D4">
        <w:t>,</w:t>
      </w:r>
      <w:r w:rsidR="00D240C4" w:rsidRPr="00D544D4">
        <w:t xml:space="preserve"> uncertainty arises because key terms </w:t>
      </w:r>
      <w:r w:rsidR="00071299">
        <w:t>such as</w:t>
      </w:r>
      <w:r w:rsidR="00D240C4" w:rsidRPr="00D544D4">
        <w:t xml:space="preserve"> ‘strategically important infrastructur</w:t>
      </w:r>
      <w:r w:rsidR="0011039D" w:rsidRPr="00D544D4">
        <w:t>e’ are not defined in the Act. As a result, t</w:t>
      </w:r>
      <w:r w:rsidR="00D240C4" w:rsidRPr="00D544D4">
        <w:t xml:space="preserve">he outcome of past applications </w:t>
      </w:r>
      <w:r w:rsidR="00A470B2" w:rsidRPr="00D544D4">
        <w:t xml:space="preserve">may be </w:t>
      </w:r>
      <w:r w:rsidR="00D240C4" w:rsidRPr="00D544D4">
        <w:t xml:space="preserve">a poor guide to </w:t>
      </w:r>
      <w:r w:rsidR="00C0626E" w:rsidRPr="00D544D4">
        <w:t xml:space="preserve">the </w:t>
      </w:r>
      <w:r w:rsidR="00D240C4" w:rsidRPr="00D544D4">
        <w:t xml:space="preserve">outcome of </w:t>
      </w:r>
      <w:r w:rsidR="0011039D" w:rsidRPr="00D544D4">
        <w:t>future</w:t>
      </w:r>
      <w:r w:rsidR="00D240C4" w:rsidRPr="00D544D4">
        <w:t xml:space="preserve"> applications. The resulting uncertainty discourages applications and increases the cost of application</w:t>
      </w:r>
      <w:r w:rsidR="009D2EF1" w:rsidRPr="00D544D4">
        <w:t>s</w:t>
      </w:r>
      <w:r w:rsidR="00D240C4" w:rsidRPr="00D544D4">
        <w:t>. It may a</w:t>
      </w:r>
      <w:r w:rsidR="001B2416" w:rsidRPr="00D544D4">
        <w:t>lso make applicants risk averse —</w:t>
      </w:r>
      <w:r w:rsidR="00D240C4" w:rsidRPr="00D544D4">
        <w:t xml:space="preserve"> encouraging them to pursue projects with lower overall benefits than they would otherwise.</w:t>
      </w:r>
      <w:r w:rsidR="002D7D7B">
        <w:rPr>
          <w:color w:val="FF0000"/>
        </w:rPr>
        <w:t xml:space="preserve"> </w:t>
      </w:r>
      <w:r w:rsidR="000A2F33" w:rsidRPr="00D544D4">
        <w:t xml:space="preserve">Possible improvements </w:t>
      </w:r>
      <w:r w:rsidR="000A2F33" w:rsidRPr="00C0626E">
        <w:t xml:space="preserve">to the regime </w:t>
      </w:r>
      <w:r w:rsidR="000A2F33">
        <w:t xml:space="preserve">have been suggested, including </w:t>
      </w:r>
      <w:r w:rsidR="000A2F33" w:rsidRPr="00C0626E">
        <w:t>the use of a cost</w:t>
      </w:r>
      <w:r w:rsidR="000A2F33">
        <w:t>–</w:t>
      </w:r>
      <w:r w:rsidR="000A2F33" w:rsidRPr="00C0626E">
        <w:t>benefit assessment framework which would remove the discretionary weighting of factors and allow the consideration of other costs and benefits relevant to the national interest (Heatley and Howell 2010).</w:t>
      </w:r>
    </w:p>
    <w:p w:rsidR="003C095B" w:rsidRPr="00D544D4" w:rsidRDefault="00F04AE3" w:rsidP="003C095B">
      <w:pPr>
        <w:pStyle w:val="BodyText"/>
      </w:pPr>
      <w:r w:rsidRPr="00D544D4">
        <w:t xml:space="preserve">A 2009 New Zealand Treasury review of </w:t>
      </w:r>
      <w:r w:rsidR="00F4011F" w:rsidRPr="00D544D4">
        <w:t xml:space="preserve">the </w:t>
      </w:r>
      <w:r w:rsidR="00D05F29" w:rsidRPr="00D544D4">
        <w:t xml:space="preserve">country’s </w:t>
      </w:r>
      <w:proofErr w:type="spellStart"/>
      <w:r w:rsidR="0011039D" w:rsidRPr="00D544D4">
        <w:t>FDI</w:t>
      </w:r>
      <w:proofErr w:type="spellEnd"/>
      <w:r w:rsidR="0011039D" w:rsidRPr="00D544D4">
        <w:t xml:space="preserve"> </w:t>
      </w:r>
      <w:r w:rsidR="00F4011F" w:rsidRPr="00D544D4">
        <w:t xml:space="preserve">screening regime </w:t>
      </w:r>
      <w:r w:rsidR="003C095B" w:rsidRPr="00D544D4">
        <w:t>found</w:t>
      </w:r>
      <w:r w:rsidR="00D05F29" w:rsidRPr="00D544D4">
        <w:t xml:space="preserve"> that </w:t>
      </w:r>
      <w:r w:rsidR="002D7D7B" w:rsidRPr="00D544D4">
        <w:t>it</w:t>
      </w:r>
      <w:r w:rsidR="009B64A1" w:rsidRPr="00D544D4">
        <w:t xml:space="preserve"> </w:t>
      </w:r>
      <w:r w:rsidR="00F4011F" w:rsidRPr="00D544D4">
        <w:t xml:space="preserve">was likely to be deterring </w:t>
      </w:r>
      <w:r w:rsidR="002D7D7B" w:rsidRPr="00D544D4">
        <w:t xml:space="preserve">foreign </w:t>
      </w:r>
      <w:r w:rsidR="00F4011F" w:rsidRPr="00D544D4">
        <w:t>investment</w:t>
      </w:r>
      <w:r w:rsidR="003B41D6" w:rsidRPr="00D544D4">
        <w:t xml:space="preserve">. </w:t>
      </w:r>
      <w:r w:rsidR="002D7D7B" w:rsidRPr="00D544D4">
        <w:t>T</w:t>
      </w:r>
      <w:r w:rsidR="00911545" w:rsidRPr="00D544D4">
        <w:t>he</w:t>
      </w:r>
      <w:r w:rsidR="003B41D6" w:rsidRPr="00D544D4">
        <w:t xml:space="preserve"> </w:t>
      </w:r>
      <w:r w:rsidR="00911545" w:rsidRPr="00D544D4">
        <w:t>report stated</w:t>
      </w:r>
      <w:r w:rsidR="003C095B" w:rsidRPr="00D544D4">
        <w:t>:</w:t>
      </w:r>
    </w:p>
    <w:p w:rsidR="003C095B" w:rsidRPr="003C095B" w:rsidRDefault="003C095B" w:rsidP="003C095B">
      <w:pPr>
        <w:pStyle w:val="Quote"/>
      </w:pPr>
      <w:r w:rsidRPr="00C01431">
        <w:t>There are a</w:t>
      </w:r>
      <w:r>
        <w:t xml:space="preserve"> </w:t>
      </w:r>
      <w:r w:rsidRPr="00C01431">
        <w:t>number of examples of investors who have been frustrated by the complexity of</w:t>
      </w:r>
      <w:r>
        <w:t xml:space="preserve"> </w:t>
      </w:r>
      <w:r w:rsidRPr="00C01431">
        <w:t xml:space="preserve">the regime and the </w:t>
      </w:r>
      <w:r>
        <w:t>‘</w:t>
      </w:r>
      <w:r w:rsidRPr="00C01431">
        <w:t>draconian</w:t>
      </w:r>
      <w:r>
        <w:t>’</w:t>
      </w:r>
      <w:r w:rsidRPr="00C01431">
        <w:t xml:space="preserve"> requirements it imposes. In some cases</w:t>
      </w:r>
      <w:r>
        <w:t xml:space="preserve"> </w:t>
      </w:r>
      <w:r w:rsidRPr="00C01431">
        <w:t>experience with the screening regime is completely deterring investors from</w:t>
      </w:r>
      <w:r>
        <w:t xml:space="preserve"> </w:t>
      </w:r>
      <w:r w:rsidRPr="00C01431">
        <w:t xml:space="preserve">investing </w:t>
      </w:r>
      <w:r w:rsidRPr="00C01431">
        <w:lastRenderedPageBreak/>
        <w:t>in New Zealand, and some are even actively discouraging other</w:t>
      </w:r>
      <w:r>
        <w:t xml:space="preserve"> </w:t>
      </w:r>
      <w:r w:rsidRPr="00C01431">
        <w:t>investors from considering investing in New Zealand.</w:t>
      </w:r>
      <w:r>
        <w:t xml:space="preserve"> (</w:t>
      </w:r>
      <w:r w:rsidR="00376038" w:rsidRPr="00376038">
        <w:t xml:space="preserve">New Zealand Treasury </w:t>
      </w:r>
      <w:proofErr w:type="spellStart"/>
      <w:r>
        <w:t>2009b</w:t>
      </w:r>
      <w:proofErr w:type="spellEnd"/>
      <w:r>
        <w:t xml:space="preserve">, </w:t>
      </w:r>
      <w:proofErr w:type="spellStart"/>
      <w:r>
        <w:t>p.25</w:t>
      </w:r>
      <w:proofErr w:type="spellEnd"/>
      <w:r>
        <w:t>)</w:t>
      </w:r>
    </w:p>
    <w:p w:rsidR="00F04AE3" w:rsidRPr="00D544D4" w:rsidRDefault="002D7D7B" w:rsidP="00D240C4">
      <w:pPr>
        <w:pStyle w:val="BodyText"/>
      </w:pPr>
      <w:r w:rsidRPr="00D544D4">
        <w:t>In particular, t</w:t>
      </w:r>
      <w:r w:rsidR="00D05F29" w:rsidRPr="00D544D4">
        <w:t>he report</w:t>
      </w:r>
      <w:r w:rsidR="003B41D6" w:rsidRPr="00D544D4">
        <w:t xml:space="preserve"> </w:t>
      </w:r>
      <w:r w:rsidR="00D05F29" w:rsidRPr="00D544D4">
        <w:t xml:space="preserve">found that for </w:t>
      </w:r>
      <w:r w:rsidR="009B64A1" w:rsidRPr="00D544D4">
        <w:t>‘sensitive’ land screening</w:t>
      </w:r>
      <w:r w:rsidR="00D05F29" w:rsidRPr="00D544D4">
        <w:t xml:space="preserve"> (</w:t>
      </w:r>
      <w:r w:rsidR="003B41D6" w:rsidRPr="00D544D4">
        <w:t xml:space="preserve">which accounted for around </w:t>
      </w:r>
      <w:r w:rsidR="00384276" w:rsidRPr="00D544D4">
        <w:t>8</w:t>
      </w:r>
      <w:r w:rsidR="00023B28" w:rsidRPr="00D544D4">
        <w:t>8</w:t>
      </w:r>
      <w:r w:rsidR="00384276" w:rsidRPr="00D544D4">
        <w:t> </w:t>
      </w:r>
      <w:proofErr w:type="spellStart"/>
      <w:r w:rsidR="003B41D6" w:rsidRPr="00D544D4">
        <w:t>percent</w:t>
      </w:r>
      <w:proofErr w:type="spellEnd"/>
      <w:r w:rsidR="003B41D6" w:rsidRPr="00D544D4">
        <w:t xml:space="preserve"> of </w:t>
      </w:r>
      <w:proofErr w:type="spellStart"/>
      <w:r w:rsidR="003B41D6" w:rsidRPr="00D544D4">
        <w:t>FDI</w:t>
      </w:r>
      <w:proofErr w:type="spellEnd"/>
      <w:r w:rsidR="003B41D6" w:rsidRPr="00D544D4">
        <w:t xml:space="preserve"> applications</w:t>
      </w:r>
      <w:r w:rsidR="00023B28" w:rsidRPr="00D544D4">
        <w:t xml:space="preserve"> decided</w:t>
      </w:r>
      <w:r w:rsidR="00D05F29" w:rsidRPr="00D544D4">
        <w:t>)</w:t>
      </w:r>
      <w:r w:rsidRPr="00D544D4">
        <w:t>:</w:t>
      </w:r>
    </w:p>
    <w:p w:rsidR="00F4011F" w:rsidRDefault="00F04AE3" w:rsidP="00F4011F">
      <w:pPr>
        <w:pStyle w:val="ListBullet"/>
      </w:pPr>
      <w:r w:rsidRPr="00F04AE3">
        <w:t xml:space="preserve">complexity and cost </w:t>
      </w:r>
      <w:r>
        <w:t>had increased since 2005</w:t>
      </w:r>
      <w:r w:rsidR="00F4011F">
        <w:t xml:space="preserve"> (</w:t>
      </w:r>
      <w:r w:rsidR="00F4011F" w:rsidRPr="00F4011F">
        <w:t xml:space="preserve">when the scope of the </w:t>
      </w:r>
      <w:r w:rsidR="002D7D7B" w:rsidRPr="00D544D4">
        <w:rPr>
          <w:i/>
        </w:rPr>
        <w:t>Overseas Investment Act 2005</w:t>
      </w:r>
      <w:r w:rsidR="002D7D7B" w:rsidRPr="00D544D4">
        <w:t xml:space="preserve"> </w:t>
      </w:r>
      <w:r w:rsidR="00F4011F">
        <w:t xml:space="preserve">was widened and the </w:t>
      </w:r>
      <w:r w:rsidR="000B587E">
        <w:t xml:space="preserve">number of </w:t>
      </w:r>
      <w:r w:rsidR="00F4011F" w:rsidRPr="00F4011F">
        <w:t>criteria used to assess land applications increased from 11 to 27</w:t>
      </w:r>
      <w:r w:rsidR="00F4011F">
        <w:t>)</w:t>
      </w:r>
    </w:p>
    <w:p w:rsidR="009B64A1" w:rsidRDefault="009B64A1" w:rsidP="009B64A1">
      <w:pPr>
        <w:pStyle w:val="ListBullet"/>
      </w:pPr>
      <w:r>
        <w:t xml:space="preserve">there were high levels of uncertainty </w:t>
      </w:r>
      <w:r w:rsidR="002D7D7B">
        <w:t xml:space="preserve">due to wide Ministerial discretion in the weighting of criteria used to assess investments and the level of benefits </w:t>
      </w:r>
      <w:r w:rsidR="00A30F0F">
        <w:t>that must be demonstrated by the investor</w:t>
      </w:r>
    </w:p>
    <w:p w:rsidR="009B64A1" w:rsidRPr="009B64A1" w:rsidRDefault="009B64A1" w:rsidP="009B64A1">
      <w:pPr>
        <w:pStyle w:val="ListBullet"/>
      </w:pPr>
      <w:r>
        <w:t xml:space="preserve">conditions imposed on </w:t>
      </w:r>
      <w:r w:rsidR="00D05F29">
        <w:t xml:space="preserve">approved proposals were </w:t>
      </w:r>
      <w:r>
        <w:t xml:space="preserve">costly to comply with and </w:t>
      </w:r>
      <w:r w:rsidR="00D05F29">
        <w:t xml:space="preserve">tended to </w:t>
      </w:r>
      <w:r>
        <w:t xml:space="preserve">go well above what a domestic </w:t>
      </w:r>
      <w:r w:rsidR="00D05F29">
        <w:t>investor was required to do</w:t>
      </w:r>
      <w:r w:rsidR="00D05F29" w:rsidRPr="00D544D4">
        <w:t xml:space="preserve"> </w:t>
      </w:r>
      <w:r w:rsidRPr="00D544D4">
        <w:t>(N</w:t>
      </w:r>
      <w:r w:rsidR="00AF7FCB" w:rsidRPr="00D544D4">
        <w:t xml:space="preserve">ew </w:t>
      </w:r>
      <w:r w:rsidRPr="00D544D4">
        <w:t>Z</w:t>
      </w:r>
      <w:r w:rsidR="00AF7FCB" w:rsidRPr="00D544D4">
        <w:t>ealand</w:t>
      </w:r>
      <w:r w:rsidRPr="00D544D4">
        <w:t xml:space="preserve"> Treasury </w:t>
      </w:r>
      <w:proofErr w:type="spellStart"/>
      <w:r w:rsidRPr="00D544D4">
        <w:t>2009b</w:t>
      </w:r>
      <w:proofErr w:type="spellEnd"/>
      <w:r w:rsidRPr="00D544D4">
        <w:t>).</w:t>
      </w:r>
    </w:p>
    <w:p w:rsidR="000A2F33" w:rsidRPr="00D544D4" w:rsidRDefault="00D00579" w:rsidP="008F5E80">
      <w:pPr>
        <w:pStyle w:val="BodyText"/>
      </w:pPr>
      <w:r w:rsidRPr="00D544D4">
        <w:t xml:space="preserve">The </w:t>
      </w:r>
      <w:r w:rsidR="00A350D5" w:rsidRPr="00D544D4">
        <w:t xml:space="preserve">Treasury </w:t>
      </w:r>
      <w:r w:rsidRPr="00D544D4">
        <w:t>re</w:t>
      </w:r>
      <w:r w:rsidR="00136058" w:rsidRPr="00D544D4">
        <w:t>port</w:t>
      </w:r>
      <w:r w:rsidRPr="00D544D4">
        <w:t xml:space="preserve"> put forward a range of options for</w:t>
      </w:r>
      <w:r w:rsidR="00805197" w:rsidRPr="00D544D4">
        <w:t xml:space="preserve"> simplify</w:t>
      </w:r>
      <w:r w:rsidRPr="00D544D4">
        <w:t>ing</w:t>
      </w:r>
      <w:r w:rsidR="00805197" w:rsidRPr="00D544D4">
        <w:t xml:space="preserve"> </w:t>
      </w:r>
      <w:r w:rsidR="000A2F33" w:rsidRPr="00D544D4">
        <w:t xml:space="preserve">sensitive land screening </w:t>
      </w:r>
      <w:r w:rsidR="004C7A27" w:rsidRPr="00D544D4">
        <w:t>and reduc</w:t>
      </w:r>
      <w:r w:rsidRPr="00D544D4">
        <w:t>ing</w:t>
      </w:r>
      <w:r w:rsidR="00805197" w:rsidRPr="00D544D4">
        <w:t xml:space="preserve"> the number of investments </w:t>
      </w:r>
      <w:r w:rsidR="00A30F0F" w:rsidRPr="00D544D4">
        <w:t>subject to</w:t>
      </w:r>
      <w:r w:rsidR="00805197" w:rsidRPr="00D544D4">
        <w:t xml:space="preserve"> the </w:t>
      </w:r>
      <w:r w:rsidR="00A30F0F" w:rsidRPr="00D544D4">
        <w:rPr>
          <w:i/>
        </w:rPr>
        <w:t>Overseas Investment Act 2005</w:t>
      </w:r>
      <w:r w:rsidR="00805197" w:rsidRPr="00D544D4">
        <w:t>.</w:t>
      </w:r>
      <w:r w:rsidR="00A30F0F" w:rsidRPr="00D544D4">
        <w:t xml:space="preserve"> Broadly, </w:t>
      </w:r>
      <w:r w:rsidR="0035619F" w:rsidRPr="00D544D4">
        <w:t>these options</w:t>
      </w:r>
      <w:r w:rsidR="000A2F33" w:rsidRPr="00D544D4">
        <w:t xml:space="preserve"> </w:t>
      </w:r>
      <w:r w:rsidR="00A30F0F" w:rsidRPr="00D544D4">
        <w:t>focused on:</w:t>
      </w:r>
    </w:p>
    <w:p w:rsidR="004C7A27" w:rsidRDefault="00A30F0F" w:rsidP="000A2F33">
      <w:pPr>
        <w:pStyle w:val="ListBullet"/>
      </w:pPr>
      <w:r>
        <w:t xml:space="preserve">tightening </w:t>
      </w:r>
      <w:r w:rsidR="000A2F33" w:rsidRPr="000A2F33">
        <w:t xml:space="preserve">the scope of </w:t>
      </w:r>
      <w:r w:rsidR="00736CFE">
        <w:t>‘</w:t>
      </w:r>
      <w:r w:rsidR="000A2F33" w:rsidRPr="000A2F33">
        <w:t>sensitive</w:t>
      </w:r>
      <w:r w:rsidR="00736CFE">
        <w:t>’</w:t>
      </w:r>
      <w:r w:rsidR="000A2F33">
        <w:t xml:space="preserve"> </w:t>
      </w:r>
      <w:r w:rsidR="000A2F33" w:rsidRPr="000A2F33">
        <w:t xml:space="preserve">land to avoid screening investments that may not </w:t>
      </w:r>
      <w:r>
        <w:t xml:space="preserve">actually </w:t>
      </w:r>
      <w:r w:rsidR="000A2F33" w:rsidRPr="000A2F33">
        <w:t xml:space="preserve">be </w:t>
      </w:r>
      <w:r>
        <w:t>‘</w:t>
      </w:r>
      <w:r w:rsidR="000A2F33" w:rsidRPr="000A2F33">
        <w:t>sensitive</w:t>
      </w:r>
      <w:r>
        <w:t>’</w:t>
      </w:r>
      <w:r w:rsidR="000A2F33">
        <w:t xml:space="preserve"> </w:t>
      </w:r>
      <w:r w:rsidR="00736CFE">
        <w:t>(for example, by increasing the land area thresholds and removing certain types of land from the ‘sensitive’ definition</w:t>
      </w:r>
      <w:r>
        <w:t>)</w:t>
      </w:r>
    </w:p>
    <w:p w:rsidR="000A2F33" w:rsidRDefault="00A30F0F" w:rsidP="00736CFE">
      <w:pPr>
        <w:pStyle w:val="ListBullet"/>
      </w:pPr>
      <w:r w:rsidRPr="00D544D4">
        <w:t>modifying</w:t>
      </w:r>
      <w:r>
        <w:t xml:space="preserve"> </w:t>
      </w:r>
      <w:r w:rsidR="00736CFE">
        <w:t>the standard</w:t>
      </w:r>
      <w:r>
        <w:t>s</w:t>
      </w:r>
      <w:r w:rsidR="00736CFE">
        <w:t xml:space="preserve"> test applied to foreign investors to ensure they are not subject to a higher standard than domestic investors (for example, by simplifying and narrowing the benefit test</w:t>
      </w:r>
      <w:r>
        <w:t>s</w:t>
      </w:r>
      <w:r w:rsidR="00736CFE">
        <w:t xml:space="preserve">) </w:t>
      </w:r>
      <w:r w:rsidR="00736CFE" w:rsidRPr="00D544D4">
        <w:t>(N</w:t>
      </w:r>
      <w:r w:rsidR="00AF7FCB" w:rsidRPr="00D544D4">
        <w:t xml:space="preserve">ew </w:t>
      </w:r>
      <w:r w:rsidR="00736CFE" w:rsidRPr="00D544D4">
        <w:t>Z</w:t>
      </w:r>
      <w:r w:rsidR="00AF7FCB" w:rsidRPr="00D544D4">
        <w:t>ealand</w:t>
      </w:r>
      <w:r w:rsidR="00736CFE" w:rsidRPr="00D544D4">
        <w:t xml:space="preserve"> Treasury </w:t>
      </w:r>
      <w:proofErr w:type="spellStart"/>
      <w:r w:rsidR="00736CFE" w:rsidRPr="00D544D4">
        <w:t>2009b</w:t>
      </w:r>
      <w:proofErr w:type="spellEnd"/>
      <w:r w:rsidR="00736CFE" w:rsidRPr="00D544D4">
        <w:t>)</w:t>
      </w:r>
      <w:r w:rsidR="0035619F" w:rsidRPr="00D544D4">
        <w:t>.</w:t>
      </w:r>
    </w:p>
    <w:p w:rsidR="00C94E09" w:rsidRDefault="00C94E09" w:rsidP="00736CFE">
      <w:pPr>
        <w:pStyle w:val="BodyText"/>
      </w:pPr>
      <w:r>
        <w:t>A</w:t>
      </w:r>
      <w:r w:rsidR="00736CFE">
        <w:t xml:space="preserve">mendments to the </w:t>
      </w:r>
      <w:r w:rsidR="006B0C76">
        <w:t xml:space="preserve">New Zealand </w:t>
      </w:r>
      <w:r w:rsidR="00736CFE">
        <w:t xml:space="preserve">screening regime </w:t>
      </w:r>
      <w:r>
        <w:t xml:space="preserve">made in response to the </w:t>
      </w:r>
      <w:r w:rsidR="006B0C76">
        <w:t xml:space="preserve">Treasury </w:t>
      </w:r>
      <w:r>
        <w:t xml:space="preserve">review </w:t>
      </w:r>
      <w:r w:rsidR="00B35F43">
        <w:t>included the i</w:t>
      </w:r>
      <w:r w:rsidR="00352223">
        <w:t>ntroduction</w:t>
      </w:r>
      <w:r w:rsidR="00B35F43">
        <w:t xml:space="preserve"> of two additional </w:t>
      </w:r>
      <w:r w:rsidR="00AE0587">
        <w:t xml:space="preserve">criteria </w:t>
      </w:r>
      <w:r w:rsidR="006B0C76">
        <w:t xml:space="preserve">into the </w:t>
      </w:r>
      <w:r w:rsidR="0015055E">
        <w:t xml:space="preserve">benefit test in the </w:t>
      </w:r>
      <w:r w:rsidR="006B0C76">
        <w:t>Overseas Investment Regulations 200</w:t>
      </w:r>
      <w:r w:rsidR="00352223">
        <w:t>5</w:t>
      </w:r>
      <w:r w:rsidR="00B35F43">
        <w:t xml:space="preserve"> </w:t>
      </w:r>
      <w:r w:rsidR="006B0C76">
        <w:t>—</w:t>
      </w:r>
      <w:r w:rsidR="00F02942">
        <w:t xml:space="preserve"> </w:t>
      </w:r>
      <w:r w:rsidR="00AE0587">
        <w:t xml:space="preserve">an </w:t>
      </w:r>
      <w:r w:rsidR="00B35F43">
        <w:t xml:space="preserve">‘economic interest’ and </w:t>
      </w:r>
      <w:r w:rsidR="00381844">
        <w:t xml:space="preserve">a </w:t>
      </w:r>
      <w:r w:rsidR="00B35F43">
        <w:t>‘mitigating’</w:t>
      </w:r>
      <w:r w:rsidR="006B0C76">
        <w:t xml:space="preserve"> </w:t>
      </w:r>
      <w:r w:rsidR="00AE0587">
        <w:t>criteria</w:t>
      </w:r>
      <w:r w:rsidR="006B0C76">
        <w:t xml:space="preserve">. </w:t>
      </w:r>
      <w:r w:rsidR="00B35F43">
        <w:t>T</w:t>
      </w:r>
      <w:r w:rsidR="000B3E5B">
        <w:t xml:space="preserve">he </w:t>
      </w:r>
      <w:r w:rsidR="001F0028">
        <w:t xml:space="preserve">New Zealand </w:t>
      </w:r>
      <w:r w:rsidR="000B3E5B">
        <w:t>O</w:t>
      </w:r>
      <w:r w:rsidR="001F0028">
        <w:t xml:space="preserve">verseas </w:t>
      </w:r>
      <w:r w:rsidR="000B3E5B">
        <w:t>I</w:t>
      </w:r>
      <w:r w:rsidR="001F0028">
        <w:t xml:space="preserve">nvestment </w:t>
      </w:r>
      <w:r w:rsidR="000B3E5B">
        <w:t>O</w:t>
      </w:r>
      <w:r w:rsidR="001F0028">
        <w:t>ffice</w:t>
      </w:r>
      <w:r w:rsidR="00376038">
        <w:t xml:space="preserve"> </w:t>
      </w:r>
      <w:r w:rsidR="000B3E5B">
        <w:t>is required to</w:t>
      </w:r>
      <w:r w:rsidR="00B35F43">
        <w:t xml:space="preserve"> </w:t>
      </w:r>
      <w:r w:rsidR="000B3E5B">
        <w:t>consider the</w:t>
      </w:r>
      <w:r w:rsidR="006B0C76">
        <w:t>se</w:t>
      </w:r>
      <w:r w:rsidR="000B3E5B">
        <w:t xml:space="preserve"> </w:t>
      </w:r>
      <w:r w:rsidR="00381844">
        <w:t xml:space="preserve">additional </w:t>
      </w:r>
      <w:r w:rsidR="00AE0587">
        <w:t xml:space="preserve">criteria </w:t>
      </w:r>
      <w:r w:rsidR="000B3E5B">
        <w:t xml:space="preserve">when assessing foreign investment proposals </w:t>
      </w:r>
      <w:r w:rsidR="00AE0587">
        <w:t xml:space="preserve">in the land-based primary sector </w:t>
      </w:r>
      <w:r w:rsidR="000B3E5B">
        <w:t>(English</w:t>
      </w:r>
      <w:r w:rsidR="001F0028">
        <w:t xml:space="preserve"> </w:t>
      </w:r>
      <w:r w:rsidR="000B3E5B">
        <w:t>2012).</w:t>
      </w:r>
    </w:p>
    <w:p w:rsidR="004E3825" w:rsidRDefault="00AE0587" w:rsidP="00BD4E7C">
      <w:pPr>
        <w:pStyle w:val="BodyText"/>
      </w:pPr>
      <w:r>
        <w:t>On balance, t</w:t>
      </w:r>
      <w:r w:rsidR="00D17BB3">
        <w:t>here is</w:t>
      </w:r>
      <w:r w:rsidR="005B6B51">
        <w:t xml:space="preserve"> evidence that</w:t>
      </w:r>
      <w:r w:rsidR="008513A9">
        <w:t xml:space="preserve"> </w:t>
      </w:r>
      <w:r w:rsidR="005B6B51">
        <w:t xml:space="preserve">Australia and New Zealand </w:t>
      </w:r>
      <w:r w:rsidR="00D17BB3">
        <w:t xml:space="preserve">impose relatively </w:t>
      </w:r>
      <w:r w:rsidR="00DE6E34">
        <w:t>restrictive</w:t>
      </w:r>
      <w:r w:rsidR="00D17BB3">
        <w:t xml:space="preserve"> regimes</w:t>
      </w:r>
      <w:r w:rsidR="006848B1">
        <w:t xml:space="preserve"> </w:t>
      </w:r>
      <w:r w:rsidR="00381844">
        <w:t xml:space="preserve">on </w:t>
      </w:r>
      <w:proofErr w:type="spellStart"/>
      <w:r w:rsidR="002D7A09">
        <w:t>FDI</w:t>
      </w:r>
      <w:proofErr w:type="spellEnd"/>
      <w:r w:rsidR="002D7A09">
        <w:t xml:space="preserve"> </w:t>
      </w:r>
      <w:r w:rsidR="00381844">
        <w:t xml:space="preserve">inflows in general </w:t>
      </w:r>
      <w:r w:rsidR="006848B1">
        <w:t>compared to many countries</w:t>
      </w:r>
      <w:r w:rsidR="00D17BB3">
        <w:t xml:space="preserve">, although the level </w:t>
      </w:r>
      <w:r w:rsidR="007068C5">
        <w:t xml:space="preserve">of restrictiveness </w:t>
      </w:r>
      <w:r w:rsidR="00D17BB3">
        <w:t>is likely to be less than the OECD rating</w:t>
      </w:r>
      <w:r w:rsidR="008513A9">
        <w:t>s suggest</w:t>
      </w:r>
      <w:r w:rsidR="00DE6E34">
        <w:t xml:space="preserve">. </w:t>
      </w:r>
      <w:r w:rsidR="005B6B51">
        <w:t xml:space="preserve">Restrictiveness is </w:t>
      </w:r>
      <w:r w:rsidR="00DE6E34">
        <w:t xml:space="preserve">driven </w:t>
      </w:r>
      <w:r w:rsidR="005B6B51">
        <w:t>to a large extent</w:t>
      </w:r>
      <w:r w:rsidR="00DE6E34">
        <w:t xml:space="preserve"> by </w:t>
      </w:r>
      <w:r w:rsidR="005B6B51">
        <w:t xml:space="preserve">screening </w:t>
      </w:r>
      <w:r w:rsidR="00E843B3">
        <w:t>processes</w:t>
      </w:r>
      <w:r w:rsidR="001940E4">
        <w:t xml:space="preserve"> in both countries</w:t>
      </w:r>
      <w:r w:rsidR="00E843B3">
        <w:t xml:space="preserve">, in particular, </w:t>
      </w:r>
      <w:r w:rsidR="008513A9">
        <w:t>for</w:t>
      </w:r>
      <w:r w:rsidR="005B6B51">
        <w:t xml:space="preserve"> </w:t>
      </w:r>
      <w:r w:rsidR="008513A9">
        <w:t xml:space="preserve">‘sensitive’ land in New Zealand and </w:t>
      </w:r>
      <w:r w:rsidR="0048739C">
        <w:t>‘</w:t>
      </w:r>
      <w:r w:rsidR="005B6B51">
        <w:t>sensitive</w:t>
      </w:r>
      <w:r w:rsidR="0048739C">
        <w:t>’</w:t>
      </w:r>
      <w:r w:rsidR="005B6B51">
        <w:t xml:space="preserve"> sectors in</w:t>
      </w:r>
      <w:r w:rsidR="00DE6E34">
        <w:t xml:space="preserve"> </w:t>
      </w:r>
      <w:r w:rsidR="00C42B2B">
        <w:t>Australia.</w:t>
      </w:r>
    </w:p>
    <w:p w:rsidR="00E523E1" w:rsidRPr="00E523E1" w:rsidRDefault="003744DA" w:rsidP="00BE2CFC">
      <w:pPr>
        <w:pStyle w:val="Heading3"/>
      </w:pPr>
      <w:r>
        <w:lastRenderedPageBreak/>
        <w:t>The e</w:t>
      </w:r>
      <w:r w:rsidR="00C11DAB">
        <w:t>f</w:t>
      </w:r>
      <w:r w:rsidR="00AD077A">
        <w:t xml:space="preserve">fect of the </w:t>
      </w:r>
      <w:proofErr w:type="spellStart"/>
      <w:r>
        <w:t>CER</w:t>
      </w:r>
      <w:proofErr w:type="spellEnd"/>
      <w:r>
        <w:t xml:space="preserve"> </w:t>
      </w:r>
      <w:r w:rsidR="00AD077A">
        <w:t>Investment P</w:t>
      </w:r>
      <w:r w:rsidR="00681F18">
        <w:t>rotocol</w:t>
      </w:r>
      <w:r>
        <w:t xml:space="preserve"> on restrictions</w:t>
      </w:r>
    </w:p>
    <w:p w:rsidR="00EB4642" w:rsidRPr="00D544D4" w:rsidRDefault="002134FF" w:rsidP="00A3564E">
      <w:pPr>
        <w:pStyle w:val="BodyText"/>
      </w:pPr>
      <w:r w:rsidRPr="00D544D4">
        <w:t>T</w:t>
      </w:r>
      <w:r w:rsidR="00C11DAB" w:rsidRPr="00D544D4">
        <w:t xml:space="preserve">he </w:t>
      </w:r>
      <w:r w:rsidR="00576079" w:rsidRPr="00D544D4">
        <w:t>degree</w:t>
      </w:r>
      <w:r w:rsidR="00850BD3" w:rsidRPr="00D544D4">
        <w:t xml:space="preserve"> </w:t>
      </w:r>
      <w:r w:rsidR="00C11DAB" w:rsidRPr="00D544D4">
        <w:t xml:space="preserve">of liberalisation of trans-Tasman </w:t>
      </w:r>
      <w:r w:rsidR="00221382" w:rsidRPr="00D544D4">
        <w:t xml:space="preserve">investment </w:t>
      </w:r>
      <w:r w:rsidR="000020EA" w:rsidRPr="00D544D4">
        <w:t>that will result from implementation of the</w:t>
      </w:r>
      <w:r w:rsidR="00C11DAB" w:rsidRPr="00D544D4">
        <w:t xml:space="preserve"> </w:t>
      </w:r>
      <w:r w:rsidR="00AD077A" w:rsidRPr="00D544D4">
        <w:t>P</w:t>
      </w:r>
      <w:r w:rsidR="005C7B97" w:rsidRPr="00D544D4">
        <w:t>rotocol</w:t>
      </w:r>
      <w:r w:rsidR="005A3095" w:rsidRPr="00D544D4">
        <w:t xml:space="preserve"> </w:t>
      </w:r>
      <w:r w:rsidR="00BF5FC5" w:rsidRPr="00D544D4">
        <w:t>is expected to be small.</w:t>
      </w:r>
      <w:r w:rsidR="00C11DAB" w:rsidRPr="00D544D4">
        <w:t xml:space="preserve"> </w:t>
      </w:r>
      <w:r w:rsidR="00734A21" w:rsidRPr="00D544D4">
        <w:t>S</w:t>
      </w:r>
      <w:r w:rsidR="001A3EFC" w:rsidRPr="00D544D4">
        <w:t>creening</w:t>
      </w:r>
      <w:r w:rsidR="00134FA8" w:rsidRPr="00D544D4">
        <w:t xml:space="preserve"> t</w:t>
      </w:r>
      <w:r w:rsidR="004D68E5" w:rsidRPr="00D544D4">
        <w:t>hresholds</w:t>
      </w:r>
      <w:r w:rsidR="004D68E5" w:rsidRPr="005A3095">
        <w:t xml:space="preserve"> </w:t>
      </w:r>
      <w:r w:rsidR="004D68E5">
        <w:t xml:space="preserve">for Australian and New Zealand investors </w:t>
      </w:r>
      <w:r w:rsidR="00BE1EE7">
        <w:t>will be</w:t>
      </w:r>
      <w:r w:rsidR="00681F18">
        <w:t xml:space="preserve"> raised</w:t>
      </w:r>
      <w:r w:rsidR="00734A21">
        <w:t xml:space="preserve"> not removed</w:t>
      </w:r>
      <w:r w:rsidR="00125476">
        <w:t>,</w:t>
      </w:r>
      <w:r w:rsidR="00681F18">
        <w:t xml:space="preserve"> </w:t>
      </w:r>
      <w:r w:rsidR="00125476">
        <w:t xml:space="preserve">both countries have </w:t>
      </w:r>
      <w:r w:rsidR="0043673D">
        <w:t xml:space="preserve">excluded </w:t>
      </w:r>
      <w:r w:rsidR="00125476">
        <w:t xml:space="preserve">a range of ‘sensitive’ </w:t>
      </w:r>
      <w:r w:rsidR="00115004">
        <w:t xml:space="preserve">areas </w:t>
      </w:r>
      <w:r w:rsidR="00125476">
        <w:t>from the higher thresholds</w:t>
      </w:r>
      <w:r w:rsidR="002734ED">
        <w:t>,</w:t>
      </w:r>
      <w:r w:rsidR="000020EA">
        <w:t xml:space="preserve"> and foreign equity limits on specific businesses </w:t>
      </w:r>
      <w:r w:rsidR="00475404">
        <w:t xml:space="preserve">and types of infrastructure </w:t>
      </w:r>
      <w:r w:rsidR="0051143E">
        <w:t xml:space="preserve">will </w:t>
      </w:r>
      <w:r w:rsidR="000020EA">
        <w:t>remain</w:t>
      </w:r>
      <w:r w:rsidR="00125476">
        <w:t xml:space="preserve"> </w:t>
      </w:r>
      <w:r w:rsidR="00CE037F">
        <w:t>(table</w:t>
      </w:r>
      <w:r w:rsidR="00125476">
        <w:t>s</w:t>
      </w:r>
      <w:r w:rsidR="00475404">
        <w:t> </w:t>
      </w:r>
      <w:proofErr w:type="spellStart"/>
      <w:r w:rsidR="00843192">
        <w:t>C.1</w:t>
      </w:r>
      <w:proofErr w:type="spellEnd"/>
      <w:r w:rsidR="00843192">
        <w:t xml:space="preserve"> and </w:t>
      </w:r>
      <w:proofErr w:type="spellStart"/>
      <w:r w:rsidR="00843192">
        <w:t>C</w:t>
      </w:r>
      <w:r w:rsidR="00125476">
        <w:t>.2</w:t>
      </w:r>
      <w:proofErr w:type="spellEnd"/>
      <w:r w:rsidR="00CE037F">
        <w:t>).</w:t>
      </w:r>
    </w:p>
    <w:p w:rsidR="00E155CD" w:rsidRPr="00D544D4" w:rsidRDefault="00467B9D" w:rsidP="00C11DAB">
      <w:pPr>
        <w:pStyle w:val="BodyText"/>
      </w:pPr>
      <w:r w:rsidRPr="00D544D4">
        <w:t>F</w:t>
      </w:r>
      <w:r w:rsidR="00681F18" w:rsidRPr="00D544D4">
        <w:t>or Australian investors in New Zealand, t</w:t>
      </w:r>
      <w:r w:rsidR="004D68E5" w:rsidRPr="00D544D4">
        <w:t>h</w:t>
      </w:r>
      <w:r w:rsidR="00681F18" w:rsidRPr="00D544D4">
        <w:t>e higher threshold</w:t>
      </w:r>
      <w:r w:rsidR="002734ED" w:rsidRPr="00D544D4">
        <w:t>s</w:t>
      </w:r>
      <w:r w:rsidR="004D68E5" w:rsidRPr="00D544D4">
        <w:t xml:space="preserve"> </w:t>
      </w:r>
      <w:r w:rsidR="0051143E" w:rsidRPr="00D544D4">
        <w:t xml:space="preserve">will reduce </w:t>
      </w:r>
      <w:r w:rsidR="0079013F" w:rsidRPr="00D544D4">
        <w:t xml:space="preserve">the number of business investment proposals subject to New Zealand </w:t>
      </w:r>
      <w:r w:rsidR="001A3EFC" w:rsidRPr="00D544D4">
        <w:t>screening</w:t>
      </w:r>
      <w:r w:rsidR="0079013F" w:rsidRPr="00D544D4">
        <w:t>. An analysis o</w:t>
      </w:r>
      <w:r w:rsidR="00B122C9" w:rsidRPr="00D544D4">
        <w:t>f business applications</w:t>
      </w:r>
      <w:r w:rsidR="0079013F" w:rsidRPr="00D544D4">
        <w:t xml:space="preserve"> </w:t>
      </w:r>
      <w:r w:rsidR="00E155CD" w:rsidRPr="00D544D4">
        <w:t xml:space="preserve">lodged by Australian investors in New Zealand </w:t>
      </w:r>
      <w:r w:rsidR="0079013F" w:rsidRPr="00D544D4">
        <w:t xml:space="preserve">between January 2006 and July 2010 found </w:t>
      </w:r>
      <w:r w:rsidR="00B122C9" w:rsidRPr="00D544D4">
        <w:t xml:space="preserve">that </w:t>
      </w:r>
      <w:r w:rsidR="00DA6E05" w:rsidRPr="00D544D4">
        <w:t>90</w:t>
      </w:r>
      <w:r w:rsidR="0079013F" w:rsidRPr="00D544D4">
        <w:t xml:space="preserve"> </w:t>
      </w:r>
      <w:r w:rsidR="00E155CD" w:rsidRPr="00D544D4">
        <w:t xml:space="preserve">of the 140 applications made during that time </w:t>
      </w:r>
      <w:r w:rsidR="0079013F" w:rsidRPr="00D544D4">
        <w:t xml:space="preserve">would have been exempt from </w:t>
      </w:r>
      <w:r w:rsidR="001A3EFC" w:rsidRPr="00D544D4">
        <w:t>screening</w:t>
      </w:r>
      <w:r w:rsidR="0079013F" w:rsidRPr="00D544D4">
        <w:t xml:space="preserve"> under the higher thresholds</w:t>
      </w:r>
      <w:r w:rsidR="00B122C9" w:rsidRPr="00D544D4">
        <w:t xml:space="preserve"> </w:t>
      </w:r>
      <w:r w:rsidR="00944BA4" w:rsidRPr="00D544D4">
        <w:t xml:space="preserve">(a </w:t>
      </w:r>
      <w:r w:rsidR="00DA6E05" w:rsidRPr="00D544D4">
        <w:t>6</w:t>
      </w:r>
      <w:r w:rsidR="00944BA4" w:rsidRPr="00D544D4">
        <w:t>4</w:t>
      </w:r>
      <w:r w:rsidR="003704E5" w:rsidRPr="00D544D4">
        <w:t> </w:t>
      </w:r>
      <w:proofErr w:type="spellStart"/>
      <w:r w:rsidR="003704E5" w:rsidRPr="00D544D4">
        <w:t>percent</w:t>
      </w:r>
      <w:proofErr w:type="spellEnd"/>
      <w:r w:rsidR="00661CCC" w:rsidRPr="00D544D4">
        <w:t xml:space="preserve"> reduction over the period) </w:t>
      </w:r>
      <w:r w:rsidR="00B122C9" w:rsidRPr="00D544D4">
        <w:t>(</w:t>
      </w:r>
      <w:proofErr w:type="spellStart"/>
      <w:r w:rsidR="006C5F90">
        <w:t>DFD</w:t>
      </w:r>
      <w:proofErr w:type="spellEnd"/>
      <w:r w:rsidR="00B122C9">
        <w:t xml:space="preserve"> 2012)</w:t>
      </w:r>
      <w:r w:rsidR="006E7C5F" w:rsidRPr="00D544D4">
        <w:t>.</w:t>
      </w:r>
    </w:p>
    <w:p w:rsidR="0051143E" w:rsidRPr="00D544D4" w:rsidRDefault="000E4CF1" w:rsidP="00C11DAB">
      <w:pPr>
        <w:pStyle w:val="BodyText"/>
      </w:pPr>
      <w:r w:rsidRPr="00D544D4">
        <w:t xml:space="preserve">However, </w:t>
      </w:r>
      <w:r w:rsidR="001D438B" w:rsidRPr="00D544D4">
        <w:t xml:space="preserve">business applications are </w:t>
      </w:r>
      <w:r w:rsidR="0051143E" w:rsidRPr="00D544D4">
        <w:t xml:space="preserve">likely </w:t>
      </w:r>
      <w:r w:rsidR="002734ED" w:rsidRPr="00D544D4">
        <w:t xml:space="preserve">to be </w:t>
      </w:r>
      <w:r w:rsidR="0051143E" w:rsidRPr="00D544D4">
        <w:t xml:space="preserve">a small proportion of </w:t>
      </w:r>
      <w:r w:rsidR="00791F00" w:rsidRPr="00D544D4">
        <w:t xml:space="preserve">the </w:t>
      </w:r>
      <w:r w:rsidR="0051143E" w:rsidRPr="00D544D4">
        <w:t xml:space="preserve">total </w:t>
      </w:r>
      <w:r w:rsidR="00791F00" w:rsidRPr="00D544D4">
        <w:t xml:space="preserve">number of </w:t>
      </w:r>
      <w:r w:rsidR="0051143E" w:rsidRPr="00D544D4">
        <w:t xml:space="preserve">applications </w:t>
      </w:r>
      <w:r w:rsidRPr="00D544D4">
        <w:t xml:space="preserve">made </w:t>
      </w:r>
      <w:r w:rsidR="00791F00" w:rsidRPr="00D544D4">
        <w:t xml:space="preserve">by Australians looking to invest in </w:t>
      </w:r>
      <w:r w:rsidR="00BF5FC5" w:rsidRPr="00D544D4">
        <w:t>New Zealand</w:t>
      </w:r>
      <w:r w:rsidR="00DA6E05" w:rsidRPr="00D544D4">
        <w:t xml:space="preserve"> (</w:t>
      </w:r>
      <w:proofErr w:type="spellStart"/>
      <w:r w:rsidR="00DA6E05" w:rsidRPr="00D544D4">
        <w:t>MFAT</w:t>
      </w:r>
      <w:proofErr w:type="spellEnd"/>
      <w:r w:rsidR="00DA6E05" w:rsidRPr="00D544D4">
        <w:t xml:space="preserve"> 2011</w:t>
      </w:r>
      <w:r w:rsidR="00475404">
        <w:t>)</w:t>
      </w:r>
      <w:r w:rsidR="00475404" w:rsidRPr="00D544D4">
        <w:t>.</w:t>
      </w:r>
      <w:r w:rsidR="002734ED" w:rsidRPr="00D544D4">
        <w:t xml:space="preserve"> </w:t>
      </w:r>
      <w:r w:rsidR="001D438B" w:rsidRPr="00D544D4">
        <w:t>For example, b</w:t>
      </w:r>
      <w:r w:rsidR="005B4133" w:rsidRPr="00D544D4">
        <w:t>etween 2002 </w:t>
      </w:r>
      <w:r w:rsidR="00D156FC" w:rsidRPr="00D544D4">
        <w:t xml:space="preserve">and 2008 </w:t>
      </w:r>
      <w:r w:rsidR="00475404" w:rsidRPr="00D544D4">
        <w:t xml:space="preserve">business applications made up </w:t>
      </w:r>
      <w:r w:rsidR="000E452A" w:rsidRPr="00D544D4">
        <w:t>only</w:t>
      </w:r>
      <w:r w:rsidR="00944BA4" w:rsidRPr="00D544D4">
        <w:t xml:space="preserve"> 1</w:t>
      </w:r>
      <w:r w:rsidR="00435FE3" w:rsidRPr="00D544D4">
        <w:t>2</w:t>
      </w:r>
      <w:r w:rsidR="003704E5" w:rsidRPr="00D544D4">
        <w:t> </w:t>
      </w:r>
      <w:proofErr w:type="spellStart"/>
      <w:r w:rsidR="003704E5" w:rsidRPr="00D544D4">
        <w:t>percent</w:t>
      </w:r>
      <w:proofErr w:type="spellEnd"/>
      <w:r w:rsidRPr="00D544D4">
        <w:t xml:space="preserve"> of all </w:t>
      </w:r>
      <w:proofErr w:type="spellStart"/>
      <w:r w:rsidR="001D438B" w:rsidRPr="00D544D4">
        <w:t>FDI</w:t>
      </w:r>
      <w:proofErr w:type="spellEnd"/>
      <w:r w:rsidR="001D438B" w:rsidRPr="00D544D4">
        <w:t xml:space="preserve"> </w:t>
      </w:r>
      <w:r w:rsidRPr="00D544D4">
        <w:t>applications</w:t>
      </w:r>
      <w:r w:rsidR="001D438B" w:rsidRPr="00D544D4">
        <w:t xml:space="preserve"> (from all countries)</w:t>
      </w:r>
      <w:r w:rsidRPr="00D544D4">
        <w:t xml:space="preserve"> </w:t>
      </w:r>
      <w:r w:rsidR="00B011FE">
        <w:t>consented</w:t>
      </w:r>
      <w:r w:rsidRPr="00D544D4">
        <w:t xml:space="preserve"> by New Zealand regulators </w:t>
      </w:r>
      <w:r w:rsidR="00843192" w:rsidRPr="00D544D4">
        <w:t>(table</w:t>
      </w:r>
      <w:r w:rsidR="001D438B" w:rsidRPr="00D544D4">
        <w:t> </w:t>
      </w:r>
      <w:proofErr w:type="spellStart"/>
      <w:r w:rsidR="00843192" w:rsidRPr="00D544D4">
        <w:t>C</w:t>
      </w:r>
      <w:r w:rsidRPr="00D544D4">
        <w:t>.5</w:t>
      </w:r>
      <w:proofErr w:type="spellEnd"/>
      <w:r w:rsidRPr="00D544D4">
        <w:t>).</w:t>
      </w:r>
      <w:r w:rsidR="00EF3C2B" w:rsidRPr="00D544D4">
        <w:t xml:space="preserve"> The </w:t>
      </w:r>
      <w:r w:rsidR="001D438B" w:rsidRPr="00D544D4">
        <w:t xml:space="preserve">other 88 </w:t>
      </w:r>
      <w:proofErr w:type="spellStart"/>
      <w:r w:rsidR="001D438B" w:rsidRPr="00D544D4">
        <w:t>percent</w:t>
      </w:r>
      <w:proofErr w:type="spellEnd"/>
      <w:r w:rsidR="001D438B" w:rsidRPr="00D544D4">
        <w:t xml:space="preserve"> </w:t>
      </w:r>
      <w:r w:rsidRPr="00D544D4">
        <w:t xml:space="preserve">were for </w:t>
      </w:r>
      <w:r w:rsidR="00115004" w:rsidRPr="00D544D4">
        <w:t>‘</w:t>
      </w:r>
      <w:r w:rsidRPr="00D544D4">
        <w:t>sensitive</w:t>
      </w:r>
      <w:r w:rsidR="00115004" w:rsidRPr="00D544D4">
        <w:t>’</w:t>
      </w:r>
      <w:r w:rsidRPr="00D544D4">
        <w:t xml:space="preserve"> land or business applications that included a component of </w:t>
      </w:r>
      <w:r w:rsidR="00115004" w:rsidRPr="00D544D4">
        <w:t>‘</w:t>
      </w:r>
      <w:r w:rsidRPr="00D544D4">
        <w:t>sensitive</w:t>
      </w:r>
      <w:r w:rsidR="00115004" w:rsidRPr="00D544D4">
        <w:t>’</w:t>
      </w:r>
      <w:r w:rsidRPr="00D544D4">
        <w:t xml:space="preserve"> land </w:t>
      </w:r>
      <w:r w:rsidR="00926C10" w:rsidRPr="00D544D4">
        <w:t xml:space="preserve">and these </w:t>
      </w:r>
      <w:r w:rsidR="009F7DD3" w:rsidRPr="00D544D4">
        <w:t xml:space="preserve">would </w:t>
      </w:r>
      <w:r w:rsidR="00926C10" w:rsidRPr="00D544D4">
        <w:t xml:space="preserve">not </w:t>
      </w:r>
      <w:r w:rsidR="00E62184" w:rsidRPr="00D544D4">
        <w:t xml:space="preserve">be exempt from </w:t>
      </w:r>
      <w:r w:rsidR="009F7DD3" w:rsidRPr="00D544D4">
        <w:t>screening under the Protocol</w:t>
      </w:r>
      <w:r w:rsidRPr="00D544D4">
        <w:t>.</w:t>
      </w:r>
    </w:p>
    <w:p w:rsidR="00431A50" w:rsidRPr="001A3E24" w:rsidRDefault="00BA7452" w:rsidP="00C11DAB">
      <w:pPr>
        <w:pStyle w:val="BodyText"/>
      </w:pPr>
      <w:r w:rsidRPr="00D544D4">
        <w:t>For New Zealand</w:t>
      </w:r>
      <w:r w:rsidR="00661CCC" w:rsidRPr="00D544D4">
        <w:t xml:space="preserve"> investors in Australia</w:t>
      </w:r>
      <w:r w:rsidRPr="00D544D4">
        <w:t xml:space="preserve">, the </w:t>
      </w:r>
      <w:r w:rsidR="00115004" w:rsidRPr="00D544D4">
        <w:t xml:space="preserve">higher thresholds under the </w:t>
      </w:r>
      <w:r w:rsidR="00AD077A" w:rsidRPr="00D544D4">
        <w:t>P</w:t>
      </w:r>
      <w:r w:rsidR="00EC427D" w:rsidRPr="00D544D4">
        <w:t xml:space="preserve">rotocol </w:t>
      </w:r>
      <w:r w:rsidR="007F62AE" w:rsidRPr="00D544D4">
        <w:t>should</w:t>
      </w:r>
      <w:r w:rsidR="002734ED" w:rsidRPr="00D544D4">
        <w:t>, in principle,</w:t>
      </w:r>
      <w:r w:rsidR="00115004" w:rsidRPr="00D544D4">
        <w:t xml:space="preserve"> </w:t>
      </w:r>
      <w:r w:rsidR="00661CCC" w:rsidRPr="00D544D4">
        <w:t>reduc</w:t>
      </w:r>
      <w:r w:rsidR="00115004" w:rsidRPr="00D544D4">
        <w:t>e</w:t>
      </w:r>
      <w:r w:rsidR="00661CCC" w:rsidRPr="00D544D4">
        <w:t xml:space="preserve"> the numb</w:t>
      </w:r>
      <w:r w:rsidR="00125476" w:rsidRPr="00D544D4">
        <w:t xml:space="preserve">er of </w:t>
      </w:r>
      <w:r w:rsidR="00EC427D" w:rsidRPr="00D544D4">
        <w:t xml:space="preserve">New Zealand </w:t>
      </w:r>
      <w:r w:rsidR="000020EA" w:rsidRPr="00D544D4">
        <w:t xml:space="preserve">business </w:t>
      </w:r>
      <w:r w:rsidR="00125476" w:rsidRPr="00D544D4">
        <w:t>applications screened</w:t>
      </w:r>
      <w:r w:rsidR="00F0257C">
        <w:t xml:space="preserve">. </w:t>
      </w:r>
      <w:r w:rsidR="00302421">
        <w:t>However, g</w:t>
      </w:r>
      <w:r w:rsidR="00431A50">
        <w:t xml:space="preserve">iven the relatively low level of </w:t>
      </w:r>
      <w:proofErr w:type="spellStart"/>
      <w:r w:rsidR="00431A50">
        <w:t>FDI</w:t>
      </w:r>
      <w:proofErr w:type="spellEnd"/>
      <w:r w:rsidR="00431A50">
        <w:t xml:space="preserve"> flow</w:t>
      </w:r>
      <w:r w:rsidR="00037BC3">
        <w:t xml:space="preserve">ing </w:t>
      </w:r>
      <w:r w:rsidR="00431A50">
        <w:t>from N</w:t>
      </w:r>
      <w:r w:rsidR="001B2416">
        <w:t xml:space="preserve">ew </w:t>
      </w:r>
      <w:r w:rsidR="00431A50">
        <w:t>Z</w:t>
      </w:r>
      <w:r w:rsidR="001B2416">
        <w:t>ealand</w:t>
      </w:r>
      <w:r w:rsidR="00431A50">
        <w:t xml:space="preserve"> to Australia in recent years</w:t>
      </w:r>
      <w:r w:rsidR="00302421">
        <w:t>,</w:t>
      </w:r>
      <w:r w:rsidR="00037BC3">
        <w:t xml:space="preserve"> there are likely to be few </w:t>
      </w:r>
      <w:r w:rsidR="00302421">
        <w:t xml:space="preserve">New Zealand </w:t>
      </w:r>
      <w:r w:rsidR="00037BC3">
        <w:t>investment</w:t>
      </w:r>
      <w:r w:rsidR="00F0257C">
        <w:t xml:space="preserve">s valued </w:t>
      </w:r>
      <w:r w:rsidR="009F7DD3" w:rsidRPr="009F7DD3">
        <w:t xml:space="preserve">between </w:t>
      </w:r>
      <w:proofErr w:type="spellStart"/>
      <w:r w:rsidR="00E62184">
        <w:t>A</w:t>
      </w:r>
      <w:r w:rsidR="009F7DD3" w:rsidRPr="009F7DD3">
        <w:t>$244</w:t>
      </w:r>
      <w:proofErr w:type="spellEnd"/>
      <w:r w:rsidR="003704E5">
        <w:t> million</w:t>
      </w:r>
      <w:r w:rsidR="009F7DD3" w:rsidRPr="009F7DD3">
        <w:t xml:space="preserve"> and </w:t>
      </w:r>
      <w:proofErr w:type="spellStart"/>
      <w:r w:rsidR="00E62184">
        <w:t>A</w:t>
      </w:r>
      <w:r w:rsidR="009F7DD3" w:rsidRPr="009F7DD3">
        <w:t>$1062</w:t>
      </w:r>
      <w:proofErr w:type="spellEnd"/>
      <w:r w:rsidR="003704E5">
        <w:t> million</w:t>
      </w:r>
      <w:r w:rsidR="004013C2">
        <w:t xml:space="preserve"> that would benefit</w:t>
      </w:r>
      <w:r w:rsidR="00EE40CB">
        <w:t xml:space="preserve"> in practice</w:t>
      </w:r>
      <w:r w:rsidR="004013C2">
        <w:t xml:space="preserve"> (Statistics New Zealand 2011).</w:t>
      </w:r>
    </w:p>
    <w:p w:rsidR="00B122C9" w:rsidRPr="001A3E24" w:rsidRDefault="00AD077A" w:rsidP="00B122C9">
      <w:pPr>
        <w:pStyle w:val="BodyText"/>
      </w:pPr>
      <w:r w:rsidRPr="001A3E24">
        <w:t>The P</w:t>
      </w:r>
      <w:r w:rsidR="00B122C9" w:rsidRPr="001A3E24">
        <w:t xml:space="preserve">rotocol </w:t>
      </w:r>
      <w:r w:rsidR="00125476" w:rsidRPr="001A3E24">
        <w:t>is also like</w:t>
      </w:r>
      <w:r w:rsidR="00661CCC" w:rsidRPr="001A3E24">
        <w:t>ly to</w:t>
      </w:r>
      <w:r w:rsidR="00B122C9" w:rsidRPr="001A3E24">
        <w:t xml:space="preserve"> reduce uncertainty </w:t>
      </w:r>
      <w:r w:rsidR="003744DA" w:rsidRPr="001A3E24">
        <w:t xml:space="preserve">to some degree </w:t>
      </w:r>
      <w:r w:rsidR="00B122C9" w:rsidRPr="001A3E24">
        <w:t xml:space="preserve">for investors from both countries. </w:t>
      </w:r>
      <w:r w:rsidR="00F261E3" w:rsidRPr="001A3E24">
        <w:t xml:space="preserve">This </w:t>
      </w:r>
      <w:r w:rsidR="003744DA" w:rsidRPr="001A3E24">
        <w:t>may come</w:t>
      </w:r>
      <w:r w:rsidR="00F261E3" w:rsidRPr="001A3E24">
        <w:t xml:space="preserve"> from two sources — higher thresholds will remove uncertainty for i</w:t>
      </w:r>
      <w:r w:rsidR="00B75934" w:rsidRPr="001A3E24">
        <w:t xml:space="preserve">nvestment proposals </w:t>
      </w:r>
      <w:r w:rsidR="003744DA" w:rsidRPr="001A3E24">
        <w:t>that will no longer be</w:t>
      </w:r>
      <w:r w:rsidR="00B75934" w:rsidRPr="001A3E24">
        <w:t xml:space="preserve"> </w:t>
      </w:r>
      <w:r w:rsidR="003744DA" w:rsidRPr="001A3E24">
        <w:t>screened,</w:t>
      </w:r>
      <w:r w:rsidR="00B75934" w:rsidRPr="001A3E24">
        <w:t xml:space="preserve"> </w:t>
      </w:r>
      <w:r w:rsidR="00F261E3" w:rsidRPr="001A3E24">
        <w:t xml:space="preserve">and </w:t>
      </w:r>
      <w:r w:rsidRPr="001A3E24">
        <w:t>the P</w:t>
      </w:r>
      <w:r w:rsidR="00B75934" w:rsidRPr="001A3E24">
        <w:t>rotocol’s investment framework</w:t>
      </w:r>
      <w:r w:rsidR="00F261E3" w:rsidRPr="001A3E24">
        <w:t xml:space="preserve"> may reduce unc</w:t>
      </w:r>
      <w:r w:rsidR="003744DA" w:rsidRPr="001A3E24">
        <w:t>ertainty by clarifying investor</w:t>
      </w:r>
      <w:r w:rsidR="00F261E3" w:rsidRPr="001A3E24">
        <w:t>s</w:t>
      </w:r>
      <w:r w:rsidR="003744DA" w:rsidRPr="001A3E24">
        <w:t>’</w:t>
      </w:r>
      <w:r w:rsidR="00F261E3" w:rsidRPr="001A3E24">
        <w:t xml:space="preserve"> rights.</w:t>
      </w:r>
      <w:r w:rsidR="00B122C9" w:rsidRPr="001A3E24">
        <w:t xml:space="preserve"> </w:t>
      </w:r>
      <w:r w:rsidR="007F62AE" w:rsidRPr="001A3E24">
        <w:t>As discussed in the next section</w:t>
      </w:r>
      <w:r w:rsidR="003744DA" w:rsidRPr="001A3E24">
        <w:t>,</w:t>
      </w:r>
      <w:r w:rsidR="007F62AE" w:rsidRPr="001A3E24">
        <w:t xml:space="preserve"> quantifying these effects is a difficult and </w:t>
      </w:r>
      <w:r w:rsidR="00DB6FCB" w:rsidRPr="001A3E24">
        <w:t>sometime</w:t>
      </w:r>
      <w:r w:rsidR="004F2424" w:rsidRPr="001A3E24">
        <w:t>s</w:t>
      </w:r>
      <w:r w:rsidR="00DB6FCB" w:rsidRPr="001A3E24">
        <w:t xml:space="preserve"> </w:t>
      </w:r>
      <w:r w:rsidR="007F62AE" w:rsidRPr="001A3E24">
        <w:t>contentious process.</w:t>
      </w:r>
    </w:p>
    <w:p w:rsidR="00926C10" w:rsidRPr="001A3E24" w:rsidRDefault="00475404" w:rsidP="00B122C9">
      <w:pPr>
        <w:pStyle w:val="BodyText"/>
      </w:pPr>
      <w:r>
        <w:t xml:space="preserve">The Protocol is not expected to </w:t>
      </w:r>
      <w:r w:rsidRPr="00475404">
        <w:t xml:space="preserve">impose obligations on </w:t>
      </w:r>
      <w:r w:rsidR="003744DA">
        <w:t>Australia or New Zealand</w:t>
      </w:r>
      <w:r w:rsidRPr="00475404">
        <w:t xml:space="preserve"> to extend preferential arr</w:t>
      </w:r>
      <w:r w:rsidR="006A330F">
        <w:t xml:space="preserve">angements to any other country. </w:t>
      </w:r>
      <w:r w:rsidR="00926C10" w:rsidRPr="0052022E">
        <w:t xml:space="preserve">Based on the Commissions’ reading of Australia’s and New Zealand’s </w:t>
      </w:r>
      <w:r w:rsidR="001F0028">
        <w:t>bilateral and regional trade agreements (</w:t>
      </w:r>
      <w:proofErr w:type="spellStart"/>
      <w:r w:rsidR="00926C10" w:rsidRPr="0052022E">
        <w:t>BRTAs</w:t>
      </w:r>
      <w:proofErr w:type="spellEnd"/>
      <w:r w:rsidR="001F0028">
        <w:t>)</w:t>
      </w:r>
      <w:r w:rsidR="00926C10" w:rsidRPr="0052022E">
        <w:t xml:space="preserve"> and bilateral investment treaties (</w:t>
      </w:r>
      <w:proofErr w:type="spellStart"/>
      <w:r w:rsidR="00926C10" w:rsidRPr="0052022E">
        <w:t>BITs</w:t>
      </w:r>
      <w:proofErr w:type="spellEnd"/>
      <w:r w:rsidR="00926C10" w:rsidRPr="0052022E">
        <w:t xml:space="preserve">), </w:t>
      </w:r>
      <w:r w:rsidR="003744DA">
        <w:t xml:space="preserve">it appears that </w:t>
      </w:r>
      <w:r w:rsidR="00271F51">
        <w:t>t</w:t>
      </w:r>
      <w:r w:rsidR="00926C10" w:rsidRPr="0052022E">
        <w:t xml:space="preserve">he </w:t>
      </w:r>
      <w:r w:rsidR="00271F51">
        <w:t>agreements</w:t>
      </w:r>
      <w:r w:rsidR="00926C10" w:rsidRPr="0052022E">
        <w:t xml:space="preserve"> either do not have an MFN clause that could require this or, where </w:t>
      </w:r>
      <w:r w:rsidR="00926C10" w:rsidRPr="0052022E">
        <w:lastRenderedPageBreak/>
        <w:t xml:space="preserve">they do, existing agreements and extensions to those agreements (such as the </w:t>
      </w:r>
      <w:proofErr w:type="spellStart"/>
      <w:r w:rsidR="00926C10" w:rsidRPr="0052022E">
        <w:t>ANZCERTA</w:t>
      </w:r>
      <w:proofErr w:type="spellEnd"/>
      <w:r w:rsidR="00926C10" w:rsidRPr="0052022E">
        <w:t>) are exempt.</w:t>
      </w:r>
    </w:p>
    <w:p w:rsidR="001461B0" w:rsidRDefault="00FF5E36" w:rsidP="001461B0">
      <w:pPr>
        <w:pStyle w:val="Heading2"/>
      </w:pPr>
      <w:proofErr w:type="spellStart"/>
      <w:r>
        <w:t>C.</w:t>
      </w:r>
      <w:r w:rsidR="00E5348A">
        <w:t>4</w:t>
      </w:r>
      <w:proofErr w:type="spellEnd"/>
      <w:r w:rsidR="001461B0">
        <w:tab/>
        <w:t xml:space="preserve">What are the costs and benefits of </w:t>
      </w:r>
      <w:r w:rsidR="00A47A9A">
        <w:t>existing restrictions on trans</w:t>
      </w:r>
      <w:r w:rsidR="00A47A9A">
        <w:noBreakHyphen/>
      </w:r>
      <w:r w:rsidR="00A537BE">
        <w:t xml:space="preserve">Tasman </w:t>
      </w:r>
      <w:r w:rsidR="00A47A9A">
        <w:t>direct investment</w:t>
      </w:r>
      <w:r w:rsidR="00552FCA">
        <w:t>?</w:t>
      </w:r>
    </w:p>
    <w:p w:rsidR="00763871" w:rsidRDefault="001778D5" w:rsidP="00EB7369">
      <w:pPr>
        <w:pStyle w:val="BodyText"/>
      </w:pPr>
      <w:r>
        <w:t xml:space="preserve">The </w:t>
      </w:r>
      <w:r w:rsidR="00ED5DB9">
        <w:t>existing restrictions on direct investment flows between</w:t>
      </w:r>
      <w:r>
        <w:t xml:space="preserve"> </w:t>
      </w:r>
      <w:r w:rsidR="00ED5DB9">
        <w:t xml:space="preserve">Australia and New Zealand </w:t>
      </w:r>
      <w:r>
        <w:t xml:space="preserve">impose a range of </w:t>
      </w:r>
      <w:r w:rsidR="00C826AA">
        <w:t xml:space="preserve">costs </w:t>
      </w:r>
      <w:r w:rsidR="00ED5DB9">
        <w:t xml:space="preserve">on both countries. The benefits of regulating trans-Tasman </w:t>
      </w:r>
      <w:proofErr w:type="spellStart"/>
      <w:r w:rsidR="00ED5DB9">
        <w:t>FDI</w:t>
      </w:r>
      <w:proofErr w:type="spellEnd"/>
      <w:r w:rsidR="00ED5DB9">
        <w:t xml:space="preserve"> </w:t>
      </w:r>
      <w:r w:rsidR="00A6025B">
        <w:t>are less clear.</w:t>
      </w:r>
    </w:p>
    <w:p w:rsidR="00BE2CFC" w:rsidRDefault="00BE2CFC" w:rsidP="00BE2CFC">
      <w:pPr>
        <w:pStyle w:val="Heading3"/>
      </w:pPr>
      <w:r>
        <w:t>Costs</w:t>
      </w:r>
    </w:p>
    <w:p w:rsidR="008E4F35" w:rsidRDefault="00EB7369" w:rsidP="00584803">
      <w:pPr>
        <w:pStyle w:val="BodyText"/>
      </w:pPr>
      <w:r w:rsidRPr="00EB7369">
        <w:t xml:space="preserve">There are several types of economic costs associated with restrictions on foreign investment. First, </w:t>
      </w:r>
      <w:r w:rsidR="00891B61">
        <w:t xml:space="preserve">restrictions (such as </w:t>
      </w:r>
      <w:r w:rsidRPr="00EB7369">
        <w:t>screening regimes</w:t>
      </w:r>
      <w:r w:rsidR="0015055E">
        <w:t xml:space="preserve"> and equity limits</w:t>
      </w:r>
      <w:r w:rsidR="00891B61">
        <w:t>)</w:t>
      </w:r>
      <w:r w:rsidRPr="00EB7369">
        <w:t xml:space="preserve"> entail administrative costs to governments </w:t>
      </w:r>
      <w:r w:rsidR="000020EA">
        <w:t xml:space="preserve">and compliance costs for firms. They also </w:t>
      </w:r>
      <w:r w:rsidR="008F63E8">
        <w:t xml:space="preserve">increase uncertainty for investors. </w:t>
      </w:r>
      <w:r w:rsidRPr="00EB7369">
        <w:t>Second, restrictions</w:t>
      </w:r>
      <w:r w:rsidR="00C22686">
        <w:t xml:space="preserve"> </w:t>
      </w:r>
      <w:r w:rsidRPr="00EB7369">
        <w:t>may deter foreign investment and result in higher cost domestic capital being used in its place</w:t>
      </w:r>
      <w:r w:rsidR="00F0397E">
        <w:t>,</w:t>
      </w:r>
      <w:r w:rsidR="009F106C">
        <w:t xml:space="preserve"> </w:t>
      </w:r>
      <w:r w:rsidR="00642C74">
        <w:t>increasing</w:t>
      </w:r>
      <w:r w:rsidR="007D79EF">
        <w:t xml:space="preserve"> </w:t>
      </w:r>
      <w:r w:rsidR="00642C74">
        <w:t xml:space="preserve">operating </w:t>
      </w:r>
      <w:r w:rsidR="007D79EF">
        <w:t xml:space="preserve">costs </w:t>
      </w:r>
      <w:r w:rsidR="00642C74">
        <w:t xml:space="preserve">for business </w:t>
      </w:r>
      <w:r w:rsidR="007D79EF">
        <w:t xml:space="preserve">and </w:t>
      </w:r>
      <w:r w:rsidR="00B54C6C">
        <w:t>lower</w:t>
      </w:r>
      <w:r w:rsidR="00642C74">
        <w:t>ing</w:t>
      </w:r>
      <w:r w:rsidR="00B54C6C">
        <w:t xml:space="preserve"> overall investment</w:t>
      </w:r>
      <w:r w:rsidR="00642C74">
        <w:t xml:space="preserve"> in an economy</w:t>
      </w:r>
      <w:r w:rsidRPr="00EB7369">
        <w:t xml:space="preserve">. Third, restrictions may deter </w:t>
      </w:r>
      <w:proofErr w:type="spellStart"/>
      <w:r w:rsidRPr="00EB7369">
        <w:t>FDI</w:t>
      </w:r>
      <w:proofErr w:type="spellEnd"/>
      <w:r w:rsidRPr="00EB7369">
        <w:t xml:space="preserve"> that would have brought with it </w:t>
      </w:r>
      <w:r w:rsidR="00642C74">
        <w:t>increased competition and</w:t>
      </w:r>
      <w:r w:rsidR="007D79EF">
        <w:t xml:space="preserve"> </w:t>
      </w:r>
      <w:r w:rsidRPr="00EB7369">
        <w:t>firm</w:t>
      </w:r>
      <w:r w:rsidR="00E61800">
        <w:noBreakHyphen/>
      </w:r>
      <w:r w:rsidRPr="00EB7369">
        <w:t>specific assets, such as human capital, technology and international reputation.</w:t>
      </w:r>
    </w:p>
    <w:p w:rsidR="00EB7369" w:rsidRPr="00EB7369" w:rsidRDefault="001B2416" w:rsidP="00584803">
      <w:pPr>
        <w:pStyle w:val="BodyText"/>
      </w:pPr>
      <w:r>
        <w:t>Restrictions on</w:t>
      </w:r>
      <w:r w:rsidR="009F106C">
        <w:t xml:space="preserve"> </w:t>
      </w:r>
      <w:proofErr w:type="spellStart"/>
      <w:r w:rsidR="009F106C">
        <w:t>FDI</w:t>
      </w:r>
      <w:proofErr w:type="spellEnd"/>
      <w:r w:rsidR="009F106C" w:rsidRPr="00EB7369">
        <w:t xml:space="preserve"> </w:t>
      </w:r>
      <w:r w:rsidR="00EB7369" w:rsidRPr="00EB7369">
        <w:t xml:space="preserve">can be particularly important in service sectors, where </w:t>
      </w:r>
      <w:proofErr w:type="spellStart"/>
      <w:r w:rsidR="00CB1916">
        <w:t>FDI</w:t>
      </w:r>
      <w:proofErr w:type="spellEnd"/>
      <w:r w:rsidR="00E61800">
        <w:t xml:space="preserve"> </w:t>
      </w:r>
      <w:r w:rsidR="00EB7369" w:rsidRPr="00EB7369">
        <w:t xml:space="preserve">allows trade to occur through </w:t>
      </w:r>
      <w:r w:rsidR="00642C74">
        <w:t xml:space="preserve">the ‘commercial presence’ mode. </w:t>
      </w:r>
      <w:r w:rsidR="00EB7369" w:rsidRPr="00EB7369">
        <w:t>For service sectors affected, foreign investment restrictions can result in</w:t>
      </w:r>
      <w:r w:rsidR="009A3FAA">
        <w:t xml:space="preserve"> </w:t>
      </w:r>
      <w:r w:rsidR="006D7B22">
        <w:t xml:space="preserve">a range of </w:t>
      </w:r>
      <w:r w:rsidR="008E4F35">
        <w:t xml:space="preserve">additional </w:t>
      </w:r>
      <w:r w:rsidR="009A3FAA">
        <w:t>economic costs including</w:t>
      </w:r>
      <w:r w:rsidR="00584803">
        <w:t xml:space="preserve"> higher prices (through </w:t>
      </w:r>
      <w:r w:rsidR="00EB7369" w:rsidRPr="00EB7369">
        <w:t>less competition</w:t>
      </w:r>
      <w:r w:rsidR="00584803">
        <w:t xml:space="preserve">) and </w:t>
      </w:r>
      <w:r w:rsidR="00A6025B">
        <w:t>less diversity and innovation</w:t>
      </w:r>
      <w:r w:rsidR="00EB7369" w:rsidRPr="00EB7369">
        <w:t xml:space="preserve"> (Hardin and Holmes</w:t>
      </w:r>
      <w:r w:rsidR="00AB3DAC">
        <w:t> </w:t>
      </w:r>
      <w:r w:rsidR="00EB7369" w:rsidRPr="00EB7369">
        <w:t>1997).</w:t>
      </w:r>
    </w:p>
    <w:p w:rsidR="00B74742" w:rsidRDefault="00DF765D" w:rsidP="00B74742">
      <w:pPr>
        <w:pStyle w:val="BodyText"/>
      </w:pPr>
      <w:r>
        <w:t>I</w:t>
      </w:r>
      <w:r w:rsidR="00B74742" w:rsidRPr="00D806B7">
        <w:t xml:space="preserve">nternational research </w:t>
      </w:r>
      <w:r w:rsidR="00B74742">
        <w:t>supports the idea that</w:t>
      </w:r>
      <w:r w:rsidR="00B74742" w:rsidRPr="00D806B7">
        <w:t xml:space="preserve"> restrictions </w:t>
      </w:r>
      <w:r w:rsidR="001F0028">
        <w:t>o</w:t>
      </w:r>
      <w:r w:rsidR="00B74742">
        <w:t xml:space="preserve">n </w:t>
      </w:r>
      <w:proofErr w:type="spellStart"/>
      <w:r w:rsidR="00B74742">
        <w:t>FDI</w:t>
      </w:r>
      <w:proofErr w:type="spellEnd"/>
      <w:r w:rsidR="00B74742">
        <w:t xml:space="preserve"> </w:t>
      </w:r>
      <w:r w:rsidR="00B74742" w:rsidRPr="00D806B7">
        <w:t xml:space="preserve">impose a range of </w:t>
      </w:r>
      <w:r w:rsidR="00BD092C">
        <w:t xml:space="preserve">economic </w:t>
      </w:r>
      <w:r w:rsidR="00B74742" w:rsidRPr="00D806B7">
        <w:t>costs on the recipient economy. Restrictions in specific sectors such as telecommunications have been found to be associated with the reduced spread of telecommunications technology and services (Warren 2000), higher prices (Warren 2000) and reduced trade and competition in that sector (OECD 2008).</w:t>
      </w:r>
      <w:r w:rsidR="00B74742">
        <w:t xml:space="preserve"> At the economy-wide level</w:t>
      </w:r>
      <w:r w:rsidR="0035619F">
        <w:t>,</w:t>
      </w:r>
      <w:r w:rsidR="00B74742">
        <w:t xml:space="preserve"> </w:t>
      </w:r>
      <w:r w:rsidR="00B74742" w:rsidRPr="00D806B7">
        <w:t xml:space="preserve">higher foreign investment barriers are associated with lower levels of trade and investment (OECD </w:t>
      </w:r>
      <w:r w:rsidR="00805197">
        <w:t xml:space="preserve">2003 and </w:t>
      </w:r>
      <w:r w:rsidR="00B74742" w:rsidRPr="00D806B7">
        <w:t>2006</w:t>
      </w:r>
      <w:r w:rsidR="00A1522C">
        <w:t xml:space="preserve">) </w:t>
      </w:r>
      <w:r w:rsidR="00B74742" w:rsidRPr="00D806B7">
        <w:t>and reduced national incomes (OECD 2005).</w:t>
      </w:r>
    </w:p>
    <w:p w:rsidR="008F2A46" w:rsidRPr="00D544D4" w:rsidRDefault="008F2A46" w:rsidP="008F2A46">
      <w:pPr>
        <w:pStyle w:val="BodyText"/>
      </w:pPr>
      <w:r w:rsidRPr="00D544D4">
        <w:lastRenderedPageBreak/>
        <w:t xml:space="preserve">The Australian and New Zealand </w:t>
      </w:r>
      <w:r w:rsidR="00E62184" w:rsidRPr="00D544D4">
        <w:t>G</w:t>
      </w:r>
      <w:r w:rsidRPr="00D544D4">
        <w:t xml:space="preserve">overnments incur administrative costs in screening </w:t>
      </w:r>
      <w:proofErr w:type="spellStart"/>
      <w:r w:rsidRPr="00D544D4">
        <w:t>FDI</w:t>
      </w:r>
      <w:proofErr w:type="spellEnd"/>
      <w:r w:rsidRPr="00D544D4">
        <w:t xml:space="preserve"> </w:t>
      </w:r>
      <w:r w:rsidR="004E5223" w:rsidRPr="00D544D4">
        <w:t xml:space="preserve">proposals </w:t>
      </w:r>
      <w:r w:rsidRPr="00D544D4">
        <w:t xml:space="preserve">from each other’s </w:t>
      </w:r>
      <w:r w:rsidR="004E5223" w:rsidRPr="00D544D4">
        <w:t>investors</w:t>
      </w:r>
      <w:r w:rsidR="002734ED" w:rsidRPr="00D544D4">
        <w:t>,</w:t>
      </w:r>
      <w:r w:rsidRPr="00D544D4">
        <w:t xml:space="preserve"> including the operating costs of the </w:t>
      </w:r>
      <w:r w:rsidR="004E5223" w:rsidRPr="00D544D4">
        <w:t xml:space="preserve">primary screening </w:t>
      </w:r>
      <w:r w:rsidRPr="00D544D4">
        <w:t xml:space="preserve">agencies (the </w:t>
      </w:r>
      <w:r w:rsidR="004F2424" w:rsidRPr="00D544D4">
        <w:t>Foreign Investment Review Board (</w:t>
      </w:r>
      <w:proofErr w:type="spellStart"/>
      <w:r w:rsidRPr="00D544D4">
        <w:t>FIRB</w:t>
      </w:r>
      <w:proofErr w:type="spellEnd"/>
      <w:r w:rsidR="004F2424" w:rsidRPr="00D544D4">
        <w:t>)</w:t>
      </w:r>
      <w:r w:rsidRPr="00D544D4">
        <w:t xml:space="preserve"> in Australia and the </w:t>
      </w:r>
      <w:r w:rsidR="004F2424" w:rsidRPr="00D544D4">
        <w:t>Overseas Investment Office (</w:t>
      </w:r>
      <w:proofErr w:type="spellStart"/>
      <w:r w:rsidRPr="00D544D4">
        <w:t>OIO</w:t>
      </w:r>
      <w:proofErr w:type="spellEnd"/>
      <w:r w:rsidR="004F2424" w:rsidRPr="00D544D4">
        <w:t>)</w:t>
      </w:r>
      <w:r w:rsidRPr="00D544D4">
        <w:t xml:space="preserve"> in New Zealand) </w:t>
      </w:r>
      <w:r w:rsidR="004E5223" w:rsidRPr="00D544D4">
        <w:t xml:space="preserve">and other </w:t>
      </w:r>
      <w:r w:rsidR="00CB1916">
        <w:t>agencies</w:t>
      </w:r>
      <w:r w:rsidR="004E5223" w:rsidRPr="00D544D4">
        <w:t xml:space="preserve"> (such as competition, environmental and national security authorities).</w:t>
      </w:r>
    </w:p>
    <w:p w:rsidR="00483661" w:rsidRDefault="006D7B22" w:rsidP="000850E5">
      <w:pPr>
        <w:pStyle w:val="BodyText"/>
      </w:pPr>
      <w:r w:rsidRPr="00D544D4">
        <w:t>The s</w:t>
      </w:r>
      <w:r w:rsidR="008A7758" w:rsidRPr="00D544D4">
        <w:t xml:space="preserve">creening regimes operated by both countries also impose compliance costs on </w:t>
      </w:r>
      <w:r w:rsidR="00401713" w:rsidRPr="00D544D4">
        <w:t>Aust</w:t>
      </w:r>
      <w:r w:rsidR="008A7758" w:rsidRPr="00D544D4">
        <w:t>ralian and New Zealand investors</w:t>
      </w:r>
      <w:r w:rsidR="00401713" w:rsidRPr="00D544D4">
        <w:t xml:space="preserve">. </w:t>
      </w:r>
      <w:r w:rsidR="00BC3855" w:rsidRPr="00D544D4">
        <w:t>The N</w:t>
      </w:r>
      <w:r w:rsidR="00E61800" w:rsidRPr="00D544D4">
        <w:t xml:space="preserve">ew </w:t>
      </w:r>
      <w:r w:rsidR="00BC3855" w:rsidRPr="00D544D4">
        <w:t>Z</w:t>
      </w:r>
      <w:r w:rsidR="00E61800" w:rsidRPr="00D544D4">
        <w:t>ealand</w:t>
      </w:r>
      <w:r w:rsidR="00BC3855" w:rsidRPr="00D544D4">
        <w:t xml:space="preserve"> Treasury estimates </w:t>
      </w:r>
      <w:r w:rsidR="0082401E" w:rsidRPr="00D544D4">
        <w:t>t</w:t>
      </w:r>
      <w:r w:rsidR="00553170" w:rsidRPr="00D544D4">
        <w:t xml:space="preserve">he </w:t>
      </w:r>
      <w:r w:rsidR="004E5223" w:rsidRPr="00D544D4">
        <w:t xml:space="preserve">average </w:t>
      </w:r>
      <w:r w:rsidR="00553170" w:rsidRPr="00D544D4">
        <w:t xml:space="preserve">cost of a business application </w:t>
      </w:r>
      <w:r w:rsidR="005F7B66" w:rsidRPr="00D544D4">
        <w:t xml:space="preserve">(including </w:t>
      </w:r>
      <w:r w:rsidR="008A7758" w:rsidRPr="00D544D4">
        <w:t>government</w:t>
      </w:r>
      <w:r w:rsidR="005F7B66" w:rsidRPr="00D544D4">
        <w:t xml:space="preserve"> and legal fees) </w:t>
      </w:r>
      <w:r w:rsidR="00553170" w:rsidRPr="00D544D4">
        <w:t xml:space="preserve">at </w:t>
      </w:r>
      <w:r w:rsidR="00BC3855" w:rsidRPr="00D544D4">
        <w:t xml:space="preserve">around </w:t>
      </w:r>
      <w:proofErr w:type="spellStart"/>
      <w:r w:rsidR="00BC3855" w:rsidRPr="00D544D4">
        <w:t>NZ$30</w:t>
      </w:r>
      <w:proofErr w:type="spellEnd"/>
      <w:r w:rsidR="00552FCA" w:rsidRPr="00D544D4">
        <w:t> </w:t>
      </w:r>
      <w:r w:rsidR="00BC3855" w:rsidRPr="00D544D4">
        <w:t xml:space="preserve">000 </w:t>
      </w:r>
      <w:r w:rsidR="0082401E" w:rsidRPr="00D544D4">
        <w:t>and</w:t>
      </w:r>
      <w:r w:rsidR="00553170" w:rsidRPr="00D544D4">
        <w:t xml:space="preserve"> the cost of a land </w:t>
      </w:r>
      <w:r w:rsidR="00BC3855" w:rsidRPr="00D544D4">
        <w:t xml:space="preserve">application </w:t>
      </w:r>
      <w:r w:rsidR="00553170" w:rsidRPr="00D544D4">
        <w:t>at</w:t>
      </w:r>
      <w:r w:rsidR="00BC3855" w:rsidRPr="00D544D4">
        <w:t xml:space="preserve"> bet</w:t>
      </w:r>
      <w:r w:rsidR="00553170" w:rsidRPr="00D544D4">
        <w:t xml:space="preserve">ween </w:t>
      </w:r>
      <w:proofErr w:type="spellStart"/>
      <w:r w:rsidR="00553170" w:rsidRPr="00D544D4">
        <w:t>NZ$45</w:t>
      </w:r>
      <w:proofErr w:type="spellEnd"/>
      <w:r w:rsidR="00552FCA" w:rsidRPr="00D544D4">
        <w:t> </w:t>
      </w:r>
      <w:r w:rsidR="00553170" w:rsidRPr="00D544D4">
        <w:t xml:space="preserve">000 and </w:t>
      </w:r>
      <w:proofErr w:type="spellStart"/>
      <w:r w:rsidR="00553170" w:rsidRPr="00D544D4">
        <w:t>NZ$</w:t>
      </w:r>
      <w:r w:rsidR="0082401E" w:rsidRPr="00D544D4">
        <w:t>320</w:t>
      </w:r>
      <w:proofErr w:type="spellEnd"/>
      <w:r w:rsidR="0082401E" w:rsidRPr="00D544D4">
        <w:t> </w:t>
      </w:r>
      <w:r w:rsidR="004E5223" w:rsidRPr="00D544D4">
        <w:t>000</w:t>
      </w:r>
      <w:r w:rsidR="009A1354" w:rsidRPr="00D544D4">
        <w:t xml:space="preserve"> </w:t>
      </w:r>
      <w:r w:rsidR="004E5223" w:rsidRPr="00D544D4">
        <w:t>(</w:t>
      </w:r>
      <w:r w:rsidR="00BC3855" w:rsidRPr="00D544D4">
        <w:t>depend</w:t>
      </w:r>
      <w:r w:rsidR="009A1354" w:rsidRPr="00D544D4">
        <w:t>ing</w:t>
      </w:r>
      <w:r w:rsidR="00BC3855" w:rsidRPr="00D544D4">
        <w:t xml:space="preserve"> on the </w:t>
      </w:r>
      <w:r w:rsidR="00BC3855" w:rsidRPr="00BC3855">
        <w:t xml:space="preserve">complexity </w:t>
      </w:r>
      <w:r w:rsidR="005F7B66">
        <w:t>of the application</w:t>
      </w:r>
      <w:r w:rsidR="004E5223">
        <w:t>)</w:t>
      </w:r>
      <w:r w:rsidR="000D224A">
        <w:t xml:space="preserve"> (</w:t>
      </w:r>
      <w:r w:rsidR="000D224A" w:rsidRPr="00BC3855">
        <w:t>N</w:t>
      </w:r>
      <w:r w:rsidR="007868ED">
        <w:t xml:space="preserve">ew </w:t>
      </w:r>
      <w:r w:rsidR="000D224A" w:rsidRPr="00BC3855">
        <w:t>Z</w:t>
      </w:r>
      <w:r w:rsidR="007868ED">
        <w:t>ealand</w:t>
      </w:r>
      <w:r w:rsidR="000D224A" w:rsidRPr="00BC3855">
        <w:t xml:space="preserve"> </w:t>
      </w:r>
      <w:r w:rsidR="000D224A" w:rsidRPr="00D544D4">
        <w:t>Treasury </w:t>
      </w:r>
      <w:proofErr w:type="spellStart"/>
      <w:r w:rsidR="000D224A" w:rsidRPr="00D544D4">
        <w:t>2009b</w:t>
      </w:r>
      <w:proofErr w:type="spellEnd"/>
      <w:r w:rsidR="000D224A" w:rsidRPr="00D544D4">
        <w:t>)</w:t>
      </w:r>
      <w:r w:rsidR="00BC3855">
        <w:t>.</w:t>
      </w:r>
      <w:r w:rsidR="00BC3855" w:rsidRPr="00BC3855">
        <w:t xml:space="preserve"> </w:t>
      </w:r>
      <w:r w:rsidR="00483661">
        <w:t>B</w:t>
      </w:r>
      <w:r w:rsidR="00483661" w:rsidRPr="00483661">
        <w:t>usiness application</w:t>
      </w:r>
      <w:r w:rsidR="00483661">
        <w:t>s that include</w:t>
      </w:r>
      <w:r w:rsidR="00483661" w:rsidRPr="00483661">
        <w:t xml:space="preserve"> some ‘sensitive</w:t>
      </w:r>
      <w:r w:rsidR="009A1354">
        <w:t>’</w:t>
      </w:r>
      <w:r w:rsidR="00483661" w:rsidRPr="00483661">
        <w:t xml:space="preserve"> land </w:t>
      </w:r>
      <w:r w:rsidR="00483661">
        <w:t xml:space="preserve">must comply with the land application processes and </w:t>
      </w:r>
      <w:r w:rsidR="0035619F">
        <w:t>so</w:t>
      </w:r>
      <w:r w:rsidR="00483661">
        <w:t xml:space="preserve"> incur higher costs</w:t>
      </w:r>
      <w:r w:rsidR="000D224A">
        <w:t>.</w:t>
      </w:r>
    </w:p>
    <w:p w:rsidR="0004250D" w:rsidRDefault="008A7758" w:rsidP="00390AA4">
      <w:pPr>
        <w:pStyle w:val="BodyText"/>
      </w:pPr>
      <w:r>
        <w:t>T</w:t>
      </w:r>
      <w:r w:rsidR="00BC3855">
        <w:t>ime delay</w:t>
      </w:r>
      <w:r w:rsidR="00BE77D3">
        <w:t>s</w:t>
      </w:r>
      <w:r w:rsidR="00BC3855">
        <w:t xml:space="preserve"> </w:t>
      </w:r>
      <w:r>
        <w:t>incurred in</w:t>
      </w:r>
      <w:r w:rsidR="00BE77D3">
        <w:t xml:space="preserve"> preparing an application and waiting for the outcome</w:t>
      </w:r>
      <w:r>
        <w:t xml:space="preserve"> also </w:t>
      </w:r>
      <w:r w:rsidR="00352445">
        <w:t>increase</w:t>
      </w:r>
      <w:r>
        <w:t xml:space="preserve"> compliance costs</w:t>
      </w:r>
      <w:r w:rsidR="006D7B22">
        <w:t xml:space="preserve"> for investors</w:t>
      </w:r>
      <w:r w:rsidR="00634928">
        <w:t>.</w:t>
      </w:r>
      <w:r w:rsidR="00390AA4">
        <w:t xml:space="preserve"> </w:t>
      </w:r>
      <w:r w:rsidR="00634928">
        <w:t>F</w:t>
      </w:r>
      <w:r w:rsidR="009A1354">
        <w:t xml:space="preserve">or example, </w:t>
      </w:r>
      <w:r w:rsidR="00634928">
        <w:t xml:space="preserve">the </w:t>
      </w:r>
      <w:r w:rsidR="005C01CC">
        <w:t xml:space="preserve">New Zealand Treasury </w:t>
      </w:r>
      <w:r w:rsidR="00390AA4">
        <w:t>estimate</w:t>
      </w:r>
      <w:r w:rsidR="0048506B">
        <w:t>s</w:t>
      </w:r>
      <w:r w:rsidR="005C01CC">
        <w:t xml:space="preserve"> that hedging a </w:t>
      </w:r>
      <w:proofErr w:type="spellStart"/>
      <w:r w:rsidR="005C01CC">
        <w:t>NZ$100m</w:t>
      </w:r>
      <w:proofErr w:type="spellEnd"/>
      <w:r w:rsidR="005C01CC">
        <w:t xml:space="preserve"> investment (the minimum business investment that would be screened) for two months would cost </w:t>
      </w:r>
      <w:r w:rsidR="0048506B">
        <w:t xml:space="preserve">an investor </w:t>
      </w:r>
      <w:r w:rsidR="005C01CC">
        <w:t xml:space="preserve">around </w:t>
      </w:r>
      <w:proofErr w:type="spellStart"/>
      <w:r w:rsidR="005C01CC">
        <w:t>NZ$650</w:t>
      </w:r>
      <w:proofErr w:type="spellEnd"/>
      <w:r w:rsidR="0048506B">
        <w:t> </w:t>
      </w:r>
      <w:r w:rsidR="005C01CC">
        <w:t xml:space="preserve">000, increasing to around </w:t>
      </w:r>
      <w:proofErr w:type="spellStart"/>
      <w:r w:rsidR="005C01CC">
        <w:t>NZ$2</w:t>
      </w:r>
      <w:proofErr w:type="spellEnd"/>
      <w:r w:rsidR="005C01CC">
        <w:t xml:space="preserve"> million for six months</w:t>
      </w:r>
      <w:r w:rsidR="00634928">
        <w:t xml:space="preserve">. The New Zealand Treasury </w:t>
      </w:r>
      <w:r w:rsidR="0048506B">
        <w:t>reported</w:t>
      </w:r>
      <w:r w:rsidR="00634928">
        <w:t xml:space="preserve"> that business applications take up to five days to prepare, land applications three to five weeks, while approvals for both can take up to 50 days</w:t>
      </w:r>
      <w:r w:rsidR="00634928" w:rsidRPr="00D544D4">
        <w:t xml:space="preserve">. </w:t>
      </w:r>
      <w:r w:rsidR="00634928">
        <w:t>(</w:t>
      </w:r>
      <w:r w:rsidR="00634928" w:rsidRPr="00BC3855">
        <w:t>N</w:t>
      </w:r>
      <w:r w:rsidR="00634928">
        <w:t xml:space="preserve">ew </w:t>
      </w:r>
      <w:r w:rsidR="00634928" w:rsidRPr="00BC3855">
        <w:t>Z</w:t>
      </w:r>
      <w:r w:rsidR="00634928">
        <w:t>ealand</w:t>
      </w:r>
      <w:r w:rsidR="00634928" w:rsidRPr="00BC3855">
        <w:t xml:space="preserve"> </w:t>
      </w:r>
      <w:r w:rsidR="00634928" w:rsidRPr="00D544D4">
        <w:t>Treasury </w:t>
      </w:r>
      <w:proofErr w:type="spellStart"/>
      <w:r w:rsidR="00634928" w:rsidRPr="00D544D4">
        <w:t>2009b</w:t>
      </w:r>
      <w:proofErr w:type="spellEnd"/>
      <w:r w:rsidR="00634928" w:rsidRPr="00D544D4">
        <w:t>)</w:t>
      </w:r>
      <w:r w:rsidR="005C01CC">
        <w:t>.</w:t>
      </w:r>
      <w:r w:rsidR="00274E0A">
        <w:t xml:space="preserve"> </w:t>
      </w:r>
      <w:r w:rsidR="00274E0A" w:rsidRPr="00D544D4">
        <w:t xml:space="preserve">The Commissions are unaware of estimates of compliance costs faced by New Zealand investors under the Australian screening </w:t>
      </w:r>
      <w:r w:rsidR="00274E0A" w:rsidRPr="00A6025B">
        <w:t>regime</w:t>
      </w:r>
      <w:r w:rsidR="00274E0A">
        <w:t>.</w:t>
      </w:r>
    </w:p>
    <w:p w:rsidR="00926C10" w:rsidRPr="00D544D4" w:rsidRDefault="00CF1794" w:rsidP="00AB78F6">
      <w:pPr>
        <w:pStyle w:val="BodyText"/>
      </w:pPr>
      <w:r w:rsidRPr="00D544D4">
        <w:t xml:space="preserve">Estimating </w:t>
      </w:r>
      <w:r w:rsidR="00527525" w:rsidRPr="00D544D4">
        <w:t xml:space="preserve">the </w:t>
      </w:r>
      <w:r w:rsidRPr="00D544D4">
        <w:t xml:space="preserve">quantity of trans-Tasman investment </w:t>
      </w:r>
      <w:r w:rsidR="000B565B" w:rsidRPr="00D544D4">
        <w:t>deterred</w:t>
      </w:r>
      <w:r w:rsidRPr="00D544D4">
        <w:t xml:space="preserve"> by existing </w:t>
      </w:r>
      <w:r w:rsidR="00DB5C85" w:rsidRPr="00D544D4">
        <w:t>restrictions</w:t>
      </w:r>
      <w:r w:rsidRPr="00D544D4">
        <w:t xml:space="preserve"> and the resultant </w:t>
      </w:r>
      <w:r w:rsidR="00527525" w:rsidRPr="00D544D4">
        <w:t xml:space="preserve">economic costs </w:t>
      </w:r>
      <w:r w:rsidR="00277CEC" w:rsidRPr="00D544D4">
        <w:t xml:space="preserve">to Australia and New Zealand </w:t>
      </w:r>
      <w:r w:rsidR="00527525" w:rsidRPr="00D544D4">
        <w:t>is a con</w:t>
      </w:r>
      <w:r w:rsidR="006E7808" w:rsidRPr="00D544D4">
        <w:t xml:space="preserve">tentious methodological issue. </w:t>
      </w:r>
      <w:r w:rsidR="001C0963" w:rsidRPr="00D544D4">
        <w:t xml:space="preserve">Different </w:t>
      </w:r>
      <w:r w:rsidR="00F91A35" w:rsidRPr="00D544D4">
        <w:t xml:space="preserve">approaches have been used in recent years </w:t>
      </w:r>
      <w:r w:rsidR="00E62184" w:rsidRPr="00D544D4">
        <w:t xml:space="preserve">in an </w:t>
      </w:r>
      <w:r w:rsidR="008D79ED" w:rsidRPr="00D544D4">
        <w:t xml:space="preserve">attempt to </w:t>
      </w:r>
      <w:r w:rsidR="00F91A35" w:rsidRPr="00D544D4">
        <w:t xml:space="preserve">quantify </w:t>
      </w:r>
      <w:proofErr w:type="spellStart"/>
      <w:r w:rsidR="001C0963" w:rsidRPr="00D544D4">
        <w:t>FDI</w:t>
      </w:r>
      <w:proofErr w:type="spellEnd"/>
      <w:r w:rsidR="001C0963" w:rsidRPr="00D544D4">
        <w:t xml:space="preserve"> </w:t>
      </w:r>
      <w:r w:rsidR="00F91A35" w:rsidRPr="00D544D4">
        <w:t xml:space="preserve">screening and equity restrictions and </w:t>
      </w:r>
      <w:r w:rsidR="00527525" w:rsidRPr="00D544D4">
        <w:t>model</w:t>
      </w:r>
      <w:r w:rsidR="00F91A35" w:rsidRPr="00D544D4">
        <w:t xml:space="preserve"> th</w:t>
      </w:r>
      <w:r w:rsidR="001C0963" w:rsidRPr="00D544D4">
        <w:t xml:space="preserve">eir </w:t>
      </w:r>
      <w:r w:rsidR="00E62184" w:rsidRPr="00D544D4">
        <w:t xml:space="preserve">economic </w:t>
      </w:r>
      <w:r w:rsidR="001C0963" w:rsidRPr="00D544D4">
        <w:t>impacts</w:t>
      </w:r>
      <w:r w:rsidR="00F91A35" w:rsidRPr="00D544D4">
        <w:t xml:space="preserve"> </w:t>
      </w:r>
      <w:r w:rsidR="00843192" w:rsidRPr="00D544D4">
        <w:t>(</w:t>
      </w:r>
      <w:r w:rsidR="00A552E6" w:rsidRPr="00D544D4">
        <w:t>box </w:t>
      </w:r>
      <w:proofErr w:type="spellStart"/>
      <w:r w:rsidR="00843192" w:rsidRPr="00D544D4">
        <w:t>C</w:t>
      </w:r>
      <w:r w:rsidR="00A6025B" w:rsidRPr="00D544D4">
        <w:t>.4</w:t>
      </w:r>
      <w:proofErr w:type="spellEnd"/>
      <w:r w:rsidR="00A6025B" w:rsidRPr="00D544D4">
        <w:t>).</w:t>
      </w:r>
    </w:p>
    <w:p w:rsidR="007F151C" w:rsidRDefault="007F151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F151C" w:rsidTr="007F151C">
        <w:tc>
          <w:tcPr>
            <w:tcW w:w="8771" w:type="dxa"/>
            <w:tcBorders>
              <w:top w:val="nil"/>
              <w:left w:val="nil"/>
              <w:bottom w:val="nil"/>
              <w:right w:val="nil"/>
            </w:tcBorders>
            <w:shd w:val="clear" w:color="auto" w:fill="D9EAF0"/>
          </w:tcPr>
          <w:p w:rsidR="007F151C" w:rsidRDefault="00FA4454" w:rsidP="000060CE">
            <w:pPr>
              <w:pStyle w:val="BoxTitle"/>
            </w:pPr>
            <w:r w:rsidRPr="00FA4454">
              <w:rPr>
                <w:b w:val="0"/>
              </w:rPr>
              <w:t xml:space="preserve">Box </w:t>
            </w:r>
            <w:proofErr w:type="spellStart"/>
            <w:r w:rsidR="00415A1F">
              <w:rPr>
                <w:b w:val="0"/>
              </w:rPr>
              <w:t>C.4</w:t>
            </w:r>
            <w:proofErr w:type="spellEnd"/>
            <w:r w:rsidR="000060CE">
              <w:tab/>
              <w:t xml:space="preserve">Measuring the </w:t>
            </w:r>
            <w:r w:rsidR="007F151C">
              <w:t xml:space="preserve">economic costs of </w:t>
            </w:r>
            <w:r w:rsidR="00541615">
              <w:t>foreign direct investment</w:t>
            </w:r>
            <w:r w:rsidR="007F151C">
              <w:t xml:space="preserve"> </w:t>
            </w:r>
            <w:r w:rsidR="000060CE">
              <w:t>restrictions</w:t>
            </w:r>
          </w:p>
        </w:tc>
      </w:tr>
      <w:tr w:rsidR="007F151C" w:rsidRPr="00A6025B" w:rsidTr="007F151C">
        <w:trPr>
          <w:cantSplit/>
        </w:trPr>
        <w:tc>
          <w:tcPr>
            <w:tcW w:w="8771" w:type="dxa"/>
            <w:tcBorders>
              <w:top w:val="nil"/>
              <w:left w:val="nil"/>
              <w:bottom w:val="nil"/>
              <w:right w:val="nil"/>
            </w:tcBorders>
            <w:shd w:val="clear" w:color="auto" w:fill="D9EAF0"/>
          </w:tcPr>
          <w:p w:rsidR="00280CDF" w:rsidRPr="00A6025B" w:rsidRDefault="003E03AC" w:rsidP="00A6025B">
            <w:pPr>
              <w:pStyle w:val="Box"/>
            </w:pPr>
            <w:r>
              <w:t>Various approaches have been used to m</w:t>
            </w:r>
            <w:r w:rsidR="00280CDF" w:rsidRPr="00A6025B">
              <w:t>easur</w:t>
            </w:r>
            <w:r>
              <w:t>e</w:t>
            </w:r>
            <w:r w:rsidR="00280CDF" w:rsidRPr="00A6025B">
              <w:t xml:space="preserve"> the costs imposed by </w:t>
            </w:r>
            <w:r w:rsidR="00B6786A">
              <w:t>foreign direct investment (</w:t>
            </w:r>
            <w:proofErr w:type="spellStart"/>
            <w:r w:rsidR="00280CDF" w:rsidRPr="00A6025B">
              <w:t>FDI</w:t>
            </w:r>
            <w:proofErr w:type="spellEnd"/>
            <w:r w:rsidR="00B6786A">
              <w:t>)</w:t>
            </w:r>
            <w:r w:rsidR="00280CDF" w:rsidRPr="00A6025B">
              <w:t xml:space="preserve"> regime</w:t>
            </w:r>
            <w:r w:rsidR="00B9035C">
              <w:t>s</w:t>
            </w:r>
            <w:r w:rsidR="00A6025B" w:rsidRPr="00A6025B">
              <w:t>.</w:t>
            </w:r>
          </w:p>
          <w:p w:rsidR="001F0028" w:rsidRDefault="007F151C" w:rsidP="00A6025B">
            <w:pPr>
              <w:pStyle w:val="Box"/>
            </w:pPr>
            <w:r w:rsidRPr="00A6025B">
              <w:t>The Centre for International Economics (CIE</w:t>
            </w:r>
            <w:r w:rsidR="00AB3DAC">
              <w:t> </w:t>
            </w:r>
            <w:r w:rsidRPr="00A6025B">
              <w:t>2004) — in work assessing the impact of increased screening thresholds under the Australia United States Free Trade Agreement (</w:t>
            </w:r>
            <w:proofErr w:type="spellStart"/>
            <w:r w:rsidRPr="00A6025B">
              <w:t>AUSFTA</w:t>
            </w:r>
            <w:proofErr w:type="spellEnd"/>
            <w:r w:rsidRPr="00A6025B">
              <w:t xml:space="preserve">) — argued that screening thresholds increased the equity risk premium on investing in Australia, increasing the cost of capital and deterring inflows of </w:t>
            </w:r>
            <w:proofErr w:type="spellStart"/>
            <w:r w:rsidRPr="00A6025B">
              <w:t>FDI</w:t>
            </w:r>
            <w:proofErr w:type="spellEnd"/>
            <w:r w:rsidRPr="00A6025B">
              <w:t>. The CIE assumed that the higher threshold</w:t>
            </w:r>
            <w:r w:rsidR="00B9035C">
              <w:t>s</w:t>
            </w:r>
            <w:r w:rsidRPr="00A6025B">
              <w:t xml:space="preserve"> under </w:t>
            </w:r>
            <w:proofErr w:type="spellStart"/>
            <w:r w:rsidRPr="00A6025B">
              <w:t>AUSFTA</w:t>
            </w:r>
            <w:proofErr w:type="spellEnd"/>
            <w:r w:rsidRPr="00A6025B">
              <w:t xml:space="preserve"> would reduce the Australian risk premium for US investors</w:t>
            </w:r>
            <w:r w:rsidR="00B9035C">
              <w:t>. They then modelled the</w:t>
            </w:r>
            <w:r w:rsidRPr="00A6025B">
              <w:t xml:space="preserve"> effect </w:t>
            </w:r>
            <w:r w:rsidR="00B9035C">
              <w:t xml:space="preserve">of this </w:t>
            </w:r>
            <w:r w:rsidRPr="00A6025B">
              <w:t xml:space="preserve">on investment flows and economic growth. </w:t>
            </w:r>
            <w:r w:rsidR="00B9035C">
              <w:t>They</w:t>
            </w:r>
            <w:r w:rsidRPr="00A6025B">
              <w:t xml:space="preserve"> found benefits (over a decade) of an increase in </w:t>
            </w:r>
            <w:r w:rsidR="006178FC">
              <w:t xml:space="preserve">real </w:t>
            </w:r>
            <w:r w:rsidRPr="00A6025B">
              <w:t xml:space="preserve">investment in Australia (both domestically and internationally </w:t>
            </w:r>
            <w:r w:rsidR="00944BA4" w:rsidRPr="00A6025B">
              <w:t>sourced) of nearly 1.4</w:t>
            </w:r>
            <w:r w:rsidR="003704E5" w:rsidRPr="00A6025B">
              <w:t> </w:t>
            </w:r>
            <w:proofErr w:type="spellStart"/>
            <w:r w:rsidR="003704E5" w:rsidRPr="00A6025B">
              <w:t>percent</w:t>
            </w:r>
            <w:proofErr w:type="spellEnd"/>
            <w:r w:rsidRPr="00A6025B">
              <w:t xml:space="preserve"> and an increa</w:t>
            </w:r>
            <w:r w:rsidR="00944BA4" w:rsidRPr="00A6025B">
              <w:t xml:space="preserve">se in </w:t>
            </w:r>
            <w:r w:rsidR="00B9035C">
              <w:t xml:space="preserve">Australian </w:t>
            </w:r>
            <w:r w:rsidR="00944BA4" w:rsidRPr="00A6025B">
              <w:t>real GDP of up to 0.4</w:t>
            </w:r>
            <w:r w:rsidR="003704E5" w:rsidRPr="00A6025B">
              <w:t> </w:t>
            </w:r>
            <w:proofErr w:type="spellStart"/>
            <w:r w:rsidR="003704E5" w:rsidRPr="00A6025B">
              <w:t>percent</w:t>
            </w:r>
            <w:proofErr w:type="spellEnd"/>
            <w:r w:rsidR="006E7C5F">
              <w:t>.</w:t>
            </w:r>
          </w:p>
          <w:p w:rsidR="007F151C" w:rsidRPr="00A6025B" w:rsidRDefault="007F151C" w:rsidP="00A6025B">
            <w:pPr>
              <w:pStyle w:val="Box"/>
            </w:pPr>
            <w:r w:rsidRPr="00A6025B">
              <w:t>However, the approach take</w:t>
            </w:r>
            <w:r w:rsidR="00A6025B" w:rsidRPr="00A6025B">
              <w:t xml:space="preserve">n by the CIE has been </w:t>
            </w:r>
            <w:r w:rsidR="00552FCA">
              <w:t>criticised</w:t>
            </w:r>
            <w:r w:rsidR="00A6025B" w:rsidRPr="00A6025B">
              <w:t>.</w:t>
            </w:r>
            <w:r w:rsidR="001F0028">
              <w:t xml:space="preserve"> </w:t>
            </w:r>
            <w:r w:rsidRPr="00A6025B">
              <w:t>Some commentators have argued that the CIE overestimated the effect of the higher screening thresholds on the risk equity premium and therefore the size of the resultant benefits (</w:t>
            </w:r>
            <w:proofErr w:type="spellStart"/>
            <w:r w:rsidRPr="00A6025B">
              <w:t>Quiggin</w:t>
            </w:r>
            <w:proofErr w:type="spellEnd"/>
            <w:r w:rsidR="00613D64">
              <w:t> </w:t>
            </w:r>
            <w:r w:rsidRPr="00A6025B">
              <w:t>2004). Others have argued that the link between screening and the equity premium was not valid and consequently the modelled benefits were imaginary (Dee</w:t>
            </w:r>
            <w:r w:rsidR="006E7C5F">
              <w:t> </w:t>
            </w:r>
            <w:r w:rsidRPr="00A6025B">
              <w:t>2004). Dee argued that th</w:t>
            </w:r>
            <w:r w:rsidR="00FA168F">
              <w:t>e only cost of screening related</w:t>
            </w:r>
            <w:r w:rsidRPr="00A6025B">
              <w:t xml:space="preserve"> to transaction costs.</w:t>
            </w:r>
          </w:p>
          <w:p w:rsidR="00BE5D38" w:rsidRPr="00A6025B" w:rsidRDefault="00320474" w:rsidP="00A6025B">
            <w:pPr>
              <w:pStyle w:val="Box"/>
            </w:pPr>
            <w:r w:rsidRPr="00A6025B">
              <w:t>In a 2010 study prepared for</w:t>
            </w:r>
            <w:r w:rsidR="007D3628">
              <w:t xml:space="preserve"> </w:t>
            </w:r>
            <w:r w:rsidR="007D3628" w:rsidRPr="007D3628">
              <w:t>the Australian Department of Foreign Affairs and Trade</w:t>
            </w:r>
            <w:r w:rsidR="006E7C5F">
              <w:t xml:space="preserve"> </w:t>
            </w:r>
            <w:r w:rsidR="00DC6B16" w:rsidRPr="00A6025B">
              <w:t xml:space="preserve">— </w:t>
            </w:r>
            <w:r w:rsidR="00973557" w:rsidRPr="002C42DA">
              <w:rPr>
                <w:i/>
              </w:rPr>
              <w:t>Quantifying the benefits of services trade liberalisation</w:t>
            </w:r>
            <w:r w:rsidR="00BC3A09" w:rsidRPr="00A6025B">
              <w:t xml:space="preserve"> —</w:t>
            </w:r>
            <w:r w:rsidRPr="00A6025B">
              <w:t xml:space="preserve"> the CIE modelled the effects of global ‘overnight’ liberalisation of all barriers to trade in services delivered via</w:t>
            </w:r>
            <w:r w:rsidR="00CB1916">
              <w:t xml:space="preserve"> </w:t>
            </w:r>
            <w:r w:rsidR="0094070B" w:rsidRPr="00A6025B">
              <w:t>mode</w:t>
            </w:r>
            <w:r w:rsidR="00CB1916">
              <w:t> </w:t>
            </w:r>
            <w:r w:rsidR="0094070B" w:rsidRPr="00A6025B">
              <w:t>1 ‘</w:t>
            </w:r>
            <w:r w:rsidRPr="00A6025B">
              <w:t>cross border supply</w:t>
            </w:r>
            <w:r w:rsidR="0094070B" w:rsidRPr="00A6025B">
              <w:t>’</w:t>
            </w:r>
            <w:r w:rsidRPr="00A6025B">
              <w:t xml:space="preserve"> and </w:t>
            </w:r>
            <w:r w:rsidR="0094070B" w:rsidRPr="00A6025B">
              <w:t>mode 3 ‘</w:t>
            </w:r>
            <w:r w:rsidRPr="00A6025B">
              <w:t>commercial presence</w:t>
            </w:r>
            <w:r w:rsidR="0094070B" w:rsidRPr="00A6025B">
              <w:t>’</w:t>
            </w:r>
            <w:r w:rsidRPr="00A6025B">
              <w:t xml:space="preserve"> (CIE</w:t>
            </w:r>
            <w:r w:rsidR="00613D64">
              <w:t> </w:t>
            </w:r>
            <w:r w:rsidRPr="00A6025B">
              <w:t xml:space="preserve">2010). </w:t>
            </w:r>
            <w:r w:rsidR="00BC3A09" w:rsidRPr="00A6025B">
              <w:t xml:space="preserve">The </w:t>
            </w:r>
            <w:r w:rsidR="0004250D" w:rsidRPr="00A6025B">
              <w:t xml:space="preserve">CIE </w:t>
            </w:r>
            <w:r w:rsidR="00973557">
              <w:t>modelled</w:t>
            </w:r>
            <w:r w:rsidR="00973557" w:rsidRPr="00A6025B">
              <w:t xml:space="preserve"> </w:t>
            </w:r>
            <w:r w:rsidR="00744D5E" w:rsidRPr="00A6025B">
              <w:t xml:space="preserve">the </w:t>
            </w:r>
            <w:r w:rsidR="00BC3A09" w:rsidRPr="00A6025B">
              <w:t xml:space="preserve">liberalisation of commercial presence as the removal of </w:t>
            </w:r>
            <w:proofErr w:type="spellStart"/>
            <w:r w:rsidR="0004250D" w:rsidRPr="00A6025B">
              <w:t>FDI</w:t>
            </w:r>
            <w:proofErr w:type="spellEnd"/>
            <w:r w:rsidR="0004250D" w:rsidRPr="00A6025B">
              <w:t xml:space="preserve"> regimes (including screening </w:t>
            </w:r>
            <w:r w:rsidR="00BC3A09" w:rsidRPr="00A6025B">
              <w:t>processes, equity</w:t>
            </w:r>
            <w:r w:rsidR="0004250D" w:rsidRPr="00A6025B">
              <w:t xml:space="preserve"> limits of foreign </w:t>
            </w:r>
            <w:r w:rsidR="00BC3A09" w:rsidRPr="00A6025B">
              <w:t>ownership</w:t>
            </w:r>
            <w:r w:rsidR="0004250D" w:rsidRPr="00A6025B">
              <w:t xml:space="preserve"> and other </w:t>
            </w:r>
            <w:r w:rsidR="00277CEC">
              <w:t xml:space="preserve">ongoing </w:t>
            </w:r>
            <w:r w:rsidR="0004250D" w:rsidRPr="00A6025B">
              <w:t>operationa</w:t>
            </w:r>
            <w:r w:rsidR="00744D5E" w:rsidRPr="00A6025B">
              <w:t xml:space="preserve">l limits </w:t>
            </w:r>
            <w:r w:rsidR="00CB1916">
              <w:t>on</w:t>
            </w:r>
            <w:r w:rsidR="00744D5E" w:rsidRPr="00A6025B">
              <w:t xml:space="preserve"> foreign investors)</w:t>
            </w:r>
            <w:r w:rsidR="00BC3A09" w:rsidRPr="00A6025B">
              <w:t xml:space="preserve">. </w:t>
            </w:r>
            <w:r w:rsidR="00DC6B16" w:rsidRPr="00A6025B">
              <w:t xml:space="preserve">The </w:t>
            </w:r>
            <w:r w:rsidR="0004250D" w:rsidRPr="00A6025B">
              <w:t xml:space="preserve">CIE argued that screening regimes </w:t>
            </w:r>
            <w:r w:rsidR="00BC3A09" w:rsidRPr="00A6025B">
              <w:t xml:space="preserve">could </w:t>
            </w:r>
            <w:r w:rsidR="0004250D" w:rsidRPr="00A6025B">
              <w:t xml:space="preserve">impose costs on the recipient </w:t>
            </w:r>
            <w:r w:rsidR="00BC3A09" w:rsidRPr="00A6025B">
              <w:t xml:space="preserve">country </w:t>
            </w:r>
            <w:r w:rsidR="0004250D" w:rsidRPr="00A6025B">
              <w:t xml:space="preserve">by reducing competition in domestic markets </w:t>
            </w:r>
            <w:r w:rsidR="00277CEC">
              <w:t>(by deterring new foreign entrants)</w:t>
            </w:r>
            <w:r w:rsidR="00CB1916">
              <w:t>,</w:t>
            </w:r>
            <w:r w:rsidR="00277CEC">
              <w:t xml:space="preserve"> </w:t>
            </w:r>
            <w:r w:rsidR="0004250D" w:rsidRPr="00A6025B">
              <w:t xml:space="preserve">allowing incumbent firms to extract monopoly rents, while foreign equity and other operational limits </w:t>
            </w:r>
            <w:r w:rsidR="00BC3A09" w:rsidRPr="00A6025B">
              <w:t xml:space="preserve">could </w:t>
            </w:r>
            <w:r w:rsidR="0004250D" w:rsidRPr="00A6025B">
              <w:t xml:space="preserve">increase the </w:t>
            </w:r>
            <w:r w:rsidR="00277CEC">
              <w:t xml:space="preserve">ongoing </w:t>
            </w:r>
            <w:r w:rsidR="0004250D" w:rsidRPr="00A6025B">
              <w:t xml:space="preserve">unit costs of foreign firms operating in </w:t>
            </w:r>
            <w:r w:rsidR="00B9035C">
              <w:t>host country</w:t>
            </w:r>
            <w:r w:rsidR="0004250D" w:rsidRPr="00A6025B">
              <w:t xml:space="preserve"> markets.</w:t>
            </w:r>
          </w:p>
          <w:p w:rsidR="00BE5D38" w:rsidRPr="00A6025B" w:rsidRDefault="00DC6B16" w:rsidP="00B9035C">
            <w:pPr>
              <w:pStyle w:val="Box"/>
            </w:pPr>
            <w:r w:rsidRPr="00A6025B">
              <w:t>The CIE</w:t>
            </w:r>
            <w:r w:rsidR="009A3FAA" w:rsidRPr="00A6025B">
              <w:t xml:space="preserve"> found </w:t>
            </w:r>
            <w:r w:rsidRPr="00A6025B">
              <w:t xml:space="preserve">that under global ‘overnight’ liberalisation </w:t>
            </w:r>
            <w:r w:rsidR="00277CEC">
              <w:t xml:space="preserve">of mode 1 </w:t>
            </w:r>
            <w:r w:rsidR="00B9035C">
              <w:t xml:space="preserve">and </w:t>
            </w:r>
            <w:r w:rsidR="00277CEC">
              <w:t>3 barriers</w:t>
            </w:r>
            <w:r w:rsidR="00552FCA">
              <w:t>,</w:t>
            </w:r>
            <w:r w:rsidR="00277CEC">
              <w:t xml:space="preserve"> </w:t>
            </w:r>
            <w:r w:rsidR="00BE5D38" w:rsidRPr="00A6025B">
              <w:t>developing countries</w:t>
            </w:r>
            <w:r w:rsidR="004568B8">
              <w:t>, on average,</w:t>
            </w:r>
            <w:r w:rsidR="00BE5D38" w:rsidRPr="00A6025B">
              <w:t xml:space="preserve"> </w:t>
            </w:r>
            <w:r w:rsidR="00944BA4" w:rsidRPr="00A6025B">
              <w:t>experience</w:t>
            </w:r>
            <w:r w:rsidR="004568B8">
              <w:t>d</w:t>
            </w:r>
            <w:r w:rsidR="00944BA4" w:rsidRPr="00A6025B">
              <w:t xml:space="preserve"> a 0.9</w:t>
            </w:r>
            <w:r w:rsidR="003704E5" w:rsidRPr="00A6025B">
              <w:t> </w:t>
            </w:r>
            <w:proofErr w:type="spellStart"/>
            <w:r w:rsidR="003704E5" w:rsidRPr="00A6025B">
              <w:t>percent</w:t>
            </w:r>
            <w:proofErr w:type="spellEnd"/>
            <w:r w:rsidR="0094070B" w:rsidRPr="00A6025B">
              <w:t xml:space="preserve"> gain</w:t>
            </w:r>
            <w:r w:rsidR="004248D7">
              <w:t xml:space="preserve"> </w:t>
            </w:r>
            <w:r w:rsidR="004568B8">
              <w:t>in</w:t>
            </w:r>
            <w:r w:rsidR="00BE5D38" w:rsidRPr="00A6025B">
              <w:t xml:space="preserve"> real GDP over 2011 to 2025</w:t>
            </w:r>
            <w:r w:rsidR="0094070B" w:rsidRPr="00A6025B">
              <w:t>, while developed countries experience</w:t>
            </w:r>
            <w:r w:rsidRPr="00A6025B">
              <w:t>d</w:t>
            </w:r>
            <w:r w:rsidR="00944BA4" w:rsidRPr="00A6025B">
              <w:t xml:space="preserve"> </w:t>
            </w:r>
            <w:r w:rsidR="004568B8">
              <w:t>a</w:t>
            </w:r>
            <w:r w:rsidR="00277CEC">
              <w:t xml:space="preserve"> </w:t>
            </w:r>
            <w:r w:rsidR="00944BA4" w:rsidRPr="00A6025B">
              <w:t>gain of 0.2</w:t>
            </w:r>
            <w:r w:rsidR="003704E5" w:rsidRPr="00A6025B">
              <w:t> </w:t>
            </w:r>
            <w:proofErr w:type="spellStart"/>
            <w:r w:rsidR="003704E5" w:rsidRPr="00A6025B">
              <w:t>percent</w:t>
            </w:r>
            <w:proofErr w:type="spellEnd"/>
            <w:r w:rsidR="004568B8">
              <w:t>. Around</w:t>
            </w:r>
            <w:r w:rsidR="006E7C5F">
              <w:t xml:space="preserve"> </w:t>
            </w:r>
            <w:r w:rsidR="00FA168F" w:rsidRPr="00A6025B">
              <w:t>89 </w:t>
            </w:r>
            <w:proofErr w:type="spellStart"/>
            <w:r w:rsidR="00FA168F" w:rsidRPr="00A6025B">
              <w:t>percent</w:t>
            </w:r>
            <w:proofErr w:type="spellEnd"/>
            <w:r w:rsidR="00FA168F" w:rsidRPr="00A6025B">
              <w:t xml:space="preserve"> of the gain</w:t>
            </w:r>
            <w:r w:rsidR="00FA168F">
              <w:t>s</w:t>
            </w:r>
            <w:r w:rsidR="00FA168F" w:rsidRPr="00A6025B">
              <w:t xml:space="preserve"> by developing countries</w:t>
            </w:r>
            <w:r w:rsidR="00FA168F">
              <w:t xml:space="preserve"> and </w:t>
            </w:r>
            <w:r w:rsidR="00FA168F" w:rsidRPr="00A6025B">
              <w:t>52 </w:t>
            </w:r>
            <w:proofErr w:type="spellStart"/>
            <w:r w:rsidR="00FA168F" w:rsidRPr="00A6025B">
              <w:t>percent</w:t>
            </w:r>
            <w:proofErr w:type="spellEnd"/>
            <w:r w:rsidR="00FA168F" w:rsidRPr="00A6025B">
              <w:t xml:space="preserve"> of the gain</w:t>
            </w:r>
            <w:r w:rsidR="004568B8">
              <w:t>s</w:t>
            </w:r>
            <w:r w:rsidR="00FA168F" w:rsidRPr="00A6025B">
              <w:t xml:space="preserve"> by developed countries</w:t>
            </w:r>
            <w:r w:rsidR="00FA168F">
              <w:t xml:space="preserve"> came from liberalisation of m</w:t>
            </w:r>
            <w:r w:rsidR="00BE5D38" w:rsidRPr="00A6025B">
              <w:t xml:space="preserve">ode 3 </w:t>
            </w:r>
            <w:proofErr w:type="spellStart"/>
            <w:r w:rsidR="00BE5D38" w:rsidRPr="00A6025B">
              <w:t>FDI</w:t>
            </w:r>
            <w:proofErr w:type="spellEnd"/>
            <w:r w:rsidR="00BE5D38" w:rsidRPr="00A6025B">
              <w:t xml:space="preserve"> barriers </w:t>
            </w:r>
            <w:r w:rsidR="004568B8">
              <w:t xml:space="preserve">to commercial presence </w:t>
            </w:r>
            <w:r w:rsidR="00CA70BA">
              <w:t>(CIE 2010)</w:t>
            </w:r>
            <w:r w:rsidR="00C36621">
              <w:t>.</w:t>
            </w:r>
          </w:p>
        </w:tc>
      </w:tr>
      <w:tr w:rsidR="007F151C" w:rsidTr="007F151C">
        <w:trPr>
          <w:cantSplit/>
        </w:trPr>
        <w:tc>
          <w:tcPr>
            <w:tcW w:w="8771" w:type="dxa"/>
            <w:tcBorders>
              <w:top w:val="nil"/>
              <w:left w:val="nil"/>
              <w:bottom w:val="nil"/>
              <w:right w:val="nil"/>
            </w:tcBorders>
            <w:shd w:val="clear" w:color="auto" w:fill="D9EAF0"/>
          </w:tcPr>
          <w:p w:rsidR="007F151C" w:rsidRDefault="007F151C">
            <w:pPr>
              <w:pStyle w:val="Box"/>
              <w:spacing w:before="0" w:line="120" w:lineRule="exact"/>
            </w:pPr>
          </w:p>
        </w:tc>
      </w:tr>
      <w:tr w:rsidR="007F151C" w:rsidRPr="004C4E0D" w:rsidTr="007F151C">
        <w:tc>
          <w:tcPr>
            <w:tcW w:w="8771" w:type="dxa"/>
            <w:tcBorders>
              <w:top w:val="nil"/>
              <w:left w:val="nil"/>
              <w:bottom w:val="nil"/>
              <w:right w:val="nil"/>
            </w:tcBorders>
          </w:tcPr>
          <w:p w:rsidR="007F151C" w:rsidRPr="004C4E0D" w:rsidRDefault="007F151C">
            <w:pPr>
              <w:pStyle w:val="Box"/>
              <w:keepNext w:val="0"/>
              <w:spacing w:before="60" w:after="60" w:line="80" w:lineRule="exact"/>
              <w:rPr>
                <w:b/>
                <w:color w:val="auto"/>
                <w:sz w:val="14"/>
              </w:rPr>
            </w:pPr>
          </w:p>
        </w:tc>
      </w:tr>
    </w:tbl>
    <w:p w:rsidR="006021B6" w:rsidRDefault="006021B6" w:rsidP="006021B6">
      <w:pPr>
        <w:pStyle w:val="BodyText"/>
      </w:pPr>
      <w:r>
        <w:t xml:space="preserve">The Commissions have attempted to estimate the costs imposed by existing restrictions on trans-Tasman </w:t>
      </w:r>
      <w:proofErr w:type="spellStart"/>
      <w:r>
        <w:t>FDI</w:t>
      </w:r>
      <w:proofErr w:type="spellEnd"/>
      <w:r>
        <w:t xml:space="preserve"> by simulating the effects </w:t>
      </w:r>
      <w:r w:rsidR="003C2FEC">
        <w:t xml:space="preserve">(gains) </w:t>
      </w:r>
      <w:r w:rsidR="00CA21EE">
        <w:t>from</w:t>
      </w:r>
      <w:r>
        <w:t xml:space="preserve"> the preferential removal of the </w:t>
      </w:r>
      <w:proofErr w:type="spellStart"/>
      <w:r>
        <w:t>FDI</w:t>
      </w:r>
      <w:proofErr w:type="spellEnd"/>
      <w:r>
        <w:t xml:space="preserve"> barriers to trans-Tasman services trade through commercial presence (box </w:t>
      </w:r>
      <w:proofErr w:type="spellStart"/>
      <w:r>
        <w:t>C.5</w:t>
      </w:r>
      <w:proofErr w:type="spellEnd"/>
      <w:r>
        <w:t>).</w:t>
      </w:r>
    </w:p>
    <w:p w:rsidR="006021B6" w:rsidRDefault="006021B6" w:rsidP="006021B6">
      <w:pPr>
        <w:pStyle w:val="BodyText"/>
      </w:pPr>
      <w:r>
        <w:lastRenderedPageBreak/>
        <w:t>This modelling is more experimental than the modelling of other aspects of trans</w:t>
      </w:r>
      <w:r>
        <w:noBreakHyphen/>
        <w:t>Tasman integration</w:t>
      </w:r>
      <w:r w:rsidR="00771A89">
        <w:t xml:space="preserve"> undertaken for this study</w:t>
      </w:r>
      <w:r>
        <w:t xml:space="preserve"> because of the speculative nature of the estimates of barriers to trade in services and the uncertainty about the definitions and data underlying commercial presence. That said, the estimates used are based on work by the CIE (2010) (box </w:t>
      </w:r>
      <w:proofErr w:type="spellStart"/>
      <w:r>
        <w:t>C.4</w:t>
      </w:r>
      <w:proofErr w:type="spellEnd"/>
      <w:r>
        <w:t>), which has benefitted from previous work published by the Australian Commission (</w:t>
      </w:r>
      <w:proofErr w:type="spellStart"/>
      <w:r>
        <w:t>Kalirajan</w:t>
      </w:r>
      <w:proofErr w:type="spellEnd"/>
      <w:r>
        <w:t xml:space="preserve"> 2000; </w:t>
      </w:r>
      <w:proofErr w:type="spellStart"/>
      <w:r>
        <w:t>Doove</w:t>
      </w:r>
      <w:proofErr w:type="spellEnd"/>
      <w:r>
        <w:t xml:space="preserve"> et al. 2001) and others (Findlay and Warren 2000; </w:t>
      </w:r>
      <w:proofErr w:type="spellStart"/>
      <w:r>
        <w:t>Mattoo</w:t>
      </w:r>
      <w:proofErr w:type="spellEnd"/>
      <w:r>
        <w:t xml:space="preserve">, </w:t>
      </w:r>
      <w:proofErr w:type="spellStart"/>
      <w:r>
        <w:t>Olarreaga</w:t>
      </w:r>
      <w:proofErr w:type="spellEnd"/>
      <w:r>
        <w:t xml:space="preserve"> and </w:t>
      </w:r>
      <w:proofErr w:type="spellStart"/>
      <w:r>
        <w:t>Saggi</w:t>
      </w:r>
      <w:proofErr w:type="spellEnd"/>
      <w:r>
        <w:t xml:space="preserve"> 2001). Modelling of reduced trans-Tasman barriers to </w:t>
      </w:r>
      <w:r w:rsidR="00352445">
        <w:t>services</w:t>
      </w:r>
      <w:r>
        <w:t xml:space="preserve"> trade is discussed in detail in </w:t>
      </w:r>
      <w:r w:rsidR="00771A89">
        <w:t>s</w:t>
      </w:r>
      <w:r>
        <w:t xml:space="preserve">upplementary </w:t>
      </w:r>
      <w:r w:rsidR="00877731">
        <w:t>p</w:t>
      </w:r>
      <w:r>
        <w:t>aper E.</w:t>
      </w:r>
    </w:p>
    <w:p w:rsidR="006848B1" w:rsidRDefault="00F4152C" w:rsidP="00F4152C">
      <w:pPr>
        <w:pStyle w:val="BodyText"/>
      </w:pPr>
      <w:r>
        <w:t>The modelling suggests that New Zealand bears a relatively higher cost from restricting trans-Tasman investmen</w:t>
      </w:r>
      <w:r w:rsidR="003C2FEC">
        <w:t xml:space="preserve">t flows </w:t>
      </w:r>
      <w:r w:rsidR="004968C4">
        <w:t>than</w:t>
      </w:r>
      <w:r w:rsidR="003C2FEC">
        <w:t xml:space="preserve"> Australia </w:t>
      </w:r>
      <w:r w:rsidRPr="0040387C">
        <w:t>(box </w:t>
      </w:r>
      <w:proofErr w:type="spellStart"/>
      <w:r w:rsidRPr="0040387C">
        <w:t>C.5</w:t>
      </w:r>
      <w:proofErr w:type="spellEnd"/>
      <w:r w:rsidRPr="0040387C">
        <w:t>)</w:t>
      </w:r>
      <w:r>
        <w:t xml:space="preserve">. The cost to New Zealand of current restrictions on trans-Tasman direct investment in services </w:t>
      </w:r>
      <w:r w:rsidR="006848B1">
        <w:t xml:space="preserve">is </w:t>
      </w:r>
      <w:r>
        <w:t xml:space="preserve">estimated </w:t>
      </w:r>
      <w:r w:rsidR="00145A34">
        <w:t>to be between</w:t>
      </w:r>
      <w:r>
        <w:t xml:space="preserve"> 0.</w:t>
      </w:r>
      <w:r w:rsidR="000022B9">
        <w:t>06</w:t>
      </w:r>
      <w:r>
        <w:t xml:space="preserve"> </w:t>
      </w:r>
      <w:r w:rsidR="00145A34">
        <w:t>and</w:t>
      </w:r>
      <w:r>
        <w:t xml:space="preserve"> 0.</w:t>
      </w:r>
      <w:r w:rsidR="000022B9">
        <w:t>08</w:t>
      </w:r>
      <w:r>
        <w:t xml:space="preserve"> </w:t>
      </w:r>
      <w:proofErr w:type="spellStart"/>
      <w:r>
        <w:t>percent</w:t>
      </w:r>
      <w:proofErr w:type="spellEnd"/>
      <w:r>
        <w:t xml:space="preserve"> of real gross national product (GNP). These </w:t>
      </w:r>
      <w:r w:rsidR="003C2FEC">
        <w:t xml:space="preserve">costs </w:t>
      </w:r>
      <w:r>
        <w:t xml:space="preserve">for New Zealand are projected because Australia provides a large amount of </w:t>
      </w:r>
      <w:proofErr w:type="spellStart"/>
      <w:r>
        <w:t>FDI</w:t>
      </w:r>
      <w:proofErr w:type="spellEnd"/>
      <w:r>
        <w:t xml:space="preserve"> in New Zealand services (for example, approximately 90 </w:t>
      </w:r>
      <w:proofErr w:type="spellStart"/>
      <w:r>
        <w:t>percent</w:t>
      </w:r>
      <w:proofErr w:type="spellEnd"/>
      <w:r>
        <w:t xml:space="preserve"> of the banking sector and a large share of retail) (figure</w:t>
      </w:r>
      <w:r w:rsidR="00274E0A">
        <w:t> </w:t>
      </w:r>
      <w:proofErr w:type="spellStart"/>
      <w:r>
        <w:t>C.3</w:t>
      </w:r>
      <w:proofErr w:type="spellEnd"/>
      <w:r>
        <w:t>)</w:t>
      </w:r>
      <w:r w:rsidRPr="0064222F">
        <w:t>.</w:t>
      </w:r>
    </w:p>
    <w:p w:rsidR="00F4152C" w:rsidRDefault="006848B1" w:rsidP="006021B6">
      <w:pPr>
        <w:pStyle w:val="BodyText"/>
      </w:pPr>
      <w:r>
        <w:t>T</w:t>
      </w:r>
      <w:r w:rsidR="00F4152C">
        <w:t xml:space="preserve">he modelling suggests the </w:t>
      </w:r>
      <w:r w:rsidR="00F4152C" w:rsidRPr="0040387C">
        <w:t xml:space="preserve">corresponding </w:t>
      </w:r>
      <w:r w:rsidR="00F4152C">
        <w:t>cost</w:t>
      </w:r>
      <w:r w:rsidR="00F4152C" w:rsidRPr="0040387C">
        <w:t xml:space="preserve"> to Australia of </w:t>
      </w:r>
      <w:r w:rsidR="00F4152C">
        <w:t xml:space="preserve">its </w:t>
      </w:r>
      <w:r w:rsidR="00F4152C" w:rsidRPr="0040387C">
        <w:t>limitations on trans</w:t>
      </w:r>
      <w:r w:rsidR="00F4152C" w:rsidRPr="0040387C">
        <w:noBreakHyphen/>
        <w:t xml:space="preserve">Tasman </w:t>
      </w:r>
      <w:proofErr w:type="spellStart"/>
      <w:r w:rsidR="00F4152C" w:rsidRPr="0040387C">
        <w:t>FDI</w:t>
      </w:r>
      <w:proofErr w:type="spellEnd"/>
      <w:r w:rsidR="00F4152C" w:rsidRPr="0040387C">
        <w:t xml:space="preserve"> in services is</w:t>
      </w:r>
      <w:r w:rsidR="00F4152C">
        <w:t xml:space="preserve"> likely to be</w:t>
      </w:r>
      <w:r w:rsidR="00F4152C" w:rsidRPr="0040387C">
        <w:t xml:space="preserve"> </w:t>
      </w:r>
      <w:r w:rsidR="00145A34">
        <w:t>negli</w:t>
      </w:r>
      <w:r w:rsidR="000B565B">
        <w:t>gi</w:t>
      </w:r>
      <w:r w:rsidR="00145A34">
        <w:t>ble</w:t>
      </w:r>
      <w:r w:rsidR="00F4152C">
        <w:t xml:space="preserve"> (</w:t>
      </w:r>
      <w:r w:rsidR="00145A34">
        <w:t xml:space="preserve">rounding to </w:t>
      </w:r>
      <w:r w:rsidR="00F4152C">
        <w:t>zero</w:t>
      </w:r>
      <w:r w:rsidR="00EC2B29">
        <w:t xml:space="preserve"> in real GNP terms</w:t>
      </w:r>
      <w:r w:rsidR="00F4152C">
        <w:t>)</w:t>
      </w:r>
      <w:r w:rsidR="00F4152C" w:rsidRPr="0040387C">
        <w:t xml:space="preserve"> (box </w:t>
      </w:r>
      <w:proofErr w:type="spellStart"/>
      <w:r w:rsidR="00F4152C" w:rsidRPr="0040387C">
        <w:t>C.5</w:t>
      </w:r>
      <w:proofErr w:type="spellEnd"/>
      <w:r w:rsidR="00F4152C" w:rsidRPr="0040387C">
        <w:t>).</w:t>
      </w:r>
      <w:r w:rsidR="00EC2B29">
        <w:t xml:space="preserve"> The relatively insignificant impact for </w:t>
      </w:r>
      <w:r w:rsidR="00352223">
        <w:t>Australia</w:t>
      </w:r>
      <w:r w:rsidR="00EC2B29">
        <w:t xml:space="preserve"> is because m</w:t>
      </w:r>
      <w:r w:rsidR="00F4152C" w:rsidRPr="0040387C">
        <w:t xml:space="preserve">ost foreign investment in </w:t>
      </w:r>
      <w:r w:rsidR="00EC2B29">
        <w:t xml:space="preserve">Australian </w:t>
      </w:r>
      <w:r w:rsidR="00F4152C" w:rsidRPr="0040387C">
        <w:t>services is held by countries other than New Zealand</w:t>
      </w:r>
      <w:r w:rsidR="00753330">
        <w:t xml:space="preserve"> </w:t>
      </w:r>
      <w:r w:rsidR="00557CF9">
        <w:t>(figure</w:t>
      </w:r>
      <w:r w:rsidR="00F4152C">
        <w:t xml:space="preserve"> </w:t>
      </w:r>
      <w:proofErr w:type="spellStart"/>
      <w:r w:rsidR="00F4152C">
        <w:t>C.3</w:t>
      </w:r>
      <w:proofErr w:type="spellEnd"/>
      <w:r w:rsidR="00F4152C">
        <w:t>)</w:t>
      </w:r>
      <w:r w:rsidR="00F4152C" w:rsidRPr="0040387C">
        <w:t>.</w:t>
      </w:r>
    </w:p>
    <w:p w:rsidR="0064222F" w:rsidRPr="00D544D4" w:rsidRDefault="0064222F" w:rsidP="0064222F">
      <w:pPr>
        <w:pStyle w:val="BodyText"/>
      </w:pPr>
      <w:r w:rsidRPr="00D544D4">
        <w:t xml:space="preserve">These results are indicative of the costs of maintaining the existing regimes as they apply to the two countries’ services sectors only. The full trans-Tasman cost of </w:t>
      </w:r>
      <w:proofErr w:type="spellStart"/>
      <w:r w:rsidRPr="00D544D4">
        <w:t>FDI</w:t>
      </w:r>
      <w:proofErr w:type="spellEnd"/>
      <w:r w:rsidRPr="00D544D4">
        <w:t xml:space="preserve"> barriers could be expected to be higher if other sectors of the two economies were included in the modelling (such as manufacturing, agriculture and mining).</w:t>
      </w:r>
    </w:p>
    <w:p w:rsidR="0064222F" w:rsidRDefault="0064222F" w:rsidP="006021B6">
      <w:pPr>
        <w:pStyle w:val="BodyText"/>
      </w:pPr>
      <w:r>
        <w:t>The focus of this study is on trans-Tasman economic relations and for that reason the Commissions have focused their analysis on the costs of restricting trans</w:t>
      </w:r>
      <w:r>
        <w:noBreakHyphen/>
        <w:t xml:space="preserve">Tasman </w:t>
      </w:r>
      <w:proofErr w:type="spellStart"/>
      <w:r>
        <w:t>FDI</w:t>
      </w:r>
      <w:proofErr w:type="spellEnd"/>
      <w:r>
        <w:t xml:space="preserve">. However, the </w:t>
      </w:r>
      <w:proofErr w:type="spellStart"/>
      <w:r>
        <w:t>FDI</w:t>
      </w:r>
      <w:proofErr w:type="spellEnd"/>
      <w:r>
        <w:t xml:space="preserve"> regimes restrict direct investment flows from all sources and this imposes additional costs on the two economies.</w:t>
      </w:r>
    </w:p>
    <w:p w:rsidR="00A144D6" w:rsidRDefault="00A144D6">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144D6" w:rsidTr="00A144D6">
        <w:tc>
          <w:tcPr>
            <w:tcW w:w="8771" w:type="dxa"/>
            <w:tcBorders>
              <w:top w:val="nil"/>
              <w:left w:val="nil"/>
              <w:bottom w:val="nil"/>
              <w:right w:val="nil"/>
            </w:tcBorders>
            <w:shd w:val="clear" w:color="auto" w:fill="D9EAF0"/>
          </w:tcPr>
          <w:p w:rsidR="00A144D6" w:rsidRDefault="00A144D6" w:rsidP="00A144D6">
            <w:pPr>
              <w:pStyle w:val="BoxTitle"/>
            </w:pPr>
            <w:r>
              <w:rPr>
                <w:b w:val="0"/>
              </w:rPr>
              <w:t xml:space="preserve">Box </w:t>
            </w:r>
            <w:proofErr w:type="spellStart"/>
            <w:r>
              <w:rPr>
                <w:b w:val="0"/>
              </w:rPr>
              <w:t>C.5</w:t>
            </w:r>
            <w:proofErr w:type="spellEnd"/>
            <w:r>
              <w:tab/>
            </w:r>
            <w:r w:rsidR="00822222">
              <w:t xml:space="preserve">Modelling a reduction in trans-Tasman barriers to </w:t>
            </w:r>
            <w:r w:rsidR="00541615">
              <w:t>foreign direct investment for services</w:t>
            </w:r>
          </w:p>
        </w:tc>
      </w:tr>
      <w:tr w:rsidR="00A144D6" w:rsidTr="00A144D6">
        <w:trPr>
          <w:cantSplit/>
        </w:trPr>
        <w:tc>
          <w:tcPr>
            <w:tcW w:w="8771" w:type="dxa"/>
            <w:tcBorders>
              <w:top w:val="nil"/>
              <w:left w:val="nil"/>
              <w:bottom w:val="nil"/>
              <w:right w:val="nil"/>
            </w:tcBorders>
            <w:shd w:val="clear" w:color="auto" w:fill="D9EAF0"/>
          </w:tcPr>
          <w:p w:rsidR="00822222" w:rsidRDefault="00822222" w:rsidP="00822222">
            <w:pPr>
              <w:pStyle w:val="Box"/>
              <w:spacing w:after="120"/>
            </w:pPr>
            <w:r>
              <w:t xml:space="preserve">Various types of </w:t>
            </w:r>
            <w:r w:rsidR="008522D8">
              <w:t>foreign direct investment (</w:t>
            </w:r>
            <w:proofErr w:type="spellStart"/>
            <w:r w:rsidR="008522D8">
              <w:t>FDI</w:t>
            </w:r>
            <w:proofErr w:type="spellEnd"/>
            <w:r w:rsidR="008522D8">
              <w:t xml:space="preserve">) </w:t>
            </w:r>
            <w:r>
              <w:t xml:space="preserve">barriers can impede trade in services. For </w:t>
            </w:r>
            <w:r w:rsidR="00E57572">
              <w:t xml:space="preserve">trade via </w:t>
            </w:r>
            <w:r>
              <w:t xml:space="preserve">commercial presence, barriers limit the establishment or operation of foreign firms. The </w:t>
            </w:r>
            <w:proofErr w:type="spellStart"/>
            <w:r>
              <w:t>ANZEA</w:t>
            </w:r>
            <w:proofErr w:type="spellEnd"/>
            <w:r>
              <w:t xml:space="preserve"> model was used to illustrate the effects of existing barriers, based on information from a report on </w:t>
            </w:r>
            <w:r>
              <w:rPr>
                <w:i/>
              </w:rPr>
              <w:t>Quantifying the benefits of services trade liberalisation</w:t>
            </w:r>
            <w:r>
              <w:t xml:space="preserve"> (CIE 2010)</w:t>
            </w:r>
            <w:r w:rsidR="00E81710">
              <w:t>.</w:t>
            </w:r>
            <w:r>
              <w:t xml:space="preserve"> </w:t>
            </w:r>
            <w:r w:rsidR="00E81710" w:rsidRPr="00E81710">
              <w:t>Since these barriers are not source specific, they were reduced to account for the high level of trans-Tasman integration.</w:t>
            </w:r>
            <w:r w:rsidR="00E81710">
              <w:t xml:space="preserve"> </w:t>
            </w:r>
            <w:r>
              <w:t>Barriers are assumed to have two effects that in combination drive a wedge between efficient cost and price:</w:t>
            </w:r>
          </w:p>
          <w:p w:rsidR="00822222" w:rsidRDefault="00822222" w:rsidP="00822222">
            <w:pPr>
              <w:pStyle w:val="BoxListBullet"/>
            </w:pPr>
            <w:r>
              <w:t xml:space="preserve">rent-creation, which is assumed to accrue to incumbent foreign investors, equivalent to 0.9 </w:t>
            </w:r>
            <w:proofErr w:type="spellStart"/>
            <w:r>
              <w:t>percent</w:t>
            </w:r>
            <w:proofErr w:type="spellEnd"/>
            <w:r>
              <w:t xml:space="preserve"> premiums on returns to foreign capital on average across services for </w:t>
            </w:r>
            <w:r w:rsidR="00E81710">
              <w:t xml:space="preserve">both </w:t>
            </w:r>
            <w:r>
              <w:t xml:space="preserve">Australia and New Zealand </w:t>
            </w:r>
            <w:r w:rsidRPr="007C7A8F">
              <w:t>(for simplification and by analogy with tariff protection, local suppliers are assumed not to garner rents, but to be less efficient suppliers who benefit from the prote</w:t>
            </w:r>
            <w:r>
              <w:t>ction afforded by the barriers)</w:t>
            </w:r>
          </w:p>
          <w:p w:rsidR="00822222" w:rsidRDefault="00822222" w:rsidP="00822222">
            <w:pPr>
              <w:pStyle w:val="BoxListBullet"/>
            </w:pPr>
            <w:r>
              <w:t>cost-escalation</w:t>
            </w:r>
            <w:r w:rsidR="00973557">
              <w:t xml:space="preserve"> (</w:t>
            </w:r>
            <w:r>
              <w:t xml:space="preserve">for example, increased </w:t>
            </w:r>
            <w:r w:rsidR="004968C4">
              <w:t>compliance</w:t>
            </w:r>
            <w:r>
              <w:t xml:space="preserve"> costs </w:t>
            </w:r>
            <w:r w:rsidR="004968C4">
              <w:t>and</w:t>
            </w:r>
            <w:r>
              <w:t xml:space="preserve"> blocking potentially lower-cost entrants</w:t>
            </w:r>
            <w:r w:rsidR="00973557">
              <w:t>)</w:t>
            </w:r>
            <w:r>
              <w:t xml:space="preserve"> which is assumed to increase the costs of foreign and domestic incumbent suppliers, equivalent to 2.4 and 0.9 </w:t>
            </w:r>
            <w:proofErr w:type="spellStart"/>
            <w:r>
              <w:t>percent</w:t>
            </w:r>
            <w:proofErr w:type="spellEnd"/>
            <w:r>
              <w:t xml:space="preserve"> added costs on average across all suppliers of services for Australia and New Zealand, respectively (</w:t>
            </w:r>
            <w:r w:rsidR="0071494C">
              <w:t xml:space="preserve">see </w:t>
            </w:r>
            <w:r>
              <w:t>table below).</w:t>
            </w:r>
          </w:p>
          <w:p w:rsidR="00822222" w:rsidRDefault="00822222" w:rsidP="00822222">
            <w:pPr>
              <w:pStyle w:val="Box"/>
              <w:spacing w:after="120"/>
            </w:pPr>
            <w:r>
              <w:t>Liberalisation is assumed to: (</w:t>
            </w:r>
            <w:proofErr w:type="spellStart"/>
            <w:r>
              <w:t>i</w:t>
            </w:r>
            <w:proofErr w:type="spellEnd"/>
            <w:r>
              <w:t xml:space="preserve">) reduce rents that are represented as an </w:t>
            </w:r>
            <w:r w:rsidRPr="004968C4">
              <w:rPr>
                <w:i/>
              </w:rPr>
              <w:t>ad valorem</w:t>
            </w:r>
            <w:r>
              <w:t xml:space="preserve"> tax equivalent which accrues to the owners of foreign capital; and (ii) improve the productivity of the affected industries by the amount of the cost-increasing effects.</w:t>
            </w:r>
          </w:p>
          <w:p w:rsidR="00822222" w:rsidRDefault="00822222" w:rsidP="006E7C5F">
            <w:pPr>
              <w:pStyle w:val="TableTitle"/>
              <w:ind w:left="1112" w:hanging="1112"/>
            </w:pPr>
            <w:r>
              <w:rPr>
                <w:b w:val="0"/>
              </w:rPr>
              <w:t>Table</w:t>
            </w:r>
            <w:r>
              <w:tab/>
              <w:t>Estimated barriers to commercial presence</w:t>
            </w:r>
          </w:p>
          <w:tbl>
            <w:tblPr>
              <w:tblW w:w="5000" w:type="pct"/>
              <w:tblLayout w:type="fixed"/>
              <w:tblCellMar>
                <w:left w:w="0" w:type="dxa"/>
                <w:right w:w="0" w:type="dxa"/>
              </w:tblCellMar>
              <w:tblLook w:val="0000" w:firstRow="0" w:lastRow="0" w:firstColumn="0" w:lastColumn="0" w:noHBand="0" w:noVBand="0"/>
            </w:tblPr>
            <w:tblGrid>
              <w:gridCol w:w="3574"/>
              <w:gridCol w:w="14"/>
              <w:gridCol w:w="1068"/>
              <w:gridCol w:w="1417"/>
              <w:gridCol w:w="143"/>
              <w:gridCol w:w="1008"/>
              <w:gridCol w:w="1263"/>
            </w:tblGrid>
            <w:tr w:rsidR="00822222" w:rsidTr="00E57572">
              <w:tc>
                <w:tcPr>
                  <w:tcW w:w="2106" w:type="pct"/>
                  <w:tcBorders>
                    <w:top w:val="single" w:sz="6" w:space="0" w:color="auto"/>
                  </w:tcBorders>
                  <w:shd w:val="clear" w:color="auto" w:fill="auto"/>
                </w:tcPr>
                <w:p w:rsidR="00822222" w:rsidRDefault="00822222" w:rsidP="00E57572">
                  <w:pPr>
                    <w:pStyle w:val="TableColumnHeading"/>
                    <w:jc w:val="left"/>
                  </w:pPr>
                </w:p>
              </w:tc>
              <w:tc>
                <w:tcPr>
                  <w:tcW w:w="1472" w:type="pct"/>
                  <w:gridSpan w:val="3"/>
                  <w:tcBorders>
                    <w:top w:val="single" w:sz="6" w:space="0" w:color="auto"/>
                    <w:bottom w:val="single" w:sz="6" w:space="0" w:color="auto"/>
                  </w:tcBorders>
                  <w:shd w:val="clear" w:color="auto" w:fill="auto"/>
                  <w:vAlign w:val="center"/>
                </w:tcPr>
                <w:p w:rsidR="00822222" w:rsidRDefault="00822222" w:rsidP="00E57572">
                  <w:pPr>
                    <w:pStyle w:val="TableColumnHeading"/>
                    <w:ind w:right="28"/>
                    <w:jc w:val="center"/>
                  </w:pPr>
                  <w:r>
                    <w:t>Rents on foreign capital</w:t>
                  </w:r>
                </w:p>
              </w:tc>
              <w:tc>
                <w:tcPr>
                  <w:tcW w:w="84" w:type="pct"/>
                  <w:tcBorders>
                    <w:top w:val="single" w:sz="6" w:space="0" w:color="auto"/>
                  </w:tcBorders>
                  <w:shd w:val="clear" w:color="auto" w:fill="auto"/>
                  <w:vAlign w:val="center"/>
                </w:tcPr>
                <w:p w:rsidR="00822222" w:rsidRDefault="00822222" w:rsidP="00E57572">
                  <w:pPr>
                    <w:pStyle w:val="TableColumnHeading"/>
                    <w:ind w:right="28"/>
                    <w:jc w:val="center"/>
                  </w:pPr>
                </w:p>
              </w:tc>
              <w:tc>
                <w:tcPr>
                  <w:tcW w:w="1338" w:type="pct"/>
                  <w:gridSpan w:val="2"/>
                  <w:tcBorders>
                    <w:top w:val="single" w:sz="6" w:space="0" w:color="auto"/>
                    <w:bottom w:val="single" w:sz="6" w:space="0" w:color="auto"/>
                  </w:tcBorders>
                  <w:shd w:val="clear" w:color="auto" w:fill="auto"/>
                  <w:vAlign w:val="center"/>
                </w:tcPr>
                <w:p w:rsidR="00822222" w:rsidRDefault="00822222" w:rsidP="00E57572">
                  <w:pPr>
                    <w:pStyle w:val="TableColumnHeading"/>
                    <w:ind w:right="28"/>
                    <w:jc w:val="center"/>
                  </w:pPr>
                  <w:r>
                    <w:t>Cost-increasing effects</w:t>
                  </w:r>
                </w:p>
              </w:tc>
            </w:tr>
            <w:tr w:rsidR="00822222" w:rsidTr="00E57572">
              <w:tc>
                <w:tcPr>
                  <w:tcW w:w="2114" w:type="pct"/>
                  <w:gridSpan w:val="2"/>
                  <w:tcBorders>
                    <w:bottom w:val="single" w:sz="6" w:space="0" w:color="auto"/>
                  </w:tcBorders>
                  <w:shd w:val="clear" w:color="auto" w:fill="auto"/>
                </w:tcPr>
                <w:p w:rsidR="00822222" w:rsidRDefault="00822222" w:rsidP="00E57572">
                  <w:pPr>
                    <w:pStyle w:val="TableColumnHeading"/>
                    <w:jc w:val="left"/>
                  </w:pPr>
                </w:p>
              </w:tc>
              <w:tc>
                <w:tcPr>
                  <w:tcW w:w="629" w:type="pct"/>
                  <w:tcBorders>
                    <w:top w:val="single" w:sz="6" w:space="0" w:color="auto"/>
                    <w:bottom w:val="single" w:sz="6" w:space="0" w:color="auto"/>
                  </w:tcBorders>
                  <w:shd w:val="clear" w:color="auto" w:fill="auto"/>
                  <w:vAlign w:val="center"/>
                </w:tcPr>
                <w:p w:rsidR="00822222" w:rsidRDefault="00822222" w:rsidP="00E57572">
                  <w:pPr>
                    <w:pStyle w:val="TableColumnHeading"/>
                  </w:pPr>
                  <w:r>
                    <w:t>Australia</w:t>
                  </w:r>
                </w:p>
              </w:tc>
              <w:tc>
                <w:tcPr>
                  <w:tcW w:w="835" w:type="pct"/>
                  <w:tcBorders>
                    <w:top w:val="single" w:sz="6" w:space="0" w:color="auto"/>
                    <w:bottom w:val="single" w:sz="6" w:space="0" w:color="auto"/>
                  </w:tcBorders>
                  <w:shd w:val="clear" w:color="auto" w:fill="auto"/>
                  <w:vAlign w:val="center"/>
                </w:tcPr>
                <w:p w:rsidR="00822222" w:rsidRDefault="00822222" w:rsidP="00E57572">
                  <w:pPr>
                    <w:pStyle w:val="TableColumnHeading"/>
                    <w:ind w:right="28"/>
                  </w:pPr>
                  <w:r>
                    <w:t>New Zealand</w:t>
                  </w:r>
                </w:p>
              </w:tc>
              <w:tc>
                <w:tcPr>
                  <w:tcW w:w="84" w:type="pct"/>
                  <w:tcBorders>
                    <w:bottom w:val="single" w:sz="6" w:space="0" w:color="auto"/>
                  </w:tcBorders>
                  <w:shd w:val="clear" w:color="auto" w:fill="auto"/>
                  <w:vAlign w:val="center"/>
                </w:tcPr>
                <w:p w:rsidR="00822222" w:rsidRDefault="00822222" w:rsidP="00E57572">
                  <w:pPr>
                    <w:pStyle w:val="TableColumnHeading"/>
                    <w:ind w:right="28"/>
                  </w:pPr>
                </w:p>
              </w:tc>
              <w:tc>
                <w:tcPr>
                  <w:tcW w:w="594" w:type="pct"/>
                  <w:tcBorders>
                    <w:top w:val="single" w:sz="6" w:space="0" w:color="auto"/>
                    <w:bottom w:val="single" w:sz="6" w:space="0" w:color="auto"/>
                  </w:tcBorders>
                  <w:shd w:val="clear" w:color="auto" w:fill="auto"/>
                  <w:vAlign w:val="center"/>
                </w:tcPr>
                <w:p w:rsidR="00822222" w:rsidRDefault="00822222" w:rsidP="00E57572">
                  <w:pPr>
                    <w:pStyle w:val="TableColumnHeading"/>
                    <w:ind w:right="28"/>
                  </w:pPr>
                  <w:r>
                    <w:t>Australia</w:t>
                  </w:r>
                </w:p>
              </w:tc>
              <w:tc>
                <w:tcPr>
                  <w:tcW w:w="744" w:type="pct"/>
                  <w:tcBorders>
                    <w:top w:val="single" w:sz="6" w:space="0" w:color="auto"/>
                    <w:bottom w:val="single" w:sz="6" w:space="0" w:color="auto"/>
                  </w:tcBorders>
                  <w:shd w:val="clear" w:color="auto" w:fill="auto"/>
                  <w:vAlign w:val="center"/>
                </w:tcPr>
                <w:p w:rsidR="00822222" w:rsidRDefault="00822222" w:rsidP="00E57572">
                  <w:pPr>
                    <w:pStyle w:val="TableColumnHeading"/>
                    <w:ind w:right="28"/>
                  </w:pPr>
                  <w:r>
                    <w:t>New Zealand</w:t>
                  </w:r>
                </w:p>
              </w:tc>
            </w:tr>
            <w:tr w:rsidR="00822222" w:rsidTr="00E57572">
              <w:tc>
                <w:tcPr>
                  <w:tcW w:w="2114" w:type="pct"/>
                  <w:gridSpan w:val="2"/>
                  <w:tcBorders>
                    <w:top w:val="single" w:sz="6" w:space="0" w:color="auto"/>
                  </w:tcBorders>
                </w:tcPr>
                <w:p w:rsidR="00822222" w:rsidRPr="009E70B6" w:rsidRDefault="00822222" w:rsidP="00E57572">
                  <w:pPr>
                    <w:pStyle w:val="TableUnitsRow"/>
                    <w:jc w:val="left"/>
                    <w:rPr>
                      <w:b/>
                    </w:rPr>
                  </w:pPr>
                </w:p>
              </w:tc>
              <w:tc>
                <w:tcPr>
                  <w:tcW w:w="629" w:type="pct"/>
                  <w:tcBorders>
                    <w:top w:val="single" w:sz="6" w:space="0" w:color="auto"/>
                  </w:tcBorders>
                </w:tcPr>
                <w:p w:rsidR="00822222" w:rsidRDefault="00822222" w:rsidP="00E57572">
                  <w:pPr>
                    <w:pStyle w:val="TableUnitsRow"/>
                  </w:pPr>
                  <w:r>
                    <w:t>%</w:t>
                  </w:r>
                </w:p>
              </w:tc>
              <w:tc>
                <w:tcPr>
                  <w:tcW w:w="835" w:type="pct"/>
                  <w:tcBorders>
                    <w:top w:val="single" w:sz="6" w:space="0" w:color="auto"/>
                  </w:tcBorders>
                </w:tcPr>
                <w:p w:rsidR="00822222" w:rsidRDefault="00822222" w:rsidP="00E57572">
                  <w:pPr>
                    <w:pStyle w:val="TableUnitsRow"/>
                    <w:ind w:right="28"/>
                  </w:pPr>
                  <w:r>
                    <w:t>%</w:t>
                  </w:r>
                </w:p>
              </w:tc>
              <w:tc>
                <w:tcPr>
                  <w:tcW w:w="84" w:type="pct"/>
                  <w:tcBorders>
                    <w:top w:val="single" w:sz="6" w:space="0" w:color="auto"/>
                  </w:tcBorders>
                </w:tcPr>
                <w:p w:rsidR="00822222" w:rsidRDefault="00822222" w:rsidP="00E57572">
                  <w:pPr>
                    <w:pStyle w:val="TableUnitsRow"/>
                    <w:ind w:right="28"/>
                  </w:pPr>
                </w:p>
              </w:tc>
              <w:tc>
                <w:tcPr>
                  <w:tcW w:w="594" w:type="pct"/>
                  <w:tcBorders>
                    <w:top w:val="single" w:sz="6" w:space="0" w:color="auto"/>
                  </w:tcBorders>
                </w:tcPr>
                <w:p w:rsidR="00822222" w:rsidRDefault="00822222" w:rsidP="00E57572">
                  <w:pPr>
                    <w:pStyle w:val="TableUnitsRow"/>
                    <w:ind w:right="28"/>
                  </w:pPr>
                  <w:r>
                    <w:t xml:space="preserve">% </w:t>
                  </w:r>
                </w:p>
              </w:tc>
              <w:tc>
                <w:tcPr>
                  <w:tcW w:w="744" w:type="pct"/>
                  <w:tcBorders>
                    <w:top w:val="single" w:sz="6" w:space="0" w:color="auto"/>
                  </w:tcBorders>
                </w:tcPr>
                <w:p w:rsidR="00822222" w:rsidRDefault="00822222" w:rsidP="00E57572">
                  <w:pPr>
                    <w:pStyle w:val="TableUnitsRow"/>
                    <w:ind w:right="28"/>
                  </w:pPr>
                  <w:r>
                    <w:t xml:space="preserve">% </w:t>
                  </w:r>
                </w:p>
              </w:tc>
            </w:tr>
            <w:tr w:rsidR="00822222" w:rsidRPr="00A6025B" w:rsidTr="00E57572">
              <w:tc>
                <w:tcPr>
                  <w:tcW w:w="2114" w:type="pct"/>
                  <w:gridSpan w:val="2"/>
                </w:tcPr>
                <w:p w:rsidR="00822222" w:rsidRPr="00A6025B" w:rsidRDefault="00822222" w:rsidP="00E57572">
                  <w:pPr>
                    <w:pStyle w:val="TableUnitsRow"/>
                    <w:spacing w:before="0"/>
                    <w:jc w:val="left"/>
                    <w:rPr>
                      <w:b/>
                      <w:i/>
                    </w:rPr>
                  </w:pPr>
                  <w:r w:rsidRPr="009E70B6">
                    <w:rPr>
                      <w:b/>
                    </w:rPr>
                    <w:t>Trans-Tasman barriers</w:t>
                  </w:r>
                </w:p>
              </w:tc>
              <w:tc>
                <w:tcPr>
                  <w:tcW w:w="629" w:type="pct"/>
                </w:tcPr>
                <w:p w:rsidR="00822222" w:rsidRPr="00A6025B" w:rsidRDefault="00822222" w:rsidP="00E57572">
                  <w:pPr>
                    <w:pStyle w:val="TableUnitsRow"/>
                    <w:spacing w:before="0"/>
                    <w:jc w:val="left"/>
                    <w:rPr>
                      <w:b/>
                    </w:rPr>
                  </w:pPr>
                </w:p>
              </w:tc>
              <w:tc>
                <w:tcPr>
                  <w:tcW w:w="835" w:type="pct"/>
                </w:tcPr>
                <w:p w:rsidR="00822222" w:rsidRPr="00A6025B" w:rsidRDefault="00822222" w:rsidP="00E57572">
                  <w:pPr>
                    <w:pStyle w:val="TableUnitsRow"/>
                    <w:spacing w:before="0"/>
                    <w:jc w:val="left"/>
                    <w:rPr>
                      <w:b/>
                    </w:rPr>
                  </w:pPr>
                </w:p>
              </w:tc>
              <w:tc>
                <w:tcPr>
                  <w:tcW w:w="84" w:type="pct"/>
                </w:tcPr>
                <w:p w:rsidR="00822222" w:rsidRPr="00A6025B" w:rsidRDefault="00822222" w:rsidP="00E57572">
                  <w:pPr>
                    <w:pStyle w:val="TableUnitsRow"/>
                    <w:spacing w:before="0"/>
                    <w:jc w:val="left"/>
                    <w:rPr>
                      <w:b/>
                    </w:rPr>
                  </w:pPr>
                </w:p>
              </w:tc>
              <w:tc>
                <w:tcPr>
                  <w:tcW w:w="594" w:type="pct"/>
                </w:tcPr>
                <w:p w:rsidR="00822222" w:rsidRPr="00A6025B" w:rsidRDefault="00822222" w:rsidP="00E57572">
                  <w:pPr>
                    <w:pStyle w:val="TableUnitsRow"/>
                    <w:spacing w:before="0"/>
                    <w:jc w:val="left"/>
                    <w:rPr>
                      <w:b/>
                    </w:rPr>
                  </w:pPr>
                </w:p>
              </w:tc>
              <w:tc>
                <w:tcPr>
                  <w:tcW w:w="744" w:type="pct"/>
                </w:tcPr>
                <w:p w:rsidR="00822222" w:rsidRPr="00A6025B" w:rsidRDefault="00822222" w:rsidP="00E57572">
                  <w:pPr>
                    <w:pStyle w:val="TableUnitsRow"/>
                    <w:spacing w:before="0"/>
                    <w:jc w:val="left"/>
                    <w:rPr>
                      <w:b/>
                    </w:rPr>
                  </w:pPr>
                </w:p>
              </w:tc>
            </w:tr>
            <w:tr w:rsidR="00822222" w:rsidTr="00E57572">
              <w:tc>
                <w:tcPr>
                  <w:tcW w:w="2114" w:type="pct"/>
                  <w:gridSpan w:val="2"/>
                </w:tcPr>
                <w:p w:rsidR="00822222" w:rsidRDefault="00822222" w:rsidP="00E57572">
                  <w:pPr>
                    <w:pStyle w:val="TableBodyText"/>
                    <w:jc w:val="left"/>
                  </w:pPr>
                  <w:r>
                    <w:t>Barriers to services</w:t>
                  </w:r>
                  <w:r w:rsidRPr="008E77FE">
                    <w:rPr>
                      <w:rStyle w:val="NoteLabel"/>
                    </w:rPr>
                    <w:t>a</w:t>
                  </w:r>
                </w:p>
              </w:tc>
              <w:tc>
                <w:tcPr>
                  <w:tcW w:w="629" w:type="pct"/>
                </w:tcPr>
                <w:p w:rsidR="00822222" w:rsidRDefault="00822222" w:rsidP="00E57572">
                  <w:pPr>
                    <w:pStyle w:val="TableBodyText"/>
                  </w:pPr>
                  <w:r>
                    <w:t>0.9</w:t>
                  </w:r>
                </w:p>
              </w:tc>
              <w:tc>
                <w:tcPr>
                  <w:tcW w:w="835" w:type="pct"/>
                </w:tcPr>
                <w:p w:rsidR="00822222" w:rsidRDefault="00E81710" w:rsidP="00E57572">
                  <w:pPr>
                    <w:pStyle w:val="TableBodyText"/>
                    <w:ind w:right="28"/>
                  </w:pPr>
                  <w:r>
                    <w:t>0.9</w:t>
                  </w:r>
                </w:p>
              </w:tc>
              <w:tc>
                <w:tcPr>
                  <w:tcW w:w="84" w:type="pct"/>
                </w:tcPr>
                <w:p w:rsidR="00822222" w:rsidRDefault="00822222" w:rsidP="00E57572">
                  <w:pPr>
                    <w:pStyle w:val="TableBodyText"/>
                    <w:ind w:right="28"/>
                  </w:pPr>
                </w:p>
              </w:tc>
              <w:tc>
                <w:tcPr>
                  <w:tcW w:w="594" w:type="pct"/>
                </w:tcPr>
                <w:p w:rsidR="00822222" w:rsidRDefault="00822222" w:rsidP="00E57572">
                  <w:pPr>
                    <w:pStyle w:val="TableBodyText"/>
                    <w:ind w:right="28"/>
                  </w:pPr>
                  <w:r w:rsidRPr="00DA1041">
                    <w:t>2.4</w:t>
                  </w:r>
                </w:p>
              </w:tc>
              <w:tc>
                <w:tcPr>
                  <w:tcW w:w="744" w:type="pct"/>
                </w:tcPr>
                <w:p w:rsidR="00822222" w:rsidRDefault="00822222" w:rsidP="00E57572">
                  <w:pPr>
                    <w:pStyle w:val="TableBodyText"/>
                    <w:ind w:right="28"/>
                  </w:pPr>
                  <w:r w:rsidRPr="002C183D">
                    <w:t>0.9</w:t>
                  </w:r>
                </w:p>
              </w:tc>
            </w:tr>
            <w:tr w:rsidR="00822222" w:rsidTr="00E57572">
              <w:tc>
                <w:tcPr>
                  <w:tcW w:w="2114" w:type="pct"/>
                  <w:gridSpan w:val="2"/>
                </w:tcPr>
                <w:p w:rsidR="00822222" w:rsidRDefault="00822222" w:rsidP="00E57572">
                  <w:pPr>
                    <w:pStyle w:val="TableBodyText"/>
                    <w:jc w:val="left"/>
                  </w:pPr>
                  <w:r>
                    <w:t xml:space="preserve">Barriers to communications </w:t>
                  </w:r>
                </w:p>
              </w:tc>
              <w:tc>
                <w:tcPr>
                  <w:tcW w:w="629" w:type="pct"/>
                </w:tcPr>
                <w:p w:rsidR="00822222" w:rsidRDefault="00E81710" w:rsidP="00E57572">
                  <w:pPr>
                    <w:pStyle w:val="TableBodyText"/>
                  </w:pPr>
                  <w:r>
                    <w:t>0.5</w:t>
                  </w:r>
                </w:p>
              </w:tc>
              <w:tc>
                <w:tcPr>
                  <w:tcW w:w="835" w:type="pct"/>
                </w:tcPr>
                <w:p w:rsidR="00822222" w:rsidRDefault="00E81710" w:rsidP="00E57572">
                  <w:pPr>
                    <w:pStyle w:val="TableBodyText"/>
                    <w:ind w:right="28"/>
                  </w:pPr>
                  <w:r>
                    <w:t>0.5</w:t>
                  </w:r>
                </w:p>
              </w:tc>
              <w:tc>
                <w:tcPr>
                  <w:tcW w:w="84" w:type="pct"/>
                </w:tcPr>
                <w:p w:rsidR="00822222" w:rsidRDefault="00822222" w:rsidP="00E57572">
                  <w:pPr>
                    <w:pStyle w:val="TableBodyText"/>
                    <w:ind w:right="28"/>
                  </w:pPr>
                </w:p>
              </w:tc>
              <w:tc>
                <w:tcPr>
                  <w:tcW w:w="594" w:type="pct"/>
                </w:tcPr>
                <w:p w:rsidR="00822222" w:rsidRDefault="00822222" w:rsidP="00E57572">
                  <w:pPr>
                    <w:pStyle w:val="TableBodyText"/>
                    <w:ind w:right="28"/>
                  </w:pPr>
                  <w:r w:rsidRPr="00DA1041">
                    <w:t>4.5</w:t>
                  </w:r>
                </w:p>
              </w:tc>
              <w:tc>
                <w:tcPr>
                  <w:tcW w:w="744" w:type="pct"/>
                </w:tcPr>
                <w:p w:rsidR="00822222" w:rsidRDefault="00822222" w:rsidP="00E57572">
                  <w:pPr>
                    <w:pStyle w:val="TableBodyText"/>
                    <w:ind w:right="28"/>
                  </w:pPr>
                  <w:r w:rsidRPr="002C183D">
                    <w:t>3.1</w:t>
                  </w:r>
                </w:p>
              </w:tc>
            </w:tr>
            <w:tr w:rsidR="00822222" w:rsidTr="00E57572">
              <w:tc>
                <w:tcPr>
                  <w:tcW w:w="2114" w:type="pct"/>
                  <w:gridSpan w:val="2"/>
                </w:tcPr>
                <w:p w:rsidR="00822222" w:rsidRPr="009E70B6" w:rsidRDefault="00822222" w:rsidP="00E57572">
                  <w:pPr>
                    <w:pStyle w:val="TableUnitsRow"/>
                    <w:jc w:val="left"/>
                    <w:rPr>
                      <w:b/>
                    </w:rPr>
                  </w:pPr>
                  <w:r w:rsidRPr="009E70B6">
                    <w:rPr>
                      <w:b/>
                    </w:rPr>
                    <w:t>Barriers with all partners</w:t>
                  </w:r>
                </w:p>
              </w:tc>
              <w:tc>
                <w:tcPr>
                  <w:tcW w:w="629" w:type="pct"/>
                </w:tcPr>
                <w:p w:rsidR="00822222" w:rsidRDefault="00822222" w:rsidP="00E57572">
                  <w:pPr>
                    <w:pStyle w:val="TableBodyText"/>
                  </w:pPr>
                </w:p>
              </w:tc>
              <w:tc>
                <w:tcPr>
                  <w:tcW w:w="835" w:type="pct"/>
                </w:tcPr>
                <w:p w:rsidR="00822222" w:rsidRDefault="00822222" w:rsidP="00E57572">
                  <w:pPr>
                    <w:pStyle w:val="TableBodyText"/>
                    <w:ind w:right="28"/>
                  </w:pPr>
                </w:p>
              </w:tc>
              <w:tc>
                <w:tcPr>
                  <w:tcW w:w="84" w:type="pct"/>
                </w:tcPr>
                <w:p w:rsidR="00822222" w:rsidRDefault="00822222" w:rsidP="00E57572">
                  <w:pPr>
                    <w:pStyle w:val="TableBodyText"/>
                    <w:ind w:right="28"/>
                  </w:pPr>
                </w:p>
              </w:tc>
              <w:tc>
                <w:tcPr>
                  <w:tcW w:w="594" w:type="pct"/>
                </w:tcPr>
                <w:p w:rsidR="00822222" w:rsidRDefault="00822222" w:rsidP="00E57572">
                  <w:pPr>
                    <w:pStyle w:val="TableBodyText"/>
                    <w:ind w:right="28"/>
                  </w:pPr>
                </w:p>
              </w:tc>
              <w:tc>
                <w:tcPr>
                  <w:tcW w:w="744" w:type="pct"/>
                </w:tcPr>
                <w:p w:rsidR="00822222" w:rsidRDefault="00822222" w:rsidP="00E57572">
                  <w:pPr>
                    <w:pStyle w:val="TableBodyText"/>
                    <w:ind w:right="28"/>
                  </w:pPr>
                </w:p>
              </w:tc>
            </w:tr>
            <w:tr w:rsidR="00822222" w:rsidTr="00E57572">
              <w:tc>
                <w:tcPr>
                  <w:tcW w:w="2114" w:type="pct"/>
                  <w:gridSpan w:val="2"/>
                  <w:tcBorders>
                    <w:bottom w:val="single" w:sz="6" w:space="0" w:color="auto"/>
                  </w:tcBorders>
                  <w:shd w:val="clear" w:color="auto" w:fill="auto"/>
                </w:tcPr>
                <w:p w:rsidR="00822222" w:rsidRDefault="00822222" w:rsidP="006E7C5F">
                  <w:pPr>
                    <w:pStyle w:val="TableBodyText"/>
                    <w:jc w:val="left"/>
                  </w:pPr>
                  <w:r>
                    <w:t>Barriers to communications</w:t>
                  </w:r>
                  <w:r>
                    <w:rPr>
                      <w:rStyle w:val="NoteLabel"/>
                    </w:rPr>
                    <w:t>b</w:t>
                  </w:r>
                </w:p>
              </w:tc>
              <w:tc>
                <w:tcPr>
                  <w:tcW w:w="629" w:type="pct"/>
                  <w:tcBorders>
                    <w:bottom w:val="single" w:sz="6" w:space="0" w:color="auto"/>
                  </w:tcBorders>
                  <w:shd w:val="clear" w:color="auto" w:fill="auto"/>
                </w:tcPr>
                <w:p w:rsidR="00822222" w:rsidRDefault="00822222" w:rsidP="00E57572">
                  <w:pPr>
                    <w:pStyle w:val="TableBodyText"/>
                  </w:pPr>
                  <w:r w:rsidRPr="000A09FC">
                    <w:t>0.9</w:t>
                  </w:r>
                </w:p>
              </w:tc>
              <w:tc>
                <w:tcPr>
                  <w:tcW w:w="835" w:type="pct"/>
                  <w:tcBorders>
                    <w:bottom w:val="single" w:sz="6" w:space="0" w:color="auto"/>
                  </w:tcBorders>
                </w:tcPr>
                <w:p w:rsidR="00822222" w:rsidRDefault="00E81710" w:rsidP="00E57572">
                  <w:pPr>
                    <w:pStyle w:val="TableBodyText"/>
                    <w:ind w:right="28"/>
                  </w:pPr>
                  <w:r>
                    <w:t>1.3</w:t>
                  </w:r>
                </w:p>
              </w:tc>
              <w:tc>
                <w:tcPr>
                  <w:tcW w:w="84" w:type="pct"/>
                  <w:tcBorders>
                    <w:bottom w:val="single" w:sz="6" w:space="0" w:color="auto"/>
                  </w:tcBorders>
                </w:tcPr>
                <w:p w:rsidR="00822222" w:rsidRDefault="00822222" w:rsidP="00E57572">
                  <w:pPr>
                    <w:pStyle w:val="TableBodyText"/>
                    <w:ind w:right="28"/>
                  </w:pPr>
                </w:p>
              </w:tc>
              <w:tc>
                <w:tcPr>
                  <w:tcW w:w="594" w:type="pct"/>
                  <w:tcBorders>
                    <w:bottom w:val="single" w:sz="6" w:space="0" w:color="auto"/>
                  </w:tcBorders>
                </w:tcPr>
                <w:p w:rsidR="00822222" w:rsidRDefault="00822222" w:rsidP="00E57572">
                  <w:pPr>
                    <w:pStyle w:val="TableBodyText"/>
                    <w:ind w:right="28"/>
                  </w:pPr>
                  <w:r w:rsidRPr="00DA1041">
                    <w:t>1.1</w:t>
                  </w:r>
                </w:p>
              </w:tc>
              <w:tc>
                <w:tcPr>
                  <w:tcW w:w="744" w:type="pct"/>
                  <w:tcBorders>
                    <w:bottom w:val="single" w:sz="6" w:space="0" w:color="auto"/>
                  </w:tcBorders>
                  <w:shd w:val="clear" w:color="auto" w:fill="auto"/>
                </w:tcPr>
                <w:p w:rsidR="00822222" w:rsidRDefault="00822222" w:rsidP="00E57572">
                  <w:pPr>
                    <w:pStyle w:val="TableBodyText"/>
                    <w:ind w:right="28"/>
                  </w:pPr>
                  <w:r w:rsidRPr="002C183D">
                    <w:t>1.2</w:t>
                  </w:r>
                </w:p>
              </w:tc>
            </w:tr>
          </w:tbl>
          <w:p w:rsidR="00822222" w:rsidRPr="00002045" w:rsidRDefault="00822222" w:rsidP="00822222">
            <w:pPr>
              <w:pStyle w:val="Note"/>
            </w:pPr>
            <w:r w:rsidRPr="008E77FE">
              <w:rPr>
                <w:rStyle w:val="NoteLabel"/>
              </w:rPr>
              <w:t>a</w:t>
            </w:r>
            <w:r>
              <w:t xml:space="preserve"> Weighted average of barriers for all services industries. </w:t>
            </w:r>
            <w:r>
              <w:rPr>
                <w:rStyle w:val="NoteLabel"/>
              </w:rPr>
              <w:t>b </w:t>
            </w:r>
            <w:r>
              <w:t xml:space="preserve">Weighted average of barriers for all foreign countries. The weighted average of barriers for all foreign countries in the communications sector is </w:t>
            </w:r>
            <w:r w:rsidR="00DB62F2">
              <w:t xml:space="preserve">larger </w:t>
            </w:r>
            <w:r>
              <w:t xml:space="preserve">than the equivalent trans-Tasman barriers because </w:t>
            </w:r>
            <w:r w:rsidR="00DB62F2">
              <w:t>trans-Tasman barriers were reduced to account for the high-level of trans-Tasman integration.</w:t>
            </w:r>
          </w:p>
          <w:p w:rsidR="00822222" w:rsidRDefault="00822222" w:rsidP="00822222">
            <w:pPr>
              <w:pStyle w:val="Source"/>
            </w:pPr>
            <w:r>
              <w:rPr>
                <w:i/>
              </w:rPr>
              <w:t>Source</w:t>
            </w:r>
            <w:r w:rsidR="00AE6F1C">
              <w:rPr>
                <w:i/>
              </w:rPr>
              <w:t>s</w:t>
            </w:r>
            <w:r>
              <w:t xml:space="preserve">: CIE (2010); </w:t>
            </w:r>
            <w:r w:rsidR="00771A89">
              <w:t>s</w:t>
            </w:r>
            <w:r w:rsidR="00557CF9">
              <w:t>upplementary paper E.</w:t>
            </w:r>
          </w:p>
          <w:p w:rsidR="00822222" w:rsidRDefault="00822222" w:rsidP="00822222">
            <w:pPr>
              <w:pStyle w:val="Continued"/>
            </w:pPr>
            <w:r>
              <w:t>(Continued next page)</w:t>
            </w:r>
          </w:p>
        </w:tc>
      </w:tr>
      <w:tr w:rsidR="00A144D6" w:rsidTr="00A144D6">
        <w:trPr>
          <w:cantSplit/>
        </w:trPr>
        <w:tc>
          <w:tcPr>
            <w:tcW w:w="8771" w:type="dxa"/>
            <w:tcBorders>
              <w:top w:val="nil"/>
              <w:left w:val="nil"/>
              <w:bottom w:val="nil"/>
              <w:right w:val="nil"/>
            </w:tcBorders>
            <w:shd w:val="clear" w:color="auto" w:fill="D9EAF0"/>
          </w:tcPr>
          <w:p w:rsidR="00A144D6" w:rsidRDefault="00A144D6">
            <w:pPr>
              <w:pStyle w:val="Box"/>
              <w:spacing w:before="0" w:line="120" w:lineRule="exact"/>
            </w:pPr>
          </w:p>
        </w:tc>
      </w:tr>
      <w:tr w:rsidR="00A144D6" w:rsidRPr="006E7C5F" w:rsidTr="00A144D6">
        <w:tc>
          <w:tcPr>
            <w:tcW w:w="8771" w:type="dxa"/>
            <w:tcBorders>
              <w:top w:val="nil"/>
              <w:left w:val="nil"/>
              <w:bottom w:val="nil"/>
              <w:right w:val="nil"/>
            </w:tcBorders>
          </w:tcPr>
          <w:p w:rsidR="00A144D6" w:rsidRPr="006E7C5F" w:rsidRDefault="00A144D6">
            <w:pPr>
              <w:pStyle w:val="Box"/>
              <w:keepNext w:val="0"/>
              <w:spacing w:before="60" w:after="60" w:line="80" w:lineRule="exact"/>
              <w:rPr>
                <w:b/>
                <w:color w:val="auto"/>
                <w:sz w:val="14"/>
              </w:rPr>
            </w:pPr>
          </w:p>
        </w:tc>
      </w:tr>
    </w:tbl>
    <w:p w:rsidR="00A144D6" w:rsidRDefault="00A144D6">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144D6" w:rsidTr="00E57572">
        <w:tc>
          <w:tcPr>
            <w:tcW w:w="8771" w:type="dxa"/>
            <w:tcBorders>
              <w:top w:val="nil"/>
              <w:left w:val="nil"/>
              <w:bottom w:val="nil"/>
              <w:right w:val="nil"/>
            </w:tcBorders>
            <w:shd w:val="clear" w:color="auto" w:fill="D9EAF0"/>
          </w:tcPr>
          <w:p w:rsidR="00A144D6" w:rsidRDefault="00A144D6" w:rsidP="00822222">
            <w:pPr>
              <w:pStyle w:val="BoxTitle"/>
            </w:pPr>
            <w:r>
              <w:rPr>
                <w:b w:val="0"/>
              </w:rPr>
              <w:t xml:space="preserve">Box </w:t>
            </w:r>
            <w:proofErr w:type="spellStart"/>
            <w:r w:rsidR="00822222">
              <w:rPr>
                <w:b w:val="0"/>
              </w:rPr>
              <w:t>C.5</w:t>
            </w:r>
            <w:proofErr w:type="spellEnd"/>
            <w:r>
              <w:tab/>
            </w:r>
            <w:r w:rsidR="00822222" w:rsidRPr="0067348C">
              <w:rPr>
                <w:b w:val="0"/>
                <w:sz w:val="18"/>
                <w:szCs w:val="18"/>
              </w:rPr>
              <w:t>(continued</w:t>
            </w:r>
            <w:r w:rsidR="00822222">
              <w:rPr>
                <w:b w:val="0"/>
                <w:sz w:val="18"/>
                <w:szCs w:val="18"/>
              </w:rPr>
              <w:t>)</w:t>
            </w:r>
          </w:p>
        </w:tc>
      </w:tr>
      <w:tr w:rsidR="00822222" w:rsidTr="00E57572">
        <w:trPr>
          <w:cantSplit/>
        </w:trPr>
        <w:tc>
          <w:tcPr>
            <w:tcW w:w="8771" w:type="dxa"/>
            <w:tcBorders>
              <w:top w:val="nil"/>
              <w:left w:val="nil"/>
              <w:bottom w:val="nil"/>
              <w:right w:val="nil"/>
            </w:tcBorders>
            <w:shd w:val="clear" w:color="auto" w:fill="D9EAF0"/>
          </w:tcPr>
          <w:p w:rsidR="00822222" w:rsidRDefault="00822222" w:rsidP="00E57572">
            <w:pPr>
              <w:pStyle w:val="Box"/>
              <w:spacing w:after="120"/>
            </w:pPr>
            <w:r>
              <w:t>Reducing barriers to commercial presence across the Australian and New Zealand services sectors could increase New Zealand real GNP by 0.</w:t>
            </w:r>
            <w:r w:rsidR="00DB62F2">
              <w:t>08</w:t>
            </w:r>
            <w:r>
              <w:t> </w:t>
            </w:r>
            <w:proofErr w:type="spellStart"/>
            <w:r>
              <w:t>percent</w:t>
            </w:r>
            <w:proofErr w:type="spellEnd"/>
            <w:r>
              <w:t xml:space="preserve"> if capital is assumed to be highly substitutable (table below). </w:t>
            </w:r>
            <w:r w:rsidR="00DB62F2">
              <w:t>The gains in New Zealand occur because Australian-owned capital flows to New Zealand where it is more productive. The subsequent reduction in capital in Australia is partially offset by an inflow of capital owned by the Rest of the World and New Zealand into Australia. When the increase in returns to Australian capital in New Zealand are considered, Australian GNP (which includes income from Australian-owned capital) does not change.</w:t>
            </w:r>
          </w:p>
          <w:p w:rsidR="00822222" w:rsidRDefault="00822222" w:rsidP="00E57572">
            <w:pPr>
              <w:pStyle w:val="Box"/>
              <w:spacing w:after="120"/>
            </w:pPr>
            <w:r w:rsidRPr="003A471A">
              <w:t xml:space="preserve">A reduction in the barriers to commercial presence for </w:t>
            </w:r>
            <w:proofErr w:type="spellStart"/>
            <w:r w:rsidRPr="003A471A">
              <w:t>FDI</w:t>
            </w:r>
            <w:proofErr w:type="spellEnd"/>
            <w:r w:rsidRPr="003A471A">
              <w:t xml:space="preserve"> in the communications industry</w:t>
            </w:r>
            <w:r>
              <w:t xml:space="preserve"> was modelled separately as an example of the magnitude of gains in a key sector that provides consumption services to households as well as intermediate input services to businesses. Reducing barriers to trans-Tasman investment in communications produces </w:t>
            </w:r>
            <w:r w:rsidR="00A315AD">
              <w:t xml:space="preserve">no observable benefit for </w:t>
            </w:r>
            <w:r>
              <w:t xml:space="preserve">Australia, and small benefits to New Zealand. Australian telecommunications </w:t>
            </w:r>
            <w:r w:rsidR="00155287">
              <w:t xml:space="preserve">firms </w:t>
            </w:r>
            <w:r>
              <w:t>increase their investment in New Zealand, due to the larger increase in returns to capital in New Zealand (particularly as a result of the removal of cost-escalating barriers). This allows New Zealand’s capital stock to expand, and increases the productivity and returns to New Zealand labour.</w:t>
            </w:r>
          </w:p>
          <w:p w:rsidR="00822222" w:rsidRDefault="00822222" w:rsidP="00E57572">
            <w:pPr>
              <w:pStyle w:val="Box"/>
              <w:spacing w:after="120"/>
            </w:pPr>
            <w:r>
              <w:t>Removing barriers to all foreign investment in the communication services industry produces larger GNP gains in both Australia and New Zealand as investment from around the world can achieve a higher rate of return in Australia and New Zealand.</w:t>
            </w:r>
          </w:p>
          <w:p w:rsidR="00822222" w:rsidRPr="00E81895" w:rsidRDefault="00822222" w:rsidP="006E7C5F">
            <w:pPr>
              <w:pStyle w:val="TableTitle"/>
              <w:ind w:left="1112" w:hanging="1112"/>
            </w:pPr>
            <w:r w:rsidRPr="0027177D">
              <w:rPr>
                <w:b w:val="0"/>
              </w:rPr>
              <w:t>Table</w:t>
            </w:r>
            <w:r w:rsidRPr="00E81895">
              <w:tab/>
              <w:t xml:space="preserve">Effects on </w:t>
            </w:r>
            <w:r>
              <w:t xml:space="preserve">real </w:t>
            </w:r>
            <w:r w:rsidRPr="00E81895">
              <w:t>GNP of eliminating barriers to commercial presence</w:t>
            </w:r>
          </w:p>
          <w:tbl>
            <w:tblPr>
              <w:tblW w:w="8486" w:type="dxa"/>
              <w:tblLayout w:type="fixed"/>
              <w:tblCellMar>
                <w:left w:w="0" w:type="dxa"/>
                <w:right w:w="0" w:type="dxa"/>
              </w:tblCellMar>
              <w:tblLook w:val="0000" w:firstRow="0" w:lastRow="0" w:firstColumn="0" w:lastColumn="0" w:noHBand="0" w:noVBand="0"/>
            </w:tblPr>
            <w:tblGrid>
              <w:gridCol w:w="5507"/>
              <w:gridCol w:w="1417"/>
              <w:gridCol w:w="141"/>
              <w:gridCol w:w="1421"/>
            </w:tblGrid>
            <w:tr w:rsidR="00822222" w:rsidTr="00E57572">
              <w:trPr>
                <w:trHeight w:val="452"/>
              </w:trPr>
              <w:tc>
                <w:tcPr>
                  <w:tcW w:w="3245" w:type="pct"/>
                  <w:tcBorders>
                    <w:top w:val="single" w:sz="4" w:space="0" w:color="auto"/>
                    <w:bottom w:val="single" w:sz="4" w:space="0" w:color="auto"/>
                  </w:tcBorders>
                  <w:shd w:val="clear" w:color="auto" w:fill="auto"/>
                </w:tcPr>
                <w:p w:rsidR="00822222" w:rsidRDefault="00822222" w:rsidP="00E57572">
                  <w:pPr>
                    <w:pStyle w:val="TableColumnHeading"/>
                    <w:spacing w:line="276" w:lineRule="auto"/>
                    <w:jc w:val="left"/>
                  </w:pPr>
                </w:p>
              </w:tc>
              <w:tc>
                <w:tcPr>
                  <w:tcW w:w="835" w:type="pct"/>
                  <w:tcBorders>
                    <w:top w:val="single" w:sz="4" w:space="0" w:color="auto"/>
                    <w:bottom w:val="single" w:sz="4" w:space="0" w:color="auto"/>
                  </w:tcBorders>
                  <w:vAlign w:val="center"/>
                </w:tcPr>
                <w:p w:rsidR="00822222" w:rsidRDefault="00822222" w:rsidP="00E57572">
                  <w:pPr>
                    <w:pStyle w:val="TableColumnHeading"/>
                    <w:spacing w:line="276" w:lineRule="auto"/>
                  </w:pPr>
                  <w:r>
                    <w:t>Australia</w:t>
                  </w:r>
                  <w:r>
                    <w:br/>
                    <w:t>% change</w:t>
                  </w:r>
                </w:p>
              </w:tc>
              <w:tc>
                <w:tcPr>
                  <w:tcW w:w="83" w:type="pct"/>
                  <w:tcBorders>
                    <w:top w:val="single" w:sz="4" w:space="0" w:color="auto"/>
                    <w:bottom w:val="single" w:sz="4" w:space="0" w:color="auto"/>
                  </w:tcBorders>
                  <w:vAlign w:val="center"/>
                </w:tcPr>
                <w:p w:rsidR="00822222" w:rsidRDefault="00822222" w:rsidP="00E57572">
                  <w:pPr>
                    <w:pStyle w:val="TableColumnHeading"/>
                    <w:spacing w:line="276" w:lineRule="auto"/>
                  </w:pPr>
                </w:p>
              </w:tc>
              <w:tc>
                <w:tcPr>
                  <w:tcW w:w="837" w:type="pct"/>
                  <w:tcBorders>
                    <w:top w:val="single" w:sz="4" w:space="0" w:color="auto"/>
                    <w:bottom w:val="single" w:sz="4" w:space="0" w:color="auto"/>
                  </w:tcBorders>
                  <w:vAlign w:val="center"/>
                </w:tcPr>
                <w:p w:rsidR="00822222" w:rsidRDefault="00822222" w:rsidP="00E57572">
                  <w:pPr>
                    <w:pStyle w:val="TableColumnHeading"/>
                    <w:spacing w:line="276" w:lineRule="auto"/>
                  </w:pPr>
                  <w:r>
                    <w:t>New Zealand</w:t>
                  </w:r>
                  <w:r>
                    <w:br/>
                    <w:t>% change</w:t>
                  </w:r>
                </w:p>
              </w:tc>
            </w:tr>
            <w:tr w:rsidR="00822222" w:rsidTr="00E57572">
              <w:tc>
                <w:tcPr>
                  <w:tcW w:w="3245" w:type="pct"/>
                  <w:tcBorders>
                    <w:top w:val="single" w:sz="4" w:space="0" w:color="auto"/>
                  </w:tcBorders>
                </w:tcPr>
                <w:p w:rsidR="00822222" w:rsidRPr="000C23F3" w:rsidRDefault="00822222" w:rsidP="00E57572">
                  <w:pPr>
                    <w:pStyle w:val="TableUnitsRow"/>
                    <w:spacing w:after="40"/>
                    <w:jc w:val="left"/>
                    <w:rPr>
                      <w:b/>
                    </w:rPr>
                  </w:pPr>
                  <w:r w:rsidRPr="000C23F3">
                    <w:rPr>
                      <w:b/>
                    </w:rPr>
                    <w:t>Preferential</w:t>
                  </w:r>
                </w:p>
              </w:tc>
              <w:tc>
                <w:tcPr>
                  <w:tcW w:w="835" w:type="pct"/>
                  <w:tcBorders>
                    <w:top w:val="single" w:sz="4" w:space="0" w:color="auto"/>
                  </w:tcBorders>
                </w:tcPr>
                <w:p w:rsidR="00822222" w:rsidRDefault="00822222" w:rsidP="00E57572">
                  <w:pPr>
                    <w:pStyle w:val="TableUnitsRow"/>
                    <w:spacing w:after="40"/>
                  </w:pPr>
                </w:p>
              </w:tc>
              <w:tc>
                <w:tcPr>
                  <w:tcW w:w="83" w:type="pct"/>
                  <w:tcBorders>
                    <w:top w:val="single" w:sz="4" w:space="0" w:color="auto"/>
                  </w:tcBorders>
                </w:tcPr>
                <w:p w:rsidR="00822222" w:rsidRDefault="00822222" w:rsidP="00E57572">
                  <w:pPr>
                    <w:pStyle w:val="TableUnitsRow"/>
                    <w:spacing w:after="40"/>
                    <w:ind w:right="28"/>
                  </w:pPr>
                </w:p>
              </w:tc>
              <w:tc>
                <w:tcPr>
                  <w:tcW w:w="837" w:type="pct"/>
                  <w:tcBorders>
                    <w:top w:val="single" w:sz="4" w:space="0" w:color="auto"/>
                  </w:tcBorders>
                </w:tcPr>
                <w:p w:rsidR="00822222" w:rsidRDefault="00822222" w:rsidP="00E57572">
                  <w:pPr>
                    <w:pStyle w:val="TableUnitsRow"/>
                    <w:spacing w:after="40"/>
                    <w:ind w:right="28"/>
                  </w:pPr>
                </w:p>
              </w:tc>
            </w:tr>
            <w:tr w:rsidR="00DB62F2" w:rsidTr="004711C3">
              <w:tc>
                <w:tcPr>
                  <w:tcW w:w="3245" w:type="pct"/>
                </w:tcPr>
                <w:p w:rsidR="00DB62F2" w:rsidRDefault="00DB62F2" w:rsidP="00E57572">
                  <w:pPr>
                    <w:pStyle w:val="TableBodyText"/>
                    <w:jc w:val="left"/>
                  </w:pPr>
                  <w:r>
                    <w:t xml:space="preserve">Remove trans-Tasman barriers to </w:t>
                  </w:r>
                  <w:proofErr w:type="spellStart"/>
                  <w:r>
                    <w:t>FDI</w:t>
                  </w:r>
                  <w:proofErr w:type="spellEnd"/>
                  <w:r>
                    <w:t xml:space="preserve"> — all services</w:t>
                  </w:r>
                </w:p>
              </w:tc>
              <w:tc>
                <w:tcPr>
                  <w:tcW w:w="835" w:type="pct"/>
                </w:tcPr>
                <w:p w:rsidR="00DB62F2" w:rsidRPr="00E54B72" w:rsidRDefault="00DB62F2" w:rsidP="00E57572">
                  <w:pPr>
                    <w:pStyle w:val="TableBodyText"/>
                  </w:pPr>
                  <w:r w:rsidRPr="00B95FE2">
                    <w:rPr>
                      <w:b/>
                    </w:rPr>
                    <w:t>–</w:t>
                  </w:r>
                </w:p>
              </w:tc>
              <w:tc>
                <w:tcPr>
                  <w:tcW w:w="83" w:type="pct"/>
                  <w:vAlign w:val="center"/>
                </w:tcPr>
                <w:p w:rsidR="00DB62F2" w:rsidRPr="0077796D" w:rsidRDefault="00DB62F2" w:rsidP="00E57572">
                  <w:pPr>
                    <w:pStyle w:val="TableBodyText"/>
                  </w:pPr>
                </w:p>
              </w:tc>
              <w:tc>
                <w:tcPr>
                  <w:tcW w:w="837" w:type="pct"/>
                  <w:vAlign w:val="center"/>
                </w:tcPr>
                <w:p w:rsidR="00DB62F2" w:rsidRPr="0077796D" w:rsidRDefault="00DB62F2" w:rsidP="00E57572">
                  <w:pPr>
                    <w:pStyle w:val="TableBodyText"/>
                  </w:pPr>
                  <w:r>
                    <w:t>0.06–0.08</w:t>
                  </w:r>
                </w:p>
              </w:tc>
            </w:tr>
            <w:tr w:rsidR="00DB62F2" w:rsidTr="004711C3">
              <w:tc>
                <w:tcPr>
                  <w:tcW w:w="3245" w:type="pct"/>
                  <w:shd w:val="clear" w:color="auto" w:fill="auto"/>
                </w:tcPr>
                <w:p w:rsidR="00DB62F2" w:rsidRDefault="00DB62F2" w:rsidP="00E57572">
                  <w:pPr>
                    <w:pStyle w:val="TableBodyText"/>
                    <w:jc w:val="left"/>
                  </w:pPr>
                  <w:r>
                    <w:t xml:space="preserve">Remove trans-Tasman barriers to </w:t>
                  </w:r>
                  <w:proofErr w:type="spellStart"/>
                  <w:r>
                    <w:t>FDI</w:t>
                  </w:r>
                  <w:proofErr w:type="spellEnd"/>
                  <w:r>
                    <w:t xml:space="preserve"> — communications</w:t>
                  </w:r>
                  <w:r w:rsidRPr="008E77FE">
                    <w:rPr>
                      <w:rStyle w:val="NoteLabel"/>
                    </w:rPr>
                    <w:t>a</w:t>
                  </w:r>
                </w:p>
              </w:tc>
              <w:tc>
                <w:tcPr>
                  <w:tcW w:w="835" w:type="pct"/>
                </w:tcPr>
                <w:p w:rsidR="00DB62F2" w:rsidRPr="00E54B72" w:rsidRDefault="00DB62F2" w:rsidP="00E57572">
                  <w:pPr>
                    <w:pStyle w:val="TableBodyText"/>
                  </w:pPr>
                  <w:r w:rsidRPr="00B95FE2">
                    <w:rPr>
                      <w:b/>
                    </w:rPr>
                    <w:t>–</w:t>
                  </w:r>
                </w:p>
              </w:tc>
              <w:tc>
                <w:tcPr>
                  <w:tcW w:w="83" w:type="pct"/>
                  <w:vAlign w:val="center"/>
                </w:tcPr>
                <w:p w:rsidR="00DB62F2" w:rsidRPr="0077796D" w:rsidRDefault="00DB62F2" w:rsidP="00E57572">
                  <w:pPr>
                    <w:pStyle w:val="TableBodyText"/>
                  </w:pPr>
                </w:p>
              </w:tc>
              <w:tc>
                <w:tcPr>
                  <w:tcW w:w="837" w:type="pct"/>
                  <w:vAlign w:val="center"/>
                </w:tcPr>
                <w:p w:rsidR="00DB62F2" w:rsidRPr="0077796D" w:rsidRDefault="00DB62F2" w:rsidP="00A315AD">
                  <w:pPr>
                    <w:pStyle w:val="TableBodyText"/>
                  </w:pPr>
                  <w:r>
                    <w:t>0.01</w:t>
                  </w:r>
                </w:p>
              </w:tc>
            </w:tr>
            <w:tr w:rsidR="00DB62F2" w:rsidTr="00E57572">
              <w:trPr>
                <w:trHeight w:val="219"/>
              </w:trPr>
              <w:tc>
                <w:tcPr>
                  <w:tcW w:w="3245" w:type="pct"/>
                  <w:shd w:val="clear" w:color="auto" w:fill="auto"/>
                </w:tcPr>
                <w:p w:rsidR="00DB62F2" w:rsidRPr="000C23F3" w:rsidRDefault="00DB62F2" w:rsidP="00E57572">
                  <w:pPr>
                    <w:pStyle w:val="TableUnitsRow"/>
                    <w:spacing w:after="40"/>
                    <w:jc w:val="left"/>
                    <w:rPr>
                      <w:b/>
                    </w:rPr>
                  </w:pPr>
                  <w:r w:rsidRPr="000C23F3">
                    <w:rPr>
                      <w:b/>
                    </w:rPr>
                    <w:t>Non-preferential</w:t>
                  </w:r>
                </w:p>
              </w:tc>
              <w:tc>
                <w:tcPr>
                  <w:tcW w:w="835" w:type="pct"/>
                  <w:vAlign w:val="center"/>
                </w:tcPr>
                <w:p w:rsidR="00DB62F2" w:rsidRPr="0077796D" w:rsidRDefault="00DB62F2" w:rsidP="00E57572">
                  <w:pPr>
                    <w:pStyle w:val="TableBodyText"/>
                  </w:pPr>
                </w:p>
              </w:tc>
              <w:tc>
                <w:tcPr>
                  <w:tcW w:w="83" w:type="pct"/>
                  <w:vAlign w:val="center"/>
                </w:tcPr>
                <w:p w:rsidR="00DB62F2" w:rsidRPr="0077796D" w:rsidRDefault="00DB62F2" w:rsidP="00E57572">
                  <w:pPr>
                    <w:pStyle w:val="TableBodyText"/>
                  </w:pPr>
                </w:p>
              </w:tc>
              <w:tc>
                <w:tcPr>
                  <w:tcW w:w="837" w:type="pct"/>
                  <w:vAlign w:val="center"/>
                </w:tcPr>
                <w:p w:rsidR="00DB62F2" w:rsidRPr="0077796D" w:rsidRDefault="00DB62F2" w:rsidP="00E57572">
                  <w:pPr>
                    <w:pStyle w:val="TableBodyText"/>
                  </w:pPr>
                </w:p>
              </w:tc>
            </w:tr>
            <w:tr w:rsidR="00DB62F2" w:rsidTr="00E57572">
              <w:tc>
                <w:tcPr>
                  <w:tcW w:w="3245" w:type="pct"/>
                  <w:tcBorders>
                    <w:bottom w:val="single" w:sz="6" w:space="0" w:color="auto"/>
                  </w:tcBorders>
                  <w:shd w:val="clear" w:color="auto" w:fill="auto"/>
                </w:tcPr>
                <w:p w:rsidR="00DB62F2" w:rsidRDefault="00DB62F2" w:rsidP="00E57572">
                  <w:pPr>
                    <w:pStyle w:val="TableBodyText"/>
                    <w:jc w:val="left"/>
                  </w:pPr>
                  <w:r>
                    <w:t xml:space="preserve">Remove barriers to </w:t>
                  </w:r>
                  <w:proofErr w:type="spellStart"/>
                  <w:r>
                    <w:t>FDI</w:t>
                  </w:r>
                  <w:proofErr w:type="spellEnd"/>
                  <w:r>
                    <w:t xml:space="preserve"> all countries — communications </w:t>
                  </w:r>
                </w:p>
              </w:tc>
              <w:tc>
                <w:tcPr>
                  <w:tcW w:w="835" w:type="pct"/>
                  <w:tcBorders>
                    <w:bottom w:val="single" w:sz="6" w:space="0" w:color="auto"/>
                  </w:tcBorders>
                  <w:vAlign w:val="center"/>
                </w:tcPr>
                <w:p w:rsidR="00DB62F2" w:rsidRPr="0077796D" w:rsidRDefault="00DB62F2" w:rsidP="00E57572">
                  <w:pPr>
                    <w:pStyle w:val="TableBodyText"/>
                  </w:pPr>
                  <w:r w:rsidRPr="0077796D">
                    <w:t>0.0</w:t>
                  </w:r>
                  <w:r>
                    <w:t>2–0.09</w:t>
                  </w:r>
                </w:p>
              </w:tc>
              <w:tc>
                <w:tcPr>
                  <w:tcW w:w="83" w:type="pct"/>
                  <w:tcBorders>
                    <w:bottom w:val="single" w:sz="6" w:space="0" w:color="auto"/>
                  </w:tcBorders>
                  <w:vAlign w:val="center"/>
                </w:tcPr>
                <w:p w:rsidR="00DB62F2" w:rsidRPr="0077796D" w:rsidRDefault="00DB62F2" w:rsidP="00E57572">
                  <w:pPr>
                    <w:pStyle w:val="TableBodyText"/>
                  </w:pPr>
                </w:p>
              </w:tc>
              <w:tc>
                <w:tcPr>
                  <w:tcW w:w="837" w:type="pct"/>
                  <w:tcBorders>
                    <w:bottom w:val="single" w:sz="6" w:space="0" w:color="auto"/>
                  </w:tcBorders>
                  <w:vAlign w:val="center"/>
                </w:tcPr>
                <w:p w:rsidR="00DB62F2" w:rsidRPr="0077796D" w:rsidRDefault="00DB62F2" w:rsidP="00E57572">
                  <w:pPr>
                    <w:pStyle w:val="TableBodyText"/>
                  </w:pPr>
                  <w:r>
                    <w:t>0.07–0.14</w:t>
                  </w:r>
                </w:p>
              </w:tc>
            </w:tr>
          </w:tbl>
          <w:p w:rsidR="00822222" w:rsidRDefault="00822222">
            <w:pPr>
              <w:pStyle w:val="Box"/>
            </w:pPr>
          </w:p>
        </w:tc>
      </w:tr>
      <w:tr w:rsidR="00822222" w:rsidTr="00E57572">
        <w:trPr>
          <w:cantSplit/>
        </w:trPr>
        <w:tc>
          <w:tcPr>
            <w:tcW w:w="8771" w:type="dxa"/>
            <w:tcBorders>
              <w:top w:val="nil"/>
              <w:left w:val="nil"/>
              <w:bottom w:val="nil"/>
              <w:right w:val="nil"/>
            </w:tcBorders>
            <w:shd w:val="clear" w:color="auto" w:fill="D9EAF0"/>
          </w:tcPr>
          <w:p w:rsidR="00822222" w:rsidRPr="00002045" w:rsidRDefault="00822222" w:rsidP="00E57572">
            <w:pPr>
              <w:pStyle w:val="Note"/>
            </w:pPr>
            <w:r w:rsidRPr="008E77FE">
              <w:rPr>
                <w:rStyle w:val="NoteLabel"/>
              </w:rPr>
              <w:t>a</w:t>
            </w:r>
            <w:r>
              <w:t> </w:t>
            </w:r>
            <w:r w:rsidR="00771A89">
              <w:t>Results for New Zealand did not vary under sensitivity analysis.</w:t>
            </w:r>
            <w:r>
              <w:t xml:space="preserve"> </w:t>
            </w:r>
            <w:r w:rsidR="00DB62F2" w:rsidRPr="004E7809">
              <w:rPr>
                <w:b/>
              </w:rPr>
              <w:t>–</w:t>
            </w:r>
            <w:r w:rsidR="00DB62F2">
              <w:t xml:space="preserve"> less than 0.005.</w:t>
            </w:r>
            <w:r w:rsidR="00A315AD">
              <w:t xml:space="preserve"> </w:t>
            </w:r>
          </w:p>
          <w:p w:rsidR="00822222" w:rsidRDefault="00822222" w:rsidP="00973557">
            <w:pPr>
              <w:pStyle w:val="BoxSource"/>
            </w:pPr>
            <w:r w:rsidRPr="00F042D2">
              <w:rPr>
                <w:i/>
              </w:rPr>
              <w:t>Source</w:t>
            </w:r>
            <w:r w:rsidRPr="005701EB">
              <w:t xml:space="preserve">: </w:t>
            </w:r>
            <w:r w:rsidR="00771A89">
              <w:t>s</w:t>
            </w:r>
            <w:r>
              <w:t>upplementary paper E</w:t>
            </w:r>
            <w:r w:rsidRPr="00CA70BA">
              <w:t>.</w:t>
            </w:r>
          </w:p>
        </w:tc>
      </w:tr>
      <w:tr w:rsidR="00822222" w:rsidTr="00E57572">
        <w:trPr>
          <w:cantSplit/>
        </w:trPr>
        <w:tc>
          <w:tcPr>
            <w:tcW w:w="8771" w:type="dxa"/>
            <w:tcBorders>
              <w:top w:val="nil"/>
              <w:left w:val="nil"/>
              <w:bottom w:val="nil"/>
              <w:right w:val="nil"/>
            </w:tcBorders>
            <w:shd w:val="clear" w:color="auto" w:fill="D9EAF0"/>
          </w:tcPr>
          <w:p w:rsidR="00822222" w:rsidRDefault="00822222">
            <w:pPr>
              <w:pStyle w:val="Box"/>
              <w:spacing w:before="0" w:line="120" w:lineRule="exact"/>
            </w:pPr>
          </w:p>
        </w:tc>
      </w:tr>
      <w:tr w:rsidR="00822222" w:rsidRPr="006E7C5F" w:rsidTr="00E57572">
        <w:tc>
          <w:tcPr>
            <w:tcW w:w="8771" w:type="dxa"/>
            <w:tcBorders>
              <w:top w:val="nil"/>
              <w:left w:val="nil"/>
              <w:bottom w:val="nil"/>
              <w:right w:val="nil"/>
            </w:tcBorders>
          </w:tcPr>
          <w:p w:rsidR="00822222" w:rsidRPr="006E7C5F" w:rsidRDefault="00822222">
            <w:pPr>
              <w:pStyle w:val="Box"/>
              <w:keepNext w:val="0"/>
              <w:spacing w:before="60" w:after="60" w:line="80" w:lineRule="exact"/>
              <w:rPr>
                <w:b/>
                <w:color w:val="auto"/>
                <w:sz w:val="14"/>
              </w:rPr>
            </w:pPr>
          </w:p>
        </w:tc>
      </w:tr>
    </w:tbl>
    <w:p w:rsidR="00D44A99" w:rsidRPr="001A3E24" w:rsidRDefault="00D44A99" w:rsidP="008522D8">
      <w:pPr>
        <w:pStyle w:val="BodyText"/>
      </w:pPr>
      <w:r w:rsidRPr="008522D8">
        <w:t xml:space="preserve">To illustrate the additional costs to Australia and New Zealand of restricting </w:t>
      </w:r>
      <w:proofErr w:type="spellStart"/>
      <w:r w:rsidRPr="008522D8">
        <w:t>FDI</w:t>
      </w:r>
      <w:proofErr w:type="spellEnd"/>
      <w:r w:rsidRPr="008522D8">
        <w:t xml:space="preserve"> from all sources, the Commissions have estimated </w:t>
      </w:r>
      <w:r w:rsidRPr="001A3E24">
        <w:t xml:space="preserve">and compared the gains from the preferential removal of all trans-Tasman </w:t>
      </w:r>
      <w:proofErr w:type="spellStart"/>
      <w:r w:rsidRPr="001A3E24">
        <w:t>FDI</w:t>
      </w:r>
      <w:proofErr w:type="spellEnd"/>
      <w:r w:rsidRPr="001A3E24">
        <w:t xml:space="preserve"> barriers in telecommunications with the gains from the non-preferential removal of all </w:t>
      </w:r>
      <w:proofErr w:type="spellStart"/>
      <w:r w:rsidRPr="001A3E24">
        <w:t>FDI</w:t>
      </w:r>
      <w:proofErr w:type="spellEnd"/>
      <w:r w:rsidRPr="001A3E24">
        <w:t xml:space="preserve"> barriers for all countries in that sector (box </w:t>
      </w:r>
      <w:proofErr w:type="spellStart"/>
      <w:r w:rsidRPr="001A3E24">
        <w:t>C.5</w:t>
      </w:r>
      <w:proofErr w:type="spellEnd"/>
      <w:r w:rsidRPr="001A3E24">
        <w:t xml:space="preserve">). As expected, the preferential removal of trans-Tasman </w:t>
      </w:r>
      <w:proofErr w:type="spellStart"/>
      <w:r w:rsidRPr="001A3E24">
        <w:t>FDI</w:t>
      </w:r>
      <w:proofErr w:type="spellEnd"/>
      <w:r w:rsidRPr="001A3E24">
        <w:t xml:space="preserve"> barriers in telecommunications generate</w:t>
      </w:r>
      <w:r w:rsidR="007256A0" w:rsidRPr="001A3E24">
        <w:t>s</w:t>
      </w:r>
      <w:r w:rsidRPr="001A3E24">
        <w:t xml:space="preserve"> relatively small gains (</w:t>
      </w:r>
      <w:r w:rsidR="00352445" w:rsidRPr="001A3E24">
        <w:t>no change</w:t>
      </w:r>
      <w:r w:rsidRPr="001A3E24">
        <w:t xml:space="preserve"> in real GNP for Australia and </w:t>
      </w:r>
      <w:r w:rsidR="00352445" w:rsidRPr="001A3E24">
        <w:t xml:space="preserve">an increase of </w:t>
      </w:r>
      <w:r w:rsidRPr="001A3E24">
        <w:t>0.0</w:t>
      </w:r>
      <w:r w:rsidR="002F43EF" w:rsidRPr="001A3E24">
        <w:t>1</w:t>
      </w:r>
      <w:r w:rsidRPr="001A3E24">
        <w:t> </w:t>
      </w:r>
      <w:proofErr w:type="spellStart"/>
      <w:r w:rsidRPr="001A3E24">
        <w:t>percent</w:t>
      </w:r>
      <w:proofErr w:type="spellEnd"/>
      <w:r w:rsidRPr="001A3E24">
        <w:t xml:space="preserve"> in New Zealand) while the </w:t>
      </w:r>
      <w:r w:rsidRPr="001A3E24">
        <w:lastRenderedPageBreak/>
        <w:t xml:space="preserve">non-preferential removal of </w:t>
      </w:r>
      <w:proofErr w:type="spellStart"/>
      <w:r w:rsidRPr="001A3E24">
        <w:t>FDI</w:t>
      </w:r>
      <w:proofErr w:type="spellEnd"/>
      <w:r w:rsidRPr="001A3E24">
        <w:t xml:space="preserve"> barriers for all countries generate</w:t>
      </w:r>
      <w:r w:rsidR="007256A0" w:rsidRPr="001A3E24">
        <w:t>s</w:t>
      </w:r>
      <w:r w:rsidRPr="001A3E24">
        <w:t xml:space="preserve"> significantly larger gain</w:t>
      </w:r>
      <w:r w:rsidR="0015055E" w:rsidRPr="001A3E24">
        <w:t>s</w:t>
      </w:r>
      <w:r w:rsidRPr="001A3E24">
        <w:t xml:space="preserve"> (an increase in real GNP of up to 0.09 </w:t>
      </w:r>
      <w:proofErr w:type="spellStart"/>
      <w:r w:rsidRPr="001A3E24">
        <w:t>percent</w:t>
      </w:r>
      <w:proofErr w:type="spellEnd"/>
      <w:r w:rsidRPr="001A3E24">
        <w:t xml:space="preserve"> for Australia and up to 0.1</w:t>
      </w:r>
      <w:r w:rsidR="002F43EF" w:rsidRPr="001A3E24">
        <w:t>4</w:t>
      </w:r>
      <w:r w:rsidRPr="001A3E24">
        <w:t> </w:t>
      </w:r>
      <w:proofErr w:type="spellStart"/>
      <w:r w:rsidRPr="001A3E24">
        <w:t>percent</w:t>
      </w:r>
      <w:proofErr w:type="spellEnd"/>
      <w:r w:rsidRPr="001A3E24">
        <w:t xml:space="preserve"> in New Zealand) (box </w:t>
      </w:r>
      <w:proofErr w:type="spellStart"/>
      <w:r w:rsidRPr="001A3E24">
        <w:t>C.5</w:t>
      </w:r>
      <w:proofErr w:type="spellEnd"/>
      <w:r w:rsidRPr="001A3E24">
        <w:t>).</w:t>
      </w:r>
    </w:p>
    <w:p w:rsidR="00D5221E" w:rsidRPr="008522D8" w:rsidRDefault="00D5221E" w:rsidP="008522D8">
      <w:pPr>
        <w:pStyle w:val="BodyText"/>
      </w:pPr>
      <w:r w:rsidRPr="001A3E24">
        <w:t xml:space="preserve">Finally, </w:t>
      </w:r>
      <w:r w:rsidR="001E233F" w:rsidRPr="001A3E24">
        <w:t xml:space="preserve">it is likely that restricting trans-Tasman direct investment </w:t>
      </w:r>
      <w:r w:rsidR="004F491A" w:rsidRPr="001A3E24">
        <w:t xml:space="preserve">also </w:t>
      </w:r>
      <w:r w:rsidR="001E233F" w:rsidRPr="001A3E24">
        <w:t>impose</w:t>
      </w:r>
      <w:r w:rsidR="00CF3FFC" w:rsidRPr="001A3E24">
        <w:t>s</w:t>
      </w:r>
      <w:r w:rsidR="001E233F" w:rsidRPr="001A3E24">
        <w:t xml:space="preserve"> a range of wider economic costs </w:t>
      </w:r>
      <w:r w:rsidR="00CF3FFC" w:rsidRPr="001A3E24">
        <w:t>on</w:t>
      </w:r>
      <w:r w:rsidR="00DC50F8" w:rsidRPr="001A3E24">
        <w:t xml:space="preserve"> Australia</w:t>
      </w:r>
      <w:r w:rsidR="001E233F" w:rsidRPr="001A3E24">
        <w:t xml:space="preserve"> and New Zealand (</w:t>
      </w:r>
      <w:r w:rsidR="00CF3FFC" w:rsidRPr="001A3E24">
        <w:t>including</w:t>
      </w:r>
      <w:r w:rsidR="001E233F" w:rsidRPr="001A3E24">
        <w:t xml:space="preserve"> </w:t>
      </w:r>
      <w:r w:rsidR="00DC50F8" w:rsidRPr="001A3E24">
        <w:t xml:space="preserve">less innovation </w:t>
      </w:r>
      <w:r w:rsidR="00CF3FFC" w:rsidRPr="001A3E24">
        <w:t>and reduced transfers of skills and technology</w:t>
      </w:r>
      <w:r w:rsidR="00DC50F8" w:rsidRPr="001A3E24">
        <w:t xml:space="preserve"> between </w:t>
      </w:r>
      <w:r w:rsidR="007256A0" w:rsidRPr="001A3E24">
        <w:t xml:space="preserve">the </w:t>
      </w:r>
      <w:r w:rsidR="003B39E1" w:rsidRPr="001A3E24">
        <w:t xml:space="preserve">two </w:t>
      </w:r>
      <w:r w:rsidR="00DC50F8" w:rsidRPr="001A3E24">
        <w:t>economies</w:t>
      </w:r>
      <w:r w:rsidR="00CF3FFC" w:rsidRPr="001A3E24">
        <w:t>)</w:t>
      </w:r>
      <w:r w:rsidR="00DC50F8" w:rsidRPr="001A3E24">
        <w:t>.</w:t>
      </w:r>
      <w:r w:rsidR="00245EEF" w:rsidRPr="001A3E24">
        <w:t xml:space="preserve"> </w:t>
      </w:r>
      <w:r w:rsidR="00CF3FFC" w:rsidRPr="001A3E24">
        <w:t xml:space="preserve">These wider costs are potentially </w:t>
      </w:r>
      <w:r w:rsidR="00771A89" w:rsidRPr="001A3E24">
        <w:t>significant</w:t>
      </w:r>
      <w:r w:rsidR="00CF3FFC" w:rsidRPr="001A3E24">
        <w:t xml:space="preserve"> in magnitude but </w:t>
      </w:r>
      <w:r w:rsidR="004F491A" w:rsidRPr="001A3E24">
        <w:t>difficult</w:t>
      </w:r>
      <w:r w:rsidR="00CF3FFC" w:rsidRPr="001A3E24">
        <w:t xml:space="preserve"> to estimate. </w:t>
      </w:r>
      <w:r w:rsidR="007256A0" w:rsidRPr="001A3E24">
        <w:t xml:space="preserve">One example </w:t>
      </w:r>
      <w:r w:rsidR="006D3E89" w:rsidRPr="001A3E24">
        <w:t xml:space="preserve">of such costs </w:t>
      </w:r>
      <w:r w:rsidR="007256A0" w:rsidRPr="001A3E24">
        <w:t xml:space="preserve">was noted by Qantas </w:t>
      </w:r>
      <w:r w:rsidR="002640A2" w:rsidRPr="008522D8">
        <w:t>(sub. </w:t>
      </w:r>
      <w:proofErr w:type="spellStart"/>
      <w:r w:rsidR="001E233F" w:rsidRPr="008522D8">
        <w:t>DR117</w:t>
      </w:r>
      <w:proofErr w:type="spellEnd"/>
      <w:r w:rsidR="001E233F" w:rsidRPr="008522D8">
        <w:t>)</w:t>
      </w:r>
      <w:r w:rsidR="007256A0" w:rsidRPr="008522D8">
        <w:t>. W</w:t>
      </w:r>
      <w:r w:rsidR="00245EEF" w:rsidRPr="008522D8">
        <w:t xml:space="preserve">ithout specifying a magnitude, </w:t>
      </w:r>
      <w:r w:rsidR="00771A89">
        <w:t>Qantas</w:t>
      </w:r>
      <w:r w:rsidR="007256A0" w:rsidRPr="008522D8">
        <w:t xml:space="preserve"> </w:t>
      </w:r>
      <w:r w:rsidR="00E05CEA" w:rsidRPr="008522D8">
        <w:t xml:space="preserve">argued </w:t>
      </w:r>
      <w:r w:rsidR="00245EEF" w:rsidRPr="008522D8">
        <w:t xml:space="preserve">that </w:t>
      </w:r>
      <w:r w:rsidR="00CF3FFC" w:rsidRPr="008522D8">
        <w:t xml:space="preserve">current </w:t>
      </w:r>
      <w:r w:rsidR="001E233F" w:rsidRPr="008522D8">
        <w:t xml:space="preserve">restrictions on </w:t>
      </w:r>
      <w:r w:rsidR="00CF3FFC" w:rsidRPr="008522D8">
        <w:t>foreign ownership reduce</w:t>
      </w:r>
      <w:r w:rsidR="003B39E1" w:rsidRPr="008522D8">
        <w:t>d</w:t>
      </w:r>
      <w:r w:rsidR="001E233F" w:rsidRPr="008522D8">
        <w:t xml:space="preserve"> </w:t>
      </w:r>
      <w:r w:rsidR="00CF3FFC" w:rsidRPr="008522D8">
        <w:t xml:space="preserve">its </w:t>
      </w:r>
      <w:r w:rsidR="004F491A" w:rsidRPr="008522D8">
        <w:t xml:space="preserve">capacity </w:t>
      </w:r>
      <w:r w:rsidR="001E233F" w:rsidRPr="008522D8">
        <w:t xml:space="preserve">to compete </w:t>
      </w:r>
      <w:r w:rsidR="00CF3FFC" w:rsidRPr="008522D8">
        <w:t xml:space="preserve">and </w:t>
      </w:r>
      <w:r w:rsidR="007256A0" w:rsidRPr="008522D8">
        <w:t xml:space="preserve">grow </w:t>
      </w:r>
      <w:r w:rsidR="00245EEF" w:rsidRPr="008522D8">
        <w:t>by limiting</w:t>
      </w:r>
      <w:r w:rsidR="00CF3FFC" w:rsidRPr="008522D8">
        <w:t xml:space="preserve"> </w:t>
      </w:r>
      <w:r w:rsidR="00E05CEA" w:rsidRPr="008522D8">
        <w:t>its</w:t>
      </w:r>
      <w:r w:rsidR="00245EEF" w:rsidRPr="008522D8">
        <w:t xml:space="preserve"> ability</w:t>
      </w:r>
      <w:r w:rsidR="00CF3FFC" w:rsidRPr="008522D8">
        <w:t xml:space="preserve"> </w:t>
      </w:r>
      <w:r w:rsidR="00245EEF" w:rsidRPr="008522D8">
        <w:t>to</w:t>
      </w:r>
      <w:r w:rsidR="00CF3FFC" w:rsidRPr="008522D8">
        <w:t xml:space="preserve"> participat</w:t>
      </w:r>
      <w:r w:rsidR="00245EEF" w:rsidRPr="008522D8">
        <w:t>e</w:t>
      </w:r>
      <w:r w:rsidR="001E233F" w:rsidRPr="008522D8">
        <w:t xml:space="preserve"> in cross-border industry consolidation and strategic alliances.</w:t>
      </w:r>
    </w:p>
    <w:p w:rsidR="00352F8E" w:rsidRPr="00F40431" w:rsidRDefault="007D1BD4" w:rsidP="00554DE7">
      <w:pPr>
        <w:pStyle w:val="Heading3"/>
      </w:pPr>
      <w:r w:rsidRPr="00554DE7">
        <w:t>Possible b</w:t>
      </w:r>
      <w:r w:rsidR="00BE2CFC" w:rsidRPr="00963CB3">
        <w:t>enefits</w:t>
      </w:r>
    </w:p>
    <w:p w:rsidR="005A3095" w:rsidRPr="008522D8" w:rsidRDefault="0064029F" w:rsidP="008522D8">
      <w:pPr>
        <w:pStyle w:val="BodyText"/>
      </w:pPr>
      <w:r w:rsidRPr="008522D8">
        <w:t xml:space="preserve">The </w:t>
      </w:r>
      <w:proofErr w:type="spellStart"/>
      <w:r w:rsidR="00352F8E" w:rsidRPr="008522D8">
        <w:t>FDI</w:t>
      </w:r>
      <w:proofErr w:type="spellEnd"/>
      <w:r w:rsidR="00352F8E" w:rsidRPr="008522D8">
        <w:t xml:space="preserve"> regimes in both countries are </w:t>
      </w:r>
      <w:r w:rsidR="006B50B4" w:rsidRPr="008522D8">
        <w:t>intended</w:t>
      </w:r>
      <w:r w:rsidR="00352F8E" w:rsidRPr="008522D8">
        <w:t xml:space="preserve"> to achieve a range of benefits (or </w:t>
      </w:r>
      <w:r w:rsidR="00B9668C" w:rsidRPr="008522D8">
        <w:t xml:space="preserve">alternatively, to </w:t>
      </w:r>
      <w:r w:rsidR="00352F8E" w:rsidRPr="008522D8">
        <w:t xml:space="preserve">protect against </w:t>
      </w:r>
      <w:r w:rsidR="00B9668C" w:rsidRPr="008522D8">
        <w:t xml:space="preserve">a range of </w:t>
      </w:r>
      <w:r w:rsidR="00352F8E" w:rsidRPr="008522D8">
        <w:t xml:space="preserve">possible negative impacts). </w:t>
      </w:r>
      <w:r w:rsidR="005A3095" w:rsidRPr="008522D8">
        <w:t>Australia’s screening regime considers factors such as the impact of the proposed investment on national security, competition, tax revenues and the environment.</w:t>
      </w:r>
      <w:r w:rsidR="000840B7" w:rsidRPr="008522D8">
        <w:t xml:space="preserve"> </w:t>
      </w:r>
      <w:r w:rsidR="00352F8E" w:rsidRPr="008522D8">
        <w:t xml:space="preserve">New Zealand’s regime </w:t>
      </w:r>
      <w:r w:rsidR="004B52EF" w:rsidRPr="008522D8">
        <w:t xml:space="preserve">broadly aims to </w:t>
      </w:r>
      <w:r w:rsidR="006B50B4" w:rsidRPr="008522D8">
        <w:t>protect New Zealand</w:t>
      </w:r>
      <w:r w:rsidR="001B0E69" w:rsidRPr="008522D8">
        <w:t xml:space="preserve">’s interests in relation to the control and ownership of </w:t>
      </w:r>
      <w:r w:rsidR="004B52EF" w:rsidRPr="008522D8">
        <w:t>sensitive assets</w:t>
      </w:r>
      <w:r w:rsidR="006B50B4" w:rsidRPr="008522D8">
        <w:t>,</w:t>
      </w:r>
      <w:r w:rsidR="004B52EF" w:rsidRPr="008522D8">
        <w:t xml:space="preserve"> particularly land</w:t>
      </w:r>
      <w:r w:rsidR="001B0E69" w:rsidRPr="008522D8">
        <w:t>.</w:t>
      </w:r>
    </w:p>
    <w:p w:rsidR="005A3095" w:rsidRPr="008522D8" w:rsidRDefault="005A3095" w:rsidP="008522D8">
      <w:pPr>
        <w:pStyle w:val="BodyText"/>
      </w:pPr>
      <w:r w:rsidRPr="008522D8">
        <w:t xml:space="preserve">For </w:t>
      </w:r>
      <w:r w:rsidR="0064029F" w:rsidRPr="008522D8">
        <w:t xml:space="preserve">investment </w:t>
      </w:r>
      <w:r w:rsidRPr="008522D8">
        <w:t>restrictions to be warranted they would need to hav</w:t>
      </w:r>
      <w:r w:rsidR="004B52EF" w:rsidRPr="008522D8">
        <w:t>e benefits that outweighed the</w:t>
      </w:r>
      <w:r w:rsidRPr="008522D8">
        <w:t xml:space="preserve"> costs. However, </w:t>
      </w:r>
      <w:r w:rsidR="0064029F" w:rsidRPr="008522D8">
        <w:t>in some cases it is uncertain</w:t>
      </w:r>
      <w:r w:rsidRPr="008522D8">
        <w:t xml:space="preserve"> whether restrictions produce </w:t>
      </w:r>
      <w:r w:rsidR="0064029F" w:rsidRPr="008522D8">
        <w:t>significant</w:t>
      </w:r>
      <w:r w:rsidRPr="008522D8">
        <w:t xml:space="preserve"> benefits. For example, concerns about ‘food security’ are rai</w:t>
      </w:r>
      <w:r w:rsidR="000C2303" w:rsidRPr="008522D8">
        <w:t>sed as a reason for restricting foreign investment in the agricultural sector</w:t>
      </w:r>
      <w:r w:rsidRPr="008522D8">
        <w:t xml:space="preserve">, but this argument would seem to have little merit. First, food security appears not to be a significant issue given that Australia and New Zealand are net exporters of food, can readily buy food from other countries and food costs are generally low relative to incomes. Second, </w:t>
      </w:r>
      <w:proofErr w:type="spellStart"/>
      <w:r w:rsidRPr="008522D8">
        <w:t>FDI</w:t>
      </w:r>
      <w:proofErr w:type="spellEnd"/>
      <w:r w:rsidRPr="008522D8">
        <w:t xml:space="preserve"> in agriculture and other sectors seems likely to improve food security. A recent ABARE</w:t>
      </w:r>
      <w:r w:rsidR="00495C72" w:rsidRPr="008522D8">
        <w:t>S</w:t>
      </w:r>
      <w:r w:rsidRPr="008522D8">
        <w:t xml:space="preserve"> report found:</w:t>
      </w:r>
    </w:p>
    <w:p w:rsidR="005A3095" w:rsidRDefault="005A3095" w:rsidP="005A3095">
      <w:pPr>
        <w:pStyle w:val="Quote"/>
      </w:pPr>
      <w:r w:rsidRPr="008522D8">
        <w:t>Australia’s food security is likely to be further enhanced by ongoing foreign investment in agriculture. For the economy as a whole, the flow of foreign funds leads to higher aggregate production in the economy and thus to higher incomes, which improve consumers’ capacity to purchase food.</w:t>
      </w:r>
      <w:r>
        <w:t xml:space="preserve"> (</w:t>
      </w:r>
      <w:proofErr w:type="spellStart"/>
      <w:r>
        <w:t>Moir</w:t>
      </w:r>
      <w:proofErr w:type="spellEnd"/>
      <w:r>
        <w:t> 2011, p. 13)</w:t>
      </w:r>
    </w:p>
    <w:p w:rsidR="00376FA7" w:rsidRDefault="00376FA7" w:rsidP="00334EDE">
      <w:pPr>
        <w:pStyle w:val="BodyText"/>
      </w:pPr>
      <w:r>
        <w:t>S</w:t>
      </w:r>
      <w:r w:rsidR="00F06F4A">
        <w:t xml:space="preserve">ubmission have raised </w:t>
      </w:r>
      <w:r w:rsidR="00370DE7">
        <w:t xml:space="preserve">other </w:t>
      </w:r>
      <w:r w:rsidR="00BC7A3C">
        <w:t xml:space="preserve">potential reasons for restricting </w:t>
      </w:r>
      <w:proofErr w:type="spellStart"/>
      <w:r w:rsidR="00BC7A3C">
        <w:t>FDI</w:t>
      </w:r>
      <w:proofErr w:type="spellEnd"/>
      <w:r w:rsidR="00F06F4A">
        <w:t xml:space="preserve">. </w:t>
      </w:r>
      <w:proofErr w:type="spellStart"/>
      <w:r w:rsidR="00F06F4A" w:rsidRPr="00F06F4A">
        <w:t>Nga</w:t>
      </w:r>
      <w:proofErr w:type="spellEnd"/>
      <w:r w:rsidR="00F06F4A" w:rsidRPr="00F06F4A">
        <w:t xml:space="preserve"> </w:t>
      </w:r>
      <w:proofErr w:type="spellStart"/>
      <w:r w:rsidR="00F06F4A" w:rsidRPr="00F06F4A">
        <w:t>Hapū</w:t>
      </w:r>
      <w:proofErr w:type="spellEnd"/>
      <w:r w:rsidR="00F06F4A" w:rsidRPr="00F06F4A">
        <w:t xml:space="preserve"> o </w:t>
      </w:r>
      <w:proofErr w:type="spellStart"/>
      <w:r w:rsidR="00F06F4A" w:rsidRPr="00F06F4A">
        <w:t>Niu</w:t>
      </w:r>
      <w:proofErr w:type="spellEnd"/>
      <w:r w:rsidR="00F06F4A" w:rsidRPr="00F06F4A">
        <w:t xml:space="preserve"> </w:t>
      </w:r>
      <w:proofErr w:type="spellStart"/>
      <w:r w:rsidR="00F06F4A" w:rsidRPr="00F06F4A">
        <w:t>Tireni</w:t>
      </w:r>
      <w:proofErr w:type="spellEnd"/>
      <w:r w:rsidR="00F06F4A" w:rsidRPr="00F06F4A">
        <w:t xml:space="preserve">/Treaty of Waitangi Partners (sub. 20) </w:t>
      </w:r>
      <w:r w:rsidR="00F06F4A">
        <w:t xml:space="preserve">expressed concern about the impact of </w:t>
      </w:r>
      <w:proofErr w:type="spellStart"/>
      <w:r w:rsidR="00287888">
        <w:t>FDI</w:t>
      </w:r>
      <w:proofErr w:type="spellEnd"/>
      <w:r w:rsidR="00F06F4A" w:rsidRPr="00F06F4A">
        <w:t xml:space="preserve"> </w:t>
      </w:r>
      <w:r w:rsidR="00F06F4A">
        <w:t xml:space="preserve">on </w:t>
      </w:r>
      <w:r w:rsidR="00F06F4A" w:rsidRPr="00F06F4A">
        <w:t xml:space="preserve">housing affordability </w:t>
      </w:r>
      <w:r w:rsidR="00F06F4A">
        <w:t xml:space="preserve">and natural resource management in New Zealand. The Australian Council of Trade Unions and the New Zealand Council of Trade Unions </w:t>
      </w:r>
      <w:proofErr w:type="spellStart"/>
      <w:r w:rsidR="00F06F4A">
        <w:t>Te</w:t>
      </w:r>
      <w:proofErr w:type="spellEnd"/>
      <w:r w:rsidR="00F06F4A">
        <w:t xml:space="preserve"> </w:t>
      </w:r>
      <w:proofErr w:type="spellStart"/>
      <w:r w:rsidR="00F06F4A">
        <w:t>Kauae</w:t>
      </w:r>
      <w:proofErr w:type="spellEnd"/>
      <w:r w:rsidR="00F06F4A">
        <w:t xml:space="preserve"> </w:t>
      </w:r>
      <w:proofErr w:type="spellStart"/>
      <w:r w:rsidR="00F06F4A">
        <w:t>Kaimahi</w:t>
      </w:r>
      <w:proofErr w:type="spellEnd"/>
      <w:r w:rsidR="00F06F4A">
        <w:t xml:space="preserve"> (sub. </w:t>
      </w:r>
      <w:proofErr w:type="spellStart"/>
      <w:r w:rsidR="00F06F4A">
        <w:t>DR118</w:t>
      </w:r>
      <w:proofErr w:type="spellEnd"/>
      <w:r w:rsidR="00F06F4A">
        <w:t>)</w:t>
      </w:r>
      <w:r w:rsidR="005B5753">
        <w:t xml:space="preserve"> argu</w:t>
      </w:r>
      <w:r w:rsidR="00334EDE">
        <w:t>ed that</w:t>
      </w:r>
      <w:r w:rsidR="005B5753">
        <w:t xml:space="preserve"> </w:t>
      </w:r>
      <w:r w:rsidR="00C321C4">
        <w:t>the two countries</w:t>
      </w:r>
      <w:r w:rsidR="00334EDE">
        <w:t xml:space="preserve"> </w:t>
      </w:r>
      <w:r w:rsidR="00334EDE">
        <w:lastRenderedPageBreak/>
        <w:t xml:space="preserve">needed </w:t>
      </w:r>
      <w:r w:rsidR="005B5753">
        <w:t xml:space="preserve">tighter restrictions </w:t>
      </w:r>
      <w:r w:rsidR="00334EDE">
        <w:t xml:space="preserve">on </w:t>
      </w:r>
      <w:proofErr w:type="spellStart"/>
      <w:r w:rsidR="00334EDE">
        <w:t>FDI</w:t>
      </w:r>
      <w:proofErr w:type="spellEnd"/>
      <w:r w:rsidR="00334EDE">
        <w:t xml:space="preserve"> </w:t>
      </w:r>
      <w:r w:rsidR="005B5753">
        <w:t>to</w:t>
      </w:r>
      <w:r w:rsidR="00F06F4A">
        <w:t xml:space="preserve"> </w:t>
      </w:r>
      <w:r w:rsidR="00D8225A">
        <w:t xml:space="preserve">avoid </w:t>
      </w:r>
      <w:r w:rsidR="00F06F4A">
        <w:t>damaging effects such as</w:t>
      </w:r>
      <w:r w:rsidR="00C22125">
        <w:t xml:space="preserve"> </w:t>
      </w:r>
      <w:r w:rsidR="00370DE7">
        <w:t xml:space="preserve">the </w:t>
      </w:r>
      <w:r w:rsidR="00287888">
        <w:t xml:space="preserve">negative impacts from </w:t>
      </w:r>
      <w:r w:rsidR="00C22125">
        <w:t>expatriation of profits and</w:t>
      </w:r>
      <w:r w:rsidR="00F06F4A">
        <w:t xml:space="preserve"> the </w:t>
      </w:r>
      <w:r w:rsidR="00C321C4">
        <w:t xml:space="preserve">rapid </w:t>
      </w:r>
      <w:r w:rsidR="00F06F4A">
        <w:t xml:space="preserve">movement of </w:t>
      </w:r>
      <w:proofErr w:type="spellStart"/>
      <w:r w:rsidR="00370DE7">
        <w:t>FDI</w:t>
      </w:r>
      <w:proofErr w:type="spellEnd"/>
      <w:r w:rsidR="00F06F4A">
        <w:t>.</w:t>
      </w:r>
      <w:r w:rsidR="00334EDE">
        <w:t xml:space="preserve"> </w:t>
      </w:r>
      <w:r>
        <w:t xml:space="preserve">Other potential benefits </w:t>
      </w:r>
      <w:r w:rsidR="00283C22">
        <w:t>raised</w:t>
      </w:r>
      <w:r w:rsidR="00986DA3">
        <w:t xml:space="preserve"> in the literature </w:t>
      </w:r>
      <w:r>
        <w:t xml:space="preserve">include ensuring ongoing access to culturally significant land (New Zealand Treasury </w:t>
      </w:r>
      <w:proofErr w:type="spellStart"/>
      <w:r>
        <w:t>2009a</w:t>
      </w:r>
      <w:proofErr w:type="spellEnd"/>
      <w:r>
        <w:t xml:space="preserve">) and avoiding </w:t>
      </w:r>
      <w:r w:rsidRPr="00376FA7">
        <w:t xml:space="preserve">cultural dominance by foreign interests </w:t>
      </w:r>
      <w:r w:rsidR="00370DE7">
        <w:t xml:space="preserve">in </w:t>
      </w:r>
      <w:r w:rsidR="00E113CC">
        <w:t xml:space="preserve">local </w:t>
      </w:r>
      <w:r w:rsidR="00370DE7">
        <w:t xml:space="preserve">media </w:t>
      </w:r>
      <w:r w:rsidR="00557CF9">
        <w:t>(</w:t>
      </w:r>
      <w:r w:rsidR="004E1EFE">
        <w:t>PC 2000)</w:t>
      </w:r>
      <w:r w:rsidRPr="00376FA7">
        <w:t>.</w:t>
      </w:r>
    </w:p>
    <w:p w:rsidR="00334EDE" w:rsidRDefault="0064029F" w:rsidP="00334EDE">
      <w:pPr>
        <w:pStyle w:val="BodyText"/>
      </w:pPr>
      <w:proofErr w:type="spellStart"/>
      <w:r>
        <w:t>FDI</w:t>
      </w:r>
      <w:proofErr w:type="spellEnd"/>
      <w:r>
        <w:t xml:space="preserve"> </w:t>
      </w:r>
      <w:r w:rsidR="009201AB">
        <w:t xml:space="preserve">restrictions </w:t>
      </w:r>
      <w:r>
        <w:t xml:space="preserve">may </w:t>
      </w:r>
      <w:r w:rsidR="00352445">
        <w:t>be unnecessary</w:t>
      </w:r>
      <w:r w:rsidR="00986DA3">
        <w:t xml:space="preserve"> </w:t>
      </w:r>
      <w:r w:rsidR="00F06F4A">
        <w:t xml:space="preserve">where </w:t>
      </w:r>
      <w:r w:rsidR="00352445">
        <w:t xml:space="preserve">there are </w:t>
      </w:r>
      <w:r w:rsidR="002C3ADB">
        <w:t xml:space="preserve">existing domestic </w:t>
      </w:r>
      <w:r w:rsidR="006462AD">
        <w:t>regulat</w:t>
      </w:r>
      <w:r w:rsidR="009201AB">
        <w:t xml:space="preserve">ions </w:t>
      </w:r>
      <w:r w:rsidR="002C3ADB">
        <w:t xml:space="preserve">that are designed to achieve </w:t>
      </w:r>
      <w:r w:rsidR="006462AD">
        <w:t>the same</w:t>
      </w:r>
      <w:r w:rsidR="002C3ADB">
        <w:t xml:space="preserve"> policy objectives.</w:t>
      </w:r>
      <w:r w:rsidR="001E1BA7">
        <w:t xml:space="preserve"> </w:t>
      </w:r>
      <w:r w:rsidR="00035A7B">
        <w:t xml:space="preserve">It could also be more transparent and cost effective to offer foreign investors the same ‘national treatment’ offered to a domestic investor. </w:t>
      </w:r>
      <w:r w:rsidR="00CD665A">
        <w:t xml:space="preserve">In addition, many </w:t>
      </w:r>
      <w:r w:rsidR="00E113CC">
        <w:t xml:space="preserve">of the </w:t>
      </w:r>
      <w:r w:rsidR="00CD665A">
        <w:t xml:space="preserve">potential benefits </w:t>
      </w:r>
      <w:r w:rsidR="00287888">
        <w:t>used</w:t>
      </w:r>
      <w:r w:rsidR="00E113CC">
        <w:t xml:space="preserve"> to justify </w:t>
      </w:r>
      <w:proofErr w:type="spellStart"/>
      <w:r w:rsidR="00E113CC">
        <w:t>FDI</w:t>
      </w:r>
      <w:proofErr w:type="spellEnd"/>
      <w:r w:rsidR="00E113CC">
        <w:t xml:space="preserve"> restrictions </w:t>
      </w:r>
      <w:r w:rsidR="00CD665A">
        <w:t xml:space="preserve">can be better achieved </w:t>
      </w:r>
      <w:r w:rsidR="000840B7">
        <w:t xml:space="preserve">by </w:t>
      </w:r>
      <w:r w:rsidR="00E113CC">
        <w:t>more</w:t>
      </w:r>
      <w:r w:rsidR="00CD665A">
        <w:t xml:space="preserve"> </w:t>
      </w:r>
      <w:r w:rsidR="00287888">
        <w:t>directly</w:t>
      </w:r>
      <w:r w:rsidR="00CD665A">
        <w:t xml:space="preserve"> target</w:t>
      </w:r>
      <w:r w:rsidR="00771A89">
        <w:t>ing</w:t>
      </w:r>
      <w:r w:rsidR="00CD665A">
        <w:t xml:space="preserve"> the </w:t>
      </w:r>
      <w:r w:rsidR="00E113CC">
        <w:t xml:space="preserve">desired </w:t>
      </w:r>
      <w:r w:rsidR="00CD665A">
        <w:t xml:space="preserve">outcome rather than the </w:t>
      </w:r>
      <w:r w:rsidR="00287888">
        <w:t>ownership</w:t>
      </w:r>
      <w:r w:rsidR="006E7C5F">
        <w:t xml:space="preserve"> of the investment.</w:t>
      </w:r>
    </w:p>
    <w:p w:rsidR="00376FA7" w:rsidRPr="00D544D4" w:rsidRDefault="004E1EFE" w:rsidP="00376FA7">
      <w:pPr>
        <w:pStyle w:val="BodyText"/>
      </w:pPr>
      <w:r w:rsidRPr="00D544D4">
        <w:t>The</w:t>
      </w:r>
      <w:r w:rsidR="00376FA7" w:rsidRPr="00D544D4">
        <w:t xml:space="preserve"> New Zealand Treasury </w:t>
      </w:r>
      <w:r w:rsidR="00986DA3" w:rsidRPr="00D544D4">
        <w:t xml:space="preserve">stated </w:t>
      </w:r>
      <w:r w:rsidR="00376FA7" w:rsidRPr="00D544D4">
        <w:t xml:space="preserve">that </w:t>
      </w:r>
      <w:r w:rsidR="004968C4">
        <w:t>it</w:t>
      </w:r>
      <w:r w:rsidRPr="00D544D4">
        <w:t xml:space="preserve"> would prefer to</w:t>
      </w:r>
      <w:r w:rsidR="00376FA7" w:rsidRPr="00D544D4">
        <w:t xml:space="preserve"> remove the</w:t>
      </w:r>
      <w:r w:rsidR="00771A89" w:rsidRPr="00D544D4">
        <w:t xml:space="preserve"> country’s</w:t>
      </w:r>
      <w:r w:rsidR="00376FA7" w:rsidRPr="00D544D4">
        <w:t xml:space="preserve"> </w:t>
      </w:r>
      <w:r w:rsidR="00986DA3" w:rsidRPr="00D544D4">
        <w:t xml:space="preserve">foreign </w:t>
      </w:r>
      <w:r w:rsidR="00376FA7" w:rsidRPr="00D544D4">
        <w:t xml:space="preserve">screening regime altogether and rely on existing protections in other legislation to address community concerns about foreign investment in sensitive assets (New Zealand Treasury </w:t>
      </w:r>
      <w:proofErr w:type="spellStart"/>
      <w:r w:rsidR="00376FA7" w:rsidRPr="00D544D4">
        <w:t>2009c</w:t>
      </w:r>
      <w:proofErr w:type="spellEnd"/>
      <w:r w:rsidR="00376FA7" w:rsidRPr="00D544D4">
        <w:t xml:space="preserve">). </w:t>
      </w:r>
      <w:r w:rsidR="00CD665A" w:rsidRPr="00D544D4">
        <w:t>Specifically, o</w:t>
      </w:r>
      <w:r w:rsidRPr="00D544D4">
        <w:t>n foreign investment</w:t>
      </w:r>
      <w:r w:rsidR="00986DA3" w:rsidRPr="00D544D4">
        <w:t xml:space="preserve"> </w:t>
      </w:r>
      <w:r w:rsidRPr="00D544D4">
        <w:t>in ‘sensitive’ land, t</w:t>
      </w:r>
      <w:r w:rsidR="00376FA7" w:rsidRPr="00D544D4">
        <w:t>he Treasury stated that:</w:t>
      </w:r>
    </w:p>
    <w:p w:rsidR="00376FA7" w:rsidRDefault="00376FA7" w:rsidP="00376FA7">
      <w:pPr>
        <w:pStyle w:val="Quote"/>
      </w:pPr>
      <w:r w:rsidRPr="00204729">
        <w:t>Concerns over land o</w:t>
      </w:r>
      <w:r>
        <w:t xml:space="preserve">wnership seem more likely to be </w:t>
      </w:r>
      <w:r w:rsidRPr="00204729">
        <w:t>related to the use of the land, such as res</w:t>
      </w:r>
      <w:r>
        <w:t xml:space="preserve">tricting walking access, rather </w:t>
      </w:r>
      <w:r w:rsidRPr="00204729">
        <w:t>than ownership per se. These concerns see</w:t>
      </w:r>
      <w:r>
        <w:t xml:space="preserve">m to be valid regardless of the </w:t>
      </w:r>
      <w:r w:rsidRPr="00204729">
        <w:t>nationality of the owner: there is no reaso</w:t>
      </w:r>
      <w:r>
        <w:t xml:space="preserve">n to think foreign owners would </w:t>
      </w:r>
      <w:r w:rsidRPr="00204729">
        <w:t>be any ‘worse’ at (say) allowing walki</w:t>
      </w:r>
      <w:r>
        <w:t xml:space="preserve">ng access than domestic owners. </w:t>
      </w:r>
      <w:r w:rsidRPr="00204729">
        <w:t>Therefore the most effective policy resp</w:t>
      </w:r>
      <w:r>
        <w:t xml:space="preserve">onse would be to focus on (say) </w:t>
      </w:r>
      <w:r w:rsidRPr="00204729">
        <w:t>walking access directly and across the board.</w:t>
      </w:r>
      <w:r>
        <w:t xml:space="preserve"> (New Zealand Treasury </w:t>
      </w:r>
      <w:proofErr w:type="spellStart"/>
      <w:r>
        <w:t>2009a</w:t>
      </w:r>
      <w:proofErr w:type="spellEnd"/>
      <w:r>
        <w:t>, p. 22).</w:t>
      </w:r>
    </w:p>
    <w:p w:rsidR="00F03601" w:rsidRDefault="00E113CC" w:rsidP="00334EDE">
      <w:pPr>
        <w:pStyle w:val="BodyText"/>
      </w:pPr>
      <w:r>
        <w:t>Similarly</w:t>
      </w:r>
      <w:r w:rsidR="00986DA3">
        <w:t>, t</w:t>
      </w:r>
      <w:r w:rsidR="004E1EFE">
        <w:t xml:space="preserve">he </w:t>
      </w:r>
      <w:r w:rsidR="00557CF9">
        <w:t>Australian Commission</w:t>
      </w:r>
      <w:r w:rsidR="00F03601">
        <w:t xml:space="preserve"> (</w:t>
      </w:r>
      <w:r w:rsidR="00557CF9">
        <w:t xml:space="preserve">PC </w:t>
      </w:r>
      <w:r w:rsidR="00F03601">
        <w:t xml:space="preserve">2000) </w:t>
      </w:r>
      <w:r w:rsidR="001E1BA7">
        <w:t>argued</w:t>
      </w:r>
      <w:r w:rsidR="00F03601">
        <w:t xml:space="preserve"> that concerns </w:t>
      </w:r>
      <w:r w:rsidR="00521E27">
        <w:t xml:space="preserve">about </w:t>
      </w:r>
      <w:r w:rsidR="00AB44EE">
        <w:t>cultural identi</w:t>
      </w:r>
      <w:r w:rsidR="0015055E">
        <w:t>t</w:t>
      </w:r>
      <w:r w:rsidR="00AB44EE">
        <w:t>y</w:t>
      </w:r>
      <w:r w:rsidR="00521E27">
        <w:t xml:space="preserve"> </w:t>
      </w:r>
      <w:r w:rsidR="00771A89">
        <w:t xml:space="preserve">and the media </w:t>
      </w:r>
      <w:r w:rsidR="00AB44EE">
        <w:t xml:space="preserve">are </w:t>
      </w:r>
      <w:r w:rsidR="00FD5810">
        <w:t xml:space="preserve">better </w:t>
      </w:r>
      <w:r w:rsidR="00AB44EE">
        <w:t xml:space="preserve">addressed through </w:t>
      </w:r>
      <w:r w:rsidR="00521E27">
        <w:t xml:space="preserve">policies that </w:t>
      </w:r>
      <w:r w:rsidR="00AB44EE">
        <w:t xml:space="preserve">more </w:t>
      </w:r>
      <w:r w:rsidR="00521E27">
        <w:t>directly target the objective</w:t>
      </w:r>
      <w:r w:rsidR="001E1BA7">
        <w:t xml:space="preserve"> </w:t>
      </w:r>
      <w:r w:rsidR="001E23A1">
        <w:t xml:space="preserve">— the creation and dissemination of culturally beneficial material — rather than </w:t>
      </w:r>
      <w:r w:rsidR="006800C6">
        <w:t>by limiting foreign investment</w:t>
      </w:r>
      <w:r w:rsidR="00B854EC">
        <w:t xml:space="preserve"> in the media </w:t>
      </w:r>
      <w:r w:rsidR="00771A89">
        <w:t>and</w:t>
      </w:r>
      <w:r w:rsidR="00B854EC">
        <w:t xml:space="preserve"> broadcasting sectors</w:t>
      </w:r>
      <w:r w:rsidR="001E23A1">
        <w:t>. The report</w:t>
      </w:r>
      <w:r w:rsidR="001E1BA7">
        <w:t xml:space="preserve"> </w:t>
      </w:r>
      <w:r w:rsidR="00FD5810">
        <w:t xml:space="preserve">noted that </w:t>
      </w:r>
      <w:r w:rsidR="006800C6">
        <w:t>domestic Australian policies (such as local content quotas</w:t>
      </w:r>
      <w:r w:rsidR="000B2BD9">
        <w:t xml:space="preserve"> that applied to all television broadcasters regardless of ownership</w:t>
      </w:r>
      <w:r w:rsidR="006800C6">
        <w:t xml:space="preserve">) </w:t>
      </w:r>
      <w:r w:rsidR="00FD5810">
        <w:t>already existed</w:t>
      </w:r>
      <w:r w:rsidR="006800C6">
        <w:t xml:space="preserve"> to that end (although </w:t>
      </w:r>
      <w:r w:rsidR="009F4EB6">
        <w:t>a recommendation</w:t>
      </w:r>
      <w:r w:rsidR="006800C6">
        <w:t xml:space="preserve"> w</w:t>
      </w:r>
      <w:r w:rsidR="009F4EB6">
        <w:t>as</w:t>
      </w:r>
      <w:r w:rsidR="006800C6">
        <w:t xml:space="preserve"> made to review</w:t>
      </w:r>
      <w:r w:rsidR="009F4EB6">
        <w:t xml:space="preserve"> </w:t>
      </w:r>
      <w:r w:rsidR="002A7F8B">
        <w:t>their use</w:t>
      </w:r>
      <w:r w:rsidR="006800C6">
        <w:t>).</w:t>
      </w:r>
    </w:p>
    <w:p w:rsidR="00370DE7" w:rsidRDefault="00345EE3" w:rsidP="001461B0">
      <w:pPr>
        <w:pStyle w:val="BodyText"/>
      </w:pPr>
      <w:r w:rsidRPr="00143AD2">
        <w:t xml:space="preserve">There </w:t>
      </w:r>
      <w:r w:rsidR="004968C4">
        <w:t>can be</w:t>
      </w:r>
      <w:r w:rsidRPr="00143AD2">
        <w:t xml:space="preserve"> </w:t>
      </w:r>
      <w:r w:rsidR="005A3095" w:rsidRPr="00143AD2">
        <w:t xml:space="preserve">grounds for imposing restrictions </w:t>
      </w:r>
      <w:r w:rsidR="00CF2674" w:rsidRPr="00143AD2">
        <w:t>that discriminate between domestic and foreign investment</w:t>
      </w:r>
      <w:r w:rsidR="00013561" w:rsidRPr="00143AD2">
        <w:t xml:space="preserve"> </w:t>
      </w:r>
      <w:r w:rsidRPr="00143AD2">
        <w:t>in some circumstances</w:t>
      </w:r>
      <w:r w:rsidR="005A3095" w:rsidRPr="00143AD2">
        <w:t xml:space="preserve">, but </w:t>
      </w:r>
      <w:r w:rsidRPr="00143AD2">
        <w:t xml:space="preserve">these </w:t>
      </w:r>
      <w:r w:rsidR="002C3ADB">
        <w:t xml:space="preserve">are likely to </w:t>
      </w:r>
      <w:r w:rsidR="005A3095" w:rsidRPr="00143AD2">
        <w:t xml:space="preserve">apply to </w:t>
      </w:r>
      <w:r w:rsidR="00973557">
        <w:t xml:space="preserve">only </w:t>
      </w:r>
      <w:r w:rsidR="005A3095" w:rsidRPr="00143AD2">
        <w:t xml:space="preserve">a </w:t>
      </w:r>
      <w:r w:rsidR="005943BC">
        <w:t>small number</w:t>
      </w:r>
      <w:r w:rsidR="005A3095" w:rsidRPr="00143AD2">
        <w:t xml:space="preserve"> of</w:t>
      </w:r>
      <w:r w:rsidR="002C3ADB">
        <w:t xml:space="preserve"> foreign</w:t>
      </w:r>
      <w:r w:rsidR="006462AD">
        <w:t xml:space="preserve"> investment proposals</w:t>
      </w:r>
      <w:r w:rsidR="005A3095" w:rsidRPr="00143AD2">
        <w:t>.</w:t>
      </w:r>
      <w:r w:rsidR="00581965" w:rsidRPr="00143AD2">
        <w:t xml:space="preserve"> </w:t>
      </w:r>
      <w:proofErr w:type="spellStart"/>
      <w:r w:rsidR="00CF2674" w:rsidRPr="00143AD2">
        <w:t>FDI</w:t>
      </w:r>
      <w:proofErr w:type="spellEnd"/>
      <w:r w:rsidR="00143AD2" w:rsidRPr="00143AD2">
        <w:t xml:space="preserve"> that </w:t>
      </w:r>
      <w:r w:rsidR="0086474E" w:rsidRPr="00143AD2">
        <w:t>has</w:t>
      </w:r>
      <w:r w:rsidR="005A5851" w:rsidRPr="00143AD2">
        <w:t xml:space="preserve"> the potential to impact on national security</w:t>
      </w:r>
      <w:r w:rsidR="006462AD">
        <w:t>,</w:t>
      </w:r>
      <w:r w:rsidR="00143AD2" w:rsidRPr="00143AD2">
        <w:t xml:space="preserve"> or that is </w:t>
      </w:r>
      <w:r w:rsidR="00581965" w:rsidRPr="00143AD2">
        <w:t xml:space="preserve">motivated by non-commercial objectives (for example, investment proposals by </w:t>
      </w:r>
      <w:r w:rsidR="00CA21EE">
        <w:t>sovereign wealth funds or state</w:t>
      </w:r>
      <w:r w:rsidR="00CA21EE">
        <w:noBreakHyphen/>
      </w:r>
      <w:r w:rsidR="00581965" w:rsidRPr="00143AD2">
        <w:t>owned enterprises)</w:t>
      </w:r>
      <w:r w:rsidR="002C3ADB">
        <w:t xml:space="preserve"> require</w:t>
      </w:r>
      <w:r w:rsidR="006462AD">
        <w:t>s</w:t>
      </w:r>
      <w:r w:rsidR="002C3ADB">
        <w:t xml:space="preserve"> </w:t>
      </w:r>
      <w:r w:rsidR="00926C10">
        <w:t>greater scrutiny</w:t>
      </w:r>
      <w:r w:rsidR="003C5DC1">
        <w:t>.</w:t>
      </w:r>
      <w:r w:rsidR="0027530A">
        <w:t xml:space="preserve"> </w:t>
      </w:r>
    </w:p>
    <w:p w:rsidR="00560F7D" w:rsidRPr="001A3E24" w:rsidRDefault="00143AD2" w:rsidP="001461B0">
      <w:pPr>
        <w:pStyle w:val="BodyText"/>
      </w:pPr>
      <w:r w:rsidRPr="00143AD2">
        <w:t>In some exception</w:t>
      </w:r>
      <w:r w:rsidR="000A5AF5">
        <w:t>al</w:t>
      </w:r>
      <w:r w:rsidRPr="00143AD2">
        <w:t xml:space="preserve"> circumstances, </w:t>
      </w:r>
      <w:r w:rsidR="000E60AB">
        <w:t xml:space="preserve">there may also be grounds to restrict </w:t>
      </w:r>
      <w:proofErr w:type="spellStart"/>
      <w:r w:rsidRPr="00143AD2">
        <w:t>FDI</w:t>
      </w:r>
      <w:proofErr w:type="spellEnd"/>
      <w:r w:rsidRPr="00143AD2">
        <w:t xml:space="preserve"> proposals that are </w:t>
      </w:r>
      <w:r w:rsidR="005A5851" w:rsidRPr="00143AD2">
        <w:t xml:space="preserve">in the commercial interest of </w:t>
      </w:r>
      <w:r w:rsidR="0086474E" w:rsidRPr="00143AD2">
        <w:t xml:space="preserve">a </w:t>
      </w:r>
      <w:r w:rsidR="005A5851" w:rsidRPr="00143AD2">
        <w:t xml:space="preserve">foreign business </w:t>
      </w:r>
      <w:r w:rsidR="000E60AB">
        <w:t>but</w:t>
      </w:r>
      <w:r w:rsidRPr="00143AD2">
        <w:t xml:space="preserve"> not </w:t>
      </w:r>
      <w:r w:rsidR="000E60AB">
        <w:t>in</w:t>
      </w:r>
      <w:r>
        <w:t xml:space="preserve"> </w:t>
      </w:r>
      <w:r w:rsidR="0064314F">
        <w:t xml:space="preserve">the </w:t>
      </w:r>
      <w:r w:rsidR="0064314F">
        <w:lastRenderedPageBreak/>
        <w:t>economic</w:t>
      </w:r>
      <w:r w:rsidR="0086474E" w:rsidRPr="00143AD2">
        <w:t xml:space="preserve"> interest</w:t>
      </w:r>
      <w:r w:rsidR="0064314F">
        <w:t>s</w:t>
      </w:r>
      <w:r w:rsidR="0086474E" w:rsidRPr="00143AD2">
        <w:t xml:space="preserve"> of the </w:t>
      </w:r>
      <w:r w:rsidR="005A5851" w:rsidRPr="00143AD2">
        <w:t>recipient country</w:t>
      </w:r>
      <w:r w:rsidRPr="00143AD2">
        <w:t>.</w:t>
      </w:r>
      <w:r w:rsidR="005A5851" w:rsidRPr="00143AD2">
        <w:t xml:space="preserve"> </w:t>
      </w:r>
      <w:r w:rsidRPr="00143AD2">
        <w:t xml:space="preserve">For </w:t>
      </w:r>
      <w:r w:rsidR="005A5851" w:rsidRPr="00143AD2">
        <w:t xml:space="preserve">example, </w:t>
      </w:r>
      <w:r w:rsidR="0086474E" w:rsidRPr="00143AD2">
        <w:t xml:space="preserve">the </w:t>
      </w:r>
      <w:r w:rsidR="0086474E" w:rsidRPr="001A3E24">
        <w:t>propos</w:t>
      </w:r>
      <w:r w:rsidR="000840B7" w:rsidRPr="001A3E24">
        <w:t>ed 2001</w:t>
      </w:r>
      <w:r w:rsidR="0086474E" w:rsidRPr="001A3E24">
        <w:t xml:space="preserve"> takeover </w:t>
      </w:r>
      <w:r w:rsidR="000840B7" w:rsidRPr="001A3E24">
        <w:t xml:space="preserve">of </w:t>
      </w:r>
      <w:r w:rsidR="0086474E" w:rsidRPr="001A3E24">
        <w:t xml:space="preserve">Woodside Petroleum </w:t>
      </w:r>
      <w:r w:rsidRPr="001A3E24">
        <w:t xml:space="preserve">(the joint </w:t>
      </w:r>
      <w:proofErr w:type="spellStart"/>
      <w:r w:rsidRPr="001A3E24">
        <w:t>venturer</w:t>
      </w:r>
      <w:proofErr w:type="spellEnd"/>
      <w:r w:rsidRPr="001A3E24">
        <w:t xml:space="preserve"> in </w:t>
      </w:r>
      <w:r w:rsidR="000A5AF5" w:rsidRPr="001A3E24">
        <w:t xml:space="preserve">Australia’s </w:t>
      </w:r>
      <w:r w:rsidRPr="001A3E24">
        <w:t xml:space="preserve">North West Shelf </w:t>
      </w:r>
      <w:r w:rsidR="000A5AF5" w:rsidRPr="001A3E24">
        <w:t>LNG project)</w:t>
      </w:r>
      <w:r w:rsidR="000840B7" w:rsidRPr="001A3E24">
        <w:t xml:space="preserve"> by Shell Australia </w:t>
      </w:r>
      <w:r w:rsidR="002A13C0" w:rsidRPr="001A3E24">
        <w:t xml:space="preserve">was rejected </w:t>
      </w:r>
      <w:r w:rsidR="000A5AF5" w:rsidRPr="001A3E24">
        <w:t>on the basis</w:t>
      </w:r>
      <w:r w:rsidRPr="001A3E24">
        <w:t xml:space="preserve"> that </w:t>
      </w:r>
      <w:r w:rsidR="000840B7" w:rsidRPr="001A3E24">
        <w:t xml:space="preserve">it </w:t>
      </w:r>
      <w:r w:rsidR="00B426D1" w:rsidRPr="001A3E24">
        <w:t>c</w:t>
      </w:r>
      <w:r w:rsidR="006462AD" w:rsidRPr="001A3E24">
        <w:t xml:space="preserve">ould have allowed </w:t>
      </w:r>
      <w:r w:rsidR="000840B7" w:rsidRPr="001A3E24">
        <w:t>Shell to</w:t>
      </w:r>
      <w:r w:rsidR="006462AD" w:rsidRPr="001A3E24">
        <w:t xml:space="preserve"> restrict the development and </w:t>
      </w:r>
      <w:r w:rsidR="00CA4549" w:rsidRPr="001A3E24">
        <w:t>export</w:t>
      </w:r>
      <w:r w:rsidRPr="001A3E24">
        <w:t xml:space="preserve"> </w:t>
      </w:r>
      <w:r w:rsidR="006462AD" w:rsidRPr="001A3E24">
        <w:t xml:space="preserve">of </w:t>
      </w:r>
      <w:r w:rsidR="004D5F4E" w:rsidRPr="001A3E24">
        <w:t>Australian</w:t>
      </w:r>
      <w:r w:rsidR="006462AD" w:rsidRPr="001A3E24">
        <w:t xml:space="preserve"> LNG </w:t>
      </w:r>
      <w:r w:rsidR="004D5F4E" w:rsidRPr="001A3E24">
        <w:t>in favour of</w:t>
      </w:r>
      <w:r w:rsidR="006462AD" w:rsidRPr="001A3E24">
        <w:t xml:space="preserve"> LNG </w:t>
      </w:r>
      <w:r w:rsidRPr="001A3E24">
        <w:t xml:space="preserve">projects it controlled in other </w:t>
      </w:r>
      <w:r w:rsidR="000840B7" w:rsidRPr="001A3E24">
        <w:t>countries</w:t>
      </w:r>
      <w:r w:rsidRPr="001A3E24">
        <w:t xml:space="preserve"> </w:t>
      </w:r>
      <w:r w:rsidR="0064314F" w:rsidRPr="001A3E24">
        <w:t>(Costello</w:t>
      </w:r>
      <w:r w:rsidR="00613D64" w:rsidRPr="001A3E24">
        <w:t> </w:t>
      </w:r>
      <w:r w:rsidR="0064314F" w:rsidRPr="001A3E24">
        <w:t>2001).</w:t>
      </w:r>
    </w:p>
    <w:p w:rsidR="00560F7D" w:rsidRPr="001A3E24" w:rsidRDefault="001022E8" w:rsidP="001A3E24">
      <w:pPr>
        <w:pStyle w:val="Heading3"/>
      </w:pPr>
      <w:r w:rsidRPr="001A3E24">
        <w:t>Conclusion</w:t>
      </w:r>
    </w:p>
    <w:p w:rsidR="001A3E24" w:rsidRDefault="005E3F96" w:rsidP="0040387C">
      <w:pPr>
        <w:pStyle w:val="BodyText"/>
      </w:pPr>
      <w:r>
        <w:t>E</w:t>
      </w:r>
      <w:r w:rsidR="0055333C" w:rsidRPr="0040387C">
        <w:t xml:space="preserve">xisting restrictions on trans-Tasman direct investment </w:t>
      </w:r>
      <w:r w:rsidR="00DF765D">
        <w:t xml:space="preserve">are likely to </w:t>
      </w:r>
      <w:r w:rsidR="0055333C" w:rsidRPr="0040387C">
        <w:t xml:space="preserve">impose </w:t>
      </w:r>
      <w:r w:rsidR="00DD5F51" w:rsidRPr="0040387C">
        <w:t xml:space="preserve">(potentially </w:t>
      </w:r>
      <w:r w:rsidR="00DD5F51">
        <w:t>significant</w:t>
      </w:r>
      <w:r w:rsidR="00DD5F51" w:rsidRPr="0040387C">
        <w:t>)</w:t>
      </w:r>
      <w:r w:rsidR="00DD5F51">
        <w:t xml:space="preserve"> </w:t>
      </w:r>
      <w:r w:rsidR="0055333C" w:rsidRPr="0040387C">
        <w:t>costs on the two countries</w:t>
      </w:r>
      <w:r w:rsidR="00CB40B6">
        <w:t xml:space="preserve">. These include </w:t>
      </w:r>
      <w:r w:rsidR="00341101" w:rsidRPr="0040387C">
        <w:t xml:space="preserve">compliance costs on </w:t>
      </w:r>
      <w:r w:rsidR="00C14B39">
        <w:t>Australian and New Zealand</w:t>
      </w:r>
      <w:r w:rsidR="00341101" w:rsidRPr="0040387C">
        <w:t xml:space="preserve"> investors</w:t>
      </w:r>
      <w:r>
        <w:t xml:space="preserve"> </w:t>
      </w:r>
      <w:r w:rsidR="0055333C" w:rsidRPr="0040387C">
        <w:t xml:space="preserve">and </w:t>
      </w:r>
      <w:r w:rsidR="00002D36">
        <w:t>reduc</w:t>
      </w:r>
      <w:r>
        <w:t xml:space="preserve">ed </w:t>
      </w:r>
      <w:r w:rsidR="00AC58F8">
        <w:t>income</w:t>
      </w:r>
      <w:r>
        <w:t>s</w:t>
      </w:r>
      <w:r w:rsidR="0027530A">
        <w:t xml:space="preserve"> </w:t>
      </w:r>
      <w:r w:rsidR="00AC58F8">
        <w:t>from deterred</w:t>
      </w:r>
      <w:r w:rsidR="00C14B39">
        <w:t xml:space="preserve"> </w:t>
      </w:r>
      <w:r w:rsidR="00AC58F8">
        <w:t>trans</w:t>
      </w:r>
      <w:r w:rsidR="00AC58F8">
        <w:noBreakHyphen/>
      </w:r>
      <w:r w:rsidR="00F76D22">
        <w:t xml:space="preserve">Tasman </w:t>
      </w:r>
      <w:r w:rsidR="0052719E">
        <w:t>investment</w:t>
      </w:r>
      <w:r w:rsidR="0027530A">
        <w:t xml:space="preserve"> (particularly for New Zealand)</w:t>
      </w:r>
      <w:r w:rsidR="00AC58F8">
        <w:t>.</w:t>
      </w:r>
      <w:r w:rsidR="0027530A">
        <w:t xml:space="preserve"> </w:t>
      </w:r>
      <w:r w:rsidR="00F76D22">
        <w:t>T</w:t>
      </w:r>
      <w:r w:rsidR="0052719E">
        <w:t xml:space="preserve">here </w:t>
      </w:r>
      <w:r w:rsidR="00F76D22">
        <w:t xml:space="preserve">are likely to be </w:t>
      </w:r>
      <w:r>
        <w:t xml:space="preserve">wider </w:t>
      </w:r>
      <w:r w:rsidR="009A1334" w:rsidRPr="0040387C">
        <w:t xml:space="preserve">economic </w:t>
      </w:r>
      <w:r w:rsidR="00741E1F" w:rsidRPr="0040387C">
        <w:t>cost</w:t>
      </w:r>
      <w:r w:rsidR="009A1334" w:rsidRPr="0040387C">
        <w:t>s</w:t>
      </w:r>
      <w:r w:rsidR="0052719E">
        <w:t xml:space="preserve"> </w:t>
      </w:r>
      <w:r w:rsidR="00F76D22">
        <w:t xml:space="preserve">that </w:t>
      </w:r>
      <w:r w:rsidR="00E336C9">
        <w:t>are difficult to</w:t>
      </w:r>
      <w:r w:rsidR="00AC58F8">
        <w:t xml:space="preserve"> </w:t>
      </w:r>
      <w:r w:rsidR="00E336C9">
        <w:t>quantify</w:t>
      </w:r>
      <w:r w:rsidR="00F76D22">
        <w:t xml:space="preserve"> </w:t>
      </w:r>
      <w:r w:rsidR="00C14B39">
        <w:t xml:space="preserve">(such as </w:t>
      </w:r>
      <w:r>
        <w:t xml:space="preserve">reduced innovation and </w:t>
      </w:r>
      <w:r w:rsidR="00F76D22">
        <w:t>transfers of skills and technology</w:t>
      </w:r>
      <w:r w:rsidR="0088541D">
        <w:t xml:space="preserve"> between the two countries</w:t>
      </w:r>
      <w:r w:rsidR="002A3663">
        <w:t>)</w:t>
      </w:r>
      <w:r w:rsidR="005A5851" w:rsidRPr="0040387C">
        <w:t>.</w:t>
      </w:r>
      <w:r w:rsidR="0088541D">
        <w:t xml:space="preserve"> </w:t>
      </w:r>
      <w:r w:rsidR="00F3704C">
        <w:t xml:space="preserve">The costs to the two countries of restricting </w:t>
      </w:r>
      <w:proofErr w:type="spellStart"/>
      <w:r w:rsidR="00F3704C">
        <w:t>FDI</w:t>
      </w:r>
      <w:proofErr w:type="spellEnd"/>
      <w:r w:rsidR="00F3704C">
        <w:t xml:space="preserve"> inflows from all countries are expected to be substantially larger.</w:t>
      </w:r>
    </w:p>
    <w:p w:rsidR="00CB40B6" w:rsidRDefault="007D7C3A" w:rsidP="0040387C">
      <w:pPr>
        <w:pStyle w:val="BodyText"/>
      </w:pPr>
      <w:r w:rsidRPr="0040387C">
        <w:t>At the same time</w:t>
      </w:r>
      <w:r w:rsidR="005A5851" w:rsidRPr="0040387C">
        <w:t>, t</w:t>
      </w:r>
      <w:r w:rsidR="00341101" w:rsidRPr="0040387C">
        <w:t xml:space="preserve">he benefits </w:t>
      </w:r>
      <w:r w:rsidR="00A225E5" w:rsidRPr="0040387C">
        <w:t xml:space="preserve">of restricting trans-Tasman </w:t>
      </w:r>
      <w:proofErr w:type="spellStart"/>
      <w:r w:rsidR="005A5851" w:rsidRPr="0040387C">
        <w:t>FDI</w:t>
      </w:r>
      <w:proofErr w:type="spellEnd"/>
      <w:r w:rsidR="005A5851" w:rsidRPr="0040387C">
        <w:t xml:space="preserve"> </w:t>
      </w:r>
      <w:r w:rsidR="009A1334" w:rsidRPr="0040387C">
        <w:t>are unclear</w:t>
      </w:r>
      <w:r w:rsidR="002A3663">
        <w:t>.</w:t>
      </w:r>
      <w:r w:rsidR="009A1334" w:rsidRPr="0040387C">
        <w:t xml:space="preserve"> </w:t>
      </w:r>
      <w:r w:rsidR="002A3663">
        <w:t xml:space="preserve">Some of the potential benefits (such as protecting national security or guarding against </w:t>
      </w:r>
      <w:r w:rsidR="0088541D">
        <w:t>non</w:t>
      </w:r>
      <w:r w:rsidR="0088541D">
        <w:noBreakHyphen/>
      </w:r>
      <w:r w:rsidR="002A3663" w:rsidRPr="00C35382">
        <w:t xml:space="preserve">commercial </w:t>
      </w:r>
      <w:r w:rsidR="002A3663">
        <w:t>investments by</w:t>
      </w:r>
      <w:r w:rsidR="002A3663" w:rsidRPr="00C35382">
        <w:t xml:space="preserve"> </w:t>
      </w:r>
      <w:r w:rsidR="00CA21EE">
        <w:t>state-</w:t>
      </w:r>
      <w:r w:rsidR="002A3663">
        <w:t xml:space="preserve">owned enterprises) </w:t>
      </w:r>
      <w:r w:rsidR="002A3663" w:rsidRPr="00F76D22">
        <w:t>are unlikely to a</w:t>
      </w:r>
      <w:r w:rsidR="002A3663">
        <w:t>pply to trans-Tasman investments.</w:t>
      </w:r>
      <w:r w:rsidR="0088541D">
        <w:t xml:space="preserve"> </w:t>
      </w:r>
      <w:r w:rsidR="002A3663">
        <w:t>Other potential benefits</w:t>
      </w:r>
      <w:r w:rsidR="005C4EC5">
        <w:t xml:space="preserve"> </w:t>
      </w:r>
      <w:r w:rsidR="00AC58F8">
        <w:t>(</w:t>
      </w:r>
      <w:r w:rsidR="002A3663">
        <w:t>such as protecting the environment</w:t>
      </w:r>
      <w:r w:rsidR="0088541D">
        <w:t xml:space="preserve"> </w:t>
      </w:r>
      <w:r w:rsidR="002A3663">
        <w:t xml:space="preserve">or </w:t>
      </w:r>
      <w:r w:rsidR="00002D36">
        <w:t>guar</w:t>
      </w:r>
      <w:r w:rsidR="005C4EC5">
        <w:t>a</w:t>
      </w:r>
      <w:r w:rsidR="00002D36">
        <w:t>nteeing a</w:t>
      </w:r>
      <w:r w:rsidR="005C4EC5">
        <w:t xml:space="preserve">ccess to </w:t>
      </w:r>
      <w:r w:rsidR="002A3663">
        <w:t>sensitive lands</w:t>
      </w:r>
      <w:r w:rsidR="00AC58F8">
        <w:t>)</w:t>
      </w:r>
      <w:r w:rsidR="002A3663">
        <w:t xml:space="preserve"> </w:t>
      </w:r>
      <w:r w:rsidR="009A1334" w:rsidRPr="0040387C">
        <w:t xml:space="preserve">could be better </w:t>
      </w:r>
      <w:r w:rsidR="00A225E5" w:rsidRPr="0040387C">
        <w:t xml:space="preserve">achieved </w:t>
      </w:r>
      <w:r w:rsidR="00741E1F" w:rsidRPr="0040387C">
        <w:t xml:space="preserve">through </w:t>
      </w:r>
      <w:r w:rsidR="008E61A3" w:rsidRPr="0040387C">
        <w:t xml:space="preserve">the use of </w:t>
      </w:r>
      <w:r w:rsidR="001F197C" w:rsidRPr="0040387C">
        <w:t xml:space="preserve">existing </w:t>
      </w:r>
      <w:r w:rsidR="00FD70C6" w:rsidRPr="0040387C">
        <w:t>(non</w:t>
      </w:r>
      <w:r w:rsidR="00FD70C6" w:rsidRPr="0040387C">
        <w:noBreakHyphen/>
      </w:r>
      <w:r w:rsidR="00A225E5" w:rsidRPr="0040387C">
        <w:t xml:space="preserve">discriminatory) </w:t>
      </w:r>
      <w:r w:rsidR="009A1334" w:rsidRPr="0040387C">
        <w:t>domestic</w:t>
      </w:r>
      <w:r w:rsidR="008E61A3" w:rsidRPr="0040387C">
        <w:t xml:space="preserve"> regulatory mechanisms</w:t>
      </w:r>
      <w:r w:rsidR="005C6CFC" w:rsidRPr="0040387C">
        <w:t>.</w:t>
      </w:r>
    </w:p>
    <w:p w:rsidR="00191885" w:rsidRPr="0040387C" w:rsidRDefault="005E3F96" w:rsidP="0040387C">
      <w:pPr>
        <w:pStyle w:val="BodyText"/>
      </w:pPr>
      <w:r w:rsidRPr="0040387C">
        <w:t xml:space="preserve">On balance, </w:t>
      </w:r>
      <w:r>
        <w:t>t</w:t>
      </w:r>
      <w:r w:rsidR="005A5851" w:rsidRPr="0040387C">
        <w:t xml:space="preserve">here are likely </w:t>
      </w:r>
      <w:r w:rsidR="0064139B" w:rsidRPr="0040387C">
        <w:t xml:space="preserve">to be </w:t>
      </w:r>
      <w:r w:rsidR="00044023">
        <w:t>gains available to</w:t>
      </w:r>
      <w:r w:rsidR="005A5851" w:rsidRPr="0040387C">
        <w:t xml:space="preserve"> </w:t>
      </w:r>
      <w:r w:rsidR="00AE6F1C">
        <w:t xml:space="preserve">Australia and New Zealand </w:t>
      </w:r>
      <w:r w:rsidR="005A5851" w:rsidRPr="0040387C">
        <w:t xml:space="preserve">from the liberalisation of existing restrictions on trans-Tasman </w:t>
      </w:r>
      <w:proofErr w:type="spellStart"/>
      <w:r w:rsidR="0064139B" w:rsidRPr="0040387C">
        <w:t>FDI</w:t>
      </w:r>
      <w:proofErr w:type="spellEnd"/>
      <w:r w:rsidR="005A5851" w:rsidRPr="0040387C">
        <w:t>.</w:t>
      </w:r>
      <w:r w:rsidR="00731BF1" w:rsidRPr="0040387C">
        <w:t xml:space="preserve"> </w:t>
      </w:r>
      <w:r w:rsidR="00BB0DED" w:rsidRPr="0040387C">
        <w:t>S</w:t>
      </w:r>
      <w:r w:rsidR="007D7C3A" w:rsidRPr="0040387C">
        <w:t xml:space="preserve">ignificantly </w:t>
      </w:r>
      <w:r w:rsidR="00191885" w:rsidRPr="0040387C">
        <w:t xml:space="preserve">greater benefits are </w:t>
      </w:r>
      <w:r w:rsidR="00BB0DED" w:rsidRPr="0040387C">
        <w:t xml:space="preserve">potentially </w:t>
      </w:r>
      <w:r w:rsidR="007D7C3A" w:rsidRPr="0040387C">
        <w:t xml:space="preserve">available to both countries </w:t>
      </w:r>
      <w:r w:rsidR="00191885" w:rsidRPr="0040387C">
        <w:t xml:space="preserve">from </w:t>
      </w:r>
      <w:r w:rsidR="007D7C3A" w:rsidRPr="0040387C">
        <w:t>the</w:t>
      </w:r>
      <w:r w:rsidR="00191885" w:rsidRPr="0040387C">
        <w:t xml:space="preserve"> </w:t>
      </w:r>
      <w:r w:rsidR="007D7C3A" w:rsidRPr="0040387C">
        <w:t xml:space="preserve">liberalisation of existing </w:t>
      </w:r>
      <w:proofErr w:type="spellStart"/>
      <w:r w:rsidR="007D7C3A" w:rsidRPr="0040387C">
        <w:t>FDI</w:t>
      </w:r>
      <w:proofErr w:type="spellEnd"/>
      <w:r w:rsidR="007D7C3A" w:rsidRPr="0040387C">
        <w:t xml:space="preserve"> barriers on a non</w:t>
      </w:r>
      <w:r w:rsidR="00DF765D">
        <w:noBreakHyphen/>
      </w:r>
      <w:r w:rsidR="00731BF1" w:rsidRPr="0040387C">
        <w:t xml:space="preserve">preferential </w:t>
      </w:r>
      <w:r w:rsidR="007D7C3A" w:rsidRPr="0040387C">
        <w:t>basis</w:t>
      </w:r>
      <w:r w:rsidR="00F57839" w:rsidRPr="0040387C">
        <w:t>.</w:t>
      </w:r>
    </w:p>
    <w:p w:rsidR="00A0503E" w:rsidRPr="00191885" w:rsidRDefault="00FF5E36" w:rsidP="00191885">
      <w:pPr>
        <w:pStyle w:val="Heading2"/>
      </w:pPr>
      <w:proofErr w:type="spellStart"/>
      <w:r>
        <w:t>C.</w:t>
      </w:r>
      <w:r w:rsidR="00E5348A">
        <w:t>5</w:t>
      </w:r>
      <w:proofErr w:type="spellEnd"/>
      <w:r w:rsidR="00191885">
        <w:tab/>
      </w:r>
      <w:r w:rsidR="00067FB0" w:rsidRPr="00191885">
        <w:t>Preferential l</w:t>
      </w:r>
      <w:r w:rsidR="00191885">
        <w:t>iberalisation of trans</w:t>
      </w:r>
      <w:r w:rsidR="00191885">
        <w:noBreakHyphen/>
      </w:r>
      <w:r w:rsidR="00D85C66" w:rsidRPr="00191885">
        <w:t xml:space="preserve">Tasman </w:t>
      </w:r>
      <w:r w:rsidR="00A47A9A">
        <w:t>direct investment</w:t>
      </w:r>
    </w:p>
    <w:p w:rsidR="00BF3BFD" w:rsidRPr="00D544D4" w:rsidRDefault="00A0503E" w:rsidP="00A0503E">
      <w:pPr>
        <w:pStyle w:val="BodyText"/>
      </w:pPr>
      <w:r w:rsidRPr="00D544D4">
        <w:t xml:space="preserve">The </w:t>
      </w:r>
      <w:r w:rsidR="001F61B3" w:rsidRPr="00D544D4">
        <w:t>Australian Commission</w:t>
      </w:r>
      <w:r w:rsidR="0027530A" w:rsidRPr="00D544D4">
        <w:t xml:space="preserve">’s </w:t>
      </w:r>
      <w:r w:rsidR="003832CA" w:rsidRPr="00D544D4">
        <w:t xml:space="preserve">report on </w:t>
      </w:r>
      <w:r w:rsidRPr="00D544D4">
        <w:t>the economic impacts of Australia’s bilateral and regional trade agreements found some evidence that the inclusion of investment provisions</w:t>
      </w:r>
      <w:r w:rsidR="003832CA" w:rsidRPr="00D544D4">
        <w:t xml:space="preserve"> in</w:t>
      </w:r>
      <w:r w:rsidRPr="00D544D4">
        <w:t xml:space="preserve"> Australia’s </w:t>
      </w:r>
      <w:proofErr w:type="spellStart"/>
      <w:r w:rsidRPr="00D544D4">
        <w:t>BRTAs</w:t>
      </w:r>
      <w:proofErr w:type="spellEnd"/>
      <w:r w:rsidRPr="00D544D4">
        <w:t xml:space="preserve"> ha</w:t>
      </w:r>
      <w:r w:rsidR="00BF3BFD" w:rsidRPr="00D544D4">
        <w:t>d</w:t>
      </w:r>
      <w:r w:rsidRPr="00D544D4">
        <w:t xml:space="preserve"> led to modest increases in investment and services trade</w:t>
      </w:r>
      <w:r w:rsidR="0027530A" w:rsidRPr="00D544D4">
        <w:t xml:space="preserve"> (PC 2010)</w:t>
      </w:r>
      <w:r w:rsidRPr="00D544D4">
        <w:t xml:space="preserve">. </w:t>
      </w:r>
      <w:r w:rsidR="00BF3BFD" w:rsidRPr="00D544D4">
        <w:t xml:space="preserve">The </w:t>
      </w:r>
      <w:r w:rsidRPr="00D544D4">
        <w:t xml:space="preserve">OECD </w:t>
      </w:r>
      <w:r w:rsidR="007A3B4F" w:rsidRPr="00D544D4">
        <w:t xml:space="preserve">also </w:t>
      </w:r>
      <w:r w:rsidRPr="00D544D4">
        <w:t xml:space="preserve">found that investment provisions in recent </w:t>
      </w:r>
      <w:r w:rsidR="00BF3BFD" w:rsidRPr="00D544D4">
        <w:t xml:space="preserve">preferential </w:t>
      </w:r>
      <w:r w:rsidR="001F61B3" w:rsidRPr="00D544D4">
        <w:t xml:space="preserve">trade agreements </w:t>
      </w:r>
      <w:r w:rsidRPr="00D544D4">
        <w:t>were</w:t>
      </w:r>
      <w:r w:rsidR="003832CA" w:rsidRPr="00D544D4">
        <w:t xml:space="preserve"> </w:t>
      </w:r>
      <w:r w:rsidRPr="00D544D4">
        <w:t xml:space="preserve">associated with </w:t>
      </w:r>
      <w:r w:rsidR="003832CA" w:rsidRPr="00D544D4">
        <w:t xml:space="preserve">increased </w:t>
      </w:r>
      <w:r w:rsidRPr="00D544D4">
        <w:t>trade and</w:t>
      </w:r>
      <w:r w:rsidR="00BF3BFD" w:rsidRPr="00D544D4">
        <w:t xml:space="preserve"> </w:t>
      </w:r>
      <w:r w:rsidRPr="00D544D4">
        <w:t>investment flows</w:t>
      </w:r>
      <w:r w:rsidR="00BF3BFD" w:rsidRPr="00D544D4">
        <w:t xml:space="preserve"> (OECD 2006)</w:t>
      </w:r>
      <w:r w:rsidR="006E7C5F" w:rsidRPr="00D544D4">
        <w:t>.</w:t>
      </w:r>
    </w:p>
    <w:p w:rsidR="00062E32" w:rsidRPr="00D544D4" w:rsidRDefault="00A0503E" w:rsidP="00062E32">
      <w:pPr>
        <w:pStyle w:val="BodyText"/>
      </w:pPr>
      <w:r w:rsidRPr="00D544D4">
        <w:lastRenderedPageBreak/>
        <w:t xml:space="preserve">However, preferential deals </w:t>
      </w:r>
      <w:r w:rsidR="00BB0DED" w:rsidRPr="00D544D4">
        <w:t>require</w:t>
      </w:r>
      <w:r w:rsidRPr="00D544D4">
        <w:t xml:space="preserve"> care</w:t>
      </w:r>
      <w:r w:rsidR="00BB0DED" w:rsidRPr="00D544D4">
        <w:t xml:space="preserve"> </w:t>
      </w:r>
      <w:r w:rsidR="003832CA" w:rsidRPr="00D544D4">
        <w:t xml:space="preserve">and </w:t>
      </w:r>
      <w:r w:rsidRPr="00D544D4">
        <w:t xml:space="preserve">recognition that </w:t>
      </w:r>
      <w:r w:rsidR="009A242D" w:rsidRPr="00D544D4">
        <w:t xml:space="preserve">non-preferential </w:t>
      </w:r>
      <w:r w:rsidRPr="00D544D4">
        <w:t xml:space="preserve">approaches </w:t>
      </w:r>
      <w:r w:rsidR="009A242D" w:rsidRPr="00D544D4">
        <w:t xml:space="preserve">(such as unilateral liberalisation) </w:t>
      </w:r>
      <w:r w:rsidRPr="00D544D4">
        <w:t>may be more cost-effective and deliv</w:t>
      </w:r>
      <w:r w:rsidR="00044023" w:rsidRPr="00D544D4">
        <w:t>er greater benefits</w:t>
      </w:r>
      <w:r w:rsidR="003C5DC1" w:rsidRPr="00D544D4">
        <w:t>.</w:t>
      </w:r>
      <w:r w:rsidR="00BF3BFD" w:rsidRPr="00D544D4">
        <w:t xml:space="preserve"> </w:t>
      </w:r>
      <w:r w:rsidR="00062E32" w:rsidRPr="00D544D4">
        <w:t>The Australian Commission</w:t>
      </w:r>
      <w:r w:rsidR="003832CA" w:rsidRPr="00D544D4">
        <w:t>’s report</w:t>
      </w:r>
      <w:r w:rsidR="00062E32" w:rsidRPr="00D544D4">
        <w:t xml:space="preserve"> </w:t>
      </w:r>
      <w:r w:rsidR="00443733" w:rsidRPr="00D544D4">
        <w:t xml:space="preserve">on </w:t>
      </w:r>
      <w:proofErr w:type="spellStart"/>
      <w:r w:rsidR="00443733" w:rsidRPr="00D544D4">
        <w:t>BRTAs</w:t>
      </w:r>
      <w:proofErr w:type="spellEnd"/>
      <w:r w:rsidR="00443733" w:rsidRPr="00D544D4">
        <w:t xml:space="preserve"> </w:t>
      </w:r>
      <w:r w:rsidR="00062E32" w:rsidRPr="00D544D4">
        <w:t xml:space="preserve">identified some issues to consider </w:t>
      </w:r>
      <w:r w:rsidR="00443733" w:rsidRPr="00D544D4">
        <w:t xml:space="preserve">when considering preferential investment agreements </w:t>
      </w:r>
      <w:r w:rsidR="00062E32" w:rsidRPr="00D544D4">
        <w:t xml:space="preserve">to </w:t>
      </w:r>
      <w:r w:rsidR="00BF3BFD" w:rsidRPr="00D544D4">
        <w:t xml:space="preserve">ensure </w:t>
      </w:r>
      <w:r w:rsidR="003832CA" w:rsidRPr="00D544D4">
        <w:t xml:space="preserve">that </w:t>
      </w:r>
      <w:r w:rsidR="00443733" w:rsidRPr="00D544D4">
        <w:t xml:space="preserve">the </w:t>
      </w:r>
      <w:r w:rsidR="00062E32" w:rsidRPr="00D544D4">
        <w:t xml:space="preserve">costs and the benefits </w:t>
      </w:r>
      <w:r w:rsidR="003832CA" w:rsidRPr="00D544D4">
        <w:t>are fully accounted for (PC 2010).</w:t>
      </w:r>
    </w:p>
    <w:p w:rsidR="00062E32" w:rsidRPr="00062E32" w:rsidRDefault="00062E32" w:rsidP="004711C3">
      <w:pPr>
        <w:pStyle w:val="ListBullet"/>
      </w:pPr>
      <w:r w:rsidRPr="00062E32">
        <w:t xml:space="preserve">Does the </w:t>
      </w:r>
      <w:r w:rsidR="003832CA">
        <w:t xml:space="preserve">agreement </w:t>
      </w:r>
      <w:r w:rsidRPr="00062E32">
        <w:t xml:space="preserve">impose </w:t>
      </w:r>
      <w:r w:rsidR="00443733">
        <w:t xml:space="preserve">unnecessary </w:t>
      </w:r>
      <w:r w:rsidRPr="00062E32">
        <w:t xml:space="preserve">costs? For example, the </w:t>
      </w:r>
      <w:r w:rsidR="003832CA">
        <w:t xml:space="preserve">report </w:t>
      </w:r>
      <w:r w:rsidRPr="00062E32">
        <w:t xml:space="preserve">argued that the investor-state dispute settlement provisions that Australia had </w:t>
      </w:r>
      <w:r w:rsidR="004968C4">
        <w:t>agreed</w:t>
      </w:r>
      <w:r w:rsidRPr="00062E32">
        <w:t xml:space="preserve"> to in some </w:t>
      </w:r>
      <w:proofErr w:type="spellStart"/>
      <w:r w:rsidRPr="00062E32">
        <w:t>BRTAs</w:t>
      </w:r>
      <w:proofErr w:type="spellEnd"/>
      <w:r w:rsidRPr="00062E32">
        <w:t xml:space="preserve"> (granting foreign investors rights over and above those already provided by the Australian legal system) </w:t>
      </w:r>
      <w:r w:rsidR="00DA4BD3">
        <w:t>had</w:t>
      </w:r>
      <w:r w:rsidRPr="00062E32">
        <w:t xml:space="preserve"> risks and </w:t>
      </w:r>
      <w:r w:rsidR="00DA4BD3">
        <w:t>limited</w:t>
      </w:r>
      <w:r w:rsidRPr="00062E32">
        <w:t xml:space="preserve"> benefits. </w:t>
      </w:r>
    </w:p>
    <w:p w:rsidR="0091380A" w:rsidRPr="00E10073" w:rsidRDefault="0091380A" w:rsidP="003013A1">
      <w:pPr>
        <w:pStyle w:val="ListBullet"/>
      </w:pPr>
      <w:r>
        <w:t xml:space="preserve">Does the agreement </w:t>
      </w:r>
      <w:r w:rsidRPr="00B3426B">
        <w:t>promote or inhibit</w:t>
      </w:r>
      <w:r>
        <w:t xml:space="preserve"> further multilateral or unilateral liberalisation? </w:t>
      </w:r>
      <w:r w:rsidR="000F73D0">
        <w:t xml:space="preserve">For example, a preferential deal </w:t>
      </w:r>
      <w:r>
        <w:t>can facilitate more extensive liberalisation through the use of MFN clauses that requ</w:t>
      </w:r>
      <w:r w:rsidR="00E43AE4">
        <w:t>ire preferential arrangements to</w:t>
      </w:r>
      <w:r>
        <w:t xml:space="preserve"> be extended</w:t>
      </w:r>
      <w:r w:rsidR="00443733">
        <w:t xml:space="preserve"> more widely. Alternatively,</w:t>
      </w:r>
      <w:r w:rsidR="000F73D0">
        <w:t xml:space="preserve"> they </w:t>
      </w:r>
      <w:r>
        <w:t xml:space="preserve">can inhibit further reform </w:t>
      </w:r>
      <w:r w:rsidR="000F73D0">
        <w:t>by</w:t>
      </w:r>
      <w:r>
        <w:t xml:space="preserve"> encourag</w:t>
      </w:r>
      <w:r w:rsidR="000F73D0">
        <w:t>ing</w:t>
      </w:r>
      <w:r>
        <w:t xml:space="preserve"> countries to retain barriers for use as bargaining coin in later negotiations</w:t>
      </w:r>
      <w:r w:rsidR="003C5DC1">
        <w:t>.</w:t>
      </w:r>
    </w:p>
    <w:p w:rsidR="00FA4454" w:rsidRPr="00D544D4" w:rsidRDefault="0029167A" w:rsidP="00FA4454">
      <w:pPr>
        <w:pStyle w:val="BodyText"/>
      </w:pPr>
      <w:r>
        <w:t xml:space="preserve">An additional issue to consider when undertaking preferential liberalisation of </w:t>
      </w:r>
      <w:proofErr w:type="spellStart"/>
      <w:r>
        <w:t>FDI</w:t>
      </w:r>
      <w:proofErr w:type="spellEnd"/>
      <w:r>
        <w:t xml:space="preserve"> barriers is the potential for investment diversion to impose costs</w:t>
      </w:r>
      <w:r w:rsidR="001D6AC0">
        <w:t xml:space="preserve"> on the liberalising country</w:t>
      </w:r>
      <w:r>
        <w:t xml:space="preserve">. </w:t>
      </w:r>
      <w:r w:rsidRPr="00D544D4">
        <w:t>Some literature suggests that</w:t>
      </w:r>
      <w:r w:rsidR="003A7280" w:rsidRPr="00D544D4">
        <w:t>, under certain conditions,</w:t>
      </w:r>
      <w:r w:rsidRPr="00D544D4">
        <w:t xml:space="preserve"> </w:t>
      </w:r>
      <w:r w:rsidR="001D6AC0" w:rsidRPr="00D544D4">
        <w:t xml:space="preserve">the </w:t>
      </w:r>
      <w:r w:rsidRPr="00D544D4">
        <w:t xml:space="preserve">preferential removal of </w:t>
      </w:r>
      <w:r w:rsidR="000F73D0" w:rsidRPr="00D544D4">
        <w:t xml:space="preserve">investment </w:t>
      </w:r>
      <w:r w:rsidRPr="00D544D4">
        <w:t>barriers can</w:t>
      </w:r>
      <w:r w:rsidR="003A7280" w:rsidRPr="00D544D4">
        <w:t xml:space="preserve"> </w:t>
      </w:r>
      <w:r w:rsidRPr="00D544D4">
        <w:t>reduce welfare for the countr</w:t>
      </w:r>
      <w:r w:rsidR="00C42007" w:rsidRPr="00D544D4">
        <w:t>y making the policy change</w:t>
      </w:r>
      <w:r w:rsidRPr="00D544D4">
        <w:t xml:space="preserve"> if the barriers are of the sort that generate economic rents, but not if they are of the type that </w:t>
      </w:r>
      <w:r w:rsidR="00443733" w:rsidRPr="00D544D4">
        <w:t>increase</w:t>
      </w:r>
      <w:r w:rsidR="0009241A" w:rsidRPr="00D544D4">
        <w:t xml:space="preserve"> </w:t>
      </w:r>
      <w:r w:rsidRPr="00D544D4">
        <w:t xml:space="preserve">costs </w:t>
      </w:r>
      <w:r w:rsidR="00235F54" w:rsidRPr="00D544D4">
        <w:t>(</w:t>
      </w:r>
      <w:r w:rsidR="00A552E6" w:rsidRPr="00D544D4">
        <w:t>box </w:t>
      </w:r>
      <w:proofErr w:type="spellStart"/>
      <w:r w:rsidR="00235F54" w:rsidRPr="00D544D4">
        <w:t>C</w:t>
      </w:r>
      <w:r w:rsidRPr="00D544D4">
        <w:t>.</w:t>
      </w:r>
      <w:r w:rsidR="00793102" w:rsidRPr="00D544D4">
        <w:t>6</w:t>
      </w:r>
      <w:proofErr w:type="spellEnd"/>
      <w:r w:rsidRPr="00D544D4">
        <w:t>).</w:t>
      </w:r>
    </w:p>
    <w:p w:rsidR="00733D58" w:rsidRPr="00A0503E" w:rsidRDefault="00733D58" w:rsidP="00733D58">
      <w:pPr>
        <w:pStyle w:val="Heading3"/>
      </w:pPr>
      <w:r>
        <w:t xml:space="preserve">Costs and benefits of the </w:t>
      </w:r>
      <w:proofErr w:type="spellStart"/>
      <w:r w:rsidR="00443733">
        <w:t>CER</w:t>
      </w:r>
      <w:proofErr w:type="spellEnd"/>
      <w:r w:rsidR="00443733">
        <w:t xml:space="preserve"> </w:t>
      </w:r>
      <w:r>
        <w:t>Investment Protocol</w:t>
      </w:r>
    </w:p>
    <w:p w:rsidR="00733D58" w:rsidRDefault="00733D58" w:rsidP="00733D58">
      <w:pPr>
        <w:pStyle w:val="BodyText"/>
      </w:pPr>
      <w:r>
        <w:t>The Australian regulation impact statement (</w:t>
      </w:r>
      <w:proofErr w:type="spellStart"/>
      <w:r>
        <w:t>RIS</w:t>
      </w:r>
      <w:proofErr w:type="spellEnd"/>
      <w:r>
        <w:t xml:space="preserve">) for the </w:t>
      </w:r>
      <w:proofErr w:type="spellStart"/>
      <w:r w:rsidR="00443733">
        <w:t>CER</w:t>
      </w:r>
      <w:proofErr w:type="spellEnd"/>
      <w:r w:rsidR="00443733">
        <w:t xml:space="preserve"> </w:t>
      </w:r>
      <w:r>
        <w:t>Investment Protocol identified a range of benefits from the increased thresholds and investment framework, including:</w:t>
      </w:r>
    </w:p>
    <w:p w:rsidR="00733D58" w:rsidRDefault="00733D58" w:rsidP="00733D58">
      <w:pPr>
        <w:pStyle w:val="ListBullet"/>
      </w:pPr>
      <w:r>
        <w:t>reduced compliance costs, as fewer investment applications are prepared</w:t>
      </w:r>
    </w:p>
    <w:p w:rsidR="00733D58" w:rsidRDefault="00733D58" w:rsidP="00733D58">
      <w:pPr>
        <w:pStyle w:val="ListBullet"/>
      </w:pPr>
      <w:r>
        <w:t>reduced uncertainty of an application being rejected at screening</w:t>
      </w:r>
    </w:p>
    <w:p w:rsidR="00733D58" w:rsidRDefault="00733D58" w:rsidP="00733D58">
      <w:pPr>
        <w:pStyle w:val="ListBullet"/>
      </w:pPr>
      <w:r>
        <w:t>reduced uncertainty for investments made under the new ‘investor rights’ framework (</w:t>
      </w:r>
      <w:proofErr w:type="spellStart"/>
      <w:r w:rsidR="006C5F90">
        <w:t>DFD</w:t>
      </w:r>
      <w:proofErr w:type="spellEnd"/>
      <w:r>
        <w:t xml:space="preserve"> 2012).</w:t>
      </w:r>
    </w:p>
    <w:p w:rsidR="00733D58" w:rsidRDefault="00733D58" w:rsidP="00733D58">
      <w:pPr>
        <w:pStyle w:val="BodyText"/>
      </w:pPr>
      <w:r>
        <w:t xml:space="preserve">The </w:t>
      </w:r>
      <w:proofErr w:type="spellStart"/>
      <w:r>
        <w:t>RIS</w:t>
      </w:r>
      <w:proofErr w:type="spellEnd"/>
      <w:r>
        <w:t xml:space="preserve"> (without quantifying the costs and benefits) concluded that the Protocol would generate net benefits for Australia and should be implemented. However, as discussed earlier, the size of the benefits of liberalisation are difficult to measure and in some cases disputed.</w:t>
      </w:r>
    </w:p>
    <w:p w:rsidR="00AB78F6" w:rsidRDefault="00AB78F6" w:rsidP="00AB78F6">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AB78F6" w:rsidTr="00AB78F6">
        <w:tc>
          <w:tcPr>
            <w:tcW w:w="8771" w:type="dxa"/>
            <w:tcBorders>
              <w:top w:val="nil"/>
              <w:left w:val="nil"/>
              <w:bottom w:val="nil"/>
              <w:right w:val="nil"/>
            </w:tcBorders>
            <w:shd w:val="clear" w:color="auto" w:fill="D9EAF0"/>
          </w:tcPr>
          <w:p w:rsidR="00AB78F6" w:rsidRDefault="00AB78F6" w:rsidP="00B017B1">
            <w:pPr>
              <w:pStyle w:val="BoxTitle"/>
            </w:pPr>
            <w:r w:rsidRPr="00FA4454">
              <w:rPr>
                <w:b w:val="0"/>
              </w:rPr>
              <w:t xml:space="preserve">Box </w:t>
            </w:r>
            <w:proofErr w:type="spellStart"/>
            <w:r>
              <w:rPr>
                <w:b w:val="0"/>
              </w:rPr>
              <w:t>C.6</w:t>
            </w:r>
            <w:proofErr w:type="spellEnd"/>
            <w:r>
              <w:tab/>
            </w:r>
            <w:r w:rsidR="00B017B1">
              <w:t>Welfare</w:t>
            </w:r>
            <w:r w:rsidR="001B0FC2">
              <w:t xml:space="preserve"> e</w:t>
            </w:r>
            <w:r>
              <w:t xml:space="preserve">ffects </w:t>
            </w:r>
            <w:r w:rsidR="006E6F5E">
              <w:t>of investment diversion</w:t>
            </w:r>
            <w:r w:rsidR="007A3B4F">
              <w:t xml:space="preserve"> </w:t>
            </w:r>
            <w:r w:rsidR="006E6F5E">
              <w:t xml:space="preserve">caused by </w:t>
            </w:r>
            <w:r>
              <w:t xml:space="preserve">preferential liberalisation of </w:t>
            </w:r>
            <w:r w:rsidR="00541615">
              <w:t>investment barriers</w:t>
            </w:r>
          </w:p>
        </w:tc>
      </w:tr>
      <w:tr w:rsidR="00AB78F6" w:rsidTr="00AB78F6">
        <w:trPr>
          <w:cantSplit/>
        </w:trPr>
        <w:tc>
          <w:tcPr>
            <w:tcW w:w="8771" w:type="dxa"/>
            <w:tcBorders>
              <w:top w:val="nil"/>
              <w:left w:val="nil"/>
              <w:bottom w:val="nil"/>
              <w:right w:val="nil"/>
            </w:tcBorders>
            <w:shd w:val="clear" w:color="auto" w:fill="D9EAF0"/>
          </w:tcPr>
          <w:p w:rsidR="00AB78F6" w:rsidRDefault="00AB78F6" w:rsidP="00AB78F6">
            <w:pPr>
              <w:pStyle w:val="Box"/>
            </w:pPr>
            <w:r>
              <w:t xml:space="preserve">Where </w:t>
            </w:r>
            <w:r w:rsidR="001B0FC2">
              <w:t>foreign direct investment (</w:t>
            </w:r>
            <w:proofErr w:type="spellStart"/>
            <w:r>
              <w:t>FDI</w:t>
            </w:r>
            <w:proofErr w:type="spellEnd"/>
            <w:r w:rsidR="001B0FC2">
              <w:t>)</w:t>
            </w:r>
            <w:r>
              <w:t xml:space="preserve"> barriers impose real costs on foreign investors (such as equity limits and </w:t>
            </w:r>
            <w:r w:rsidR="001B0FC2">
              <w:t xml:space="preserve">other </w:t>
            </w:r>
            <w:r>
              <w:t>on</w:t>
            </w:r>
            <w:r w:rsidR="001B0FC2">
              <w:t xml:space="preserve">going operational requirements) </w:t>
            </w:r>
            <w:r>
              <w:t>preferential liberalisation will unambiguously save resources and increase overall welfare</w:t>
            </w:r>
            <w:r w:rsidR="001B0FC2">
              <w:t xml:space="preserve"> for the liberalising country</w:t>
            </w:r>
            <w:r>
              <w:t xml:space="preserve">. A reduction in </w:t>
            </w:r>
            <w:r w:rsidR="001B0FC2">
              <w:t>cost</w:t>
            </w:r>
            <w:r w:rsidR="001B0FC2">
              <w:noBreakHyphen/>
            </w:r>
            <w:r>
              <w:t>increasing barrier</w:t>
            </w:r>
            <w:r w:rsidR="001B0FC2">
              <w:t>s</w:t>
            </w:r>
            <w:r>
              <w:t xml:space="preserve"> would reduce costs for investors from the partner country and generate gains to the </w:t>
            </w:r>
            <w:r w:rsidR="001226E9">
              <w:t>host</w:t>
            </w:r>
            <w:r>
              <w:t xml:space="preserve"> country to the extent that the cost of foreign capital fell. An expansion of </w:t>
            </w:r>
            <w:proofErr w:type="spellStart"/>
            <w:r>
              <w:t>FDI</w:t>
            </w:r>
            <w:proofErr w:type="spellEnd"/>
            <w:r>
              <w:t xml:space="preserve"> from the partner would crowd out investment from third countries (who are excluded by the higher thresholds), but this diversion would not impose a cost on the recipient country. That said, the cost of foreign capital could be lower still (and the gains of liberalisation greater) if protective barriers were removed for </w:t>
            </w:r>
            <w:proofErr w:type="spellStart"/>
            <w:r>
              <w:t>FDI</w:t>
            </w:r>
            <w:proofErr w:type="spellEnd"/>
            <w:r>
              <w:t xml:space="preserve"> from all countries (Adams et al</w:t>
            </w:r>
            <w:r w:rsidR="00CA21EE">
              <w:t>.</w:t>
            </w:r>
            <w:r>
              <w:t xml:space="preserve"> </w:t>
            </w:r>
            <w:r w:rsidRPr="00044023">
              <w:t>2003).</w:t>
            </w:r>
          </w:p>
          <w:p w:rsidR="00AB78F6" w:rsidRDefault="00AB78F6" w:rsidP="00AB78F6">
            <w:pPr>
              <w:pStyle w:val="Box"/>
            </w:pPr>
            <w:r>
              <w:t>Where investment barriers are of the sort to generate rents, then preferential liberalisation could</w:t>
            </w:r>
            <w:r w:rsidR="006E6F5E">
              <w:t xml:space="preserve"> generate welfare gains or, </w:t>
            </w:r>
            <w:r w:rsidR="003A7280">
              <w:t>under certain conditions,</w:t>
            </w:r>
            <w:r w:rsidR="006E6F5E">
              <w:t xml:space="preserve"> </w:t>
            </w:r>
            <w:r>
              <w:t xml:space="preserve">welfare </w:t>
            </w:r>
            <w:r w:rsidR="006E6F5E">
              <w:t xml:space="preserve">losses </w:t>
            </w:r>
            <w:r>
              <w:t>for the liberalising country. Screening can discourage new foreign entrants and allow incumbent foreign firms (and dom</w:t>
            </w:r>
            <w:r w:rsidR="005E0FBF">
              <w:t>estic firms) to earn rents (</w:t>
            </w:r>
            <w:r w:rsidR="00771A89">
              <w:t>s</w:t>
            </w:r>
            <w:r>
              <w:t>upplementary paper E). Part of the rents accruing to incumbent foreign firms flow to the host country’s government as company tax. Preferentially lowering rent</w:t>
            </w:r>
            <w:r w:rsidR="006E6F5E">
              <w:noBreakHyphen/>
            </w:r>
            <w:r>
              <w:t xml:space="preserve">creating barriers encourages foreign firms that benefit from preferential access to enter markets in the liberalising country. These firms may be supplying services at a higher marginal cost than foreign firms that do not benefit from preferential access, but due to the ongoing </w:t>
            </w:r>
            <w:proofErr w:type="spellStart"/>
            <w:r>
              <w:t>FDI</w:t>
            </w:r>
            <w:proofErr w:type="spellEnd"/>
            <w:r>
              <w:t xml:space="preserve"> barriers, the lower-cost firms will invest in different markets. The preferential access then creates investment diversion.</w:t>
            </w:r>
          </w:p>
          <w:p w:rsidR="00AB78F6" w:rsidRDefault="00AB78F6" w:rsidP="001226E9">
            <w:pPr>
              <w:pStyle w:val="Box"/>
            </w:pPr>
            <w:r>
              <w:t xml:space="preserve">The new foreign entrants </w:t>
            </w:r>
            <w:r w:rsidR="006E6F5E">
              <w:t xml:space="preserve">create a range of benefits for the host country through increased investment and competition. </w:t>
            </w:r>
            <w:r w:rsidR="001226E9">
              <w:t>However, b</w:t>
            </w:r>
            <w:r w:rsidR="003C41B6">
              <w:t xml:space="preserve">y </w:t>
            </w:r>
            <w:r>
              <w:t>reduc</w:t>
            </w:r>
            <w:r w:rsidR="003C41B6">
              <w:t>ing</w:t>
            </w:r>
            <w:r>
              <w:t xml:space="preserve"> the rents accruing to the incumbent foreign firms</w:t>
            </w:r>
            <w:r w:rsidR="00B017B1">
              <w:t>,</w:t>
            </w:r>
            <w:r>
              <w:t xml:space="preserve"> </w:t>
            </w:r>
            <w:r w:rsidR="003C41B6">
              <w:t xml:space="preserve">new entrants can </w:t>
            </w:r>
            <w:r w:rsidR="00B017B1">
              <w:t xml:space="preserve">also </w:t>
            </w:r>
            <w:r w:rsidR="003C41B6">
              <w:t xml:space="preserve">reduce </w:t>
            </w:r>
            <w:r>
              <w:t>the tax paid by those firms to the host country’s government.</w:t>
            </w:r>
            <w:r w:rsidR="003C41B6">
              <w:t xml:space="preserve"> </w:t>
            </w:r>
            <w:r>
              <w:t xml:space="preserve">Tax revenue paid by new foreign entrants may not offset the tax </w:t>
            </w:r>
            <w:r w:rsidR="00B017B1">
              <w:t>lost since the new entrants will</w:t>
            </w:r>
            <w:r>
              <w:t xml:space="preserve"> have a higher cost of production, </w:t>
            </w:r>
            <w:r w:rsidR="00EC237B">
              <w:t>earn</w:t>
            </w:r>
            <w:r>
              <w:t xml:space="preserve"> smaller rents and </w:t>
            </w:r>
            <w:r w:rsidR="001226E9">
              <w:t>pay</w:t>
            </w:r>
            <w:r>
              <w:t xml:space="preserve"> lower returns to capital. Some of the rents that were previously taxed are instead transferred to the higher-cost investor from the trade partner. If the loss of tax revenue from the preferential liberalisation </w:t>
            </w:r>
            <w:r w:rsidR="00B017B1">
              <w:t xml:space="preserve">of </w:t>
            </w:r>
            <w:proofErr w:type="spellStart"/>
            <w:r w:rsidR="00B017B1">
              <w:t>FDI</w:t>
            </w:r>
            <w:proofErr w:type="spellEnd"/>
            <w:r w:rsidR="00B017B1">
              <w:t xml:space="preserve"> barriers </w:t>
            </w:r>
            <w:r>
              <w:t>is greater than the gains from increased investment</w:t>
            </w:r>
            <w:r w:rsidR="00635440">
              <w:t>, competition</w:t>
            </w:r>
            <w:r>
              <w:t xml:space="preserve"> and other </w:t>
            </w:r>
            <w:r w:rsidR="003A7280">
              <w:t xml:space="preserve">beneficial </w:t>
            </w:r>
            <w:r>
              <w:t>effects</w:t>
            </w:r>
            <w:r w:rsidR="003C41B6">
              <w:t xml:space="preserve"> of new entrants</w:t>
            </w:r>
            <w:r>
              <w:t xml:space="preserve">, the host country </w:t>
            </w:r>
            <w:r w:rsidR="00635440">
              <w:t>could</w:t>
            </w:r>
            <w:r>
              <w:t xml:space="preserve"> experience a</w:t>
            </w:r>
            <w:r w:rsidR="001226E9">
              <w:t>n</w:t>
            </w:r>
            <w:r>
              <w:t xml:space="preserve"> </w:t>
            </w:r>
            <w:r w:rsidR="00635440">
              <w:t>overall</w:t>
            </w:r>
            <w:r>
              <w:t xml:space="preserve"> </w:t>
            </w:r>
            <w:r w:rsidR="00B017B1">
              <w:t xml:space="preserve">welfare </w:t>
            </w:r>
            <w:r>
              <w:t>loss.</w:t>
            </w:r>
          </w:p>
        </w:tc>
      </w:tr>
      <w:tr w:rsidR="00AB78F6" w:rsidTr="00AB78F6">
        <w:trPr>
          <w:cantSplit/>
        </w:trPr>
        <w:tc>
          <w:tcPr>
            <w:tcW w:w="8771" w:type="dxa"/>
            <w:tcBorders>
              <w:top w:val="nil"/>
              <w:left w:val="nil"/>
              <w:bottom w:val="nil"/>
              <w:right w:val="nil"/>
            </w:tcBorders>
            <w:shd w:val="clear" w:color="auto" w:fill="D9EAF0"/>
          </w:tcPr>
          <w:p w:rsidR="00AB78F6" w:rsidRDefault="00AB78F6" w:rsidP="00AB78F6">
            <w:pPr>
              <w:pStyle w:val="Box"/>
              <w:spacing w:before="0" w:line="120" w:lineRule="exact"/>
            </w:pPr>
          </w:p>
        </w:tc>
      </w:tr>
      <w:tr w:rsidR="00AB78F6" w:rsidRPr="004C4E0D" w:rsidTr="00AB78F6">
        <w:tc>
          <w:tcPr>
            <w:tcW w:w="8771" w:type="dxa"/>
            <w:tcBorders>
              <w:top w:val="nil"/>
              <w:left w:val="nil"/>
              <w:bottom w:val="nil"/>
              <w:right w:val="nil"/>
            </w:tcBorders>
          </w:tcPr>
          <w:p w:rsidR="00AB78F6" w:rsidRPr="004C4E0D" w:rsidRDefault="00AB78F6" w:rsidP="00AB78F6">
            <w:pPr>
              <w:pStyle w:val="Box"/>
              <w:keepNext w:val="0"/>
              <w:spacing w:before="60" w:after="60" w:line="80" w:lineRule="exact"/>
              <w:rPr>
                <w:b/>
                <w:color w:val="auto"/>
                <w:sz w:val="14"/>
              </w:rPr>
            </w:pPr>
          </w:p>
        </w:tc>
      </w:tr>
    </w:tbl>
    <w:p w:rsidR="00E6190B" w:rsidRPr="00E6190B" w:rsidRDefault="00AB78F6" w:rsidP="00FA4454">
      <w:pPr>
        <w:pStyle w:val="BodyText"/>
      </w:pPr>
      <w:r>
        <w:t xml:space="preserve">Gains from reduced compliance costs to trans-Tasman investors under the Protocol are likely to be small. For example, the Commissions have estimated that the higher thresholds under the Protocol would have saved Australian investors in New Zealand around </w:t>
      </w:r>
      <w:proofErr w:type="spellStart"/>
      <w:r>
        <w:t>NZ$</w:t>
      </w:r>
      <w:r w:rsidR="00483661">
        <w:t>2.7</w:t>
      </w:r>
      <w:proofErr w:type="spellEnd"/>
      <w:r>
        <w:t xml:space="preserve"> million in application costs between </w:t>
      </w:r>
      <w:r w:rsidRPr="00AE2AB6">
        <w:t>January 2006 and July 2010</w:t>
      </w:r>
      <w:r>
        <w:t>.</w:t>
      </w:r>
      <w:r w:rsidRPr="004C4E0D">
        <w:rPr>
          <w:rStyle w:val="FootnoteReference"/>
          <w:rFonts w:ascii="Arial" w:hAnsi="Arial" w:cs="Arial"/>
        </w:rPr>
        <w:footnoteReference w:id="4"/>
      </w:r>
      <w:r>
        <w:t xml:space="preserve"> The reduction in compliance costs for New Zealand investors is </w:t>
      </w:r>
      <w:r>
        <w:lastRenderedPageBreak/>
        <w:t xml:space="preserve">likely to be </w:t>
      </w:r>
      <w:r w:rsidR="00F3068C">
        <w:t>smaller</w:t>
      </w:r>
      <w:r>
        <w:t xml:space="preserve"> (as discussed above, in any given year there are likely to be only a small number of New Zealand applications valued between </w:t>
      </w:r>
      <w:proofErr w:type="spellStart"/>
      <w:r>
        <w:t>A$244</w:t>
      </w:r>
      <w:proofErr w:type="spellEnd"/>
      <w:r>
        <w:t xml:space="preserve"> million and </w:t>
      </w:r>
      <w:proofErr w:type="spellStart"/>
      <w:r>
        <w:t>A$106</w:t>
      </w:r>
      <w:r w:rsidR="00443733">
        <w:t>4</w:t>
      </w:r>
      <w:proofErr w:type="spellEnd"/>
      <w:r w:rsidR="00443733">
        <w:t> million that would</w:t>
      </w:r>
      <w:r>
        <w:t xml:space="preserve"> no longer be subject to Australian screening under the Protocol).</w:t>
      </w:r>
    </w:p>
    <w:p w:rsidR="004269A2" w:rsidRDefault="006B50B4" w:rsidP="00F425A0">
      <w:pPr>
        <w:pStyle w:val="BodyText"/>
      </w:pPr>
      <w:r>
        <w:t>Administrative cost</w:t>
      </w:r>
      <w:r w:rsidR="00AE2AB6">
        <w:t xml:space="preserve"> savings </w:t>
      </w:r>
      <w:r w:rsidR="00FC4431">
        <w:t>are also likely</w:t>
      </w:r>
      <w:r w:rsidR="00AE2AB6">
        <w:t xml:space="preserve"> to be small</w:t>
      </w:r>
      <w:r w:rsidR="004269A2">
        <w:t>.</w:t>
      </w:r>
      <w:r w:rsidR="00AE2AB6">
        <w:t xml:space="preserve"> </w:t>
      </w:r>
      <w:r w:rsidR="004269A2">
        <w:t>T</w:t>
      </w:r>
      <w:r w:rsidR="00AE2AB6">
        <w:t xml:space="preserve">he </w:t>
      </w:r>
      <w:proofErr w:type="spellStart"/>
      <w:r w:rsidR="00AE2AB6">
        <w:t>FDI</w:t>
      </w:r>
      <w:proofErr w:type="spellEnd"/>
      <w:r w:rsidR="00AE2AB6">
        <w:t xml:space="preserve"> </w:t>
      </w:r>
      <w:r w:rsidR="004269A2">
        <w:t>screening r</w:t>
      </w:r>
      <w:r w:rsidR="00AE2AB6">
        <w:t xml:space="preserve">egimes in both countries </w:t>
      </w:r>
      <w:r w:rsidR="00FC4431">
        <w:t xml:space="preserve">will </w:t>
      </w:r>
      <w:r w:rsidR="00AE2AB6">
        <w:t xml:space="preserve">continue to operate </w:t>
      </w:r>
      <w:r w:rsidR="00AD077A">
        <w:t>under the P</w:t>
      </w:r>
      <w:r w:rsidR="00FC4431">
        <w:t>rotocol</w:t>
      </w:r>
      <w:r w:rsidR="004269A2">
        <w:t xml:space="preserve"> </w:t>
      </w:r>
      <w:r w:rsidR="00044023">
        <w:t>to review trans</w:t>
      </w:r>
      <w:r w:rsidR="00044023">
        <w:noBreakHyphen/>
      </w:r>
      <w:r w:rsidR="00FC514D">
        <w:t xml:space="preserve">Tasman applications above the </w:t>
      </w:r>
      <w:r w:rsidR="001D6AC0">
        <w:t xml:space="preserve">new </w:t>
      </w:r>
      <w:r w:rsidR="00FC514D">
        <w:t>thresholds</w:t>
      </w:r>
      <w:r w:rsidR="00AB6DC2">
        <w:t>,</w:t>
      </w:r>
      <w:r w:rsidR="00FC514D">
        <w:t xml:space="preserve"> as well as investment </w:t>
      </w:r>
      <w:r w:rsidR="004269A2">
        <w:t>applications from the rest of the world.</w:t>
      </w:r>
    </w:p>
    <w:p w:rsidR="0081202F" w:rsidRPr="00D544D4" w:rsidRDefault="000E1502" w:rsidP="00F425A0">
      <w:pPr>
        <w:pStyle w:val="BodyText"/>
      </w:pPr>
      <w:r w:rsidRPr="00D544D4">
        <w:t>The greatest</w:t>
      </w:r>
      <w:r w:rsidR="00AD077A" w:rsidRPr="00D544D4">
        <w:t xml:space="preserve"> benefits of the P</w:t>
      </w:r>
      <w:r w:rsidR="0081202F" w:rsidRPr="00D544D4">
        <w:t xml:space="preserve">rotocol </w:t>
      </w:r>
      <w:r w:rsidRPr="00D544D4">
        <w:t xml:space="preserve">are likely to </w:t>
      </w:r>
      <w:r w:rsidR="00A44C9A" w:rsidRPr="00D544D4">
        <w:t>come from</w:t>
      </w:r>
      <w:r w:rsidR="00167576" w:rsidRPr="00D544D4">
        <w:t xml:space="preserve"> the </w:t>
      </w:r>
      <w:r w:rsidR="007D79EF" w:rsidRPr="00D544D4">
        <w:t>increased competition</w:t>
      </w:r>
      <w:r w:rsidR="008E4F35" w:rsidRPr="00D544D4">
        <w:t>, lower prices</w:t>
      </w:r>
      <w:r w:rsidR="00167576" w:rsidRPr="00D544D4">
        <w:t xml:space="preserve"> </w:t>
      </w:r>
      <w:r w:rsidR="007D79EF" w:rsidRPr="00D544D4">
        <w:t xml:space="preserve">and higher incomes </w:t>
      </w:r>
      <w:r w:rsidR="00167576" w:rsidRPr="00D544D4">
        <w:t>produced by</w:t>
      </w:r>
      <w:r w:rsidR="0081202F" w:rsidRPr="00D544D4">
        <w:t xml:space="preserve"> </w:t>
      </w:r>
      <w:r w:rsidRPr="00D544D4">
        <w:t xml:space="preserve">an </w:t>
      </w:r>
      <w:r w:rsidR="00805E16" w:rsidRPr="00D544D4">
        <w:t>incre</w:t>
      </w:r>
      <w:r w:rsidR="00FC4431" w:rsidRPr="00D544D4">
        <w:t>ase in</w:t>
      </w:r>
      <w:r w:rsidR="00805E16" w:rsidRPr="00D544D4">
        <w:t xml:space="preserve"> </w:t>
      </w:r>
      <w:r w:rsidR="00FC4431" w:rsidRPr="00D544D4">
        <w:t>trans</w:t>
      </w:r>
      <w:r w:rsidR="001921A2" w:rsidRPr="00D544D4">
        <w:noBreakHyphen/>
      </w:r>
      <w:r w:rsidR="00FC4431" w:rsidRPr="00D544D4">
        <w:t>Tasman investment</w:t>
      </w:r>
      <w:r w:rsidRPr="00D544D4">
        <w:t>.</w:t>
      </w:r>
      <w:r w:rsidR="00AB6DC2" w:rsidRPr="00D544D4">
        <w:t xml:space="preserve"> </w:t>
      </w:r>
      <w:r w:rsidR="001D6B20" w:rsidRPr="00D544D4">
        <w:t>T</w:t>
      </w:r>
      <w:r w:rsidR="00A0503E" w:rsidRPr="00D544D4">
        <w:t xml:space="preserve">he </w:t>
      </w:r>
      <w:r w:rsidR="001F61B3" w:rsidRPr="00D544D4">
        <w:t xml:space="preserve">Australian </w:t>
      </w:r>
      <w:r w:rsidR="00A0503E" w:rsidRPr="00D544D4">
        <w:t>Commission m</w:t>
      </w:r>
      <w:r w:rsidR="00DC6ACB" w:rsidRPr="00D544D4">
        <w:t xml:space="preserve">odelling suggests </w:t>
      </w:r>
      <w:r w:rsidR="00CB75F8" w:rsidRPr="00D544D4">
        <w:t>small</w:t>
      </w:r>
      <w:r w:rsidR="004B4E26" w:rsidRPr="00D544D4">
        <w:t xml:space="preserve"> </w:t>
      </w:r>
      <w:r w:rsidR="00167576" w:rsidRPr="00D544D4">
        <w:t>income gain</w:t>
      </w:r>
      <w:r w:rsidR="001D6B20" w:rsidRPr="00D544D4">
        <w:t>s</w:t>
      </w:r>
      <w:r w:rsidR="00CB75F8" w:rsidRPr="00D544D4">
        <w:t xml:space="preserve"> for New Zealand and negligible gains for Australia </w:t>
      </w:r>
      <w:r w:rsidR="00A0503E" w:rsidRPr="00D544D4">
        <w:t xml:space="preserve">from </w:t>
      </w:r>
      <w:r w:rsidR="00AB6DC2" w:rsidRPr="00D544D4">
        <w:t>partial trans</w:t>
      </w:r>
      <w:r w:rsidR="00100ABC" w:rsidRPr="00D544D4">
        <w:noBreakHyphen/>
      </w:r>
      <w:r w:rsidR="00AB6DC2" w:rsidRPr="00D544D4">
        <w:t>Tasman liberalisation</w:t>
      </w:r>
      <w:r w:rsidR="00FF1092" w:rsidRPr="00D544D4">
        <w:t xml:space="preserve"> (box </w:t>
      </w:r>
      <w:proofErr w:type="spellStart"/>
      <w:r w:rsidR="00FF1092" w:rsidRPr="00D544D4">
        <w:t>C.5</w:t>
      </w:r>
      <w:proofErr w:type="spellEnd"/>
      <w:r w:rsidR="00FF1092" w:rsidRPr="00D544D4">
        <w:t>)</w:t>
      </w:r>
      <w:r w:rsidR="003A503A" w:rsidRPr="00D544D4">
        <w:t>.</w:t>
      </w:r>
      <w:r w:rsidR="00FF1092" w:rsidRPr="00D544D4">
        <w:t xml:space="preserve"> </w:t>
      </w:r>
      <w:r w:rsidR="00CB75F8" w:rsidRPr="00D544D4">
        <w:t>The magnitude of wider economic benefits (</w:t>
      </w:r>
      <w:r w:rsidR="00C90013" w:rsidRPr="00D544D4">
        <w:t xml:space="preserve">for example, </w:t>
      </w:r>
      <w:r w:rsidR="00CB75F8" w:rsidRPr="00D544D4">
        <w:t xml:space="preserve">from </w:t>
      </w:r>
      <w:r w:rsidR="003A503A" w:rsidRPr="00D544D4">
        <w:t xml:space="preserve">increased </w:t>
      </w:r>
      <w:r w:rsidR="007D79EF" w:rsidRPr="00D544D4">
        <w:t>innovation</w:t>
      </w:r>
      <w:r w:rsidR="003A503A" w:rsidRPr="00D544D4">
        <w:t xml:space="preserve"> and</w:t>
      </w:r>
      <w:r w:rsidR="00F3068C" w:rsidRPr="00D544D4">
        <w:t xml:space="preserve"> transfer</w:t>
      </w:r>
      <w:r w:rsidR="007D79EF" w:rsidRPr="00D544D4">
        <w:t>s</w:t>
      </w:r>
      <w:r w:rsidR="003A503A" w:rsidRPr="00D544D4">
        <w:t xml:space="preserve"> of skills and technology between the two economies</w:t>
      </w:r>
      <w:r w:rsidR="00CB75F8" w:rsidRPr="00D544D4">
        <w:t xml:space="preserve">) </w:t>
      </w:r>
      <w:r w:rsidR="004968C4">
        <w:t>has</w:t>
      </w:r>
      <w:r w:rsidR="00C90013" w:rsidRPr="00D544D4">
        <w:t xml:space="preserve"> not</w:t>
      </w:r>
      <w:r w:rsidR="00CB75F8" w:rsidRPr="00D544D4">
        <w:t xml:space="preserve"> be</w:t>
      </w:r>
      <w:r w:rsidR="00C90013" w:rsidRPr="00D544D4">
        <w:t>en</w:t>
      </w:r>
      <w:r w:rsidR="00CB75F8" w:rsidRPr="00D544D4">
        <w:t xml:space="preserve"> estimated</w:t>
      </w:r>
      <w:r w:rsidR="00FF1092" w:rsidRPr="00D544D4">
        <w:t>.</w:t>
      </w:r>
    </w:p>
    <w:p w:rsidR="0066135A" w:rsidRDefault="0066111F" w:rsidP="001D234C">
      <w:pPr>
        <w:pStyle w:val="BodyText"/>
      </w:pPr>
      <w:r w:rsidRPr="00D544D4">
        <w:t>The Protocol could also impose some costs. The administrative costs of negotiating the agreement have already been incurred</w:t>
      </w:r>
      <w:r w:rsidR="000B2BD9" w:rsidRPr="00D544D4">
        <w:t xml:space="preserve"> </w:t>
      </w:r>
      <w:r w:rsidR="00973557" w:rsidRPr="00D544D4">
        <w:t xml:space="preserve">and </w:t>
      </w:r>
      <w:r w:rsidR="000B2BD9" w:rsidRPr="00D544D4">
        <w:t>i</w:t>
      </w:r>
      <w:r w:rsidRPr="00D544D4">
        <w:t xml:space="preserve">mplementation costs are likely to be minimal. </w:t>
      </w:r>
      <w:r w:rsidR="00F051CF" w:rsidRPr="00D544D4">
        <w:t>The Protocol</w:t>
      </w:r>
      <w:r w:rsidR="00F67C6D" w:rsidRPr="00F67C6D">
        <w:t xml:space="preserve"> </w:t>
      </w:r>
      <w:r w:rsidR="00FF1092">
        <w:t xml:space="preserve">does not appear to impose costly administrative processes on parties (such as dispute resolution mechanisms). It </w:t>
      </w:r>
      <w:r w:rsidR="00F67C6D" w:rsidRPr="00F67C6D">
        <w:t xml:space="preserve">does not appear to inhibit further unilateral or multilateral liberalisation by either country. In fact, </w:t>
      </w:r>
      <w:r w:rsidR="00F051CF">
        <w:t>it may</w:t>
      </w:r>
      <w:r w:rsidR="00F67C6D" w:rsidRPr="00F67C6D">
        <w:t xml:space="preserve"> encourage </w:t>
      </w:r>
      <w:r w:rsidR="00A44C9A">
        <w:t>it</w:t>
      </w:r>
      <w:r w:rsidR="00F67C6D" w:rsidRPr="00F67C6D">
        <w:t xml:space="preserve"> through </w:t>
      </w:r>
      <w:r w:rsidR="00A44C9A">
        <w:t>the</w:t>
      </w:r>
      <w:r w:rsidR="00F67C6D" w:rsidRPr="00F67C6D">
        <w:t xml:space="preserve"> MFN commitment that ensures that each country extends to the other the benefit of any additional liberalisation undertaken as a result of future agreements with other countries.</w:t>
      </w:r>
    </w:p>
    <w:p w:rsidR="007052FA" w:rsidRPr="00D544D4" w:rsidRDefault="008B2793" w:rsidP="001D234C">
      <w:pPr>
        <w:pStyle w:val="BodyText"/>
      </w:pPr>
      <w:r w:rsidRPr="00D544D4">
        <w:t>T</w:t>
      </w:r>
      <w:r w:rsidR="004F6F87" w:rsidRPr="00D544D4">
        <w:t>he largest</w:t>
      </w:r>
      <w:r w:rsidRPr="00D544D4">
        <w:t xml:space="preserve"> </w:t>
      </w:r>
      <w:r w:rsidR="00F051CF" w:rsidRPr="00D544D4">
        <w:t xml:space="preserve">potential </w:t>
      </w:r>
      <w:r w:rsidRPr="00D544D4">
        <w:t xml:space="preserve">cost </w:t>
      </w:r>
      <w:r w:rsidR="008C1B46" w:rsidRPr="00D544D4">
        <w:t>of</w:t>
      </w:r>
      <w:r w:rsidR="004F6F87" w:rsidRPr="00D544D4">
        <w:t xml:space="preserve"> </w:t>
      </w:r>
      <w:r w:rsidRPr="00D544D4">
        <w:t xml:space="preserve">implementing </w:t>
      </w:r>
      <w:r w:rsidR="004F6F87" w:rsidRPr="00D544D4">
        <w:t>t</w:t>
      </w:r>
      <w:r w:rsidR="0066111F" w:rsidRPr="00D544D4">
        <w:t xml:space="preserve">he Protocol </w:t>
      </w:r>
      <w:r w:rsidRPr="00D544D4">
        <w:t>is likely to</w:t>
      </w:r>
      <w:r w:rsidR="004F6F87" w:rsidRPr="00D544D4">
        <w:t xml:space="preserve"> come from </w:t>
      </w:r>
      <w:r w:rsidR="0066111F" w:rsidRPr="00D544D4">
        <w:t xml:space="preserve">investment diversion effects </w:t>
      </w:r>
      <w:r w:rsidR="0047375A" w:rsidRPr="00D544D4">
        <w:t>that result from the preferential lowering of screening barriers</w:t>
      </w:r>
      <w:r w:rsidR="0047375A" w:rsidRPr="00D544D4" w:rsidDel="008B2793">
        <w:t xml:space="preserve"> </w:t>
      </w:r>
      <w:r w:rsidR="0066111F" w:rsidRPr="00D544D4">
        <w:t>(box </w:t>
      </w:r>
      <w:proofErr w:type="spellStart"/>
      <w:r w:rsidR="0066111F" w:rsidRPr="00D544D4">
        <w:t>C.6</w:t>
      </w:r>
      <w:proofErr w:type="spellEnd"/>
      <w:r w:rsidR="0066111F" w:rsidRPr="00D544D4">
        <w:t>).</w:t>
      </w:r>
      <w:r w:rsidR="0047375A" w:rsidRPr="00D544D4">
        <w:t xml:space="preserve"> </w:t>
      </w:r>
      <w:r w:rsidR="003860AB" w:rsidRPr="00D544D4">
        <w:t>I</w:t>
      </w:r>
      <w:r w:rsidR="003F146A" w:rsidRPr="00D544D4">
        <w:t>nvestment</w:t>
      </w:r>
      <w:r w:rsidR="00030A09" w:rsidRPr="00D544D4">
        <w:t xml:space="preserve"> diversion </w:t>
      </w:r>
      <w:r w:rsidR="0047375A" w:rsidRPr="00D544D4">
        <w:t>in the form</w:t>
      </w:r>
      <w:r w:rsidR="009D2446" w:rsidRPr="00D544D4">
        <w:t xml:space="preserve"> </w:t>
      </w:r>
      <w:r w:rsidR="0047375A" w:rsidRPr="00D544D4">
        <w:t xml:space="preserve">of an increase in </w:t>
      </w:r>
      <w:r w:rsidR="009D2446" w:rsidRPr="00D544D4">
        <w:t xml:space="preserve">new </w:t>
      </w:r>
      <w:r w:rsidR="0047375A" w:rsidRPr="00D544D4">
        <w:t>trans</w:t>
      </w:r>
      <w:r w:rsidR="0047375A" w:rsidRPr="00D544D4">
        <w:noBreakHyphen/>
      </w:r>
      <w:r w:rsidRPr="00D544D4">
        <w:t xml:space="preserve">Tasman </w:t>
      </w:r>
      <w:r w:rsidR="0047375A" w:rsidRPr="00D544D4">
        <w:t xml:space="preserve">market </w:t>
      </w:r>
      <w:r w:rsidR="009D2446" w:rsidRPr="00D544D4">
        <w:t xml:space="preserve">entrants </w:t>
      </w:r>
      <w:r w:rsidR="0047375A" w:rsidRPr="00D544D4">
        <w:t xml:space="preserve">can </w:t>
      </w:r>
      <w:r w:rsidR="009D2446" w:rsidRPr="00D544D4">
        <w:t>drive down</w:t>
      </w:r>
      <w:r w:rsidR="00030A09" w:rsidRPr="00D544D4">
        <w:t xml:space="preserve"> rents</w:t>
      </w:r>
      <w:r w:rsidR="009D2446" w:rsidRPr="00D544D4">
        <w:t xml:space="preserve"> </w:t>
      </w:r>
      <w:r w:rsidR="0047375A" w:rsidRPr="00D544D4">
        <w:t xml:space="preserve">in </w:t>
      </w:r>
      <w:r w:rsidR="00181DC8" w:rsidRPr="00D544D4">
        <w:t xml:space="preserve">previously </w:t>
      </w:r>
      <w:r w:rsidR="0047375A" w:rsidRPr="00D544D4">
        <w:t xml:space="preserve">uncompetitive markets </w:t>
      </w:r>
      <w:r w:rsidR="009D2446" w:rsidRPr="00D544D4">
        <w:t xml:space="preserve">and </w:t>
      </w:r>
      <w:r w:rsidR="0047375A" w:rsidRPr="00D544D4">
        <w:t xml:space="preserve">reduce the </w:t>
      </w:r>
      <w:r w:rsidR="009D2446" w:rsidRPr="00D544D4">
        <w:t>company taxes</w:t>
      </w:r>
      <w:r w:rsidR="004F6F87" w:rsidRPr="00D544D4">
        <w:t xml:space="preserve"> </w:t>
      </w:r>
      <w:r w:rsidR="0047375A" w:rsidRPr="00D544D4">
        <w:t>paid on those rents</w:t>
      </w:r>
      <w:r w:rsidR="00181DC8" w:rsidRPr="00D544D4">
        <w:t>. However, this loss will be offset</w:t>
      </w:r>
      <w:r w:rsidR="001C7989" w:rsidRPr="00D544D4">
        <w:t xml:space="preserve">, to some extent, </w:t>
      </w:r>
      <w:r w:rsidR="00E3620B" w:rsidRPr="00D544D4">
        <w:t>through other taxes pa</w:t>
      </w:r>
      <w:r w:rsidR="004F6F87" w:rsidRPr="00D544D4">
        <w:t>id by the new entrants.</w:t>
      </w:r>
      <w:r w:rsidR="002F5731" w:rsidRPr="00D544D4">
        <w:t xml:space="preserve"> </w:t>
      </w:r>
      <w:r w:rsidR="001C7989" w:rsidRPr="00D544D4">
        <w:t>In addition (a</w:t>
      </w:r>
      <w:r w:rsidR="002A6A24" w:rsidRPr="00D544D4">
        <w:t xml:space="preserve">s discussed </w:t>
      </w:r>
      <w:r w:rsidR="001C7989" w:rsidRPr="00D544D4">
        <w:t>above),</w:t>
      </w:r>
      <w:r w:rsidR="002A6A24" w:rsidRPr="00D544D4">
        <w:t xml:space="preserve"> </w:t>
      </w:r>
      <w:r w:rsidR="001C7989" w:rsidRPr="00D544D4">
        <w:t xml:space="preserve">entry by </w:t>
      </w:r>
      <w:r w:rsidR="002A6A24" w:rsidRPr="00D544D4">
        <w:t>n</w:t>
      </w:r>
      <w:r w:rsidR="00181DC8" w:rsidRPr="00D544D4">
        <w:t>ew firms</w:t>
      </w:r>
      <w:r w:rsidRPr="00D544D4">
        <w:t xml:space="preserve"> </w:t>
      </w:r>
      <w:r w:rsidR="008C1B46" w:rsidRPr="00D544D4">
        <w:t xml:space="preserve">will </w:t>
      </w:r>
      <w:r w:rsidRPr="00D544D4">
        <w:t xml:space="preserve">generate </w:t>
      </w:r>
      <w:r w:rsidR="00483493" w:rsidRPr="00D544D4">
        <w:t xml:space="preserve">various </w:t>
      </w:r>
      <w:r w:rsidRPr="00D544D4">
        <w:t xml:space="preserve">benefits </w:t>
      </w:r>
      <w:r w:rsidR="003860AB" w:rsidRPr="00D544D4">
        <w:t>for</w:t>
      </w:r>
      <w:r w:rsidR="008C1B46" w:rsidRPr="00D544D4">
        <w:t xml:space="preserve"> the liberalising</w:t>
      </w:r>
      <w:r w:rsidR="00F53236" w:rsidRPr="00D544D4">
        <w:t xml:space="preserve"> countr</w:t>
      </w:r>
      <w:r w:rsidR="00973557" w:rsidRPr="00D544D4">
        <w:t>y</w:t>
      </w:r>
      <w:r w:rsidR="008C1B46" w:rsidRPr="00D544D4">
        <w:t xml:space="preserve"> (</w:t>
      </w:r>
      <w:r w:rsidR="00181DC8" w:rsidRPr="00D544D4">
        <w:t>such as</w:t>
      </w:r>
      <w:r w:rsidR="008C1B46" w:rsidRPr="00D544D4">
        <w:t xml:space="preserve"> lower prices for consumers</w:t>
      </w:r>
      <w:r w:rsidR="00181DC8" w:rsidRPr="00D544D4">
        <w:t xml:space="preserve"> from increase</w:t>
      </w:r>
      <w:r w:rsidR="0056569A" w:rsidRPr="00D544D4">
        <w:t>d</w:t>
      </w:r>
      <w:r w:rsidR="00181DC8" w:rsidRPr="00D544D4">
        <w:t xml:space="preserve"> competition</w:t>
      </w:r>
      <w:r w:rsidR="008C1B46" w:rsidRPr="00D544D4">
        <w:t xml:space="preserve"> and </w:t>
      </w:r>
      <w:r w:rsidR="003E46F1" w:rsidRPr="00D544D4">
        <w:t xml:space="preserve">greater </w:t>
      </w:r>
      <w:r w:rsidR="00F53236" w:rsidRPr="00D544D4">
        <w:t xml:space="preserve">transfers of </w:t>
      </w:r>
      <w:r w:rsidR="008C1B46" w:rsidRPr="00D544D4">
        <w:t xml:space="preserve">technology and </w:t>
      </w:r>
      <w:r w:rsidR="00F53236" w:rsidRPr="00D544D4">
        <w:t>skills</w:t>
      </w:r>
      <w:r w:rsidR="008C1B46" w:rsidRPr="00D544D4">
        <w:t>)</w:t>
      </w:r>
      <w:r w:rsidR="00136850" w:rsidRPr="00D544D4">
        <w:t>.</w:t>
      </w:r>
    </w:p>
    <w:p w:rsidR="00C84DD0" w:rsidRPr="00D544D4" w:rsidRDefault="007052FA" w:rsidP="001D234C">
      <w:pPr>
        <w:pStyle w:val="BodyText"/>
      </w:pPr>
      <w:r w:rsidRPr="00D544D4">
        <w:t>On balance, t</w:t>
      </w:r>
      <w:r w:rsidR="003860AB" w:rsidRPr="00D544D4">
        <w:t xml:space="preserve">he </w:t>
      </w:r>
      <w:r w:rsidR="00C77CEC" w:rsidRPr="00D544D4">
        <w:t xml:space="preserve">modest </w:t>
      </w:r>
      <w:r w:rsidR="003860AB" w:rsidRPr="00D544D4">
        <w:t xml:space="preserve">benefits </w:t>
      </w:r>
      <w:r w:rsidR="00C77CEC" w:rsidRPr="00D544D4">
        <w:t>from implementing the P</w:t>
      </w:r>
      <w:r w:rsidRPr="00D544D4">
        <w:t xml:space="preserve">rotocol </w:t>
      </w:r>
      <w:r w:rsidR="008C1B46" w:rsidRPr="00D544D4">
        <w:t xml:space="preserve">are likely to outweigh </w:t>
      </w:r>
      <w:r w:rsidR="00E62AF8" w:rsidRPr="00D544D4">
        <w:t>(or at least offset) the</w:t>
      </w:r>
      <w:r w:rsidRPr="00D544D4">
        <w:t xml:space="preserve"> </w:t>
      </w:r>
      <w:r w:rsidR="0034738F" w:rsidRPr="00D544D4">
        <w:t xml:space="preserve">costs </w:t>
      </w:r>
      <w:r w:rsidR="002F5731" w:rsidRPr="00D544D4">
        <w:t>for both countries</w:t>
      </w:r>
      <w:r w:rsidR="00B81090" w:rsidRPr="00D544D4">
        <w:t xml:space="preserve">. </w:t>
      </w:r>
      <w:r w:rsidR="000D0887" w:rsidRPr="00D544D4">
        <w:t>This outcome is reflected in t</w:t>
      </w:r>
      <w:r w:rsidR="0066111F" w:rsidRPr="00D544D4">
        <w:t xml:space="preserve">he scenario modelled by the Australian Commission </w:t>
      </w:r>
      <w:r w:rsidR="000D0887" w:rsidRPr="00D544D4">
        <w:t xml:space="preserve">which </w:t>
      </w:r>
      <w:r w:rsidR="0066111F" w:rsidRPr="00D544D4">
        <w:t xml:space="preserve">shows </w:t>
      </w:r>
      <w:r w:rsidR="00C81B2B" w:rsidRPr="00D544D4">
        <w:t xml:space="preserve">that </w:t>
      </w:r>
      <w:r w:rsidR="008C1B46" w:rsidRPr="00D544D4">
        <w:lastRenderedPageBreak/>
        <w:t>re</w:t>
      </w:r>
      <w:r w:rsidR="00C81B2B" w:rsidRPr="00D544D4">
        <w:t xml:space="preserve">moving </w:t>
      </w:r>
      <w:r w:rsidR="008C1B46" w:rsidRPr="00D544D4">
        <w:t xml:space="preserve">all </w:t>
      </w:r>
      <w:r w:rsidR="00C81B2B" w:rsidRPr="00D544D4">
        <w:t>trans</w:t>
      </w:r>
      <w:r w:rsidR="00E62AF8" w:rsidRPr="00D544D4">
        <w:noBreakHyphen/>
      </w:r>
      <w:r w:rsidR="00C81B2B" w:rsidRPr="00D544D4">
        <w:t xml:space="preserve">Tasman </w:t>
      </w:r>
      <w:proofErr w:type="spellStart"/>
      <w:r w:rsidR="008C1B46" w:rsidRPr="00D544D4">
        <w:t>FDI</w:t>
      </w:r>
      <w:proofErr w:type="spellEnd"/>
      <w:r w:rsidR="008C1B46" w:rsidRPr="00D544D4">
        <w:t xml:space="preserve"> barriers</w:t>
      </w:r>
      <w:r w:rsidR="0066111F" w:rsidRPr="00D544D4">
        <w:t xml:space="preserve"> </w:t>
      </w:r>
      <w:r w:rsidR="00C81B2B" w:rsidRPr="00D544D4">
        <w:t xml:space="preserve">in service sectors </w:t>
      </w:r>
      <w:r w:rsidR="00AF4FBA" w:rsidRPr="00D544D4">
        <w:t xml:space="preserve">can </w:t>
      </w:r>
      <w:r w:rsidR="00E62AF8" w:rsidRPr="00D544D4">
        <w:t xml:space="preserve">generate </w:t>
      </w:r>
      <w:r w:rsidR="008C1B46" w:rsidRPr="00D544D4">
        <w:t xml:space="preserve">net </w:t>
      </w:r>
      <w:r w:rsidR="0066111F" w:rsidRPr="00D544D4">
        <w:t xml:space="preserve">gains for </w:t>
      </w:r>
      <w:r w:rsidR="0034738F" w:rsidRPr="00D544D4">
        <w:t xml:space="preserve">New Zealand </w:t>
      </w:r>
      <w:r w:rsidR="00E62AF8" w:rsidRPr="00D544D4">
        <w:t>while having a</w:t>
      </w:r>
      <w:r w:rsidR="0034738F" w:rsidRPr="00D544D4">
        <w:t xml:space="preserve"> neutral impact </w:t>
      </w:r>
      <w:r w:rsidR="00E62AF8" w:rsidRPr="00D544D4">
        <w:t>on</w:t>
      </w:r>
      <w:r w:rsidRPr="00D544D4">
        <w:t xml:space="preserve"> </w:t>
      </w:r>
      <w:r w:rsidR="0034738F" w:rsidRPr="00D544D4">
        <w:t xml:space="preserve">Australia </w:t>
      </w:r>
      <w:r w:rsidR="0066111F" w:rsidRPr="00D544D4">
        <w:t>(box</w:t>
      </w:r>
      <w:r w:rsidR="00AF4FBA" w:rsidRPr="00D544D4">
        <w:t> </w:t>
      </w:r>
      <w:proofErr w:type="spellStart"/>
      <w:r w:rsidR="00136850" w:rsidRPr="00D544D4">
        <w:t>C.5</w:t>
      </w:r>
      <w:proofErr w:type="spellEnd"/>
      <w:r w:rsidR="00136850" w:rsidRPr="00D544D4">
        <w:t>).</w:t>
      </w:r>
    </w:p>
    <w:p w:rsidR="00560F7D" w:rsidRPr="001A3E24" w:rsidRDefault="001022E8" w:rsidP="000060CE">
      <w:pPr>
        <w:pStyle w:val="Heading3"/>
      </w:pPr>
      <w:r w:rsidRPr="001A3E24">
        <w:t>Conclusion</w:t>
      </w:r>
    </w:p>
    <w:p w:rsidR="006B50B4" w:rsidRPr="00D544D4" w:rsidRDefault="00AD2AB2" w:rsidP="00F425A0">
      <w:pPr>
        <w:pStyle w:val="BodyText"/>
      </w:pPr>
      <w:r w:rsidRPr="001A3E24">
        <w:t>While t</w:t>
      </w:r>
      <w:r w:rsidR="005D4D29" w:rsidRPr="001A3E24">
        <w:t xml:space="preserve">he </w:t>
      </w:r>
      <w:proofErr w:type="spellStart"/>
      <w:r w:rsidRPr="001A3E24">
        <w:t>CER</w:t>
      </w:r>
      <w:proofErr w:type="spellEnd"/>
      <w:r w:rsidRPr="001A3E24">
        <w:t xml:space="preserve"> </w:t>
      </w:r>
      <w:r w:rsidR="005D4D29" w:rsidRPr="001A3E24">
        <w:t>I</w:t>
      </w:r>
      <w:r w:rsidR="00AD077A" w:rsidRPr="001A3E24">
        <w:t>nvestment P</w:t>
      </w:r>
      <w:r w:rsidR="000C64BE" w:rsidRPr="001A3E24">
        <w:t xml:space="preserve">rotocol </w:t>
      </w:r>
      <w:r w:rsidRPr="001A3E24">
        <w:t xml:space="preserve">will have only small effects, it </w:t>
      </w:r>
      <w:r w:rsidR="000C64BE" w:rsidRPr="001A3E24">
        <w:t xml:space="preserve">is likely to generate </w:t>
      </w:r>
      <w:r w:rsidR="000C64BE" w:rsidRPr="00D544D4">
        <w:t xml:space="preserve">net </w:t>
      </w:r>
      <w:r w:rsidR="00F11035" w:rsidRPr="00D544D4">
        <w:t xml:space="preserve">trans-Tasman </w:t>
      </w:r>
      <w:r w:rsidR="000C64BE" w:rsidRPr="00D544D4">
        <w:t>benefits and should be implemented as soon as pra</w:t>
      </w:r>
      <w:r w:rsidR="003C5DC1" w:rsidRPr="00D544D4">
        <w:t>cticable.</w:t>
      </w:r>
    </w:p>
    <w:p w:rsidR="003D70DD" w:rsidRPr="001A3E24" w:rsidRDefault="00D542D1" w:rsidP="00F425A0">
      <w:pPr>
        <w:pStyle w:val="BodyText"/>
      </w:pPr>
      <w:r w:rsidRPr="001A3E24">
        <w:t>E</w:t>
      </w:r>
      <w:r w:rsidR="00854A73" w:rsidRPr="001A3E24">
        <w:t xml:space="preserve">ven after </w:t>
      </w:r>
      <w:r w:rsidR="0009241A" w:rsidRPr="001A3E24">
        <w:t xml:space="preserve">its </w:t>
      </w:r>
      <w:r w:rsidR="00854A73" w:rsidRPr="001A3E24">
        <w:t>impl</w:t>
      </w:r>
      <w:r w:rsidR="00AD077A" w:rsidRPr="001A3E24">
        <w:t>ementation</w:t>
      </w:r>
      <w:r w:rsidR="0009241A" w:rsidRPr="001A3E24">
        <w:t xml:space="preserve">, significant </w:t>
      </w:r>
      <w:r w:rsidR="00F90569" w:rsidRPr="001A3E24">
        <w:t xml:space="preserve">barriers </w:t>
      </w:r>
      <w:r w:rsidR="000C64BE" w:rsidRPr="001A3E24">
        <w:t>to trans-</w:t>
      </w:r>
      <w:r w:rsidR="00A77D8B" w:rsidRPr="001A3E24">
        <w:t>Tasman</w:t>
      </w:r>
      <w:r w:rsidR="000C64BE" w:rsidRPr="001A3E24">
        <w:t xml:space="preserve"> investment </w:t>
      </w:r>
      <w:r w:rsidR="00F90569" w:rsidRPr="001A3E24">
        <w:t xml:space="preserve">will remain (especially </w:t>
      </w:r>
      <w:r w:rsidR="00685376" w:rsidRPr="001A3E24">
        <w:t>for</w:t>
      </w:r>
      <w:r w:rsidR="00F90569" w:rsidRPr="001A3E24">
        <w:t xml:space="preserve"> </w:t>
      </w:r>
      <w:r w:rsidR="003C2B9A" w:rsidRPr="001A3E24">
        <w:t>‘</w:t>
      </w:r>
      <w:r w:rsidR="00F90569" w:rsidRPr="001A3E24">
        <w:t>sensitive</w:t>
      </w:r>
      <w:r w:rsidR="003C2B9A" w:rsidRPr="001A3E24">
        <w:t>’</w:t>
      </w:r>
      <w:r w:rsidR="00F90569" w:rsidRPr="001A3E24">
        <w:t xml:space="preserve"> land in New Zealand</w:t>
      </w:r>
      <w:r w:rsidR="00854A73" w:rsidRPr="001A3E24">
        <w:t>, ‘sensitive</w:t>
      </w:r>
      <w:r w:rsidR="006B50B4" w:rsidRPr="001A3E24">
        <w:t>’</w:t>
      </w:r>
      <w:r w:rsidR="00854A73" w:rsidRPr="001A3E24">
        <w:t xml:space="preserve"> sector</w:t>
      </w:r>
      <w:r w:rsidR="006B50B4" w:rsidRPr="001A3E24">
        <w:t>s</w:t>
      </w:r>
      <w:r w:rsidR="00854A73" w:rsidRPr="001A3E24">
        <w:t xml:space="preserve"> in Australia</w:t>
      </w:r>
      <w:r w:rsidR="00F90569" w:rsidRPr="001A3E24">
        <w:t xml:space="preserve"> and </w:t>
      </w:r>
      <w:r w:rsidR="0009241A" w:rsidRPr="001A3E24">
        <w:t xml:space="preserve">through </w:t>
      </w:r>
      <w:r w:rsidR="00F90569" w:rsidRPr="001A3E24">
        <w:t>foreign equ</w:t>
      </w:r>
      <w:r w:rsidR="00034CF3" w:rsidRPr="001A3E24">
        <w:t>ity limits in both countries)</w:t>
      </w:r>
      <w:r w:rsidR="00053282" w:rsidRPr="001A3E24">
        <w:t>.</w:t>
      </w:r>
      <w:r w:rsidR="00700039" w:rsidRPr="001A3E24">
        <w:t xml:space="preserve"> </w:t>
      </w:r>
      <w:r w:rsidR="0009241A" w:rsidRPr="001A3E24">
        <w:t>L</w:t>
      </w:r>
      <w:r w:rsidR="006B50B4" w:rsidRPr="001A3E24">
        <w:t>iberalisation in these areas is likely to bring additional benefits to both countries.</w:t>
      </w:r>
      <w:r w:rsidR="0009241A" w:rsidRPr="001A3E24">
        <w:t xml:space="preserve"> </w:t>
      </w:r>
      <w:r w:rsidR="003D70DD" w:rsidRPr="001A3E24">
        <w:t xml:space="preserve">The ‘direction of travel’ should be towards </w:t>
      </w:r>
      <w:r w:rsidR="00AD2AB2" w:rsidRPr="001A3E24">
        <w:t xml:space="preserve">a broader application of </w:t>
      </w:r>
      <w:r w:rsidR="003D70DD" w:rsidRPr="001A3E24">
        <w:t xml:space="preserve">national treatment of investors from the other country. There may be legitimate reasons for not </w:t>
      </w:r>
      <w:r w:rsidR="00885C3F" w:rsidRPr="001A3E24">
        <w:t>proceeding with this to the full extent</w:t>
      </w:r>
      <w:r w:rsidR="003D70DD" w:rsidRPr="001A3E24">
        <w:t xml:space="preserve"> (for example, </w:t>
      </w:r>
      <w:r w:rsidR="00885C3F" w:rsidRPr="001A3E24">
        <w:t xml:space="preserve">because of interactions with the </w:t>
      </w:r>
      <w:r w:rsidR="003D70DD" w:rsidRPr="001A3E24">
        <w:t xml:space="preserve">Treaty of Waitangi), but where this is the case the policy rationale and the costs and benefits of any restrictions left in place should be </w:t>
      </w:r>
      <w:r w:rsidR="00A44C9A" w:rsidRPr="001A3E24">
        <w:t xml:space="preserve">made </w:t>
      </w:r>
      <w:r w:rsidR="003D70DD" w:rsidRPr="001A3E24">
        <w:t>transparent.</w:t>
      </w:r>
    </w:p>
    <w:p w:rsidR="0009241A" w:rsidRPr="001A3E24" w:rsidRDefault="005D4D29" w:rsidP="00A77CB6">
      <w:pPr>
        <w:pStyle w:val="BodyText"/>
      </w:pPr>
      <w:r w:rsidRPr="001A3E24">
        <w:t xml:space="preserve">Given </w:t>
      </w:r>
      <w:r w:rsidR="006F06B4" w:rsidRPr="001A3E24">
        <w:t xml:space="preserve">that </w:t>
      </w:r>
      <w:r w:rsidRPr="001A3E24">
        <w:t xml:space="preserve">the greatest benefits from liberalisation of </w:t>
      </w:r>
      <w:proofErr w:type="spellStart"/>
      <w:r w:rsidRPr="001A3E24">
        <w:t>FDI</w:t>
      </w:r>
      <w:proofErr w:type="spellEnd"/>
      <w:r w:rsidRPr="001A3E24">
        <w:t xml:space="preserve"> restrictions are </w:t>
      </w:r>
      <w:r w:rsidR="006F06B4" w:rsidRPr="001A3E24">
        <w:t xml:space="preserve">expected to come </w:t>
      </w:r>
      <w:r w:rsidRPr="001A3E24">
        <w:t xml:space="preserve">from </w:t>
      </w:r>
      <w:r w:rsidRPr="00D544D4">
        <w:t>non</w:t>
      </w:r>
      <w:r w:rsidRPr="00D544D4">
        <w:noBreakHyphen/>
        <w:t xml:space="preserve">preferential </w:t>
      </w:r>
      <w:r w:rsidR="006F06B4" w:rsidRPr="00D544D4">
        <w:t>action</w:t>
      </w:r>
      <w:r w:rsidRPr="00D544D4">
        <w:t xml:space="preserve">, </w:t>
      </w:r>
      <w:r w:rsidR="0009241A" w:rsidRPr="00D544D4">
        <w:t>it would be desirable to lessen</w:t>
      </w:r>
      <w:r w:rsidR="006F06B4" w:rsidRPr="00D544D4">
        <w:t xml:space="preserve"> </w:t>
      </w:r>
      <w:proofErr w:type="spellStart"/>
      <w:r w:rsidR="006F06B4" w:rsidRPr="00D544D4">
        <w:t>FDI</w:t>
      </w:r>
      <w:proofErr w:type="spellEnd"/>
      <w:r w:rsidR="006F06B4" w:rsidRPr="00D544D4">
        <w:t xml:space="preserve"> barriers generally</w:t>
      </w:r>
      <w:r w:rsidR="00FD70C6" w:rsidRPr="00D544D4">
        <w:t>.</w:t>
      </w:r>
      <w:r w:rsidR="00FD70C6" w:rsidRPr="001A3E24">
        <w:t xml:space="preserve"> A possible option </w:t>
      </w:r>
      <w:r w:rsidR="00700039" w:rsidRPr="001A3E24">
        <w:t xml:space="preserve">for this approach </w:t>
      </w:r>
      <w:r w:rsidR="00FD70C6" w:rsidRPr="001A3E24">
        <w:t xml:space="preserve">is for Australia and New Zealand to extend to </w:t>
      </w:r>
      <w:r w:rsidR="00A1761C" w:rsidRPr="001A3E24">
        <w:t xml:space="preserve">similar ‘low risk’ </w:t>
      </w:r>
      <w:r w:rsidR="00FD70C6" w:rsidRPr="001A3E24">
        <w:t>countries the preferential arrangements they have already agreed to provide to each other. This would be in line with the outward</w:t>
      </w:r>
      <w:r w:rsidR="005C25D1" w:rsidRPr="001A3E24">
        <w:noBreakHyphen/>
      </w:r>
      <w:r w:rsidR="00FD70C6" w:rsidRPr="001A3E24">
        <w:t>looking approach outlined in chapter 2 and follow the historical precedent of Australia and New Zealand liberalising trade restrictions with one another first and then with other countries</w:t>
      </w:r>
      <w:r w:rsidR="00A1008B" w:rsidRPr="001A3E24">
        <w:t>.</w:t>
      </w:r>
      <w:r w:rsidR="0009241A" w:rsidRPr="001A3E24">
        <w:br w:type="page"/>
      </w:r>
    </w:p>
    <w:p w:rsidR="0007380A" w:rsidRDefault="00C70598" w:rsidP="004C4E0D">
      <w:pPr>
        <w:pStyle w:val="Heading2"/>
      </w:pPr>
      <w:r>
        <w:lastRenderedPageBreak/>
        <w:t>References</w:t>
      </w:r>
    </w:p>
    <w:p w:rsidR="00607742" w:rsidRPr="001B024E" w:rsidRDefault="00607742" w:rsidP="001B024E">
      <w:pPr>
        <w:pStyle w:val="Reference"/>
      </w:pPr>
      <w:r w:rsidRPr="001B024E">
        <w:t>ABS (Australia</w:t>
      </w:r>
      <w:r w:rsidR="0070119D" w:rsidRPr="001B024E">
        <w:t>n Bureau of Statistics</w:t>
      </w:r>
      <w:r w:rsidR="00B55355" w:rsidRPr="001B024E">
        <w:t xml:space="preserve">) </w:t>
      </w:r>
      <w:r w:rsidR="00CA21EE" w:rsidRPr="001B024E">
        <w:t xml:space="preserve">2001, </w:t>
      </w:r>
      <w:r w:rsidR="00CA21EE" w:rsidRPr="00B122CA">
        <w:rPr>
          <w:i/>
        </w:rPr>
        <w:t>International Investment Position, Australia 1999-2000: Supplementary Statistics,</w:t>
      </w:r>
      <w:r w:rsidR="00CA21EE" w:rsidRPr="001B024E">
        <w:t xml:space="preserve"> ABS Cat. no. </w:t>
      </w:r>
      <w:r w:rsidR="00CA21EE">
        <w:t>5350.2, Canberra.</w:t>
      </w:r>
    </w:p>
    <w:p w:rsidR="00CA21EE" w:rsidRDefault="00A77CB6" w:rsidP="001B024E">
      <w:pPr>
        <w:pStyle w:val="Reference"/>
      </w:pPr>
      <w:r w:rsidRPr="001B024E">
        <w:t>—— </w:t>
      </w:r>
      <w:r w:rsidR="00CA21EE" w:rsidRPr="001B024E">
        <w:t xml:space="preserve">2012, </w:t>
      </w:r>
      <w:r w:rsidR="00CA21EE" w:rsidRPr="00B122CA">
        <w:rPr>
          <w:i/>
        </w:rPr>
        <w:t>International Investment Position, Australia: Supplementary Statistics, Calendar year 2010</w:t>
      </w:r>
      <w:r w:rsidR="00CA21EE" w:rsidRPr="001B024E">
        <w:t>, Cat. no. 5352.0, Canberra,</w:t>
      </w:r>
      <w:r w:rsidR="00136850">
        <w:t xml:space="preserve"> </w:t>
      </w:r>
      <w:hyperlink r:id="rId16" w:history="1">
        <w:proofErr w:type="spellStart"/>
        <w:r w:rsidR="00CA21EE" w:rsidRPr="001B024E">
          <w:t>www.abs.gov.au</w:t>
        </w:r>
        <w:proofErr w:type="spellEnd"/>
        <w:r w:rsidR="00CA21EE" w:rsidRPr="001B024E">
          <w:t>/</w:t>
        </w:r>
        <w:proofErr w:type="spellStart"/>
        <w:r w:rsidR="00CA21EE" w:rsidRPr="001B024E">
          <w:t>AUSSTATS</w:t>
        </w:r>
        <w:proofErr w:type="spellEnd"/>
        <w:r w:rsidR="00CA21EE" w:rsidRPr="001B024E">
          <w:t>/</w:t>
        </w:r>
        <w:r w:rsidR="00136850">
          <w:br/>
        </w:r>
        <w:r w:rsidR="00CA21EE" w:rsidRPr="001B024E">
          <w:t>abs@.</w:t>
        </w:r>
        <w:proofErr w:type="spellStart"/>
        <w:r w:rsidR="00CA21EE" w:rsidRPr="001B024E">
          <w:t>nsf</w:t>
        </w:r>
        <w:proofErr w:type="spellEnd"/>
        <w:r w:rsidR="00CA21EE" w:rsidRPr="001B024E">
          <w:t>/</w:t>
        </w:r>
        <w:proofErr w:type="spellStart"/>
        <w:r w:rsidR="00CA21EE" w:rsidRPr="001B024E">
          <w:t>DetailsPage</w:t>
        </w:r>
        <w:proofErr w:type="spellEnd"/>
        <w:r w:rsidR="00CA21EE" w:rsidRPr="001B024E">
          <w:t>/</w:t>
        </w:r>
        <w:proofErr w:type="spellStart"/>
        <w:r w:rsidR="00CA21EE" w:rsidRPr="001B024E">
          <w:t>5352.0Calendar%20year%202010?OpenDocument</w:t>
        </w:r>
        <w:proofErr w:type="spellEnd"/>
      </w:hyperlink>
      <w:r w:rsidR="00CA21EE" w:rsidRPr="001B024E">
        <w:t>, (accessed 20 August 2012).</w:t>
      </w:r>
    </w:p>
    <w:p w:rsidR="009D2EF1" w:rsidRPr="001B024E" w:rsidRDefault="009D2EF1" w:rsidP="001B024E">
      <w:pPr>
        <w:pStyle w:val="Reference"/>
      </w:pPr>
      <w:r w:rsidRPr="001B024E">
        <w:t xml:space="preserve">Adams, R., Dee, P., </w:t>
      </w:r>
      <w:proofErr w:type="spellStart"/>
      <w:r w:rsidRPr="001B024E">
        <w:t>Gali</w:t>
      </w:r>
      <w:proofErr w:type="spellEnd"/>
      <w:r w:rsidRPr="001B024E">
        <w:t xml:space="preserve">, J. and McGuire, G. 2003, </w:t>
      </w:r>
      <w:r w:rsidRPr="00B122CA">
        <w:rPr>
          <w:i/>
        </w:rPr>
        <w:t>The Trade and Investment Effects of Preferential Trading Arrangements — Old and New Evidence</w:t>
      </w:r>
      <w:r w:rsidRPr="001B024E">
        <w:t>, Productivity Commissio</w:t>
      </w:r>
      <w:r w:rsidR="00B122CA">
        <w:t>n Staff Working Paper, Canberra</w:t>
      </w:r>
      <w:r w:rsidRPr="001B024E">
        <w:t>.</w:t>
      </w:r>
    </w:p>
    <w:p w:rsidR="001C3A87" w:rsidRPr="001B024E" w:rsidRDefault="001C3A87" w:rsidP="001B024E">
      <w:pPr>
        <w:pStyle w:val="Reference"/>
      </w:pPr>
      <w:r w:rsidRPr="001B024E">
        <w:t xml:space="preserve">Australian Government Treasurer 2012, </w:t>
      </w:r>
      <w:r w:rsidRPr="00B122CA">
        <w:rPr>
          <w:i/>
        </w:rPr>
        <w:t>Australia’s Foreign Investment Policy</w:t>
      </w:r>
      <w:r w:rsidRPr="001B024E">
        <w:t xml:space="preserve">, January, </w:t>
      </w:r>
      <w:proofErr w:type="spellStart"/>
      <w:r w:rsidRPr="001B024E">
        <w:t>www.firb.gov.au</w:t>
      </w:r>
      <w:proofErr w:type="spellEnd"/>
      <w:r w:rsidRPr="001B024E">
        <w:t>/content/_downloads/</w:t>
      </w:r>
      <w:proofErr w:type="spellStart"/>
      <w:r w:rsidRPr="001B024E">
        <w:t>AFIP_Jan2012.pdf</w:t>
      </w:r>
      <w:proofErr w:type="spellEnd"/>
      <w:r w:rsidRPr="001B024E">
        <w:t xml:space="preserve"> (a</w:t>
      </w:r>
      <w:r w:rsidR="00117C1D" w:rsidRPr="001B024E">
        <w:t>c</w:t>
      </w:r>
      <w:r w:rsidR="00136850">
        <w:t>cessed 29 </w:t>
      </w:r>
      <w:r w:rsidRPr="001B024E">
        <w:t>May 2012).</w:t>
      </w:r>
    </w:p>
    <w:p w:rsidR="009D2EF1" w:rsidRPr="001B024E" w:rsidRDefault="009D2EF1" w:rsidP="001B024E">
      <w:pPr>
        <w:pStyle w:val="Reference"/>
      </w:pPr>
      <w:r w:rsidRPr="001B024E">
        <w:t xml:space="preserve">Chorus 2012, </w:t>
      </w:r>
      <w:r w:rsidRPr="00B122CA">
        <w:rPr>
          <w:i/>
        </w:rPr>
        <w:t>Constitution of Chorus Limited</w:t>
      </w:r>
      <w:r w:rsidRPr="001B024E">
        <w:t xml:space="preserve">, </w:t>
      </w:r>
      <w:hyperlink r:id="rId17" w:history="1">
        <w:r w:rsidRPr="001B024E">
          <w:t>http://</w:t>
        </w:r>
        <w:proofErr w:type="spellStart"/>
        <w:r w:rsidRPr="001B024E">
          <w:t>www.chorus.co.nz</w:t>
        </w:r>
        <w:proofErr w:type="spellEnd"/>
        <w:r w:rsidRPr="001B024E">
          <w:t>/file/2059</w:t>
        </w:r>
      </w:hyperlink>
      <w:r w:rsidR="00A77CB6" w:rsidRPr="001B024E">
        <w:t>, (accessed 8 May 2012).</w:t>
      </w:r>
    </w:p>
    <w:p w:rsidR="006178FC" w:rsidRPr="001B024E" w:rsidRDefault="00BE5D38" w:rsidP="001B024E">
      <w:pPr>
        <w:pStyle w:val="Reference"/>
      </w:pPr>
      <w:r w:rsidRPr="001B024E">
        <w:t>CIE (</w:t>
      </w:r>
      <w:r w:rsidR="00187FCE" w:rsidRPr="001B024E">
        <w:t>Centre for International Economics</w:t>
      </w:r>
      <w:r w:rsidRPr="001B024E">
        <w:t>)</w:t>
      </w:r>
      <w:r w:rsidR="00187FCE" w:rsidRPr="001B024E">
        <w:t xml:space="preserve"> 2004, </w:t>
      </w:r>
      <w:r w:rsidR="00187FCE" w:rsidRPr="00B122CA">
        <w:rPr>
          <w:i/>
        </w:rPr>
        <w:t xml:space="preserve">Economic Analysis of </w:t>
      </w:r>
      <w:proofErr w:type="spellStart"/>
      <w:r w:rsidR="00187FCE" w:rsidRPr="00B122CA">
        <w:rPr>
          <w:i/>
        </w:rPr>
        <w:t>AUSFTA</w:t>
      </w:r>
      <w:proofErr w:type="spellEnd"/>
      <w:r w:rsidR="00187FCE" w:rsidRPr="00B122CA">
        <w:rPr>
          <w:i/>
        </w:rPr>
        <w:t>: Impact of the Bilateral Free Trade Agreement with the United States</w:t>
      </w:r>
      <w:r w:rsidR="00187FCE" w:rsidRPr="001B024E">
        <w:t>, Report prepared for the Department of Foreign Affairs and Trade, Canberra.</w:t>
      </w:r>
    </w:p>
    <w:p w:rsidR="0094070B" w:rsidRPr="001B024E" w:rsidRDefault="00BE5D38" w:rsidP="001B024E">
      <w:pPr>
        <w:pStyle w:val="Reference"/>
      </w:pPr>
      <w:r w:rsidRPr="001B024E">
        <w:t>—— </w:t>
      </w:r>
      <w:r w:rsidR="0094070B" w:rsidRPr="001B024E">
        <w:t xml:space="preserve">2010, </w:t>
      </w:r>
      <w:r w:rsidRPr="00B122CA">
        <w:rPr>
          <w:i/>
        </w:rPr>
        <w:t>Quantifying the benefits of services trade liberalisation</w:t>
      </w:r>
      <w:r w:rsidRPr="001B024E">
        <w:t>, Report prepared for the Department of Foreign Affairs and Trade, Canberra.</w:t>
      </w:r>
    </w:p>
    <w:p w:rsidR="0064314F" w:rsidRPr="001B024E" w:rsidRDefault="0064314F" w:rsidP="001B024E">
      <w:pPr>
        <w:pStyle w:val="Reference"/>
      </w:pPr>
      <w:r w:rsidRPr="001B024E">
        <w:t xml:space="preserve">Costello, P. (Treasurer) 2001, Foreign Investment Proposal </w:t>
      </w:r>
      <w:r w:rsidR="0064703A" w:rsidRPr="001B024E">
        <w:t>—</w:t>
      </w:r>
      <w:r w:rsidRPr="001B024E">
        <w:t xml:space="preserve"> Shell Australia Investments Limited</w:t>
      </w:r>
      <w:r w:rsidR="002C42DA" w:rsidRPr="001B024E">
        <w:t>’</w:t>
      </w:r>
      <w:r w:rsidRPr="001B024E">
        <w:t>s (Shell) Acquisition Of Woodside Petroleum Limited (Woodside), Media release no.</w:t>
      </w:r>
      <w:r w:rsidR="002C42DA" w:rsidRPr="001B024E">
        <w:t> </w:t>
      </w:r>
      <w:r w:rsidRPr="001B024E">
        <w:t>25/01 23 April.</w:t>
      </w:r>
    </w:p>
    <w:p w:rsidR="009D2EF1" w:rsidRPr="001B024E" w:rsidRDefault="009D2EF1" w:rsidP="001B024E">
      <w:pPr>
        <w:pStyle w:val="Reference"/>
      </w:pPr>
      <w:r w:rsidRPr="001B024E">
        <w:t>Daily Telegraph 2012, The Daily Telegraph 2012, ‘They’re selling off the farmer’, 04 January, www.dailytelegraph.com.au/news/theyre-selling-off-the-farmer/story-e6freuy9-1226236067507 (accessed 25 May 2012).</w:t>
      </w:r>
    </w:p>
    <w:p w:rsidR="00A77CB6" w:rsidRPr="001B024E" w:rsidRDefault="009D2EF1" w:rsidP="001B024E">
      <w:pPr>
        <w:pStyle w:val="Reference"/>
      </w:pPr>
      <w:r w:rsidRPr="001B024E">
        <w:t xml:space="preserve">Daley, J., </w:t>
      </w:r>
      <w:proofErr w:type="spellStart"/>
      <w:r w:rsidRPr="001B024E">
        <w:t>McGannon</w:t>
      </w:r>
      <w:proofErr w:type="spellEnd"/>
      <w:r w:rsidRPr="001B024E">
        <w:t xml:space="preserve">, C., and </w:t>
      </w:r>
      <w:proofErr w:type="spellStart"/>
      <w:r w:rsidRPr="001B024E">
        <w:t>Ginnivan</w:t>
      </w:r>
      <w:proofErr w:type="spellEnd"/>
      <w:r w:rsidRPr="001B024E">
        <w:t xml:space="preserve">, L. 2012, </w:t>
      </w:r>
      <w:r w:rsidRPr="00B122CA">
        <w:rPr>
          <w:i/>
        </w:rPr>
        <w:t xml:space="preserve">Game-changers: Economic reform priorities for Australia, </w:t>
      </w:r>
      <w:r w:rsidRPr="001B024E">
        <w:t>Grattan Institute, Melbourne.</w:t>
      </w:r>
    </w:p>
    <w:p w:rsidR="00076112" w:rsidRDefault="00076112" w:rsidP="00076112">
      <w:pPr>
        <w:pStyle w:val="Reference"/>
      </w:pPr>
      <w:r>
        <w:t xml:space="preserve">Dee, P., 2004, </w:t>
      </w:r>
      <w:r w:rsidRPr="00B122CA">
        <w:rPr>
          <w:i/>
        </w:rPr>
        <w:t>The Australia-US Free Trade Agreement — An Assessment</w:t>
      </w:r>
      <w:r>
        <w:t>, Australian National University, Canberra.</w:t>
      </w:r>
    </w:p>
    <w:p w:rsidR="00A77CB6" w:rsidRPr="001B024E" w:rsidRDefault="006C5F90" w:rsidP="001B024E">
      <w:pPr>
        <w:pStyle w:val="Reference"/>
      </w:pPr>
      <w:proofErr w:type="spellStart"/>
      <w:r w:rsidRPr="001B024E">
        <w:t>DFD</w:t>
      </w:r>
      <w:proofErr w:type="spellEnd"/>
      <w:r w:rsidRPr="001B024E">
        <w:t xml:space="preserve"> (</w:t>
      </w:r>
      <w:r w:rsidR="007A2DEB" w:rsidRPr="001B024E">
        <w:t>Department of Finance and Deregulation</w:t>
      </w:r>
      <w:r w:rsidRPr="001B024E">
        <w:t>)</w:t>
      </w:r>
      <w:r w:rsidR="007A2DEB" w:rsidRPr="001B024E">
        <w:t xml:space="preserve"> 2012</w:t>
      </w:r>
      <w:r w:rsidR="00CE3B4C" w:rsidRPr="001B024E">
        <w:t>,</w:t>
      </w:r>
      <w:r w:rsidR="009A3096" w:rsidRPr="001B024E">
        <w:t xml:space="preserve"> </w:t>
      </w:r>
      <w:r w:rsidR="009A3096" w:rsidRPr="00B122CA">
        <w:rPr>
          <w:i/>
        </w:rPr>
        <w:t xml:space="preserve">Investment Protocol to the Australia New Zealand Closer Economic Relations Trade Agreement Regulation Impact Statement </w:t>
      </w:r>
      <w:r w:rsidR="0064703A" w:rsidRPr="00B122CA">
        <w:rPr>
          <w:i/>
        </w:rPr>
        <w:t>—</w:t>
      </w:r>
      <w:r w:rsidR="009A3096" w:rsidRPr="00B122CA">
        <w:rPr>
          <w:i/>
        </w:rPr>
        <w:t xml:space="preserve"> Commonwealth Treasury</w:t>
      </w:r>
      <w:r w:rsidR="009A3096" w:rsidRPr="001B024E">
        <w:t>,</w:t>
      </w:r>
      <w:hyperlink r:id="rId18" w:history="1">
        <w:r w:rsidR="001B024E" w:rsidRPr="001B024E">
          <w:rPr>
            <w:rStyle w:val="Hyperlink"/>
            <w:color w:val="1C1C1C"/>
            <w:u w:val="none"/>
          </w:rPr>
          <w:t>www.ris.finance.gov.au/2011/02/23/investment-protocol-to-the-australia-new-zealand-closer-economic-relations-trade-agreement-regulation-</w:t>
        </w:r>
        <w:r w:rsidR="001B024E" w:rsidRPr="001B024E">
          <w:rPr>
            <w:rStyle w:val="Hyperlink"/>
            <w:color w:val="1C1C1C"/>
            <w:u w:val="none"/>
          </w:rPr>
          <w:lastRenderedPageBreak/>
          <w:t>impact-statement-%E2%80%93-commonwealth-treasury/</w:t>
        </w:r>
      </w:hyperlink>
      <w:r w:rsidR="007A2DEB" w:rsidRPr="001B024E">
        <w:t xml:space="preserve">, </w:t>
      </w:r>
      <w:r w:rsidR="009A3096" w:rsidRPr="001B024E">
        <w:t>(accessed 30 July 2012).</w:t>
      </w:r>
    </w:p>
    <w:p w:rsidR="00607742" w:rsidRPr="001B024E" w:rsidRDefault="00607742" w:rsidP="001B024E">
      <w:pPr>
        <w:pStyle w:val="Reference"/>
      </w:pPr>
      <w:proofErr w:type="spellStart"/>
      <w:r w:rsidRPr="001B024E">
        <w:t>DFAT</w:t>
      </w:r>
      <w:proofErr w:type="spellEnd"/>
      <w:r w:rsidRPr="001B024E">
        <w:t xml:space="preserve"> (Department of Foreign Affairs and Trade) 2012, </w:t>
      </w:r>
      <w:r w:rsidRPr="00B122CA">
        <w:rPr>
          <w:i/>
        </w:rPr>
        <w:t>Protocol on investment to the Australia New Zealand Closer Economic Relations Trade Agreement</w:t>
      </w:r>
      <w:r w:rsidRPr="001B024E">
        <w:t xml:space="preserve">, </w:t>
      </w:r>
      <w:hyperlink r:id="rId19" w:history="1">
        <w:r w:rsidR="001B024E" w:rsidRPr="001B024E">
          <w:t>www.dfat.gov.au/fta/anzcerta/downloads/Protocol-on-investment-to-the-ANZCERTA.pdf</w:t>
        </w:r>
      </w:hyperlink>
      <w:r w:rsidRPr="001B024E">
        <w:t>, (accessed 25 May 2012).</w:t>
      </w:r>
    </w:p>
    <w:p w:rsidR="0027177D" w:rsidRPr="001B024E" w:rsidRDefault="0027177D" w:rsidP="001B024E">
      <w:pPr>
        <w:pStyle w:val="Reference"/>
        <w:rPr>
          <w:rStyle w:val="DraftingNote"/>
          <w:b w:val="0"/>
          <w:color w:val="1C1C1C"/>
          <w:u w:val="none"/>
        </w:rPr>
      </w:pPr>
      <w:proofErr w:type="spellStart"/>
      <w:r w:rsidRPr="001B024E">
        <w:rPr>
          <w:rStyle w:val="DraftingNote"/>
          <w:b w:val="0"/>
          <w:color w:val="1C1C1C"/>
          <w:u w:val="none"/>
        </w:rPr>
        <w:t>Doove</w:t>
      </w:r>
      <w:proofErr w:type="spellEnd"/>
      <w:r w:rsidRPr="001B024E">
        <w:rPr>
          <w:rStyle w:val="DraftingNote"/>
          <w:b w:val="0"/>
          <w:color w:val="1C1C1C"/>
          <w:u w:val="none"/>
        </w:rPr>
        <w:t xml:space="preserve">, S., Gabbitas, O., Nguyen-Hong, D. and Owen, J. 2001, </w:t>
      </w:r>
      <w:r w:rsidRPr="00B122CA">
        <w:rPr>
          <w:rStyle w:val="DraftingNote"/>
          <w:b w:val="0"/>
          <w:i/>
          <w:color w:val="1C1C1C"/>
          <w:u w:val="none"/>
        </w:rPr>
        <w:t>Price Effects of Regulation: Telecommunications, Air Passenger Transport and Electricity Supply</w:t>
      </w:r>
      <w:r w:rsidRPr="001B024E">
        <w:rPr>
          <w:rStyle w:val="DraftingNote"/>
          <w:b w:val="0"/>
          <w:color w:val="1C1C1C"/>
          <w:u w:val="none"/>
        </w:rPr>
        <w:t>, Productivity Commission Staff Research Paper, Canberra.</w:t>
      </w:r>
    </w:p>
    <w:p w:rsidR="000B3E5B" w:rsidRPr="001B024E" w:rsidRDefault="00CA21EE" w:rsidP="001B024E">
      <w:pPr>
        <w:pStyle w:val="Reference"/>
        <w:rPr>
          <w:rStyle w:val="DraftingNote"/>
          <w:b w:val="0"/>
          <w:color w:val="1C1C1C"/>
          <w:u w:val="none"/>
        </w:rPr>
      </w:pPr>
      <w:r>
        <w:rPr>
          <w:rStyle w:val="DraftingNote"/>
          <w:b w:val="0"/>
          <w:color w:val="1C1C1C"/>
          <w:u w:val="none"/>
        </w:rPr>
        <w:t>English, B.</w:t>
      </w:r>
      <w:r w:rsidR="000B3E5B" w:rsidRPr="001B024E">
        <w:rPr>
          <w:rStyle w:val="DraftingNote"/>
          <w:b w:val="0"/>
          <w:color w:val="1C1C1C"/>
          <w:u w:val="none"/>
        </w:rPr>
        <w:t xml:space="preserve"> 2012, Minister for Finance and Minister for Infrastructure</w:t>
      </w:r>
      <w:r w:rsidR="009C4D51" w:rsidRPr="001B024E">
        <w:rPr>
          <w:rStyle w:val="DraftingNote"/>
          <w:b w:val="0"/>
          <w:color w:val="1C1C1C"/>
          <w:u w:val="none"/>
        </w:rPr>
        <w:t xml:space="preserve"> (New Zealand)</w:t>
      </w:r>
      <w:r w:rsidR="000B3E5B" w:rsidRPr="001B024E">
        <w:rPr>
          <w:rStyle w:val="DraftingNote"/>
          <w:b w:val="0"/>
          <w:color w:val="1C1C1C"/>
          <w:u w:val="none"/>
        </w:rPr>
        <w:t>, Ministerial Directive Letter, 8 December 2010, www.linz.govt.nz/sites/default/files/docs/overseas-investment/oio-publications-ministerial-directive-letter.pdf, (accessed 30 October 2012).</w:t>
      </w:r>
    </w:p>
    <w:p w:rsidR="0027177D" w:rsidRPr="001B024E" w:rsidRDefault="0027177D" w:rsidP="001B024E">
      <w:pPr>
        <w:pStyle w:val="Reference"/>
        <w:rPr>
          <w:rStyle w:val="DraftingNote"/>
          <w:b w:val="0"/>
          <w:color w:val="1C1C1C"/>
          <w:u w:val="none"/>
        </w:rPr>
      </w:pPr>
      <w:r w:rsidRPr="001B024E">
        <w:rPr>
          <w:rStyle w:val="DraftingNote"/>
          <w:b w:val="0"/>
          <w:color w:val="1C1C1C"/>
          <w:u w:val="none"/>
        </w:rPr>
        <w:t>Findlay, C. and Warren, T. (</w:t>
      </w:r>
      <w:proofErr w:type="spellStart"/>
      <w:r w:rsidRPr="001B024E">
        <w:rPr>
          <w:rStyle w:val="DraftingNote"/>
          <w:b w:val="0"/>
          <w:color w:val="1C1C1C"/>
          <w:u w:val="none"/>
        </w:rPr>
        <w:t>eds</w:t>
      </w:r>
      <w:proofErr w:type="spellEnd"/>
      <w:r w:rsidRPr="001B024E">
        <w:rPr>
          <w:rStyle w:val="DraftingNote"/>
          <w:b w:val="0"/>
          <w:color w:val="1C1C1C"/>
          <w:u w:val="none"/>
        </w:rPr>
        <w:t xml:space="preserve">) 2000, Impediments to Trade in Services: measurement and policy implications, </w:t>
      </w:r>
      <w:proofErr w:type="spellStart"/>
      <w:r w:rsidRPr="001B024E">
        <w:rPr>
          <w:rStyle w:val="DraftingNote"/>
          <w:b w:val="0"/>
          <w:color w:val="1C1C1C"/>
          <w:u w:val="none"/>
        </w:rPr>
        <w:t>Routledge</w:t>
      </w:r>
      <w:proofErr w:type="spellEnd"/>
      <w:r w:rsidRPr="001B024E">
        <w:rPr>
          <w:rStyle w:val="DraftingNote"/>
          <w:b w:val="0"/>
          <w:color w:val="1C1C1C"/>
          <w:u w:val="none"/>
        </w:rPr>
        <w:t xml:space="preserve"> studies in the Growth Economies of </w:t>
      </w:r>
      <w:r w:rsidR="002C42DA" w:rsidRPr="001B024E">
        <w:rPr>
          <w:rStyle w:val="DraftingNote"/>
          <w:b w:val="0"/>
          <w:color w:val="1C1C1C"/>
          <w:u w:val="none"/>
        </w:rPr>
        <w:t>Asia</w:t>
      </w:r>
      <w:r w:rsidRPr="001B024E">
        <w:rPr>
          <w:rStyle w:val="DraftingNote"/>
          <w:b w:val="0"/>
          <w:color w:val="1C1C1C"/>
          <w:u w:val="none"/>
        </w:rPr>
        <w:t xml:space="preserve">, </w:t>
      </w:r>
      <w:proofErr w:type="spellStart"/>
      <w:r w:rsidRPr="001B024E">
        <w:rPr>
          <w:rStyle w:val="DraftingNote"/>
          <w:b w:val="0"/>
          <w:color w:val="1C1C1C"/>
          <w:u w:val="none"/>
        </w:rPr>
        <w:t>Routledge</w:t>
      </w:r>
      <w:proofErr w:type="spellEnd"/>
      <w:r w:rsidRPr="001B024E">
        <w:rPr>
          <w:rStyle w:val="DraftingNote"/>
          <w:b w:val="0"/>
          <w:color w:val="1C1C1C"/>
          <w:u w:val="none"/>
        </w:rPr>
        <w:t>, New York.</w:t>
      </w:r>
    </w:p>
    <w:p w:rsidR="003C4E60" w:rsidRPr="001B024E" w:rsidRDefault="00BE5D38" w:rsidP="001B024E">
      <w:pPr>
        <w:pStyle w:val="Reference"/>
        <w:rPr>
          <w:rStyle w:val="DraftingNote"/>
          <w:b w:val="0"/>
          <w:color w:val="1C1C1C"/>
          <w:u w:val="none"/>
        </w:rPr>
      </w:pPr>
      <w:proofErr w:type="spellStart"/>
      <w:r w:rsidRPr="001B024E">
        <w:rPr>
          <w:rStyle w:val="DraftingNote"/>
          <w:b w:val="0"/>
          <w:color w:val="1C1C1C"/>
          <w:u w:val="none"/>
        </w:rPr>
        <w:t>FIRB</w:t>
      </w:r>
      <w:proofErr w:type="spellEnd"/>
      <w:r w:rsidRPr="001B024E">
        <w:rPr>
          <w:rStyle w:val="DraftingNote"/>
          <w:b w:val="0"/>
          <w:color w:val="1C1C1C"/>
          <w:u w:val="none"/>
        </w:rPr>
        <w:t xml:space="preserve"> (</w:t>
      </w:r>
      <w:r w:rsidR="003C4E60" w:rsidRPr="001B024E">
        <w:rPr>
          <w:rStyle w:val="DraftingNote"/>
          <w:b w:val="0"/>
          <w:color w:val="1C1C1C"/>
          <w:u w:val="none"/>
        </w:rPr>
        <w:t>Foreign Investment Review Board</w:t>
      </w:r>
      <w:r w:rsidRPr="001B024E">
        <w:rPr>
          <w:rStyle w:val="DraftingNote"/>
          <w:b w:val="0"/>
          <w:color w:val="1C1C1C"/>
          <w:u w:val="none"/>
        </w:rPr>
        <w:t>)</w:t>
      </w:r>
      <w:r w:rsidR="003C4E60" w:rsidRPr="001B024E">
        <w:rPr>
          <w:rStyle w:val="DraftingNote"/>
          <w:b w:val="0"/>
          <w:color w:val="1C1C1C"/>
          <w:u w:val="none"/>
        </w:rPr>
        <w:t xml:space="preserve"> 2011, 2010-2011 Annual Report, </w:t>
      </w:r>
      <w:hyperlink r:id="rId20" w:history="1">
        <w:r w:rsidR="001B024E" w:rsidRPr="001B024E">
          <w:t>www.firb.gov.au/content/Publications/AnnualReports/2010-2011/_downloads/</w:t>
        </w:r>
        <w:r w:rsidR="00136850">
          <w:br/>
        </w:r>
        <w:r w:rsidR="001B024E" w:rsidRPr="001B024E">
          <w:t>2010-</w:t>
        </w:r>
        <w:proofErr w:type="spellStart"/>
        <w:r w:rsidR="001B024E" w:rsidRPr="001B024E">
          <w:t>11_FIRB_AR.pdf</w:t>
        </w:r>
        <w:proofErr w:type="spellEnd"/>
      </w:hyperlink>
      <w:r w:rsidR="003C4E60" w:rsidRPr="001B024E">
        <w:rPr>
          <w:rStyle w:val="DraftingNote"/>
          <w:b w:val="0"/>
          <w:color w:val="1C1C1C"/>
          <w:u w:val="none"/>
        </w:rPr>
        <w:t xml:space="preserve"> (accessed 4 June 2012)</w:t>
      </w:r>
      <w:r w:rsidR="00B122CA">
        <w:rPr>
          <w:rStyle w:val="DraftingNote"/>
          <w:b w:val="0"/>
          <w:color w:val="1C1C1C"/>
          <w:u w:val="none"/>
        </w:rPr>
        <w:t>.</w:t>
      </w:r>
    </w:p>
    <w:p w:rsidR="00607742" w:rsidRPr="001B024E" w:rsidRDefault="003C4E60" w:rsidP="001B024E">
      <w:pPr>
        <w:pStyle w:val="Reference"/>
        <w:rPr>
          <w:rStyle w:val="DraftingNote"/>
          <w:b w:val="0"/>
          <w:color w:val="1C1C1C"/>
          <w:u w:val="none"/>
        </w:rPr>
      </w:pPr>
      <w:r w:rsidRPr="001B024E">
        <w:t>—— </w:t>
      </w:r>
      <w:r w:rsidR="00607742" w:rsidRPr="001B024E">
        <w:rPr>
          <w:rStyle w:val="DraftingNote"/>
          <w:b w:val="0"/>
          <w:color w:val="1C1C1C"/>
          <w:u w:val="none"/>
        </w:rPr>
        <w:t xml:space="preserve">2012, Australia’s Foreign Investment Policy, </w:t>
      </w:r>
      <w:proofErr w:type="spellStart"/>
      <w:r w:rsidR="00607742" w:rsidRPr="001B024E">
        <w:t>www.firb.gov.au</w:t>
      </w:r>
      <w:proofErr w:type="spellEnd"/>
      <w:r w:rsidR="00607742" w:rsidRPr="001B024E">
        <w:t>/content/_</w:t>
      </w:r>
      <w:r w:rsidR="004C4E0D" w:rsidRPr="001B024E">
        <w:br/>
      </w:r>
      <w:r w:rsidR="00607742" w:rsidRPr="001B024E">
        <w:t>downloads/</w:t>
      </w:r>
      <w:proofErr w:type="spellStart"/>
      <w:r w:rsidR="00607742" w:rsidRPr="001B024E">
        <w:t>AFIP_Jan2012.pdf</w:t>
      </w:r>
      <w:proofErr w:type="spellEnd"/>
      <w:r w:rsidR="00607742" w:rsidRPr="001B024E">
        <w:rPr>
          <w:rStyle w:val="DraftingNote"/>
          <w:b w:val="0"/>
          <w:color w:val="1C1C1C"/>
          <w:u w:val="none"/>
        </w:rPr>
        <w:t>, (accessed 25 May 2012).</w:t>
      </w:r>
    </w:p>
    <w:p w:rsidR="00C70598" w:rsidRPr="001B024E" w:rsidRDefault="00C70598" w:rsidP="001B024E">
      <w:pPr>
        <w:pStyle w:val="Reference"/>
      </w:pPr>
      <w:r w:rsidRPr="001B024E">
        <w:t xml:space="preserve">Hardin, A. and Holmes, L. 1997, </w:t>
      </w:r>
      <w:r w:rsidRPr="00B122CA">
        <w:rPr>
          <w:i/>
        </w:rPr>
        <w:t>Service Trade and Foreign Direct Investment</w:t>
      </w:r>
      <w:r w:rsidRPr="001B024E">
        <w:t>, Industry Commission Staff Research Paper, November.</w:t>
      </w:r>
    </w:p>
    <w:p w:rsidR="00127BFB" w:rsidRPr="001B024E" w:rsidRDefault="00607742" w:rsidP="001B024E">
      <w:pPr>
        <w:pStyle w:val="Reference"/>
      </w:pPr>
      <w:r w:rsidRPr="001B024E">
        <w:t xml:space="preserve">Heatley, D. and Howell, B., 2010, </w:t>
      </w:r>
      <w:r w:rsidRPr="008F17C5">
        <w:rPr>
          <w:i/>
        </w:rPr>
        <w:t>Overseas Investment: is New Zealand ‘Open for Business’?,</w:t>
      </w:r>
      <w:r w:rsidRPr="001B024E">
        <w:t xml:space="preserve"> Working Paper, New Zealand Institute for the Study of Competition and Regulation, </w:t>
      </w:r>
      <w:hyperlink r:id="rId21" w:history="1">
        <w:proofErr w:type="spellStart"/>
        <w:r w:rsidR="001B024E" w:rsidRPr="001B024E">
          <w:t>www.iscr.org.nz</w:t>
        </w:r>
        <w:proofErr w:type="spellEnd"/>
        <w:r w:rsidR="001B024E" w:rsidRPr="001B024E">
          <w:t>/</w:t>
        </w:r>
        <w:proofErr w:type="spellStart"/>
        <w:r w:rsidR="001B024E" w:rsidRPr="001B024E">
          <w:t>n578.html</w:t>
        </w:r>
        <w:proofErr w:type="spellEnd"/>
      </w:hyperlink>
      <w:r w:rsidRPr="001B024E">
        <w:t xml:space="preserve"> (accessed 23 May 2012).</w:t>
      </w:r>
    </w:p>
    <w:p w:rsidR="009363A0" w:rsidRPr="001B024E" w:rsidRDefault="009363A0" w:rsidP="001B024E">
      <w:pPr>
        <w:pStyle w:val="Reference"/>
      </w:pPr>
      <w:r w:rsidRPr="001B024E">
        <w:t xml:space="preserve">ITS Global 2008, </w:t>
      </w:r>
      <w:r w:rsidRPr="008F17C5">
        <w:rPr>
          <w:i/>
        </w:rPr>
        <w:t>Foreign Direct Investment in Australia – the increasing cost of regulation,</w:t>
      </w:r>
      <w:r w:rsidRPr="001B024E">
        <w:t xml:space="preserve"> Report by ITS Global, 9 September 2008, Melbourne.</w:t>
      </w:r>
    </w:p>
    <w:p w:rsidR="0027177D" w:rsidRPr="001B024E" w:rsidRDefault="0027177D" w:rsidP="001B024E">
      <w:pPr>
        <w:pStyle w:val="Reference"/>
      </w:pPr>
      <w:proofErr w:type="spellStart"/>
      <w:r w:rsidRPr="001B024E">
        <w:t>Kalirajan</w:t>
      </w:r>
      <w:proofErr w:type="spellEnd"/>
      <w:r w:rsidRPr="001B024E">
        <w:t xml:space="preserve">, K. 2000, </w:t>
      </w:r>
      <w:r w:rsidRPr="008F17C5">
        <w:rPr>
          <w:i/>
        </w:rPr>
        <w:t>Restrictions on Trade in Distribution Services</w:t>
      </w:r>
      <w:r w:rsidRPr="001B024E">
        <w:t>, Productivity Commission Staff Research Paper, Canberra.</w:t>
      </w:r>
    </w:p>
    <w:p w:rsidR="0027177D" w:rsidRPr="001B024E" w:rsidRDefault="0027177D" w:rsidP="001B024E">
      <w:pPr>
        <w:pStyle w:val="Reference"/>
      </w:pPr>
      <w:proofErr w:type="spellStart"/>
      <w:r w:rsidRPr="001B024E">
        <w:t>Mattoo</w:t>
      </w:r>
      <w:proofErr w:type="spellEnd"/>
      <w:r w:rsidRPr="001B024E">
        <w:t xml:space="preserve">, A., </w:t>
      </w:r>
      <w:proofErr w:type="spellStart"/>
      <w:r w:rsidRPr="001B024E">
        <w:t>Olarreaga</w:t>
      </w:r>
      <w:proofErr w:type="spellEnd"/>
      <w:r w:rsidRPr="001B024E">
        <w:t xml:space="preserve">, M. and </w:t>
      </w:r>
      <w:proofErr w:type="spellStart"/>
      <w:r w:rsidRPr="001B024E">
        <w:t>Saggi</w:t>
      </w:r>
      <w:proofErr w:type="spellEnd"/>
      <w:r w:rsidRPr="001B024E">
        <w:t xml:space="preserve">, K. 2001, </w:t>
      </w:r>
      <w:r w:rsidRPr="008F17C5">
        <w:rPr>
          <w:i/>
        </w:rPr>
        <w:t xml:space="preserve">Mode of Foreign Entry, Technology Transfer, and </w:t>
      </w:r>
      <w:proofErr w:type="spellStart"/>
      <w:r w:rsidRPr="008F17C5">
        <w:rPr>
          <w:i/>
        </w:rPr>
        <w:t>FDI</w:t>
      </w:r>
      <w:proofErr w:type="spellEnd"/>
      <w:r w:rsidRPr="008F17C5">
        <w:rPr>
          <w:i/>
        </w:rPr>
        <w:t xml:space="preserve"> Policy,</w:t>
      </w:r>
      <w:r w:rsidRPr="001B024E">
        <w:t xml:space="preserve"> </w:t>
      </w:r>
      <w:proofErr w:type="spellStart"/>
      <w:r w:rsidRPr="001B024E">
        <w:t>CEPR</w:t>
      </w:r>
      <w:proofErr w:type="spellEnd"/>
      <w:r w:rsidRPr="001B024E">
        <w:t xml:space="preserve"> Discussion Paper No. 2870, Centre for Economic Policy Research, London.</w:t>
      </w:r>
    </w:p>
    <w:p w:rsidR="00C42007" w:rsidRPr="001B024E" w:rsidRDefault="00C42007" w:rsidP="001B024E">
      <w:pPr>
        <w:pStyle w:val="Reference"/>
      </w:pPr>
      <w:proofErr w:type="spellStart"/>
      <w:r w:rsidRPr="001B024E">
        <w:t>MFAT</w:t>
      </w:r>
      <w:proofErr w:type="spellEnd"/>
      <w:r w:rsidRPr="001B024E">
        <w:t xml:space="preserve"> (Ministry of Foreign Affairs and Trade, New Zealand) 2011, </w:t>
      </w:r>
      <w:r w:rsidRPr="008F17C5">
        <w:rPr>
          <w:i/>
        </w:rPr>
        <w:t>Protocol on investment to the New Zealand–Australia Closer Economic Relations Trade Agreement, National Interest Analysis,</w:t>
      </w:r>
      <w:r w:rsidRPr="001B024E">
        <w:t xml:space="preserve"> www.mfat.govt.nz/mwg-</w:t>
      </w:r>
      <w:r w:rsidRPr="001B024E">
        <w:lastRenderedPageBreak/>
        <w:t>internal/de5fs23hu73ds/progress?id=NnEBxov3nV (accessed 29 October 2012).</w:t>
      </w:r>
    </w:p>
    <w:p w:rsidR="009D2EF1" w:rsidRPr="001B024E" w:rsidRDefault="00CB2DFA" w:rsidP="001B024E">
      <w:pPr>
        <w:pStyle w:val="Reference"/>
      </w:pPr>
      <w:proofErr w:type="spellStart"/>
      <w:r w:rsidRPr="001B024E">
        <w:t>Moir</w:t>
      </w:r>
      <w:proofErr w:type="spellEnd"/>
      <w:r w:rsidRPr="001B024E">
        <w:t xml:space="preserve">, B. 2011, </w:t>
      </w:r>
      <w:r w:rsidRPr="008F17C5">
        <w:rPr>
          <w:i/>
        </w:rPr>
        <w:t xml:space="preserve">Foreign Investment </w:t>
      </w:r>
      <w:r w:rsidR="00BD6CB9" w:rsidRPr="008F17C5">
        <w:rPr>
          <w:i/>
        </w:rPr>
        <w:t>a</w:t>
      </w:r>
      <w:r w:rsidRPr="008F17C5">
        <w:rPr>
          <w:i/>
        </w:rPr>
        <w:t xml:space="preserve">nd Australian </w:t>
      </w:r>
      <w:r w:rsidR="00A42515" w:rsidRPr="008F17C5">
        <w:rPr>
          <w:i/>
        </w:rPr>
        <w:t>A</w:t>
      </w:r>
      <w:r w:rsidRPr="008F17C5">
        <w:rPr>
          <w:i/>
        </w:rPr>
        <w:t>griculture, Rural Industries Research and Development Corporation</w:t>
      </w:r>
      <w:r w:rsidRPr="001B024E">
        <w:t xml:space="preserve">, </w:t>
      </w:r>
      <w:r w:rsidR="00495C72" w:rsidRPr="001B024E">
        <w:t xml:space="preserve">Department of Agriculture, Fisheries and Forestry, ABARES, </w:t>
      </w:r>
      <w:r w:rsidRPr="001B024E">
        <w:t>Canberra, November.</w:t>
      </w:r>
    </w:p>
    <w:p w:rsidR="00E651D8" w:rsidRPr="001B024E" w:rsidRDefault="00044023" w:rsidP="001B024E">
      <w:pPr>
        <w:pStyle w:val="Reference"/>
      </w:pPr>
      <w:r w:rsidRPr="001B024E">
        <w:t>N</w:t>
      </w:r>
      <w:r w:rsidR="007868ED" w:rsidRPr="001B024E">
        <w:t xml:space="preserve">ew </w:t>
      </w:r>
      <w:r w:rsidRPr="001B024E">
        <w:t>Z</w:t>
      </w:r>
      <w:r w:rsidR="007868ED" w:rsidRPr="001B024E">
        <w:t>ealand</w:t>
      </w:r>
      <w:r w:rsidRPr="001B024E">
        <w:t xml:space="preserve"> </w:t>
      </w:r>
      <w:r w:rsidR="00A77CB6" w:rsidRPr="001B024E">
        <w:t xml:space="preserve">Treasury </w:t>
      </w:r>
      <w:proofErr w:type="spellStart"/>
      <w:r w:rsidR="00E651D8" w:rsidRPr="001B024E">
        <w:t>2009a</w:t>
      </w:r>
      <w:proofErr w:type="spellEnd"/>
      <w:r w:rsidR="00E651D8" w:rsidRPr="001B024E">
        <w:t xml:space="preserve">, </w:t>
      </w:r>
      <w:r w:rsidR="00E651D8" w:rsidRPr="008F17C5">
        <w:rPr>
          <w:i/>
        </w:rPr>
        <w:t>International Connections and Productivity: Making Globalisation Work for New Zealand</w:t>
      </w:r>
      <w:r w:rsidR="00E651D8" w:rsidRPr="001B024E">
        <w:t>, New Zealand Treasury Productivity Paper 09/01 April 2009, Wellington.</w:t>
      </w:r>
    </w:p>
    <w:p w:rsidR="00E651D8" w:rsidRPr="001B024E" w:rsidRDefault="00E651D8" w:rsidP="001B024E">
      <w:pPr>
        <w:pStyle w:val="Reference"/>
      </w:pPr>
      <w:r w:rsidRPr="001B024E">
        <w:t>—— </w:t>
      </w:r>
      <w:proofErr w:type="spellStart"/>
      <w:r w:rsidRPr="001B024E">
        <w:t>2009b</w:t>
      </w:r>
      <w:proofErr w:type="spellEnd"/>
      <w:r w:rsidRPr="001B024E">
        <w:t xml:space="preserve">, </w:t>
      </w:r>
      <w:r w:rsidRPr="008F17C5">
        <w:rPr>
          <w:i/>
        </w:rPr>
        <w:t>Review of the overseas investment screening regime</w:t>
      </w:r>
      <w:r w:rsidRPr="001B024E">
        <w:t xml:space="preserve">, </w:t>
      </w:r>
      <w:r w:rsidR="00204729" w:rsidRPr="001B024E">
        <w:t>R</w:t>
      </w:r>
      <w:r w:rsidRPr="001B024E">
        <w:t xml:space="preserve">egulatory impact statement, </w:t>
      </w:r>
      <w:r w:rsidR="00204729" w:rsidRPr="001B024E">
        <w:t>December</w:t>
      </w:r>
      <w:r w:rsidRPr="001B024E">
        <w:t xml:space="preserve"> 2009</w:t>
      </w:r>
      <w:r w:rsidR="00A470B2" w:rsidRPr="001B024E">
        <w:t>, Wellington.</w:t>
      </w:r>
    </w:p>
    <w:p w:rsidR="00A470B2" w:rsidRPr="001B024E" w:rsidRDefault="00A470B2" w:rsidP="001B024E">
      <w:pPr>
        <w:pStyle w:val="Reference"/>
      </w:pPr>
      <w:r w:rsidRPr="001B024E">
        <w:t>—— </w:t>
      </w:r>
      <w:proofErr w:type="spellStart"/>
      <w:r w:rsidRPr="001B024E">
        <w:t>2009c</w:t>
      </w:r>
      <w:proofErr w:type="spellEnd"/>
      <w:r w:rsidRPr="001B024E">
        <w:t xml:space="preserve">, </w:t>
      </w:r>
      <w:r w:rsidRPr="008F17C5">
        <w:rPr>
          <w:i/>
        </w:rPr>
        <w:t>Improving the Overseas Investment Act,</w:t>
      </w:r>
      <w:r w:rsidRPr="001B024E">
        <w:t xml:space="preserve"> 16 February 2009, Wellington.</w:t>
      </w:r>
    </w:p>
    <w:p w:rsidR="00A77CB6" w:rsidRPr="001B024E" w:rsidRDefault="00E651D8" w:rsidP="001B024E">
      <w:pPr>
        <w:pStyle w:val="Reference"/>
      </w:pPr>
      <w:r w:rsidRPr="001B024E">
        <w:t>—— </w:t>
      </w:r>
      <w:r w:rsidR="00A77CB6" w:rsidRPr="001B024E">
        <w:t xml:space="preserve">2012, </w:t>
      </w:r>
      <w:r w:rsidR="00A77CB6" w:rsidRPr="008F17C5">
        <w:rPr>
          <w:i/>
        </w:rPr>
        <w:t>Foreign Investment Policy</w:t>
      </w:r>
      <w:r w:rsidR="00A77CB6" w:rsidRPr="001B024E">
        <w:t xml:space="preserve">, </w:t>
      </w:r>
      <w:hyperlink r:id="rId22" w:history="1">
        <w:proofErr w:type="spellStart"/>
        <w:r w:rsidR="00A77CB6" w:rsidRPr="001B024E">
          <w:t>www.treasury.govt.nz</w:t>
        </w:r>
        <w:proofErr w:type="spellEnd"/>
        <w:r w:rsidR="00A77CB6" w:rsidRPr="001B024E">
          <w:t>/economy/</w:t>
        </w:r>
        <w:r w:rsidR="004C4E0D" w:rsidRPr="001B024E">
          <w:br/>
        </w:r>
        <w:r w:rsidR="00A77CB6" w:rsidRPr="001B024E">
          <w:t>overview/2012/</w:t>
        </w:r>
        <w:proofErr w:type="spellStart"/>
        <w:r w:rsidR="00A77CB6" w:rsidRPr="001B024E">
          <w:t>23.htm</w:t>
        </w:r>
        <w:proofErr w:type="spellEnd"/>
      </w:hyperlink>
      <w:r w:rsidR="00A77CB6" w:rsidRPr="001B024E">
        <w:t>, (accessed 10 September 2012).</w:t>
      </w:r>
    </w:p>
    <w:p w:rsidR="0035619F" w:rsidRPr="001B024E" w:rsidRDefault="00E84A09" w:rsidP="001B024E">
      <w:pPr>
        <w:pStyle w:val="Reference"/>
      </w:pPr>
      <w:r w:rsidRPr="001B024E">
        <w:t>OECD</w:t>
      </w:r>
      <w:r w:rsidR="0035619F" w:rsidRPr="001B024E">
        <w:t xml:space="preserve"> 2003, </w:t>
      </w:r>
      <w:r w:rsidR="0035619F" w:rsidRPr="008F17C5">
        <w:rPr>
          <w:i/>
        </w:rPr>
        <w:t>The Influence of Policies on Trade and Foreign Direct Investment</w:t>
      </w:r>
      <w:r w:rsidR="0035619F" w:rsidRPr="001B024E">
        <w:t>, OECD Economic Studies No. 36, January 2003.</w:t>
      </w:r>
    </w:p>
    <w:p w:rsidR="0035619F" w:rsidRPr="001B024E" w:rsidRDefault="0035619F" w:rsidP="001B024E">
      <w:pPr>
        <w:pStyle w:val="Reference"/>
      </w:pPr>
      <w:r w:rsidRPr="001B024E">
        <w:t xml:space="preserve">—— 2005, </w:t>
      </w:r>
      <w:r w:rsidRPr="008F17C5">
        <w:rPr>
          <w:i/>
        </w:rPr>
        <w:t>The benefits of liberalising product markets and reducing barriers to trade and investment in the OECD</w:t>
      </w:r>
      <w:r w:rsidRPr="001B024E">
        <w:t>, Economics Department Working Paper 463, December 2005.</w:t>
      </w:r>
    </w:p>
    <w:p w:rsidR="00E651D8" w:rsidRPr="001B024E" w:rsidRDefault="00E651D8" w:rsidP="001B024E">
      <w:pPr>
        <w:pStyle w:val="Reference"/>
      </w:pPr>
      <w:r w:rsidRPr="001B024E">
        <w:t xml:space="preserve">—— 2006, </w:t>
      </w:r>
      <w:r w:rsidRPr="008F17C5">
        <w:rPr>
          <w:i/>
        </w:rPr>
        <w:t>Trade Committee, Analysis of the economic impact of investment provisions in regional trade agreements</w:t>
      </w:r>
      <w:r w:rsidRPr="001B024E">
        <w:t>, OECD Trade Policy Working Paper No. 36, July 2006.</w:t>
      </w:r>
    </w:p>
    <w:p w:rsidR="00E84A09" w:rsidRPr="001B024E" w:rsidRDefault="00E651D8" w:rsidP="001B024E">
      <w:pPr>
        <w:pStyle w:val="Reference"/>
      </w:pPr>
      <w:r w:rsidRPr="001B024E">
        <w:t>—— </w:t>
      </w:r>
      <w:r w:rsidR="00E84A09" w:rsidRPr="001B024E">
        <w:t>2008, OECD Benchmark Definition of Foreign Direct Investment</w:t>
      </w:r>
      <w:r w:rsidR="00A42515" w:rsidRPr="001B024E">
        <w:t>,</w:t>
      </w:r>
      <w:r w:rsidR="00E84A09" w:rsidRPr="001B024E">
        <w:t xml:space="preserve"> fourth edition</w:t>
      </w:r>
      <w:r w:rsidR="001B024E" w:rsidRPr="001B024E">
        <w:t xml:space="preserve">, </w:t>
      </w:r>
      <w:proofErr w:type="spellStart"/>
      <w:r w:rsidR="000A3873" w:rsidRPr="001B024E">
        <w:t>www.oecd.org</w:t>
      </w:r>
      <w:proofErr w:type="spellEnd"/>
      <w:r w:rsidR="000A3873" w:rsidRPr="001B024E">
        <w:t>/</w:t>
      </w:r>
      <w:proofErr w:type="spellStart"/>
      <w:r w:rsidR="000A3873" w:rsidRPr="001B024E">
        <w:t>dataoecd</w:t>
      </w:r>
      <w:proofErr w:type="spellEnd"/>
      <w:r w:rsidR="000A3873" w:rsidRPr="001B024E">
        <w:t>/26/50/</w:t>
      </w:r>
      <w:proofErr w:type="spellStart"/>
      <w:r w:rsidR="000A3873" w:rsidRPr="001B024E">
        <w:t>40193</w:t>
      </w:r>
      <w:r w:rsidR="00A77CB6" w:rsidRPr="001B024E">
        <w:t>734.pdf</w:t>
      </w:r>
      <w:proofErr w:type="spellEnd"/>
      <w:r w:rsidR="00A77CB6" w:rsidRPr="001B024E">
        <w:t xml:space="preserve"> (accessed 12 June 2012).</w:t>
      </w:r>
    </w:p>
    <w:p w:rsidR="00A77CB6" w:rsidRPr="001B024E" w:rsidRDefault="00A77CB6" w:rsidP="001B024E">
      <w:pPr>
        <w:pStyle w:val="Reference"/>
      </w:pPr>
      <w:r w:rsidRPr="001B024E">
        <w:t>—— </w:t>
      </w:r>
      <w:proofErr w:type="spellStart"/>
      <w:r w:rsidRPr="001B024E">
        <w:t>2012a</w:t>
      </w:r>
      <w:proofErr w:type="spellEnd"/>
      <w:r w:rsidRPr="001B024E">
        <w:t xml:space="preserve">, </w:t>
      </w:r>
      <w:proofErr w:type="spellStart"/>
      <w:r w:rsidRPr="001B024E">
        <w:t>FDI</w:t>
      </w:r>
      <w:proofErr w:type="spellEnd"/>
      <w:r w:rsidRPr="001B024E">
        <w:t xml:space="preserve"> Regulat</w:t>
      </w:r>
      <w:r w:rsidR="001B024E" w:rsidRPr="001B024E">
        <w:t xml:space="preserve">ory Restrictiveness Index, </w:t>
      </w:r>
      <w:proofErr w:type="spellStart"/>
      <w:r w:rsidRPr="001B024E">
        <w:t>www.oecd.org</w:t>
      </w:r>
      <w:proofErr w:type="spellEnd"/>
      <w:r w:rsidRPr="001B024E">
        <w:t>/document/45/</w:t>
      </w:r>
      <w:r w:rsidR="00136850">
        <w:br/>
      </w:r>
      <w:proofErr w:type="spellStart"/>
      <w:r w:rsidRPr="001B024E">
        <w:t>0,3746,en_2649_34529562_47216237_1_1_1_34529562,00.html</w:t>
      </w:r>
      <w:proofErr w:type="spellEnd"/>
      <w:r w:rsidRPr="001B024E">
        <w:t xml:space="preserve"> (accessed 29 May 2012).</w:t>
      </w:r>
    </w:p>
    <w:p w:rsidR="00A77CB6" w:rsidRPr="001B024E" w:rsidRDefault="00A77CB6" w:rsidP="001B024E">
      <w:pPr>
        <w:pStyle w:val="Reference"/>
      </w:pPr>
      <w:r w:rsidRPr="001B024E">
        <w:t>—— </w:t>
      </w:r>
      <w:proofErr w:type="spellStart"/>
      <w:r w:rsidRPr="001B024E">
        <w:t>2012b</w:t>
      </w:r>
      <w:proofErr w:type="spellEnd"/>
      <w:r w:rsidRPr="001B024E">
        <w:t xml:space="preserve">, </w:t>
      </w:r>
      <w:proofErr w:type="spellStart"/>
      <w:r w:rsidRPr="001B024E">
        <w:t>FDI</w:t>
      </w:r>
      <w:proofErr w:type="spellEnd"/>
      <w:r w:rsidRPr="001B024E">
        <w:t xml:space="preserve"> in Figures, July 2012, </w:t>
      </w:r>
      <w:hyperlink r:id="rId23" w:history="1">
        <w:proofErr w:type="spellStart"/>
        <w:r w:rsidRPr="001B024E">
          <w:rPr>
            <w:rStyle w:val="Hyperlink"/>
            <w:color w:val="1C1C1C"/>
            <w:u w:val="none"/>
          </w:rPr>
          <w:t>www.oecd.org</w:t>
        </w:r>
        <w:proofErr w:type="spellEnd"/>
        <w:r w:rsidRPr="001B024E">
          <w:rPr>
            <w:rStyle w:val="Hyperlink"/>
            <w:color w:val="1C1C1C"/>
            <w:u w:val="none"/>
          </w:rPr>
          <w:t>/</w:t>
        </w:r>
        <w:proofErr w:type="spellStart"/>
        <w:r w:rsidRPr="001B024E">
          <w:rPr>
            <w:rStyle w:val="Hyperlink"/>
            <w:color w:val="1C1C1C"/>
            <w:u w:val="none"/>
          </w:rPr>
          <w:t>dataoecd</w:t>
        </w:r>
        <w:proofErr w:type="spellEnd"/>
        <w:r w:rsidRPr="001B024E">
          <w:rPr>
            <w:rStyle w:val="Hyperlink"/>
            <w:color w:val="1C1C1C"/>
            <w:u w:val="none"/>
          </w:rPr>
          <w:t>/60/43/</w:t>
        </w:r>
        <w:proofErr w:type="spellStart"/>
        <w:r w:rsidRPr="001B024E">
          <w:rPr>
            <w:rStyle w:val="Hyperlink"/>
            <w:color w:val="1C1C1C"/>
            <w:u w:val="none"/>
          </w:rPr>
          <w:t>48462282.pdf</w:t>
        </w:r>
        <w:proofErr w:type="spellEnd"/>
      </w:hyperlink>
      <w:r w:rsidRPr="001B024E">
        <w:t>, (accessed 30 July 2012).</w:t>
      </w:r>
    </w:p>
    <w:p w:rsidR="003C4E60" w:rsidRPr="001B024E" w:rsidRDefault="003B7D1E" w:rsidP="001B024E">
      <w:pPr>
        <w:pStyle w:val="Reference"/>
      </w:pPr>
      <w:proofErr w:type="spellStart"/>
      <w:r w:rsidRPr="001B024E">
        <w:t>OIO</w:t>
      </w:r>
      <w:proofErr w:type="spellEnd"/>
      <w:r w:rsidRPr="001B024E">
        <w:t xml:space="preserve"> (Overseas Investment Office) 2011, December Decision Summary Archive, Wellington, </w:t>
      </w:r>
      <w:hyperlink r:id="rId24" w:history="1">
        <w:r w:rsidRPr="001B024E">
          <w:rPr>
            <w:rStyle w:val="Hyperlink"/>
            <w:color w:val="1C1C1C"/>
            <w:u w:val="none"/>
          </w:rPr>
          <w:t>www.linz.govt.nz/overseas-investment/decisions/decision-summaries/oio-decision-summaries-december-2011</w:t>
        </w:r>
      </w:hyperlink>
      <w:r w:rsidRPr="001B024E">
        <w:t xml:space="preserve"> (accessed 4 June 2012).</w:t>
      </w:r>
    </w:p>
    <w:p w:rsidR="00DF2D23" w:rsidRPr="001B024E" w:rsidRDefault="00DF2D23" w:rsidP="001B024E">
      <w:pPr>
        <w:pStyle w:val="Reference"/>
      </w:pPr>
      <w:r w:rsidRPr="001B024E">
        <w:t xml:space="preserve">PC (Productivity Commission) 2000, </w:t>
      </w:r>
      <w:r w:rsidRPr="008F17C5">
        <w:rPr>
          <w:i/>
        </w:rPr>
        <w:t>Broadcasting,</w:t>
      </w:r>
      <w:r w:rsidRPr="001B024E">
        <w:t xml:space="preserve"> Productivity Commission Inquiry Report, March 2000, Canberra.</w:t>
      </w:r>
    </w:p>
    <w:p w:rsidR="00187FCE" w:rsidRPr="001B024E" w:rsidRDefault="00DF2D23" w:rsidP="001B024E">
      <w:pPr>
        <w:pStyle w:val="Reference"/>
      </w:pPr>
      <w:r w:rsidRPr="001B024E">
        <w:t>—— </w:t>
      </w:r>
      <w:r w:rsidR="00187FCE" w:rsidRPr="001B024E">
        <w:t xml:space="preserve">2010, </w:t>
      </w:r>
      <w:r w:rsidR="00187FCE" w:rsidRPr="008F17C5">
        <w:rPr>
          <w:i/>
        </w:rPr>
        <w:t>Bilateral and Regional Trade Agreements</w:t>
      </w:r>
      <w:r w:rsidR="00187FCE" w:rsidRPr="001B024E">
        <w:t>, Productivity Commission Research Report, November 2010, Canberra.</w:t>
      </w:r>
    </w:p>
    <w:p w:rsidR="00076112" w:rsidRDefault="00076112" w:rsidP="00076112">
      <w:pPr>
        <w:pStyle w:val="Reference"/>
      </w:pPr>
      <w:proofErr w:type="spellStart"/>
      <w:r>
        <w:lastRenderedPageBreak/>
        <w:t>Quiggin</w:t>
      </w:r>
      <w:proofErr w:type="spellEnd"/>
      <w:r>
        <w:t xml:space="preserve">, J. 2004, ‘Downside of the </w:t>
      </w:r>
      <w:proofErr w:type="spellStart"/>
      <w:r>
        <w:t>FTA</w:t>
      </w:r>
      <w:proofErr w:type="spellEnd"/>
      <w:r>
        <w:t xml:space="preserve">’, </w:t>
      </w:r>
      <w:r w:rsidRPr="008F17C5">
        <w:rPr>
          <w:i/>
        </w:rPr>
        <w:t>Australian Financial Review</w:t>
      </w:r>
      <w:r>
        <w:t>, 6 May 2004, pp. 70.</w:t>
      </w:r>
    </w:p>
    <w:p w:rsidR="00607742" w:rsidRPr="001B024E" w:rsidRDefault="00044023" w:rsidP="001B024E">
      <w:pPr>
        <w:pStyle w:val="Reference"/>
      </w:pPr>
      <w:r w:rsidRPr="001B024E">
        <w:t>Statistics New Zealand</w:t>
      </w:r>
      <w:r w:rsidR="00607742" w:rsidRPr="001B024E">
        <w:t xml:space="preserve"> 2011, </w:t>
      </w:r>
      <w:r w:rsidR="00607742" w:rsidRPr="008F17C5">
        <w:rPr>
          <w:i/>
        </w:rPr>
        <w:t>Balance of payments and international investment position: year ended 31 March 2011,</w:t>
      </w:r>
      <w:r w:rsidR="00607742" w:rsidRPr="001B024E">
        <w:t xml:space="preserve"> Statistics New Zealand, Wellington www.stats.govt.nz/browse_for_stats/economic_indicators/balance_of_payments/info-releases.aspx (accessed 23 May 2012).</w:t>
      </w:r>
    </w:p>
    <w:p w:rsidR="00805197" w:rsidRPr="001B024E" w:rsidRDefault="006278FF" w:rsidP="001B024E">
      <w:pPr>
        <w:pStyle w:val="Reference"/>
        <w:rPr>
          <w:rStyle w:val="DraftingNote"/>
          <w:b w:val="0"/>
          <w:color w:val="1C1C1C"/>
          <w:u w:val="none"/>
        </w:rPr>
      </w:pPr>
      <w:r w:rsidRPr="001B024E">
        <w:t xml:space="preserve">Warren, T. 2000, The Impact on Output of Impediments to Trade and Investment in Telecommunication Services, Chapter 6 in </w:t>
      </w:r>
      <w:r w:rsidRPr="008F17C5">
        <w:rPr>
          <w:i/>
        </w:rPr>
        <w:t>‘Impediments to Trade In Services’,</w:t>
      </w:r>
      <w:r w:rsidRPr="001B024E">
        <w:t xml:space="preserve"> </w:t>
      </w:r>
      <w:proofErr w:type="spellStart"/>
      <w:r w:rsidRPr="001B024E">
        <w:t>Routledge</w:t>
      </w:r>
      <w:proofErr w:type="spellEnd"/>
      <w:r w:rsidRPr="001B024E">
        <w:t>, London.</w:t>
      </w:r>
    </w:p>
    <w:sectPr w:rsidR="00805197" w:rsidRPr="001B024E" w:rsidSect="00E94C31">
      <w:headerReference w:type="even" r:id="rId25"/>
      <w:headerReference w:type="default" r:id="rId26"/>
      <w:footerReference w:type="even" r:id="rId27"/>
      <w:footerReference w:type="default" r:id="rId28"/>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293" w:rsidRDefault="00750293">
      <w:r>
        <w:separator/>
      </w:r>
    </w:p>
  </w:endnote>
  <w:endnote w:type="continuationSeparator" w:id="0">
    <w:p w:rsidR="00750293" w:rsidRDefault="0075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510"/>
      <w:gridCol w:w="8278"/>
    </w:tblGrid>
    <w:tr w:rsidR="00750293" w:rsidRPr="00135D87" w:rsidTr="00E971AD">
      <w:trPr>
        <w:trHeight w:hRule="exact" w:val="740"/>
      </w:trPr>
      <w:tc>
        <w:tcPr>
          <w:tcW w:w="510" w:type="dxa"/>
        </w:tcPr>
        <w:p w:rsidR="00750293" w:rsidRPr="00135D87" w:rsidRDefault="00750293" w:rsidP="00147DE6">
          <w:pPr>
            <w:pStyle w:val="Footer"/>
            <w:tabs>
              <w:tab w:val="left" w:pos="0"/>
            </w:tabs>
            <w:ind w:right="0"/>
            <w:rPr>
              <w:rStyle w:val="PageNumbe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6E0228">
            <w:rPr>
              <w:rStyle w:val="PageNumber"/>
              <w:rFonts w:cs="Arial"/>
              <w:noProof/>
            </w:rPr>
            <w:t>2</w:t>
          </w:r>
          <w:r w:rsidRPr="00135D87">
            <w:rPr>
              <w:rStyle w:val="PageNumber"/>
              <w:rFonts w:cs="Arial"/>
            </w:rPr>
            <w:fldChar w:fldCharType="end"/>
          </w:r>
        </w:p>
      </w:tc>
      <w:tc>
        <w:tcPr>
          <w:tcW w:w="8278" w:type="dxa"/>
        </w:tcPr>
        <w:p w:rsidR="00750293" w:rsidRPr="00135D87" w:rsidRDefault="00750293" w:rsidP="00C42B2B">
          <w:pPr>
            <w:pStyle w:val="Footer"/>
            <w:rPr>
              <w:rFonts w:cs="Arial"/>
            </w:rPr>
          </w:pPr>
          <w:r>
            <w:rPr>
              <w:caps w:val="0"/>
              <w:color w:val="10253F"/>
            </w:rPr>
            <w:t>Strengthening trans-Tasman economic relations</w:t>
          </w:r>
        </w:p>
      </w:tc>
    </w:tr>
  </w:tbl>
  <w:p w:rsidR="00750293" w:rsidRDefault="00750293"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 w:space="0" w:color="333333"/>
      </w:tblBorders>
      <w:tblLayout w:type="fixed"/>
      <w:tblCellMar>
        <w:left w:w="0" w:type="dxa"/>
        <w:right w:w="0" w:type="dxa"/>
      </w:tblCellMar>
      <w:tblLook w:val="0000" w:firstRow="0" w:lastRow="0" w:firstColumn="0" w:lastColumn="0" w:noHBand="0" w:noVBand="0"/>
    </w:tblPr>
    <w:tblGrid>
      <w:gridCol w:w="8278"/>
      <w:gridCol w:w="510"/>
    </w:tblGrid>
    <w:tr w:rsidR="00750293" w:rsidRPr="00135D87" w:rsidTr="00E971AD">
      <w:trPr>
        <w:trHeight w:hRule="exact" w:val="740"/>
      </w:trPr>
      <w:tc>
        <w:tcPr>
          <w:tcW w:w="8278" w:type="dxa"/>
        </w:tcPr>
        <w:p w:rsidR="00750293" w:rsidRPr="00135D87" w:rsidRDefault="00750293" w:rsidP="004C4E0D">
          <w:pPr>
            <w:pStyle w:val="Footer"/>
            <w:jc w:val="right"/>
            <w:rPr>
              <w:rFonts w:cs="Arial"/>
            </w:rPr>
          </w:pPr>
          <w:r>
            <w:rPr>
              <w:rFonts w:cs="Arial"/>
              <w:caps w:val="0"/>
            </w:rPr>
            <w:t>Supplementary paper C — Foreign direct investment</w:t>
          </w:r>
        </w:p>
      </w:tc>
      <w:tc>
        <w:tcPr>
          <w:tcW w:w="510" w:type="dxa"/>
        </w:tcPr>
        <w:p w:rsidR="00750293" w:rsidRPr="00135D87" w:rsidRDefault="00750293" w:rsidP="00147DE6">
          <w:pPr>
            <w:pStyle w:val="Footer"/>
            <w:jc w:val="right"/>
            <w:rPr>
              <w:rFonts w:cs="Arial"/>
            </w:rPr>
          </w:pPr>
          <w:r w:rsidRPr="00135D87">
            <w:rPr>
              <w:rStyle w:val="PageNumber"/>
              <w:rFonts w:cs="Arial"/>
            </w:rPr>
            <w:fldChar w:fldCharType="begin"/>
          </w:r>
          <w:r w:rsidRPr="00135D87">
            <w:rPr>
              <w:rStyle w:val="PageNumber"/>
              <w:rFonts w:cs="Arial"/>
            </w:rPr>
            <w:instrText xml:space="preserve">PAGE  </w:instrText>
          </w:r>
          <w:r w:rsidRPr="00135D87">
            <w:rPr>
              <w:rStyle w:val="PageNumber"/>
              <w:rFonts w:cs="Arial"/>
            </w:rPr>
            <w:fldChar w:fldCharType="separate"/>
          </w:r>
          <w:r w:rsidR="006E0228">
            <w:rPr>
              <w:rStyle w:val="PageNumber"/>
              <w:rFonts w:cs="Arial"/>
              <w:noProof/>
            </w:rPr>
            <w:t>1</w:t>
          </w:r>
          <w:r w:rsidRPr="00135D87">
            <w:rPr>
              <w:rStyle w:val="PageNumber"/>
              <w:rFonts w:cs="Arial"/>
            </w:rPr>
            <w:fldChar w:fldCharType="end"/>
          </w:r>
        </w:p>
      </w:tc>
    </w:tr>
  </w:tbl>
  <w:p w:rsidR="00750293" w:rsidRPr="009A6431" w:rsidRDefault="00750293" w:rsidP="001B53C3">
    <w:pPr>
      <w:pStyle w:val="FooterEnd"/>
    </w:pPr>
  </w:p>
  <w:p w:rsidR="00750293" w:rsidRDefault="00750293">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293" w:rsidRDefault="00750293">
      <w:r>
        <w:separator/>
      </w:r>
    </w:p>
  </w:footnote>
  <w:footnote w:type="continuationSeparator" w:id="0">
    <w:p w:rsidR="00750293" w:rsidRDefault="00750293">
      <w:r>
        <w:continuationSeparator/>
      </w:r>
    </w:p>
  </w:footnote>
  <w:footnote w:id="1">
    <w:p w:rsidR="00750293" w:rsidRDefault="00750293">
      <w:pPr>
        <w:pStyle w:val="FootnoteText"/>
      </w:pPr>
      <w:r w:rsidRPr="00D423AB">
        <w:rPr>
          <w:rStyle w:val="FootnoteReference"/>
          <w:rFonts w:ascii="Arial" w:hAnsi="Arial" w:cs="Arial"/>
        </w:rPr>
        <w:footnoteRef/>
      </w:r>
      <w:r>
        <w:t xml:space="preserve"> </w:t>
      </w:r>
      <w:r>
        <w:tab/>
        <w:t xml:space="preserve">The Protocol does not contain an enforcement or dispute settlement mechanism. This is similar to the arrangements for investment rights granted under </w:t>
      </w:r>
      <w:proofErr w:type="spellStart"/>
      <w:r>
        <w:t>AUSFTA</w:t>
      </w:r>
      <w:proofErr w:type="spellEnd"/>
      <w:r>
        <w:t xml:space="preserve"> but differs from the approach New Zealand agreed to under the New Zealand-China </w:t>
      </w:r>
      <w:proofErr w:type="spellStart"/>
      <w:r>
        <w:t>FTA</w:t>
      </w:r>
      <w:proofErr w:type="spellEnd"/>
      <w:r>
        <w:t xml:space="preserve"> (which does contain an enforcement mechanism).</w:t>
      </w:r>
    </w:p>
  </w:footnote>
  <w:footnote w:id="2">
    <w:p w:rsidR="00750293" w:rsidRDefault="00750293">
      <w:pPr>
        <w:pStyle w:val="FootnoteText"/>
      </w:pPr>
      <w:r w:rsidRPr="00C42B2B">
        <w:rPr>
          <w:rStyle w:val="FootnoteReference"/>
          <w:rFonts w:ascii="Arial" w:hAnsi="Arial" w:cs="Arial"/>
        </w:rPr>
        <w:footnoteRef/>
      </w:r>
      <w:r>
        <w:tab/>
        <w:t>On paper, trans-</w:t>
      </w:r>
      <w:r w:rsidRPr="00E27DE2">
        <w:t xml:space="preserve">Tasman </w:t>
      </w:r>
      <w:r>
        <w:t xml:space="preserve">direct </w:t>
      </w:r>
      <w:r w:rsidRPr="00E27DE2">
        <w:t xml:space="preserve">investments face the same restrictions as </w:t>
      </w:r>
      <w:proofErr w:type="spellStart"/>
      <w:r w:rsidRPr="00E27DE2">
        <w:t>FDI</w:t>
      </w:r>
      <w:proofErr w:type="spellEnd"/>
      <w:r w:rsidRPr="00E27DE2">
        <w:t xml:space="preserve"> from other countries (including the same screening thr</w:t>
      </w:r>
      <w:r>
        <w:t xml:space="preserve">esholds and equity limits). </w:t>
      </w:r>
      <w:r w:rsidRPr="00E27DE2">
        <w:t xml:space="preserve">However, in practice, it is likely that the degree of restrictiveness on trans-Tasman flows is less than for flows from many other countries. For example, </w:t>
      </w:r>
      <w:r>
        <w:t>it is</w:t>
      </w:r>
      <w:r w:rsidRPr="00E27DE2">
        <w:t xml:space="preserve"> probable that trans-Tasman investments are less likely to be rejected on national security g</w:t>
      </w:r>
      <w:r>
        <w:t>rounds or due to concerns about non-</w:t>
      </w:r>
      <w:r w:rsidRPr="00E27DE2">
        <w:t xml:space="preserve">commercial investment by state owned enterprises. These issues are discussed further in section </w:t>
      </w:r>
      <w:proofErr w:type="spellStart"/>
      <w:r w:rsidRPr="00E27DE2">
        <w:t>C.4</w:t>
      </w:r>
      <w:proofErr w:type="spellEnd"/>
      <w:r w:rsidRPr="00E27DE2">
        <w:t>.</w:t>
      </w:r>
    </w:p>
  </w:footnote>
  <w:footnote w:id="3">
    <w:p w:rsidR="00750293" w:rsidRDefault="00750293" w:rsidP="00537BB8">
      <w:pPr>
        <w:pStyle w:val="FootnoteText"/>
      </w:pPr>
      <w:r w:rsidRPr="00D423AB">
        <w:rPr>
          <w:rStyle w:val="FootnoteReference"/>
          <w:rFonts w:ascii="Arial" w:hAnsi="Arial" w:cs="Arial"/>
        </w:rPr>
        <w:footnoteRef/>
      </w:r>
      <w:r>
        <w:t xml:space="preserve"> </w:t>
      </w:r>
      <w:r>
        <w:tab/>
      </w:r>
      <w:r w:rsidRPr="0024159B">
        <w:t>For Australia, the more restricted sectors of the economy were: air transport (0.475); telecommunications and real estate (both 0.4); maritime transport (0.25); banking (0.2) and insurance (0.175). For New Zealand, the m</w:t>
      </w:r>
      <w:r>
        <w:t>ore</w:t>
      </w:r>
      <w:r w:rsidRPr="0024159B">
        <w:t xml:space="preserve"> restricted sectors of the economy were: fishing (0.7); </w:t>
      </w:r>
      <w:r>
        <w:t>tele</w:t>
      </w:r>
      <w:r w:rsidRPr="0024159B">
        <w:t>communications and air transport (0.4); agriculture and forestry (0.3) and banking an</w:t>
      </w:r>
      <w:r>
        <w:t xml:space="preserve">d finance (0.25) (OECD </w:t>
      </w:r>
      <w:proofErr w:type="spellStart"/>
      <w:r>
        <w:t>2012a</w:t>
      </w:r>
      <w:proofErr w:type="spellEnd"/>
      <w:r>
        <w:t>).</w:t>
      </w:r>
    </w:p>
  </w:footnote>
  <w:footnote w:id="4">
    <w:p w:rsidR="00750293" w:rsidRDefault="00750293" w:rsidP="00AB78F6">
      <w:pPr>
        <w:pStyle w:val="FootnoteText"/>
      </w:pPr>
      <w:r w:rsidRPr="004C4E0D">
        <w:rPr>
          <w:rStyle w:val="FootnoteReference"/>
          <w:rFonts w:ascii="Arial" w:hAnsi="Arial" w:cs="Arial"/>
        </w:rPr>
        <w:footnoteRef/>
      </w:r>
      <w:r>
        <w:t xml:space="preserve"> </w:t>
      </w:r>
      <w:r>
        <w:tab/>
        <w:t xml:space="preserve">Based on the Australian </w:t>
      </w:r>
      <w:r w:rsidR="004968C4">
        <w:t>r</w:t>
      </w:r>
      <w:r>
        <w:t xml:space="preserve">egulation </w:t>
      </w:r>
      <w:r w:rsidR="004968C4">
        <w:t>i</w:t>
      </w:r>
      <w:r>
        <w:t xml:space="preserve">mpact </w:t>
      </w:r>
      <w:r w:rsidR="004968C4">
        <w:t>s</w:t>
      </w:r>
      <w:r>
        <w:t xml:space="preserve">tatement estimate that 90 of the 140 business applications made by Australian investors in New Zealand </w:t>
      </w:r>
      <w:r w:rsidRPr="000011CB">
        <w:t xml:space="preserve">between January 2006 and July 2010 </w:t>
      </w:r>
      <w:r>
        <w:t>would have been exempt from review under the Protocol’s higher thresholds (</w:t>
      </w:r>
      <w:proofErr w:type="spellStart"/>
      <w:r>
        <w:t>DFD</w:t>
      </w:r>
      <w:proofErr w:type="spellEnd"/>
      <w:r>
        <w:t xml:space="preserve"> 2012) and the </w:t>
      </w:r>
      <w:r w:rsidRPr="00A77D8B">
        <w:t>N</w:t>
      </w:r>
      <w:r>
        <w:t xml:space="preserve">ew </w:t>
      </w:r>
      <w:r w:rsidRPr="00A77D8B">
        <w:t>Z</w:t>
      </w:r>
      <w:r>
        <w:t>ealand T</w:t>
      </w:r>
      <w:r w:rsidRPr="00A77D8B">
        <w:t xml:space="preserve">reasury estimate of the costs of a business application </w:t>
      </w:r>
      <w:r>
        <w:t>in</w:t>
      </w:r>
      <w:r w:rsidRPr="00A77D8B">
        <w:t xml:space="preserve"> N</w:t>
      </w:r>
      <w:r>
        <w:t xml:space="preserve">ew </w:t>
      </w:r>
      <w:r w:rsidRPr="00A77D8B">
        <w:t>Z</w:t>
      </w:r>
      <w:r>
        <w:t xml:space="preserve">ealand of </w:t>
      </w:r>
      <w:r w:rsidRPr="00A77D8B">
        <w:t>$30</w:t>
      </w:r>
      <w:r>
        <w:t xml:space="preserve"> 000 (New Zealand Treasury </w:t>
      </w:r>
      <w:proofErr w:type="spellStart"/>
      <w:r>
        <w:t>2009b</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750293" w:rsidTr="00582C63">
      <w:tc>
        <w:tcPr>
          <w:tcW w:w="2155" w:type="dxa"/>
          <w:tcBorders>
            <w:top w:val="single" w:sz="24" w:space="0" w:color="86A20B"/>
          </w:tcBorders>
        </w:tcPr>
        <w:p w:rsidR="00750293" w:rsidRDefault="00750293" w:rsidP="007A1ADB">
          <w:pPr>
            <w:pStyle w:val="HeaderEven"/>
          </w:pPr>
        </w:p>
      </w:tc>
      <w:tc>
        <w:tcPr>
          <w:tcW w:w="6634" w:type="dxa"/>
          <w:tcBorders>
            <w:top w:val="dotted" w:sz="18" w:space="0" w:color="B2B2B2"/>
          </w:tcBorders>
        </w:tcPr>
        <w:p w:rsidR="00750293" w:rsidRDefault="00750293" w:rsidP="007A1ADB">
          <w:pPr>
            <w:pStyle w:val="HeaderEven"/>
          </w:pPr>
        </w:p>
      </w:tc>
    </w:tr>
  </w:tbl>
  <w:p w:rsidR="00750293" w:rsidRDefault="00750293"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750293" w:rsidTr="00582C63">
      <w:tc>
        <w:tcPr>
          <w:tcW w:w="6634" w:type="dxa"/>
          <w:tcBorders>
            <w:top w:val="dotted" w:sz="18" w:space="0" w:color="B2B2B2"/>
          </w:tcBorders>
        </w:tcPr>
        <w:p w:rsidR="00750293" w:rsidRDefault="00750293" w:rsidP="007A1ADB">
          <w:pPr>
            <w:pStyle w:val="HeaderOdd"/>
          </w:pPr>
        </w:p>
      </w:tc>
      <w:tc>
        <w:tcPr>
          <w:tcW w:w="2155" w:type="dxa"/>
          <w:tcBorders>
            <w:top w:val="single" w:sz="24" w:space="0" w:color="86A20B"/>
          </w:tcBorders>
        </w:tcPr>
        <w:p w:rsidR="00750293" w:rsidRDefault="00750293" w:rsidP="007A1ADB">
          <w:pPr>
            <w:pStyle w:val="HeaderOdd"/>
          </w:pPr>
        </w:p>
      </w:tc>
    </w:tr>
  </w:tbl>
  <w:p w:rsidR="00750293" w:rsidRDefault="00750293"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B5AF1CA"/>
    <w:lvl w:ilvl="0">
      <w:start w:val="1"/>
      <w:numFmt w:val="decimal"/>
      <w:lvlText w:val="%1."/>
      <w:lvlJc w:val="left"/>
      <w:pPr>
        <w:tabs>
          <w:tab w:val="num" w:pos="360"/>
        </w:tabs>
        <w:ind w:left="360" w:hanging="360"/>
      </w:pPr>
    </w:lvl>
  </w:abstractNum>
  <w:abstractNum w:abstractNumId="1">
    <w:nsid w:val="FFFFFFFE"/>
    <w:multiLevelType w:val="singleLevel"/>
    <w:tmpl w:val="FFFFFFFF"/>
    <w:lvl w:ilvl="0">
      <w:numFmt w:val="decimal"/>
      <w:lvlText w:val="*"/>
      <w:lvlJc w:val="left"/>
    </w:lvl>
  </w:abstractNum>
  <w:abstractNum w:abstractNumId="2">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nsid w:val="049E6044"/>
    <w:multiLevelType w:val="hybridMultilevel"/>
    <w:tmpl w:val="D4266C96"/>
    <w:lvl w:ilvl="0" w:tplc="2EA4C916">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nsid w:val="090E04F4"/>
    <w:multiLevelType w:val="hybridMultilevel"/>
    <w:tmpl w:val="E3E217B4"/>
    <w:lvl w:ilvl="0" w:tplc="F228AE4A">
      <w:start w:val="10"/>
      <w:numFmt w:val="bullet"/>
      <w:lvlText w:val="-"/>
      <w:lvlJc w:val="left"/>
      <w:pPr>
        <w:ind w:left="366" w:hanging="360"/>
      </w:pPr>
      <w:rPr>
        <w:rFonts w:ascii="Arial" w:eastAsia="Times New Roman" w:hAnsi="Arial" w:cs="Aria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7">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2">
    <w:nsid w:val="34FB3243"/>
    <w:multiLevelType w:val="hybridMultilevel"/>
    <w:tmpl w:val="FE188A92"/>
    <w:lvl w:ilvl="0" w:tplc="3DB4AC3C">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5">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6">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17">
    <w:nsid w:val="71F64093"/>
    <w:multiLevelType w:val="hybridMultilevel"/>
    <w:tmpl w:val="4FD643FC"/>
    <w:lvl w:ilvl="0" w:tplc="05780A1C">
      <w:start w:val="1"/>
      <w:numFmt w:val="bullet"/>
      <w:lvlText w:val="-"/>
      <w:lvlJc w:val="left"/>
      <w:pPr>
        <w:ind w:left="366" w:hanging="360"/>
      </w:pPr>
      <w:rPr>
        <w:rFonts w:ascii="Arial" w:eastAsia="Times New Roman" w:hAnsi="Arial" w:cs="Arial" w:hint="default"/>
      </w:rPr>
    </w:lvl>
    <w:lvl w:ilvl="1" w:tplc="0C090003" w:tentative="1">
      <w:start w:val="1"/>
      <w:numFmt w:val="bullet"/>
      <w:lvlText w:val="o"/>
      <w:lvlJc w:val="left"/>
      <w:pPr>
        <w:ind w:left="1086" w:hanging="360"/>
      </w:pPr>
      <w:rPr>
        <w:rFonts w:ascii="Courier New" w:hAnsi="Courier New" w:cs="Courier New" w:hint="default"/>
      </w:rPr>
    </w:lvl>
    <w:lvl w:ilvl="2" w:tplc="0C090005" w:tentative="1">
      <w:start w:val="1"/>
      <w:numFmt w:val="bullet"/>
      <w:lvlText w:val=""/>
      <w:lvlJc w:val="left"/>
      <w:pPr>
        <w:ind w:left="1806" w:hanging="360"/>
      </w:pPr>
      <w:rPr>
        <w:rFonts w:ascii="Wingdings" w:hAnsi="Wingdings" w:hint="default"/>
      </w:rPr>
    </w:lvl>
    <w:lvl w:ilvl="3" w:tplc="0C090001" w:tentative="1">
      <w:start w:val="1"/>
      <w:numFmt w:val="bullet"/>
      <w:lvlText w:val=""/>
      <w:lvlJc w:val="left"/>
      <w:pPr>
        <w:ind w:left="2526" w:hanging="360"/>
      </w:pPr>
      <w:rPr>
        <w:rFonts w:ascii="Symbol" w:hAnsi="Symbol" w:hint="default"/>
      </w:rPr>
    </w:lvl>
    <w:lvl w:ilvl="4" w:tplc="0C090003" w:tentative="1">
      <w:start w:val="1"/>
      <w:numFmt w:val="bullet"/>
      <w:lvlText w:val="o"/>
      <w:lvlJc w:val="left"/>
      <w:pPr>
        <w:ind w:left="3246" w:hanging="360"/>
      </w:pPr>
      <w:rPr>
        <w:rFonts w:ascii="Courier New" w:hAnsi="Courier New" w:cs="Courier New" w:hint="default"/>
      </w:rPr>
    </w:lvl>
    <w:lvl w:ilvl="5" w:tplc="0C090005" w:tentative="1">
      <w:start w:val="1"/>
      <w:numFmt w:val="bullet"/>
      <w:lvlText w:val=""/>
      <w:lvlJc w:val="left"/>
      <w:pPr>
        <w:ind w:left="3966" w:hanging="360"/>
      </w:pPr>
      <w:rPr>
        <w:rFonts w:ascii="Wingdings" w:hAnsi="Wingdings" w:hint="default"/>
      </w:rPr>
    </w:lvl>
    <w:lvl w:ilvl="6" w:tplc="0C090001" w:tentative="1">
      <w:start w:val="1"/>
      <w:numFmt w:val="bullet"/>
      <w:lvlText w:val=""/>
      <w:lvlJc w:val="left"/>
      <w:pPr>
        <w:ind w:left="4686" w:hanging="360"/>
      </w:pPr>
      <w:rPr>
        <w:rFonts w:ascii="Symbol" w:hAnsi="Symbol" w:hint="default"/>
      </w:rPr>
    </w:lvl>
    <w:lvl w:ilvl="7" w:tplc="0C090003" w:tentative="1">
      <w:start w:val="1"/>
      <w:numFmt w:val="bullet"/>
      <w:lvlText w:val="o"/>
      <w:lvlJc w:val="left"/>
      <w:pPr>
        <w:ind w:left="5406" w:hanging="360"/>
      </w:pPr>
      <w:rPr>
        <w:rFonts w:ascii="Courier New" w:hAnsi="Courier New" w:cs="Courier New" w:hint="default"/>
      </w:rPr>
    </w:lvl>
    <w:lvl w:ilvl="8" w:tplc="0C090005" w:tentative="1">
      <w:start w:val="1"/>
      <w:numFmt w:val="bullet"/>
      <w:lvlText w:val=""/>
      <w:lvlJc w:val="left"/>
      <w:pPr>
        <w:ind w:left="6126" w:hanging="360"/>
      </w:pPr>
      <w:rPr>
        <w:rFonts w:ascii="Wingdings" w:hAnsi="Wingdings" w:hint="default"/>
      </w:rPr>
    </w:lvl>
  </w:abstractNum>
  <w:abstractNum w:abstractNumId="18">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19">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1"/>
  </w:num>
  <w:num w:numId="2">
    <w:abstractNumId w:val="5"/>
  </w:num>
  <w:num w:numId="3">
    <w:abstractNumId w:val="18"/>
  </w:num>
  <w:num w:numId="4">
    <w:abstractNumId w:val="2"/>
  </w:num>
  <w:num w:numId="5">
    <w:abstractNumId w:val="13"/>
  </w:num>
  <w:num w:numId="6">
    <w:abstractNumId w:val="3"/>
  </w:num>
  <w:num w:numId="7">
    <w:abstractNumId w:val="16"/>
  </w:num>
  <w:num w:numId="8">
    <w:abstractNumId w:val="15"/>
  </w:num>
  <w:num w:numId="9">
    <w:abstractNumId w:val="19"/>
  </w:num>
  <w:num w:numId="10">
    <w:abstractNumId w:val="9"/>
  </w:num>
  <w:num w:numId="11">
    <w:abstractNumId w:val="14"/>
  </w:num>
  <w:num w:numId="12">
    <w:abstractNumId w:val="8"/>
  </w:num>
  <w:num w:numId="13">
    <w:abstractNumId w:val="7"/>
  </w:num>
  <w:num w:numId="14">
    <w:abstractNumId w:val="10"/>
  </w:num>
  <w:num w:numId="15">
    <w:abstractNumId w:val="4"/>
  </w:num>
  <w:num w:numId="16">
    <w:abstractNumId w:val="12"/>
  </w:num>
  <w:num w:numId="17">
    <w:abstractNumId w:val="17"/>
  </w:num>
  <w:num w:numId="18">
    <w:abstractNumId w:val="1"/>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19">
    <w:abstractNumId w:val="0"/>
  </w:num>
  <w:num w:numId="2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endixNumber" w:val="C"/>
    <w:docVar w:name="FindingOptions" w:val="1"/>
    <w:docVar w:name="RecOptions" w:val="111"/>
    <w:docVar w:name="ShortReportTitle" w:val="Strengthening Trans-Tasman Economic Relations"/>
  </w:docVars>
  <w:rsids>
    <w:rsidRoot w:val="000F6965"/>
    <w:rsid w:val="000011CB"/>
    <w:rsid w:val="00001925"/>
    <w:rsid w:val="000020EA"/>
    <w:rsid w:val="000022B9"/>
    <w:rsid w:val="00002D36"/>
    <w:rsid w:val="00003A8E"/>
    <w:rsid w:val="000060CE"/>
    <w:rsid w:val="000073AC"/>
    <w:rsid w:val="00013561"/>
    <w:rsid w:val="000168FC"/>
    <w:rsid w:val="000171B4"/>
    <w:rsid w:val="00022537"/>
    <w:rsid w:val="00023B28"/>
    <w:rsid w:val="000245AA"/>
    <w:rsid w:val="00026C15"/>
    <w:rsid w:val="00030A09"/>
    <w:rsid w:val="00030D1A"/>
    <w:rsid w:val="00031FDC"/>
    <w:rsid w:val="00032967"/>
    <w:rsid w:val="00034B95"/>
    <w:rsid w:val="00034CF3"/>
    <w:rsid w:val="00035A7B"/>
    <w:rsid w:val="0003664B"/>
    <w:rsid w:val="00036D93"/>
    <w:rsid w:val="00037BC3"/>
    <w:rsid w:val="00037DBD"/>
    <w:rsid w:val="0004111F"/>
    <w:rsid w:val="00041329"/>
    <w:rsid w:val="0004250D"/>
    <w:rsid w:val="00044023"/>
    <w:rsid w:val="00047400"/>
    <w:rsid w:val="0005152B"/>
    <w:rsid w:val="00053282"/>
    <w:rsid w:val="000565B3"/>
    <w:rsid w:val="00057075"/>
    <w:rsid w:val="00057C23"/>
    <w:rsid w:val="00062E32"/>
    <w:rsid w:val="0006354B"/>
    <w:rsid w:val="0006406E"/>
    <w:rsid w:val="00067FB0"/>
    <w:rsid w:val="00071299"/>
    <w:rsid w:val="0007150B"/>
    <w:rsid w:val="0007228E"/>
    <w:rsid w:val="00072FC0"/>
    <w:rsid w:val="0007380A"/>
    <w:rsid w:val="000755A5"/>
    <w:rsid w:val="00075AD0"/>
    <w:rsid w:val="00076112"/>
    <w:rsid w:val="000803F5"/>
    <w:rsid w:val="0008300D"/>
    <w:rsid w:val="000840B7"/>
    <w:rsid w:val="000850E5"/>
    <w:rsid w:val="0008551F"/>
    <w:rsid w:val="000859B0"/>
    <w:rsid w:val="00086999"/>
    <w:rsid w:val="000903F1"/>
    <w:rsid w:val="0009241A"/>
    <w:rsid w:val="000929D7"/>
    <w:rsid w:val="000938F5"/>
    <w:rsid w:val="00094430"/>
    <w:rsid w:val="0009567D"/>
    <w:rsid w:val="00097470"/>
    <w:rsid w:val="000A2F33"/>
    <w:rsid w:val="000A2F63"/>
    <w:rsid w:val="000A3873"/>
    <w:rsid w:val="000A512B"/>
    <w:rsid w:val="000A5AF5"/>
    <w:rsid w:val="000B1300"/>
    <w:rsid w:val="000B2BD9"/>
    <w:rsid w:val="000B3106"/>
    <w:rsid w:val="000B3E5B"/>
    <w:rsid w:val="000B4B78"/>
    <w:rsid w:val="000B565B"/>
    <w:rsid w:val="000B587E"/>
    <w:rsid w:val="000B601B"/>
    <w:rsid w:val="000C06A8"/>
    <w:rsid w:val="000C207E"/>
    <w:rsid w:val="000C2303"/>
    <w:rsid w:val="000C4338"/>
    <w:rsid w:val="000C64BE"/>
    <w:rsid w:val="000C6F9A"/>
    <w:rsid w:val="000C725C"/>
    <w:rsid w:val="000C774D"/>
    <w:rsid w:val="000D0887"/>
    <w:rsid w:val="000D0A69"/>
    <w:rsid w:val="000D224A"/>
    <w:rsid w:val="000D2EA4"/>
    <w:rsid w:val="000D3116"/>
    <w:rsid w:val="000D336B"/>
    <w:rsid w:val="000D4BF7"/>
    <w:rsid w:val="000E1502"/>
    <w:rsid w:val="000E15EB"/>
    <w:rsid w:val="000E1786"/>
    <w:rsid w:val="000E2B2C"/>
    <w:rsid w:val="000E452A"/>
    <w:rsid w:val="000E4CF1"/>
    <w:rsid w:val="000E4F45"/>
    <w:rsid w:val="000E60AB"/>
    <w:rsid w:val="000E6247"/>
    <w:rsid w:val="000F15E7"/>
    <w:rsid w:val="000F1BA1"/>
    <w:rsid w:val="000F280C"/>
    <w:rsid w:val="000F2D35"/>
    <w:rsid w:val="000F6965"/>
    <w:rsid w:val="000F73D0"/>
    <w:rsid w:val="00100ABC"/>
    <w:rsid w:val="001022E8"/>
    <w:rsid w:val="00102F45"/>
    <w:rsid w:val="00103DAB"/>
    <w:rsid w:val="00104F30"/>
    <w:rsid w:val="00110116"/>
    <w:rsid w:val="0011039D"/>
    <w:rsid w:val="0011127A"/>
    <w:rsid w:val="00115004"/>
    <w:rsid w:val="00115495"/>
    <w:rsid w:val="00117396"/>
    <w:rsid w:val="00117C1D"/>
    <w:rsid w:val="0012206A"/>
    <w:rsid w:val="00122530"/>
    <w:rsid w:val="001226E9"/>
    <w:rsid w:val="00124DCB"/>
    <w:rsid w:val="00125476"/>
    <w:rsid w:val="00125BBC"/>
    <w:rsid w:val="00126919"/>
    <w:rsid w:val="00126DE3"/>
    <w:rsid w:val="00126EB8"/>
    <w:rsid w:val="001274D4"/>
    <w:rsid w:val="00127BFB"/>
    <w:rsid w:val="00131AC7"/>
    <w:rsid w:val="00132768"/>
    <w:rsid w:val="00134FA8"/>
    <w:rsid w:val="0013571A"/>
    <w:rsid w:val="00136058"/>
    <w:rsid w:val="001363AA"/>
    <w:rsid w:val="00136850"/>
    <w:rsid w:val="001402C2"/>
    <w:rsid w:val="00141919"/>
    <w:rsid w:val="00143AD2"/>
    <w:rsid w:val="0014519F"/>
    <w:rsid w:val="00145402"/>
    <w:rsid w:val="00145598"/>
    <w:rsid w:val="00145A34"/>
    <w:rsid w:val="001461B0"/>
    <w:rsid w:val="00147DE6"/>
    <w:rsid w:val="0015055E"/>
    <w:rsid w:val="00151AD6"/>
    <w:rsid w:val="001525DA"/>
    <w:rsid w:val="00152E58"/>
    <w:rsid w:val="00155041"/>
    <w:rsid w:val="00155287"/>
    <w:rsid w:val="001563F8"/>
    <w:rsid w:val="00162A0D"/>
    <w:rsid w:val="00164B34"/>
    <w:rsid w:val="00167576"/>
    <w:rsid w:val="0017093E"/>
    <w:rsid w:val="00174CBF"/>
    <w:rsid w:val="001778D5"/>
    <w:rsid w:val="001802AC"/>
    <w:rsid w:val="00180C2A"/>
    <w:rsid w:val="00181D74"/>
    <w:rsid w:val="00181DC8"/>
    <w:rsid w:val="001827D3"/>
    <w:rsid w:val="00182DF1"/>
    <w:rsid w:val="00183E82"/>
    <w:rsid w:val="00186739"/>
    <w:rsid w:val="00187FCE"/>
    <w:rsid w:val="00191885"/>
    <w:rsid w:val="00191AE0"/>
    <w:rsid w:val="001921A2"/>
    <w:rsid w:val="00192303"/>
    <w:rsid w:val="0019293B"/>
    <w:rsid w:val="001930B0"/>
    <w:rsid w:val="001940E4"/>
    <w:rsid w:val="00195150"/>
    <w:rsid w:val="00195ABA"/>
    <w:rsid w:val="001A1BFD"/>
    <w:rsid w:val="001A1E01"/>
    <w:rsid w:val="001A21EE"/>
    <w:rsid w:val="001A3E02"/>
    <w:rsid w:val="001A3E24"/>
    <w:rsid w:val="001A3EFC"/>
    <w:rsid w:val="001A65AC"/>
    <w:rsid w:val="001B024E"/>
    <w:rsid w:val="001B0A6C"/>
    <w:rsid w:val="001B0E69"/>
    <w:rsid w:val="001B0FC2"/>
    <w:rsid w:val="001B193D"/>
    <w:rsid w:val="001B22CA"/>
    <w:rsid w:val="001B2416"/>
    <w:rsid w:val="001B4D3D"/>
    <w:rsid w:val="001B53C3"/>
    <w:rsid w:val="001B55A0"/>
    <w:rsid w:val="001B6E49"/>
    <w:rsid w:val="001C0865"/>
    <w:rsid w:val="001C0963"/>
    <w:rsid w:val="001C39F8"/>
    <w:rsid w:val="001C3A87"/>
    <w:rsid w:val="001C3ABA"/>
    <w:rsid w:val="001C3AF3"/>
    <w:rsid w:val="001C5CCF"/>
    <w:rsid w:val="001C7989"/>
    <w:rsid w:val="001D126B"/>
    <w:rsid w:val="001D1341"/>
    <w:rsid w:val="001D234C"/>
    <w:rsid w:val="001D2CAD"/>
    <w:rsid w:val="001D438B"/>
    <w:rsid w:val="001D6AC0"/>
    <w:rsid w:val="001D6B20"/>
    <w:rsid w:val="001D79A0"/>
    <w:rsid w:val="001E020D"/>
    <w:rsid w:val="001E0EF3"/>
    <w:rsid w:val="001E1BA7"/>
    <w:rsid w:val="001E233F"/>
    <w:rsid w:val="001E23A1"/>
    <w:rsid w:val="001E2BE2"/>
    <w:rsid w:val="001E52EA"/>
    <w:rsid w:val="001E7BE8"/>
    <w:rsid w:val="001F0028"/>
    <w:rsid w:val="001F0248"/>
    <w:rsid w:val="001F126D"/>
    <w:rsid w:val="001F197C"/>
    <w:rsid w:val="001F3EB3"/>
    <w:rsid w:val="001F61B3"/>
    <w:rsid w:val="00202C2C"/>
    <w:rsid w:val="002045DA"/>
    <w:rsid w:val="00204729"/>
    <w:rsid w:val="00204735"/>
    <w:rsid w:val="002078A2"/>
    <w:rsid w:val="002134FF"/>
    <w:rsid w:val="002154B1"/>
    <w:rsid w:val="00215F78"/>
    <w:rsid w:val="0021686E"/>
    <w:rsid w:val="0021719F"/>
    <w:rsid w:val="00220A47"/>
    <w:rsid w:val="00220AFF"/>
    <w:rsid w:val="00221382"/>
    <w:rsid w:val="002214A5"/>
    <w:rsid w:val="00223BFB"/>
    <w:rsid w:val="00226DBB"/>
    <w:rsid w:val="0022790E"/>
    <w:rsid w:val="002303B8"/>
    <w:rsid w:val="002309AF"/>
    <w:rsid w:val="00231709"/>
    <w:rsid w:val="002331CF"/>
    <w:rsid w:val="00235F48"/>
    <w:rsid w:val="00235F54"/>
    <w:rsid w:val="00236822"/>
    <w:rsid w:val="002408A7"/>
    <w:rsid w:val="00240FC8"/>
    <w:rsid w:val="0024159B"/>
    <w:rsid w:val="00242279"/>
    <w:rsid w:val="002427F5"/>
    <w:rsid w:val="00242DA4"/>
    <w:rsid w:val="00245C82"/>
    <w:rsid w:val="00245EEF"/>
    <w:rsid w:val="00245F90"/>
    <w:rsid w:val="00250322"/>
    <w:rsid w:val="002640A2"/>
    <w:rsid w:val="0026545D"/>
    <w:rsid w:val="0026665D"/>
    <w:rsid w:val="0027177D"/>
    <w:rsid w:val="00271F51"/>
    <w:rsid w:val="002734ED"/>
    <w:rsid w:val="00273553"/>
    <w:rsid w:val="00274E0A"/>
    <w:rsid w:val="0027530A"/>
    <w:rsid w:val="002756AF"/>
    <w:rsid w:val="00277CEC"/>
    <w:rsid w:val="00280CDF"/>
    <w:rsid w:val="00283C22"/>
    <w:rsid w:val="002840B8"/>
    <w:rsid w:val="0028678F"/>
    <w:rsid w:val="00286998"/>
    <w:rsid w:val="00287888"/>
    <w:rsid w:val="00290205"/>
    <w:rsid w:val="0029167A"/>
    <w:rsid w:val="002917D9"/>
    <w:rsid w:val="00291B40"/>
    <w:rsid w:val="00291CB8"/>
    <w:rsid w:val="00292FC4"/>
    <w:rsid w:val="00293C71"/>
    <w:rsid w:val="00294C14"/>
    <w:rsid w:val="00297B56"/>
    <w:rsid w:val="002A13C0"/>
    <w:rsid w:val="002A3663"/>
    <w:rsid w:val="002A6A24"/>
    <w:rsid w:val="002A7F8B"/>
    <w:rsid w:val="002B3FB3"/>
    <w:rsid w:val="002B4008"/>
    <w:rsid w:val="002B4EDB"/>
    <w:rsid w:val="002B6178"/>
    <w:rsid w:val="002B6B6D"/>
    <w:rsid w:val="002B6D7C"/>
    <w:rsid w:val="002C1737"/>
    <w:rsid w:val="002C3ADB"/>
    <w:rsid w:val="002C42DA"/>
    <w:rsid w:val="002D0E8E"/>
    <w:rsid w:val="002D1359"/>
    <w:rsid w:val="002D49A5"/>
    <w:rsid w:val="002D7A09"/>
    <w:rsid w:val="002D7D7B"/>
    <w:rsid w:val="002E3264"/>
    <w:rsid w:val="002E33F4"/>
    <w:rsid w:val="002E583F"/>
    <w:rsid w:val="002E737C"/>
    <w:rsid w:val="002F07CF"/>
    <w:rsid w:val="002F3996"/>
    <w:rsid w:val="002F43EF"/>
    <w:rsid w:val="002F5093"/>
    <w:rsid w:val="002F5731"/>
    <w:rsid w:val="00300754"/>
    <w:rsid w:val="00300F00"/>
    <w:rsid w:val="00301189"/>
    <w:rsid w:val="003013A1"/>
    <w:rsid w:val="00302421"/>
    <w:rsid w:val="00302F2A"/>
    <w:rsid w:val="00304BA0"/>
    <w:rsid w:val="003051B5"/>
    <w:rsid w:val="003069CD"/>
    <w:rsid w:val="00306A65"/>
    <w:rsid w:val="00311610"/>
    <w:rsid w:val="0031217B"/>
    <w:rsid w:val="003121EA"/>
    <w:rsid w:val="00312819"/>
    <w:rsid w:val="00314941"/>
    <w:rsid w:val="00316561"/>
    <w:rsid w:val="00320474"/>
    <w:rsid w:val="00321E59"/>
    <w:rsid w:val="00323C43"/>
    <w:rsid w:val="00323E09"/>
    <w:rsid w:val="0032419C"/>
    <w:rsid w:val="00324A0A"/>
    <w:rsid w:val="003251CB"/>
    <w:rsid w:val="00326231"/>
    <w:rsid w:val="0032783E"/>
    <w:rsid w:val="00327B1C"/>
    <w:rsid w:val="00332D69"/>
    <w:rsid w:val="00333932"/>
    <w:rsid w:val="00334EDE"/>
    <w:rsid w:val="00336D23"/>
    <w:rsid w:val="00341101"/>
    <w:rsid w:val="00343530"/>
    <w:rsid w:val="00344377"/>
    <w:rsid w:val="003443CD"/>
    <w:rsid w:val="00344A51"/>
    <w:rsid w:val="00345EE3"/>
    <w:rsid w:val="0034738F"/>
    <w:rsid w:val="00350372"/>
    <w:rsid w:val="0035126A"/>
    <w:rsid w:val="003518AA"/>
    <w:rsid w:val="00352165"/>
    <w:rsid w:val="00352223"/>
    <w:rsid w:val="00352445"/>
    <w:rsid w:val="00352F8E"/>
    <w:rsid w:val="00352FE1"/>
    <w:rsid w:val="00353182"/>
    <w:rsid w:val="00354F39"/>
    <w:rsid w:val="0035619F"/>
    <w:rsid w:val="003565D9"/>
    <w:rsid w:val="00357BBC"/>
    <w:rsid w:val="003602E1"/>
    <w:rsid w:val="003624CC"/>
    <w:rsid w:val="00370031"/>
    <w:rsid w:val="0037026F"/>
    <w:rsid w:val="003704E5"/>
    <w:rsid w:val="00370DE7"/>
    <w:rsid w:val="00371240"/>
    <w:rsid w:val="003728D7"/>
    <w:rsid w:val="003744DA"/>
    <w:rsid w:val="00374731"/>
    <w:rsid w:val="00376038"/>
    <w:rsid w:val="003763A7"/>
    <w:rsid w:val="00376FA7"/>
    <w:rsid w:val="003775AB"/>
    <w:rsid w:val="00381844"/>
    <w:rsid w:val="003832CA"/>
    <w:rsid w:val="00383DB3"/>
    <w:rsid w:val="003841C1"/>
    <w:rsid w:val="00384276"/>
    <w:rsid w:val="003860AB"/>
    <w:rsid w:val="00390AA4"/>
    <w:rsid w:val="00390DF0"/>
    <w:rsid w:val="003919F9"/>
    <w:rsid w:val="003924CE"/>
    <w:rsid w:val="003A040C"/>
    <w:rsid w:val="003A0B47"/>
    <w:rsid w:val="003A2580"/>
    <w:rsid w:val="003A4ACA"/>
    <w:rsid w:val="003A503A"/>
    <w:rsid w:val="003A5474"/>
    <w:rsid w:val="003A7280"/>
    <w:rsid w:val="003A7FF2"/>
    <w:rsid w:val="003B39E1"/>
    <w:rsid w:val="003B41D6"/>
    <w:rsid w:val="003B45BE"/>
    <w:rsid w:val="003B7D1E"/>
    <w:rsid w:val="003C0233"/>
    <w:rsid w:val="003C095B"/>
    <w:rsid w:val="003C0F06"/>
    <w:rsid w:val="003C2B9A"/>
    <w:rsid w:val="003C2FEC"/>
    <w:rsid w:val="003C38B5"/>
    <w:rsid w:val="003C4002"/>
    <w:rsid w:val="003C41B6"/>
    <w:rsid w:val="003C4CEA"/>
    <w:rsid w:val="003C4E60"/>
    <w:rsid w:val="003C5D99"/>
    <w:rsid w:val="003C5DC1"/>
    <w:rsid w:val="003C7A21"/>
    <w:rsid w:val="003D48A3"/>
    <w:rsid w:val="003D518E"/>
    <w:rsid w:val="003D695D"/>
    <w:rsid w:val="003D70DD"/>
    <w:rsid w:val="003E03AC"/>
    <w:rsid w:val="003E102E"/>
    <w:rsid w:val="003E2EB0"/>
    <w:rsid w:val="003E2F59"/>
    <w:rsid w:val="003E3A68"/>
    <w:rsid w:val="003E46F1"/>
    <w:rsid w:val="003E72D4"/>
    <w:rsid w:val="003F0789"/>
    <w:rsid w:val="003F0C6A"/>
    <w:rsid w:val="003F146A"/>
    <w:rsid w:val="003F1AF8"/>
    <w:rsid w:val="003F35EF"/>
    <w:rsid w:val="003F47C5"/>
    <w:rsid w:val="003F5D29"/>
    <w:rsid w:val="003F646A"/>
    <w:rsid w:val="003F6D6F"/>
    <w:rsid w:val="00400839"/>
    <w:rsid w:val="00400929"/>
    <w:rsid w:val="00400FE4"/>
    <w:rsid w:val="004013C2"/>
    <w:rsid w:val="00401713"/>
    <w:rsid w:val="00401882"/>
    <w:rsid w:val="004032D5"/>
    <w:rsid w:val="004034CD"/>
    <w:rsid w:val="0040387C"/>
    <w:rsid w:val="004100C8"/>
    <w:rsid w:val="004107B1"/>
    <w:rsid w:val="00411DBD"/>
    <w:rsid w:val="00412ACE"/>
    <w:rsid w:val="00414F2D"/>
    <w:rsid w:val="00415A1F"/>
    <w:rsid w:val="00420F3E"/>
    <w:rsid w:val="004219EB"/>
    <w:rsid w:val="004248D7"/>
    <w:rsid w:val="0042697C"/>
    <w:rsid w:val="004269A2"/>
    <w:rsid w:val="00430272"/>
    <w:rsid w:val="00431249"/>
    <w:rsid w:val="00431410"/>
    <w:rsid w:val="00431A50"/>
    <w:rsid w:val="00434C19"/>
    <w:rsid w:val="00435E7D"/>
    <w:rsid w:val="00435FE3"/>
    <w:rsid w:val="0043673D"/>
    <w:rsid w:val="004400E3"/>
    <w:rsid w:val="004417FD"/>
    <w:rsid w:val="00443733"/>
    <w:rsid w:val="00444394"/>
    <w:rsid w:val="00446F69"/>
    <w:rsid w:val="00450810"/>
    <w:rsid w:val="00450F11"/>
    <w:rsid w:val="00453170"/>
    <w:rsid w:val="004532BB"/>
    <w:rsid w:val="004535EC"/>
    <w:rsid w:val="00455C5C"/>
    <w:rsid w:val="004568B8"/>
    <w:rsid w:val="00464738"/>
    <w:rsid w:val="0046533F"/>
    <w:rsid w:val="004656EF"/>
    <w:rsid w:val="004676A7"/>
    <w:rsid w:val="00467B9D"/>
    <w:rsid w:val="00470D4A"/>
    <w:rsid w:val="004710C8"/>
    <w:rsid w:val="004711C3"/>
    <w:rsid w:val="0047375A"/>
    <w:rsid w:val="00475404"/>
    <w:rsid w:val="0047544C"/>
    <w:rsid w:val="0047579C"/>
    <w:rsid w:val="00477144"/>
    <w:rsid w:val="004816F6"/>
    <w:rsid w:val="0048298A"/>
    <w:rsid w:val="00483493"/>
    <w:rsid w:val="00483661"/>
    <w:rsid w:val="0048506B"/>
    <w:rsid w:val="00485CA8"/>
    <w:rsid w:val="0048739C"/>
    <w:rsid w:val="00490BC4"/>
    <w:rsid w:val="00491CE1"/>
    <w:rsid w:val="0049459F"/>
    <w:rsid w:val="004955E5"/>
    <w:rsid w:val="00495C72"/>
    <w:rsid w:val="004968C4"/>
    <w:rsid w:val="0049697E"/>
    <w:rsid w:val="004969C3"/>
    <w:rsid w:val="004971B9"/>
    <w:rsid w:val="004A24BE"/>
    <w:rsid w:val="004A38DD"/>
    <w:rsid w:val="004A773D"/>
    <w:rsid w:val="004B0EA8"/>
    <w:rsid w:val="004B1B1E"/>
    <w:rsid w:val="004B43AE"/>
    <w:rsid w:val="004B4E26"/>
    <w:rsid w:val="004B514B"/>
    <w:rsid w:val="004B52EF"/>
    <w:rsid w:val="004B7293"/>
    <w:rsid w:val="004B73F3"/>
    <w:rsid w:val="004C074B"/>
    <w:rsid w:val="004C24A3"/>
    <w:rsid w:val="004C30ED"/>
    <w:rsid w:val="004C3CF6"/>
    <w:rsid w:val="004C4E0D"/>
    <w:rsid w:val="004C60A8"/>
    <w:rsid w:val="004C7A27"/>
    <w:rsid w:val="004D5675"/>
    <w:rsid w:val="004D5F4E"/>
    <w:rsid w:val="004D68E5"/>
    <w:rsid w:val="004E1E88"/>
    <w:rsid w:val="004E1EFE"/>
    <w:rsid w:val="004E24E2"/>
    <w:rsid w:val="004E3825"/>
    <w:rsid w:val="004E5223"/>
    <w:rsid w:val="004F22D2"/>
    <w:rsid w:val="004F2424"/>
    <w:rsid w:val="004F2BAE"/>
    <w:rsid w:val="004F491A"/>
    <w:rsid w:val="004F6F87"/>
    <w:rsid w:val="005040C1"/>
    <w:rsid w:val="00504C86"/>
    <w:rsid w:val="00507226"/>
    <w:rsid w:val="00510188"/>
    <w:rsid w:val="0051143E"/>
    <w:rsid w:val="00511591"/>
    <w:rsid w:val="0051337E"/>
    <w:rsid w:val="005144A6"/>
    <w:rsid w:val="005173E7"/>
    <w:rsid w:val="0052022E"/>
    <w:rsid w:val="00521E27"/>
    <w:rsid w:val="00522053"/>
    <w:rsid w:val="00523639"/>
    <w:rsid w:val="005268CF"/>
    <w:rsid w:val="0052719E"/>
    <w:rsid w:val="00527525"/>
    <w:rsid w:val="00527FD3"/>
    <w:rsid w:val="00530D0A"/>
    <w:rsid w:val="00534F5A"/>
    <w:rsid w:val="00536120"/>
    <w:rsid w:val="00537461"/>
    <w:rsid w:val="00537BB8"/>
    <w:rsid w:val="005410CA"/>
    <w:rsid w:val="00541615"/>
    <w:rsid w:val="00542C86"/>
    <w:rsid w:val="005431D8"/>
    <w:rsid w:val="00543994"/>
    <w:rsid w:val="00544AA9"/>
    <w:rsid w:val="00545663"/>
    <w:rsid w:val="0054668E"/>
    <w:rsid w:val="00552FCA"/>
    <w:rsid w:val="005530CD"/>
    <w:rsid w:val="00553170"/>
    <w:rsid w:val="0055333C"/>
    <w:rsid w:val="00553647"/>
    <w:rsid w:val="00554BF0"/>
    <w:rsid w:val="00554DE7"/>
    <w:rsid w:val="00554E7D"/>
    <w:rsid w:val="005553A5"/>
    <w:rsid w:val="00557CF9"/>
    <w:rsid w:val="00560CB0"/>
    <w:rsid w:val="00560F7D"/>
    <w:rsid w:val="00563D50"/>
    <w:rsid w:val="00564B0E"/>
    <w:rsid w:val="00564CBD"/>
    <w:rsid w:val="0056569A"/>
    <w:rsid w:val="00570155"/>
    <w:rsid w:val="005701EB"/>
    <w:rsid w:val="005702F1"/>
    <w:rsid w:val="00576079"/>
    <w:rsid w:val="00581965"/>
    <w:rsid w:val="00581BCF"/>
    <w:rsid w:val="00582C63"/>
    <w:rsid w:val="00583C39"/>
    <w:rsid w:val="00584803"/>
    <w:rsid w:val="00585D77"/>
    <w:rsid w:val="00585F6C"/>
    <w:rsid w:val="0058634D"/>
    <w:rsid w:val="00590703"/>
    <w:rsid w:val="005909CF"/>
    <w:rsid w:val="00590E82"/>
    <w:rsid w:val="005919E6"/>
    <w:rsid w:val="00591E71"/>
    <w:rsid w:val="00593794"/>
    <w:rsid w:val="005943BC"/>
    <w:rsid w:val="005968C9"/>
    <w:rsid w:val="005A0CE6"/>
    <w:rsid w:val="005A0D41"/>
    <w:rsid w:val="005A3095"/>
    <w:rsid w:val="005A46ED"/>
    <w:rsid w:val="005A5851"/>
    <w:rsid w:val="005A6B16"/>
    <w:rsid w:val="005A6FBB"/>
    <w:rsid w:val="005B0C14"/>
    <w:rsid w:val="005B3D92"/>
    <w:rsid w:val="005B4133"/>
    <w:rsid w:val="005B55D9"/>
    <w:rsid w:val="005B5753"/>
    <w:rsid w:val="005B6B51"/>
    <w:rsid w:val="005B7A20"/>
    <w:rsid w:val="005C01CC"/>
    <w:rsid w:val="005C2464"/>
    <w:rsid w:val="005C25D1"/>
    <w:rsid w:val="005C2C21"/>
    <w:rsid w:val="005C4EC5"/>
    <w:rsid w:val="005C5C46"/>
    <w:rsid w:val="005C6CFC"/>
    <w:rsid w:val="005C782E"/>
    <w:rsid w:val="005C7B97"/>
    <w:rsid w:val="005D0351"/>
    <w:rsid w:val="005D233A"/>
    <w:rsid w:val="005D31FE"/>
    <w:rsid w:val="005D3307"/>
    <w:rsid w:val="005D3C71"/>
    <w:rsid w:val="005D44B0"/>
    <w:rsid w:val="005D4602"/>
    <w:rsid w:val="005D4D29"/>
    <w:rsid w:val="005D5623"/>
    <w:rsid w:val="005D666D"/>
    <w:rsid w:val="005E0FBF"/>
    <w:rsid w:val="005E3DD6"/>
    <w:rsid w:val="005E3F96"/>
    <w:rsid w:val="005E55EE"/>
    <w:rsid w:val="005F4954"/>
    <w:rsid w:val="005F7204"/>
    <w:rsid w:val="005F7B66"/>
    <w:rsid w:val="006021B6"/>
    <w:rsid w:val="00603D08"/>
    <w:rsid w:val="00603FD7"/>
    <w:rsid w:val="00604733"/>
    <w:rsid w:val="0060668F"/>
    <w:rsid w:val="00607742"/>
    <w:rsid w:val="00607BF1"/>
    <w:rsid w:val="00613D64"/>
    <w:rsid w:val="00614D8A"/>
    <w:rsid w:val="00617012"/>
    <w:rsid w:val="006178FC"/>
    <w:rsid w:val="00622141"/>
    <w:rsid w:val="00622C80"/>
    <w:rsid w:val="0062587F"/>
    <w:rsid w:val="006278FF"/>
    <w:rsid w:val="00630354"/>
    <w:rsid w:val="006303C5"/>
    <w:rsid w:val="00630A1A"/>
    <w:rsid w:val="00630D4D"/>
    <w:rsid w:val="00632A74"/>
    <w:rsid w:val="00634511"/>
    <w:rsid w:val="00634928"/>
    <w:rsid w:val="00635440"/>
    <w:rsid w:val="00637684"/>
    <w:rsid w:val="00637E31"/>
    <w:rsid w:val="0064029F"/>
    <w:rsid w:val="00640E16"/>
    <w:rsid w:val="0064139B"/>
    <w:rsid w:val="006418AE"/>
    <w:rsid w:val="0064222F"/>
    <w:rsid w:val="0064262B"/>
    <w:rsid w:val="006426D6"/>
    <w:rsid w:val="00642899"/>
    <w:rsid w:val="00642C74"/>
    <w:rsid w:val="0064314F"/>
    <w:rsid w:val="006445A0"/>
    <w:rsid w:val="006462AD"/>
    <w:rsid w:val="00646530"/>
    <w:rsid w:val="00646E54"/>
    <w:rsid w:val="0064703A"/>
    <w:rsid w:val="00650899"/>
    <w:rsid w:val="00655C3D"/>
    <w:rsid w:val="0066111F"/>
    <w:rsid w:val="0066135A"/>
    <w:rsid w:val="00661AC5"/>
    <w:rsid w:val="00661CCC"/>
    <w:rsid w:val="00662D0D"/>
    <w:rsid w:val="00664D95"/>
    <w:rsid w:val="00666400"/>
    <w:rsid w:val="0067013F"/>
    <w:rsid w:val="00671BF6"/>
    <w:rsid w:val="0067348C"/>
    <w:rsid w:val="00675A27"/>
    <w:rsid w:val="006761AF"/>
    <w:rsid w:val="00676985"/>
    <w:rsid w:val="006800C6"/>
    <w:rsid w:val="006813DF"/>
    <w:rsid w:val="00681F18"/>
    <w:rsid w:val="0068320D"/>
    <w:rsid w:val="006848B1"/>
    <w:rsid w:val="00685376"/>
    <w:rsid w:val="00685941"/>
    <w:rsid w:val="00690C3C"/>
    <w:rsid w:val="00693A7F"/>
    <w:rsid w:val="0069454E"/>
    <w:rsid w:val="00697534"/>
    <w:rsid w:val="006A119A"/>
    <w:rsid w:val="006A12B4"/>
    <w:rsid w:val="006A330F"/>
    <w:rsid w:val="006A3596"/>
    <w:rsid w:val="006A42B0"/>
    <w:rsid w:val="006A4655"/>
    <w:rsid w:val="006A6A91"/>
    <w:rsid w:val="006A741B"/>
    <w:rsid w:val="006B0C76"/>
    <w:rsid w:val="006B1882"/>
    <w:rsid w:val="006B208F"/>
    <w:rsid w:val="006B2B3C"/>
    <w:rsid w:val="006B50B4"/>
    <w:rsid w:val="006B7908"/>
    <w:rsid w:val="006C1D81"/>
    <w:rsid w:val="006C2636"/>
    <w:rsid w:val="006C58F1"/>
    <w:rsid w:val="006C5F90"/>
    <w:rsid w:val="006C6643"/>
    <w:rsid w:val="006C7038"/>
    <w:rsid w:val="006D3DCB"/>
    <w:rsid w:val="006D3E89"/>
    <w:rsid w:val="006D445E"/>
    <w:rsid w:val="006D5DE8"/>
    <w:rsid w:val="006D635A"/>
    <w:rsid w:val="006D6519"/>
    <w:rsid w:val="006D7B22"/>
    <w:rsid w:val="006E0228"/>
    <w:rsid w:val="006E23A1"/>
    <w:rsid w:val="006E292B"/>
    <w:rsid w:val="006E45A7"/>
    <w:rsid w:val="006E4F55"/>
    <w:rsid w:val="006E6076"/>
    <w:rsid w:val="006E62DD"/>
    <w:rsid w:val="006E6F5E"/>
    <w:rsid w:val="006E73EF"/>
    <w:rsid w:val="006E7808"/>
    <w:rsid w:val="006E7C5F"/>
    <w:rsid w:val="006F06B4"/>
    <w:rsid w:val="006F3380"/>
    <w:rsid w:val="006F4CE9"/>
    <w:rsid w:val="006F6C15"/>
    <w:rsid w:val="006F7D27"/>
    <w:rsid w:val="00700039"/>
    <w:rsid w:val="007005C4"/>
    <w:rsid w:val="007009E2"/>
    <w:rsid w:val="0070119D"/>
    <w:rsid w:val="007052FA"/>
    <w:rsid w:val="007068C5"/>
    <w:rsid w:val="00710F14"/>
    <w:rsid w:val="007142A1"/>
    <w:rsid w:val="00714829"/>
    <w:rsid w:val="0071494C"/>
    <w:rsid w:val="00714D4D"/>
    <w:rsid w:val="00722D2C"/>
    <w:rsid w:val="007253FE"/>
    <w:rsid w:val="007256A0"/>
    <w:rsid w:val="00726302"/>
    <w:rsid w:val="00726C9B"/>
    <w:rsid w:val="00730B47"/>
    <w:rsid w:val="00731469"/>
    <w:rsid w:val="00731BF1"/>
    <w:rsid w:val="00733729"/>
    <w:rsid w:val="00733D58"/>
    <w:rsid w:val="00733EB8"/>
    <w:rsid w:val="00734A21"/>
    <w:rsid w:val="0073640F"/>
    <w:rsid w:val="00736CFE"/>
    <w:rsid w:val="00740FC5"/>
    <w:rsid w:val="007415AE"/>
    <w:rsid w:val="0074160F"/>
    <w:rsid w:val="00741E1F"/>
    <w:rsid w:val="00742404"/>
    <w:rsid w:val="007438A1"/>
    <w:rsid w:val="0074464C"/>
    <w:rsid w:val="00744D5E"/>
    <w:rsid w:val="00746C7F"/>
    <w:rsid w:val="00747F6B"/>
    <w:rsid w:val="00750182"/>
    <w:rsid w:val="00750293"/>
    <w:rsid w:val="00753330"/>
    <w:rsid w:val="0075358E"/>
    <w:rsid w:val="00754AAC"/>
    <w:rsid w:val="007573B9"/>
    <w:rsid w:val="0076020C"/>
    <w:rsid w:val="007604BB"/>
    <w:rsid w:val="0076069C"/>
    <w:rsid w:val="00763871"/>
    <w:rsid w:val="00763B46"/>
    <w:rsid w:val="00764ED9"/>
    <w:rsid w:val="00767B94"/>
    <w:rsid w:val="00771A89"/>
    <w:rsid w:val="007725EB"/>
    <w:rsid w:val="007742BD"/>
    <w:rsid w:val="00774EB2"/>
    <w:rsid w:val="0078011A"/>
    <w:rsid w:val="00781C91"/>
    <w:rsid w:val="0078286B"/>
    <w:rsid w:val="00785232"/>
    <w:rsid w:val="00785A0A"/>
    <w:rsid w:val="007868ED"/>
    <w:rsid w:val="00787912"/>
    <w:rsid w:val="00787A4E"/>
    <w:rsid w:val="007900D3"/>
    <w:rsid w:val="0079013F"/>
    <w:rsid w:val="00790DD7"/>
    <w:rsid w:val="00791F00"/>
    <w:rsid w:val="00792F63"/>
    <w:rsid w:val="00793102"/>
    <w:rsid w:val="00794FE6"/>
    <w:rsid w:val="00797028"/>
    <w:rsid w:val="00797995"/>
    <w:rsid w:val="007A024F"/>
    <w:rsid w:val="007A1ADB"/>
    <w:rsid w:val="007A21EB"/>
    <w:rsid w:val="007A2DEB"/>
    <w:rsid w:val="007A3B4F"/>
    <w:rsid w:val="007A4673"/>
    <w:rsid w:val="007A5A0A"/>
    <w:rsid w:val="007A7C4D"/>
    <w:rsid w:val="007B2CAA"/>
    <w:rsid w:val="007B4031"/>
    <w:rsid w:val="007C36C9"/>
    <w:rsid w:val="007C3FC4"/>
    <w:rsid w:val="007C787D"/>
    <w:rsid w:val="007C7A8F"/>
    <w:rsid w:val="007C7B87"/>
    <w:rsid w:val="007D1BD4"/>
    <w:rsid w:val="007D270B"/>
    <w:rsid w:val="007D3628"/>
    <w:rsid w:val="007D6401"/>
    <w:rsid w:val="007D79EF"/>
    <w:rsid w:val="007D7C3A"/>
    <w:rsid w:val="007E01E4"/>
    <w:rsid w:val="007E1E14"/>
    <w:rsid w:val="007E3E62"/>
    <w:rsid w:val="007E4F1D"/>
    <w:rsid w:val="007E5A66"/>
    <w:rsid w:val="007F0B1C"/>
    <w:rsid w:val="007F151C"/>
    <w:rsid w:val="007F2474"/>
    <w:rsid w:val="007F503C"/>
    <w:rsid w:val="007F5D84"/>
    <w:rsid w:val="007F62AE"/>
    <w:rsid w:val="007F7107"/>
    <w:rsid w:val="00801DB7"/>
    <w:rsid w:val="0080267B"/>
    <w:rsid w:val="00805197"/>
    <w:rsid w:val="00805DB4"/>
    <w:rsid w:val="00805E16"/>
    <w:rsid w:val="00805F00"/>
    <w:rsid w:val="00807BA7"/>
    <w:rsid w:val="0081030F"/>
    <w:rsid w:val="0081202F"/>
    <w:rsid w:val="008164AE"/>
    <w:rsid w:val="00816E0B"/>
    <w:rsid w:val="0082087D"/>
    <w:rsid w:val="008211C6"/>
    <w:rsid w:val="00822222"/>
    <w:rsid w:val="0082401E"/>
    <w:rsid w:val="00824443"/>
    <w:rsid w:val="0082598B"/>
    <w:rsid w:val="00826484"/>
    <w:rsid w:val="00834FE5"/>
    <w:rsid w:val="00840C55"/>
    <w:rsid w:val="008418C1"/>
    <w:rsid w:val="00841996"/>
    <w:rsid w:val="00842933"/>
    <w:rsid w:val="00843192"/>
    <w:rsid w:val="00846179"/>
    <w:rsid w:val="00846C27"/>
    <w:rsid w:val="00850BD3"/>
    <w:rsid w:val="008513A9"/>
    <w:rsid w:val="008522D8"/>
    <w:rsid w:val="00854A73"/>
    <w:rsid w:val="0085595E"/>
    <w:rsid w:val="0085792D"/>
    <w:rsid w:val="0086082C"/>
    <w:rsid w:val="00862A40"/>
    <w:rsid w:val="0086474E"/>
    <w:rsid w:val="00864ADC"/>
    <w:rsid w:val="0087065C"/>
    <w:rsid w:val="00874A52"/>
    <w:rsid w:val="00874F05"/>
    <w:rsid w:val="0087531B"/>
    <w:rsid w:val="0087682A"/>
    <w:rsid w:val="00877731"/>
    <w:rsid w:val="00880153"/>
    <w:rsid w:val="00880F97"/>
    <w:rsid w:val="0088133A"/>
    <w:rsid w:val="00884203"/>
    <w:rsid w:val="0088541D"/>
    <w:rsid w:val="00885C3F"/>
    <w:rsid w:val="00887073"/>
    <w:rsid w:val="00891B61"/>
    <w:rsid w:val="0089285E"/>
    <w:rsid w:val="00892FB5"/>
    <w:rsid w:val="0089436C"/>
    <w:rsid w:val="00894488"/>
    <w:rsid w:val="008A17CA"/>
    <w:rsid w:val="008A3B7F"/>
    <w:rsid w:val="008A3FE8"/>
    <w:rsid w:val="008A7758"/>
    <w:rsid w:val="008B2793"/>
    <w:rsid w:val="008B2BA5"/>
    <w:rsid w:val="008B671E"/>
    <w:rsid w:val="008B6CD9"/>
    <w:rsid w:val="008C1B46"/>
    <w:rsid w:val="008C4068"/>
    <w:rsid w:val="008C4CDF"/>
    <w:rsid w:val="008C6BD5"/>
    <w:rsid w:val="008D1426"/>
    <w:rsid w:val="008D21C0"/>
    <w:rsid w:val="008D365C"/>
    <w:rsid w:val="008D3C33"/>
    <w:rsid w:val="008D738C"/>
    <w:rsid w:val="008D79ED"/>
    <w:rsid w:val="008D7AA7"/>
    <w:rsid w:val="008E2274"/>
    <w:rsid w:val="008E2E04"/>
    <w:rsid w:val="008E3432"/>
    <w:rsid w:val="008E3534"/>
    <w:rsid w:val="008E3C45"/>
    <w:rsid w:val="008E4F35"/>
    <w:rsid w:val="008E4FEB"/>
    <w:rsid w:val="008E5E18"/>
    <w:rsid w:val="008E61A3"/>
    <w:rsid w:val="008E6CFD"/>
    <w:rsid w:val="008F11F4"/>
    <w:rsid w:val="008F17C5"/>
    <w:rsid w:val="008F2313"/>
    <w:rsid w:val="008F2A46"/>
    <w:rsid w:val="008F42DF"/>
    <w:rsid w:val="008F49F8"/>
    <w:rsid w:val="008F5E80"/>
    <w:rsid w:val="008F63E8"/>
    <w:rsid w:val="008F716F"/>
    <w:rsid w:val="00901129"/>
    <w:rsid w:val="00901EC9"/>
    <w:rsid w:val="00902FAE"/>
    <w:rsid w:val="009030BF"/>
    <w:rsid w:val="00904106"/>
    <w:rsid w:val="009045FB"/>
    <w:rsid w:val="009048A7"/>
    <w:rsid w:val="009102A2"/>
    <w:rsid w:val="00911545"/>
    <w:rsid w:val="0091214E"/>
    <w:rsid w:val="009125F7"/>
    <w:rsid w:val="0091322D"/>
    <w:rsid w:val="0091380A"/>
    <w:rsid w:val="00914368"/>
    <w:rsid w:val="0091497F"/>
    <w:rsid w:val="009201AB"/>
    <w:rsid w:val="00921CC4"/>
    <w:rsid w:val="0092487A"/>
    <w:rsid w:val="00926C10"/>
    <w:rsid w:val="0092745F"/>
    <w:rsid w:val="00927805"/>
    <w:rsid w:val="00931002"/>
    <w:rsid w:val="00931076"/>
    <w:rsid w:val="00932322"/>
    <w:rsid w:val="009345D9"/>
    <w:rsid w:val="00934B15"/>
    <w:rsid w:val="009357BE"/>
    <w:rsid w:val="009363A0"/>
    <w:rsid w:val="0094070B"/>
    <w:rsid w:val="00940929"/>
    <w:rsid w:val="00941B57"/>
    <w:rsid w:val="00942B62"/>
    <w:rsid w:val="00942B84"/>
    <w:rsid w:val="00943CFC"/>
    <w:rsid w:val="00944BA4"/>
    <w:rsid w:val="00945FC3"/>
    <w:rsid w:val="00946853"/>
    <w:rsid w:val="0094748B"/>
    <w:rsid w:val="009477C0"/>
    <w:rsid w:val="0095097C"/>
    <w:rsid w:val="0095104D"/>
    <w:rsid w:val="009511A5"/>
    <w:rsid w:val="00951F7D"/>
    <w:rsid w:val="00955B86"/>
    <w:rsid w:val="00956A0C"/>
    <w:rsid w:val="00956BD9"/>
    <w:rsid w:val="009578CC"/>
    <w:rsid w:val="00961156"/>
    <w:rsid w:val="00962489"/>
    <w:rsid w:val="009638B0"/>
    <w:rsid w:val="00963CB3"/>
    <w:rsid w:val="00964739"/>
    <w:rsid w:val="00964C4D"/>
    <w:rsid w:val="00965DBB"/>
    <w:rsid w:val="00966FAA"/>
    <w:rsid w:val="009674C1"/>
    <w:rsid w:val="00970788"/>
    <w:rsid w:val="00973557"/>
    <w:rsid w:val="009740A2"/>
    <w:rsid w:val="00977C85"/>
    <w:rsid w:val="0098405C"/>
    <w:rsid w:val="00986A96"/>
    <w:rsid w:val="00986DA3"/>
    <w:rsid w:val="00986DF8"/>
    <w:rsid w:val="0098752A"/>
    <w:rsid w:val="00990C2C"/>
    <w:rsid w:val="00991C41"/>
    <w:rsid w:val="00991DD6"/>
    <w:rsid w:val="00997710"/>
    <w:rsid w:val="009A1334"/>
    <w:rsid w:val="009A1354"/>
    <w:rsid w:val="009A242D"/>
    <w:rsid w:val="009A2E9D"/>
    <w:rsid w:val="009A3096"/>
    <w:rsid w:val="009A3FAA"/>
    <w:rsid w:val="009A4A9A"/>
    <w:rsid w:val="009A7711"/>
    <w:rsid w:val="009B1D29"/>
    <w:rsid w:val="009B1E66"/>
    <w:rsid w:val="009B2798"/>
    <w:rsid w:val="009B64A1"/>
    <w:rsid w:val="009C4D51"/>
    <w:rsid w:val="009C519D"/>
    <w:rsid w:val="009C578D"/>
    <w:rsid w:val="009C5A7F"/>
    <w:rsid w:val="009D2446"/>
    <w:rsid w:val="009D255E"/>
    <w:rsid w:val="009D2A23"/>
    <w:rsid w:val="009D2CF3"/>
    <w:rsid w:val="009D2EF1"/>
    <w:rsid w:val="009E02DB"/>
    <w:rsid w:val="009E1782"/>
    <w:rsid w:val="009E1D9E"/>
    <w:rsid w:val="009E2122"/>
    <w:rsid w:val="009E278E"/>
    <w:rsid w:val="009E3DBF"/>
    <w:rsid w:val="009E7811"/>
    <w:rsid w:val="009F106C"/>
    <w:rsid w:val="009F2950"/>
    <w:rsid w:val="009F328B"/>
    <w:rsid w:val="009F44DE"/>
    <w:rsid w:val="009F4EB6"/>
    <w:rsid w:val="009F5649"/>
    <w:rsid w:val="009F5BBD"/>
    <w:rsid w:val="009F696D"/>
    <w:rsid w:val="009F6BC6"/>
    <w:rsid w:val="009F7DD3"/>
    <w:rsid w:val="00A0100C"/>
    <w:rsid w:val="00A01F31"/>
    <w:rsid w:val="00A02E85"/>
    <w:rsid w:val="00A0503E"/>
    <w:rsid w:val="00A05AA8"/>
    <w:rsid w:val="00A0670A"/>
    <w:rsid w:val="00A06D03"/>
    <w:rsid w:val="00A078E5"/>
    <w:rsid w:val="00A1008B"/>
    <w:rsid w:val="00A144D6"/>
    <w:rsid w:val="00A1522C"/>
    <w:rsid w:val="00A17328"/>
    <w:rsid w:val="00A1761C"/>
    <w:rsid w:val="00A2214F"/>
    <w:rsid w:val="00A225E5"/>
    <w:rsid w:val="00A232B7"/>
    <w:rsid w:val="00A23A20"/>
    <w:rsid w:val="00A23EB8"/>
    <w:rsid w:val="00A268B9"/>
    <w:rsid w:val="00A26FB6"/>
    <w:rsid w:val="00A2703A"/>
    <w:rsid w:val="00A305A1"/>
    <w:rsid w:val="00A3076E"/>
    <w:rsid w:val="00A30F0F"/>
    <w:rsid w:val="00A315AD"/>
    <w:rsid w:val="00A33DFF"/>
    <w:rsid w:val="00A3422E"/>
    <w:rsid w:val="00A350D5"/>
    <w:rsid w:val="00A35115"/>
    <w:rsid w:val="00A3564E"/>
    <w:rsid w:val="00A36820"/>
    <w:rsid w:val="00A42515"/>
    <w:rsid w:val="00A44C9A"/>
    <w:rsid w:val="00A470B2"/>
    <w:rsid w:val="00A47A9A"/>
    <w:rsid w:val="00A51BFA"/>
    <w:rsid w:val="00A52FA0"/>
    <w:rsid w:val="00A536B3"/>
    <w:rsid w:val="00A537BE"/>
    <w:rsid w:val="00A540DC"/>
    <w:rsid w:val="00A54493"/>
    <w:rsid w:val="00A552E6"/>
    <w:rsid w:val="00A552FF"/>
    <w:rsid w:val="00A554AB"/>
    <w:rsid w:val="00A57782"/>
    <w:rsid w:val="00A6025B"/>
    <w:rsid w:val="00A6047D"/>
    <w:rsid w:val="00A6061B"/>
    <w:rsid w:val="00A6068B"/>
    <w:rsid w:val="00A60928"/>
    <w:rsid w:val="00A64813"/>
    <w:rsid w:val="00A65F82"/>
    <w:rsid w:val="00A67127"/>
    <w:rsid w:val="00A67C45"/>
    <w:rsid w:val="00A73CEC"/>
    <w:rsid w:val="00A74A0F"/>
    <w:rsid w:val="00A77CB6"/>
    <w:rsid w:val="00A77D8B"/>
    <w:rsid w:val="00A82B23"/>
    <w:rsid w:val="00A917CB"/>
    <w:rsid w:val="00A91C05"/>
    <w:rsid w:val="00A92B53"/>
    <w:rsid w:val="00A94083"/>
    <w:rsid w:val="00A943F6"/>
    <w:rsid w:val="00A94FA6"/>
    <w:rsid w:val="00A97BEE"/>
    <w:rsid w:val="00A97C92"/>
    <w:rsid w:val="00AA121D"/>
    <w:rsid w:val="00AA18A4"/>
    <w:rsid w:val="00AA220A"/>
    <w:rsid w:val="00AA36FE"/>
    <w:rsid w:val="00AA49A0"/>
    <w:rsid w:val="00AA6710"/>
    <w:rsid w:val="00AB0681"/>
    <w:rsid w:val="00AB3DAC"/>
    <w:rsid w:val="00AB44EE"/>
    <w:rsid w:val="00AB6DC2"/>
    <w:rsid w:val="00AB73AD"/>
    <w:rsid w:val="00AB78F6"/>
    <w:rsid w:val="00AC11ED"/>
    <w:rsid w:val="00AC2E29"/>
    <w:rsid w:val="00AC54A6"/>
    <w:rsid w:val="00AC58F8"/>
    <w:rsid w:val="00AD077A"/>
    <w:rsid w:val="00AD2027"/>
    <w:rsid w:val="00AD2AB2"/>
    <w:rsid w:val="00AD360F"/>
    <w:rsid w:val="00AD395A"/>
    <w:rsid w:val="00AD520B"/>
    <w:rsid w:val="00AD5684"/>
    <w:rsid w:val="00AD65B9"/>
    <w:rsid w:val="00AD6BC9"/>
    <w:rsid w:val="00AD72AD"/>
    <w:rsid w:val="00AE0587"/>
    <w:rsid w:val="00AE16EF"/>
    <w:rsid w:val="00AE2AB6"/>
    <w:rsid w:val="00AE6186"/>
    <w:rsid w:val="00AE63E3"/>
    <w:rsid w:val="00AE6BEE"/>
    <w:rsid w:val="00AE6F1C"/>
    <w:rsid w:val="00AF1D22"/>
    <w:rsid w:val="00AF4E73"/>
    <w:rsid w:val="00AF4FBA"/>
    <w:rsid w:val="00AF532E"/>
    <w:rsid w:val="00AF7FCB"/>
    <w:rsid w:val="00B011FE"/>
    <w:rsid w:val="00B017B1"/>
    <w:rsid w:val="00B0366E"/>
    <w:rsid w:val="00B11E76"/>
    <w:rsid w:val="00B122C9"/>
    <w:rsid w:val="00B122CA"/>
    <w:rsid w:val="00B12D44"/>
    <w:rsid w:val="00B20D5D"/>
    <w:rsid w:val="00B217EB"/>
    <w:rsid w:val="00B256E3"/>
    <w:rsid w:val="00B2638B"/>
    <w:rsid w:val="00B33DC2"/>
    <w:rsid w:val="00B3426B"/>
    <w:rsid w:val="00B352DD"/>
    <w:rsid w:val="00B35F43"/>
    <w:rsid w:val="00B373E8"/>
    <w:rsid w:val="00B412A6"/>
    <w:rsid w:val="00B42583"/>
    <w:rsid w:val="00B426D1"/>
    <w:rsid w:val="00B440AD"/>
    <w:rsid w:val="00B44A8A"/>
    <w:rsid w:val="00B44B2D"/>
    <w:rsid w:val="00B456AC"/>
    <w:rsid w:val="00B45D31"/>
    <w:rsid w:val="00B5041D"/>
    <w:rsid w:val="00B51F2C"/>
    <w:rsid w:val="00B52213"/>
    <w:rsid w:val="00B53E7E"/>
    <w:rsid w:val="00B5410D"/>
    <w:rsid w:val="00B54C6C"/>
    <w:rsid w:val="00B55355"/>
    <w:rsid w:val="00B561F4"/>
    <w:rsid w:val="00B5657E"/>
    <w:rsid w:val="00B56C08"/>
    <w:rsid w:val="00B6180C"/>
    <w:rsid w:val="00B61C5F"/>
    <w:rsid w:val="00B62B59"/>
    <w:rsid w:val="00B6342E"/>
    <w:rsid w:val="00B64F08"/>
    <w:rsid w:val="00B64F34"/>
    <w:rsid w:val="00B6786A"/>
    <w:rsid w:val="00B70D0C"/>
    <w:rsid w:val="00B7113F"/>
    <w:rsid w:val="00B74742"/>
    <w:rsid w:val="00B74977"/>
    <w:rsid w:val="00B74AAF"/>
    <w:rsid w:val="00B74EA0"/>
    <w:rsid w:val="00B74F69"/>
    <w:rsid w:val="00B75934"/>
    <w:rsid w:val="00B76050"/>
    <w:rsid w:val="00B8079F"/>
    <w:rsid w:val="00B81090"/>
    <w:rsid w:val="00B82BB4"/>
    <w:rsid w:val="00B843E4"/>
    <w:rsid w:val="00B854EC"/>
    <w:rsid w:val="00B8718E"/>
    <w:rsid w:val="00B87E20"/>
    <w:rsid w:val="00B9035C"/>
    <w:rsid w:val="00B9375C"/>
    <w:rsid w:val="00B957A2"/>
    <w:rsid w:val="00B9668C"/>
    <w:rsid w:val="00B97082"/>
    <w:rsid w:val="00BA0B2F"/>
    <w:rsid w:val="00BA73B6"/>
    <w:rsid w:val="00BA7452"/>
    <w:rsid w:val="00BB0DED"/>
    <w:rsid w:val="00BB2603"/>
    <w:rsid w:val="00BB32E2"/>
    <w:rsid w:val="00BB3F62"/>
    <w:rsid w:val="00BB4FCD"/>
    <w:rsid w:val="00BB5CBA"/>
    <w:rsid w:val="00BB7D6C"/>
    <w:rsid w:val="00BC0631"/>
    <w:rsid w:val="00BC3691"/>
    <w:rsid w:val="00BC3855"/>
    <w:rsid w:val="00BC3A09"/>
    <w:rsid w:val="00BC49B0"/>
    <w:rsid w:val="00BC7A3C"/>
    <w:rsid w:val="00BD092C"/>
    <w:rsid w:val="00BD1182"/>
    <w:rsid w:val="00BD13EA"/>
    <w:rsid w:val="00BD4C69"/>
    <w:rsid w:val="00BD4E7C"/>
    <w:rsid w:val="00BD6369"/>
    <w:rsid w:val="00BD6AFC"/>
    <w:rsid w:val="00BD6CB9"/>
    <w:rsid w:val="00BE0FD9"/>
    <w:rsid w:val="00BE1EE7"/>
    <w:rsid w:val="00BE2115"/>
    <w:rsid w:val="00BE2CFC"/>
    <w:rsid w:val="00BE3808"/>
    <w:rsid w:val="00BE3956"/>
    <w:rsid w:val="00BE3C82"/>
    <w:rsid w:val="00BE4A9F"/>
    <w:rsid w:val="00BE5D38"/>
    <w:rsid w:val="00BE65FB"/>
    <w:rsid w:val="00BE77D3"/>
    <w:rsid w:val="00BF3BFD"/>
    <w:rsid w:val="00BF5123"/>
    <w:rsid w:val="00BF5B46"/>
    <w:rsid w:val="00BF5FC5"/>
    <w:rsid w:val="00BF6CD6"/>
    <w:rsid w:val="00C01300"/>
    <w:rsid w:val="00C01CA4"/>
    <w:rsid w:val="00C0626E"/>
    <w:rsid w:val="00C062E9"/>
    <w:rsid w:val="00C076DB"/>
    <w:rsid w:val="00C07AA1"/>
    <w:rsid w:val="00C07B64"/>
    <w:rsid w:val="00C11BD8"/>
    <w:rsid w:val="00C11DAB"/>
    <w:rsid w:val="00C13721"/>
    <w:rsid w:val="00C14B39"/>
    <w:rsid w:val="00C1689C"/>
    <w:rsid w:val="00C22125"/>
    <w:rsid w:val="00C22686"/>
    <w:rsid w:val="00C25807"/>
    <w:rsid w:val="00C26350"/>
    <w:rsid w:val="00C3066D"/>
    <w:rsid w:val="00C30BD7"/>
    <w:rsid w:val="00C3192A"/>
    <w:rsid w:val="00C31A06"/>
    <w:rsid w:val="00C31EAC"/>
    <w:rsid w:val="00C321C4"/>
    <w:rsid w:val="00C34485"/>
    <w:rsid w:val="00C35382"/>
    <w:rsid w:val="00C35A5E"/>
    <w:rsid w:val="00C36621"/>
    <w:rsid w:val="00C42007"/>
    <w:rsid w:val="00C42B2B"/>
    <w:rsid w:val="00C43F74"/>
    <w:rsid w:val="00C46AB6"/>
    <w:rsid w:val="00C50044"/>
    <w:rsid w:val="00C5078D"/>
    <w:rsid w:val="00C53582"/>
    <w:rsid w:val="00C543F4"/>
    <w:rsid w:val="00C55400"/>
    <w:rsid w:val="00C61356"/>
    <w:rsid w:val="00C6291C"/>
    <w:rsid w:val="00C631BB"/>
    <w:rsid w:val="00C632C2"/>
    <w:rsid w:val="00C633CB"/>
    <w:rsid w:val="00C63C0C"/>
    <w:rsid w:val="00C65D70"/>
    <w:rsid w:val="00C70598"/>
    <w:rsid w:val="00C7310D"/>
    <w:rsid w:val="00C73E20"/>
    <w:rsid w:val="00C77CEC"/>
    <w:rsid w:val="00C8041F"/>
    <w:rsid w:val="00C81B2B"/>
    <w:rsid w:val="00C82687"/>
    <w:rsid w:val="00C826AA"/>
    <w:rsid w:val="00C84DD0"/>
    <w:rsid w:val="00C87461"/>
    <w:rsid w:val="00C8762C"/>
    <w:rsid w:val="00C90013"/>
    <w:rsid w:val="00C94B4A"/>
    <w:rsid w:val="00C94E09"/>
    <w:rsid w:val="00C955A3"/>
    <w:rsid w:val="00C970EB"/>
    <w:rsid w:val="00CA00F9"/>
    <w:rsid w:val="00CA21EE"/>
    <w:rsid w:val="00CA2961"/>
    <w:rsid w:val="00CA4549"/>
    <w:rsid w:val="00CA46AE"/>
    <w:rsid w:val="00CA52F4"/>
    <w:rsid w:val="00CA70BA"/>
    <w:rsid w:val="00CA7FDC"/>
    <w:rsid w:val="00CB1916"/>
    <w:rsid w:val="00CB2DFA"/>
    <w:rsid w:val="00CB4019"/>
    <w:rsid w:val="00CB40B6"/>
    <w:rsid w:val="00CB50D7"/>
    <w:rsid w:val="00CB53AE"/>
    <w:rsid w:val="00CB6E28"/>
    <w:rsid w:val="00CB7177"/>
    <w:rsid w:val="00CB75F8"/>
    <w:rsid w:val="00CB7B2E"/>
    <w:rsid w:val="00CC196B"/>
    <w:rsid w:val="00CC1998"/>
    <w:rsid w:val="00CC2604"/>
    <w:rsid w:val="00CC3691"/>
    <w:rsid w:val="00CC4946"/>
    <w:rsid w:val="00CC6E2B"/>
    <w:rsid w:val="00CC7E67"/>
    <w:rsid w:val="00CD16BA"/>
    <w:rsid w:val="00CD1C2B"/>
    <w:rsid w:val="00CD3463"/>
    <w:rsid w:val="00CD3670"/>
    <w:rsid w:val="00CD4193"/>
    <w:rsid w:val="00CD5ADF"/>
    <w:rsid w:val="00CD665A"/>
    <w:rsid w:val="00CE037F"/>
    <w:rsid w:val="00CE3B4C"/>
    <w:rsid w:val="00CE4289"/>
    <w:rsid w:val="00CE645A"/>
    <w:rsid w:val="00CF1794"/>
    <w:rsid w:val="00CF2674"/>
    <w:rsid w:val="00CF348C"/>
    <w:rsid w:val="00CF3FF5"/>
    <w:rsid w:val="00CF3FFC"/>
    <w:rsid w:val="00CF620E"/>
    <w:rsid w:val="00D00579"/>
    <w:rsid w:val="00D05D3C"/>
    <w:rsid w:val="00D05F29"/>
    <w:rsid w:val="00D06B82"/>
    <w:rsid w:val="00D10C75"/>
    <w:rsid w:val="00D12C2E"/>
    <w:rsid w:val="00D140C7"/>
    <w:rsid w:val="00D156FC"/>
    <w:rsid w:val="00D15A26"/>
    <w:rsid w:val="00D1649B"/>
    <w:rsid w:val="00D17BA9"/>
    <w:rsid w:val="00D17BB3"/>
    <w:rsid w:val="00D2083B"/>
    <w:rsid w:val="00D2260B"/>
    <w:rsid w:val="00D240C4"/>
    <w:rsid w:val="00D2463C"/>
    <w:rsid w:val="00D25BE3"/>
    <w:rsid w:val="00D26C3D"/>
    <w:rsid w:val="00D270A4"/>
    <w:rsid w:val="00D27AE1"/>
    <w:rsid w:val="00D31FE9"/>
    <w:rsid w:val="00D32726"/>
    <w:rsid w:val="00D32D06"/>
    <w:rsid w:val="00D33F02"/>
    <w:rsid w:val="00D33F60"/>
    <w:rsid w:val="00D34E1B"/>
    <w:rsid w:val="00D376BA"/>
    <w:rsid w:val="00D377FF"/>
    <w:rsid w:val="00D379FD"/>
    <w:rsid w:val="00D41BF0"/>
    <w:rsid w:val="00D423AB"/>
    <w:rsid w:val="00D43671"/>
    <w:rsid w:val="00D43FA4"/>
    <w:rsid w:val="00D44904"/>
    <w:rsid w:val="00D44A99"/>
    <w:rsid w:val="00D4572D"/>
    <w:rsid w:val="00D46245"/>
    <w:rsid w:val="00D46F87"/>
    <w:rsid w:val="00D5221E"/>
    <w:rsid w:val="00D530F5"/>
    <w:rsid w:val="00D53320"/>
    <w:rsid w:val="00D542D1"/>
    <w:rsid w:val="00D544D4"/>
    <w:rsid w:val="00D54A89"/>
    <w:rsid w:val="00D5568A"/>
    <w:rsid w:val="00D557A0"/>
    <w:rsid w:val="00D6151A"/>
    <w:rsid w:val="00D61E73"/>
    <w:rsid w:val="00D63D73"/>
    <w:rsid w:val="00D65671"/>
    <w:rsid w:val="00D66E1E"/>
    <w:rsid w:val="00D71A53"/>
    <w:rsid w:val="00D726C1"/>
    <w:rsid w:val="00D74084"/>
    <w:rsid w:val="00D75126"/>
    <w:rsid w:val="00D75631"/>
    <w:rsid w:val="00D75722"/>
    <w:rsid w:val="00D75787"/>
    <w:rsid w:val="00D75D8C"/>
    <w:rsid w:val="00D76C9E"/>
    <w:rsid w:val="00D77127"/>
    <w:rsid w:val="00D806B7"/>
    <w:rsid w:val="00D80938"/>
    <w:rsid w:val="00D8225A"/>
    <w:rsid w:val="00D83E78"/>
    <w:rsid w:val="00D85C66"/>
    <w:rsid w:val="00D91774"/>
    <w:rsid w:val="00DA0229"/>
    <w:rsid w:val="00DA0B77"/>
    <w:rsid w:val="00DA19F2"/>
    <w:rsid w:val="00DA3826"/>
    <w:rsid w:val="00DA42D7"/>
    <w:rsid w:val="00DA49A0"/>
    <w:rsid w:val="00DA4BD3"/>
    <w:rsid w:val="00DA50E8"/>
    <w:rsid w:val="00DA5BBA"/>
    <w:rsid w:val="00DA6E05"/>
    <w:rsid w:val="00DB0DCA"/>
    <w:rsid w:val="00DB4D88"/>
    <w:rsid w:val="00DB5B38"/>
    <w:rsid w:val="00DB5C85"/>
    <w:rsid w:val="00DB612E"/>
    <w:rsid w:val="00DB62F2"/>
    <w:rsid w:val="00DB67C9"/>
    <w:rsid w:val="00DB6FCB"/>
    <w:rsid w:val="00DB7828"/>
    <w:rsid w:val="00DB7F71"/>
    <w:rsid w:val="00DC0C95"/>
    <w:rsid w:val="00DC3AF0"/>
    <w:rsid w:val="00DC50F8"/>
    <w:rsid w:val="00DC54AE"/>
    <w:rsid w:val="00DC56EA"/>
    <w:rsid w:val="00DC6ACB"/>
    <w:rsid w:val="00DC6B16"/>
    <w:rsid w:val="00DC7FAB"/>
    <w:rsid w:val="00DD1296"/>
    <w:rsid w:val="00DD4EA8"/>
    <w:rsid w:val="00DD5F51"/>
    <w:rsid w:val="00DD6580"/>
    <w:rsid w:val="00DD7EB4"/>
    <w:rsid w:val="00DE6E34"/>
    <w:rsid w:val="00DE7873"/>
    <w:rsid w:val="00DE7DE6"/>
    <w:rsid w:val="00DF2D23"/>
    <w:rsid w:val="00DF3105"/>
    <w:rsid w:val="00DF510E"/>
    <w:rsid w:val="00DF5AF7"/>
    <w:rsid w:val="00DF6477"/>
    <w:rsid w:val="00DF65B5"/>
    <w:rsid w:val="00DF74CA"/>
    <w:rsid w:val="00DF765D"/>
    <w:rsid w:val="00E03852"/>
    <w:rsid w:val="00E05CEA"/>
    <w:rsid w:val="00E06E8F"/>
    <w:rsid w:val="00E10073"/>
    <w:rsid w:val="00E10618"/>
    <w:rsid w:val="00E1103F"/>
    <w:rsid w:val="00E113CC"/>
    <w:rsid w:val="00E12FD4"/>
    <w:rsid w:val="00E13D5B"/>
    <w:rsid w:val="00E14A20"/>
    <w:rsid w:val="00E15306"/>
    <w:rsid w:val="00E155CD"/>
    <w:rsid w:val="00E1737E"/>
    <w:rsid w:val="00E17888"/>
    <w:rsid w:val="00E179A9"/>
    <w:rsid w:val="00E17C72"/>
    <w:rsid w:val="00E2012F"/>
    <w:rsid w:val="00E21FC6"/>
    <w:rsid w:val="00E225D8"/>
    <w:rsid w:val="00E24A84"/>
    <w:rsid w:val="00E27A55"/>
    <w:rsid w:val="00E27DE2"/>
    <w:rsid w:val="00E336C9"/>
    <w:rsid w:val="00E34732"/>
    <w:rsid w:val="00E34CF1"/>
    <w:rsid w:val="00E3620B"/>
    <w:rsid w:val="00E40090"/>
    <w:rsid w:val="00E409E5"/>
    <w:rsid w:val="00E431A9"/>
    <w:rsid w:val="00E43AE4"/>
    <w:rsid w:val="00E47AB6"/>
    <w:rsid w:val="00E47C1C"/>
    <w:rsid w:val="00E523E1"/>
    <w:rsid w:val="00E5348A"/>
    <w:rsid w:val="00E5537F"/>
    <w:rsid w:val="00E57572"/>
    <w:rsid w:val="00E60ACC"/>
    <w:rsid w:val="00E61800"/>
    <w:rsid w:val="00E6190B"/>
    <w:rsid w:val="00E61E20"/>
    <w:rsid w:val="00E62184"/>
    <w:rsid w:val="00E62208"/>
    <w:rsid w:val="00E62AF8"/>
    <w:rsid w:val="00E651D8"/>
    <w:rsid w:val="00E669E2"/>
    <w:rsid w:val="00E73082"/>
    <w:rsid w:val="00E76135"/>
    <w:rsid w:val="00E81710"/>
    <w:rsid w:val="00E843B3"/>
    <w:rsid w:val="00E84A09"/>
    <w:rsid w:val="00E86332"/>
    <w:rsid w:val="00E87363"/>
    <w:rsid w:val="00E878DD"/>
    <w:rsid w:val="00E906C8"/>
    <w:rsid w:val="00E90C57"/>
    <w:rsid w:val="00E93EE5"/>
    <w:rsid w:val="00E9401F"/>
    <w:rsid w:val="00E94C31"/>
    <w:rsid w:val="00E971AD"/>
    <w:rsid w:val="00E97524"/>
    <w:rsid w:val="00EA0F4A"/>
    <w:rsid w:val="00EA34CC"/>
    <w:rsid w:val="00EA44A5"/>
    <w:rsid w:val="00EA6072"/>
    <w:rsid w:val="00EA7F60"/>
    <w:rsid w:val="00EB04A2"/>
    <w:rsid w:val="00EB4642"/>
    <w:rsid w:val="00EB574F"/>
    <w:rsid w:val="00EB69F1"/>
    <w:rsid w:val="00EB7369"/>
    <w:rsid w:val="00EC1EE0"/>
    <w:rsid w:val="00EC237B"/>
    <w:rsid w:val="00EC2844"/>
    <w:rsid w:val="00EC2B29"/>
    <w:rsid w:val="00EC3E31"/>
    <w:rsid w:val="00EC427D"/>
    <w:rsid w:val="00EC6CFD"/>
    <w:rsid w:val="00ED03EC"/>
    <w:rsid w:val="00ED3339"/>
    <w:rsid w:val="00ED496B"/>
    <w:rsid w:val="00ED5DB9"/>
    <w:rsid w:val="00EE1E58"/>
    <w:rsid w:val="00EE40CB"/>
    <w:rsid w:val="00EE4B9F"/>
    <w:rsid w:val="00EE4E3B"/>
    <w:rsid w:val="00EE68E7"/>
    <w:rsid w:val="00EE7B49"/>
    <w:rsid w:val="00EF238A"/>
    <w:rsid w:val="00EF3C2B"/>
    <w:rsid w:val="00EF5E70"/>
    <w:rsid w:val="00EF607D"/>
    <w:rsid w:val="00EF6C6C"/>
    <w:rsid w:val="00F01CAC"/>
    <w:rsid w:val="00F02355"/>
    <w:rsid w:val="00F0257C"/>
    <w:rsid w:val="00F02942"/>
    <w:rsid w:val="00F03601"/>
    <w:rsid w:val="00F0397E"/>
    <w:rsid w:val="00F042D2"/>
    <w:rsid w:val="00F04AE3"/>
    <w:rsid w:val="00F04E59"/>
    <w:rsid w:val="00F051CF"/>
    <w:rsid w:val="00F056FC"/>
    <w:rsid w:val="00F06F4A"/>
    <w:rsid w:val="00F10476"/>
    <w:rsid w:val="00F11035"/>
    <w:rsid w:val="00F13176"/>
    <w:rsid w:val="00F133DC"/>
    <w:rsid w:val="00F135D8"/>
    <w:rsid w:val="00F13D77"/>
    <w:rsid w:val="00F20ADC"/>
    <w:rsid w:val="00F22AE6"/>
    <w:rsid w:val="00F243E5"/>
    <w:rsid w:val="00F24868"/>
    <w:rsid w:val="00F261E3"/>
    <w:rsid w:val="00F27C8B"/>
    <w:rsid w:val="00F3068C"/>
    <w:rsid w:val="00F3077F"/>
    <w:rsid w:val="00F30B3A"/>
    <w:rsid w:val="00F31299"/>
    <w:rsid w:val="00F31E7C"/>
    <w:rsid w:val="00F33E39"/>
    <w:rsid w:val="00F3534A"/>
    <w:rsid w:val="00F355B0"/>
    <w:rsid w:val="00F35E2D"/>
    <w:rsid w:val="00F3704C"/>
    <w:rsid w:val="00F374B2"/>
    <w:rsid w:val="00F4011F"/>
    <w:rsid w:val="00F403DD"/>
    <w:rsid w:val="00F40431"/>
    <w:rsid w:val="00F406CB"/>
    <w:rsid w:val="00F4152C"/>
    <w:rsid w:val="00F41F21"/>
    <w:rsid w:val="00F425A0"/>
    <w:rsid w:val="00F45980"/>
    <w:rsid w:val="00F46337"/>
    <w:rsid w:val="00F47313"/>
    <w:rsid w:val="00F507C2"/>
    <w:rsid w:val="00F512BC"/>
    <w:rsid w:val="00F53236"/>
    <w:rsid w:val="00F56BB3"/>
    <w:rsid w:val="00F57839"/>
    <w:rsid w:val="00F62CEA"/>
    <w:rsid w:val="00F64809"/>
    <w:rsid w:val="00F654EA"/>
    <w:rsid w:val="00F67C6D"/>
    <w:rsid w:val="00F70E73"/>
    <w:rsid w:val="00F74380"/>
    <w:rsid w:val="00F74D25"/>
    <w:rsid w:val="00F768B4"/>
    <w:rsid w:val="00F7695D"/>
    <w:rsid w:val="00F76D22"/>
    <w:rsid w:val="00F811AA"/>
    <w:rsid w:val="00F85325"/>
    <w:rsid w:val="00F85C54"/>
    <w:rsid w:val="00F85DFD"/>
    <w:rsid w:val="00F86FEA"/>
    <w:rsid w:val="00F90569"/>
    <w:rsid w:val="00F91A35"/>
    <w:rsid w:val="00F924D4"/>
    <w:rsid w:val="00F93EFC"/>
    <w:rsid w:val="00FA1397"/>
    <w:rsid w:val="00FA168F"/>
    <w:rsid w:val="00FA4454"/>
    <w:rsid w:val="00FA495A"/>
    <w:rsid w:val="00FA6D88"/>
    <w:rsid w:val="00FA7162"/>
    <w:rsid w:val="00FB595A"/>
    <w:rsid w:val="00FB6A2D"/>
    <w:rsid w:val="00FC2CF4"/>
    <w:rsid w:val="00FC4431"/>
    <w:rsid w:val="00FC4FDA"/>
    <w:rsid w:val="00FC514D"/>
    <w:rsid w:val="00FC55F7"/>
    <w:rsid w:val="00FD2065"/>
    <w:rsid w:val="00FD22B1"/>
    <w:rsid w:val="00FD2DBE"/>
    <w:rsid w:val="00FD5810"/>
    <w:rsid w:val="00FD70C6"/>
    <w:rsid w:val="00FD7608"/>
    <w:rsid w:val="00FE2401"/>
    <w:rsid w:val="00FE6E3B"/>
    <w:rsid w:val="00FF1092"/>
    <w:rsid w:val="00FF5E36"/>
    <w:rsid w:val="00FF78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footer"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F532E"/>
    <w:rPr>
      <w:sz w:val="26"/>
      <w:szCs w:val="24"/>
    </w:rPr>
  </w:style>
  <w:style w:type="paragraph" w:styleId="Heading1">
    <w:name w:val="heading 1"/>
    <w:basedOn w:val="BodyText"/>
    <w:next w:val="BodyText"/>
    <w:rsid w:val="00F62CEA"/>
    <w:pPr>
      <w:keepNext/>
      <w:spacing w:before="160" w:after="1360" w:line="600" w:lineRule="exact"/>
      <w:ind w:left="907" w:hanging="907"/>
      <w:jc w:val="left"/>
      <w:outlineLvl w:val="0"/>
    </w:pPr>
    <w:rPr>
      <w:b/>
      <w:color w:val="86A20B"/>
      <w:sz w:val="52"/>
    </w:rPr>
  </w:style>
  <w:style w:type="paragraph" w:styleId="Heading2">
    <w:name w:val="heading 2"/>
    <w:basedOn w:val="Chapter"/>
    <w:next w:val="BodyText"/>
    <w:link w:val="Heading2Char"/>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13"/>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4C4E0D"/>
    <w:pPr>
      <w:spacing w:before="120" w:line="280" w:lineRule="exact"/>
      <w:ind w:left="340"/>
    </w:pPr>
    <w:rPr>
      <w:sz w:val="22"/>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character" w:styleId="Hyperlink">
    <w:name w:val="Hyperlink"/>
    <w:basedOn w:val="DefaultParagraphFont"/>
    <w:rsid w:val="001C3A87"/>
    <w:rPr>
      <w:color w:val="0000FF" w:themeColor="hyperlink"/>
      <w:u w:val="single"/>
    </w:rPr>
  </w:style>
  <w:style w:type="paragraph" w:customStyle="1" w:styleId="OZNZReference">
    <w:name w:val="OZNZ Reference"/>
    <w:basedOn w:val="Reference"/>
    <w:uiPriority w:val="99"/>
    <w:qFormat/>
    <w:rsid w:val="00607742"/>
    <w:rPr>
      <w:rFonts w:cs="Arial"/>
      <w:color w:val="auto"/>
      <w:szCs w:val="24"/>
    </w:rPr>
  </w:style>
  <w:style w:type="paragraph" w:styleId="ListParagraph">
    <w:name w:val="List Paragraph"/>
    <w:basedOn w:val="Normal"/>
    <w:uiPriority w:val="34"/>
    <w:rsid w:val="00544AA9"/>
    <w:pPr>
      <w:ind w:left="720"/>
      <w:contextualSpacing/>
    </w:pPr>
  </w:style>
  <w:style w:type="paragraph" w:styleId="CommentSubject">
    <w:name w:val="annotation subject"/>
    <w:basedOn w:val="CommentText"/>
    <w:next w:val="CommentText"/>
    <w:link w:val="CommentSubjectChar"/>
    <w:rsid w:val="006813D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6813DF"/>
    <w:rPr>
      <w:szCs w:val="24"/>
    </w:rPr>
  </w:style>
  <w:style w:type="character" w:customStyle="1" w:styleId="CommentSubjectChar">
    <w:name w:val="Comment Subject Char"/>
    <w:basedOn w:val="CommentTextChar"/>
    <w:link w:val="CommentSubject"/>
    <w:rsid w:val="006813DF"/>
    <w:rPr>
      <w:b/>
      <w:bCs/>
      <w:szCs w:val="24"/>
    </w:rPr>
  </w:style>
  <w:style w:type="character" w:customStyle="1" w:styleId="BodyTextChar">
    <w:name w:val="Body Text Char"/>
    <w:basedOn w:val="DefaultParagraphFont"/>
    <w:link w:val="BodyText"/>
    <w:rsid w:val="00DA0229"/>
    <w:rPr>
      <w:rFonts w:ascii="Arial" w:hAnsi="Arial"/>
      <w:color w:val="1C1C1C"/>
      <w:sz w:val="24"/>
    </w:rPr>
  </w:style>
  <w:style w:type="paragraph" w:styleId="Revision">
    <w:name w:val="Revision"/>
    <w:hidden/>
    <w:uiPriority w:val="99"/>
    <w:semiHidden/>
    <w:rsid w:val="00A64813"/>
    <w:rPr>
      <w:sz w:val="26"/>
      <w:szCs w:val="24"/>
    </w:rPr>
  </w:style>
  <w:style w:type="character" w:customStyle="1" w:styleId="Heading2Char">
    <w:name w:val="Heading 2 Char"/>
    <w:basedOn w:val="DefaultParagraphFont"/>
    <w:link w:val="Heading2"/>
    <w:rsid w:val="00C01300"/>
    <w:rPr>
      <w:rFonts w:ascii="Arial" w:hAnsi="Arial"/>
      <w:b/>
      <w:color w:val="4298B5"/>
      <w:sz w:val="40"/>
    </w:rPr>
  </w:style>
  <w:style w:type="paragraph" w:styleId="NormalWeb">
    <w:name w:val="Normal (Web)"/>
    <w:basedOn w:val="Normal"/>
    <w:rsid w:val="0064314F"/>
    <w:rPr>
      <w:sz w:val="24"/>
    </w:rPr>
  </w:style>
  <w:style w:type="character" w:styleId="FollowedHyperlink">
    <w:name w:val="FollowedHyperlink"/>
    <w:basedOn w:val="DefaultParagraphFont"/>
    <w:rsid w:val="00A42515"/>
    <w:rPr>
      <w:color w:val="800080" w:themeColor="followedHyperlink"/>
      <w:u w:val="single"/>
    </w:rPr>
  </w:style>
  <w:style w:type="character" w:customStyle="1" w:styleId="QuoteChar">
    <w:name w:val="Quote Char"/>
    <w:basedOn w:val="DefaultParagraphFont"/>
    <w:link w:val="Quote"/>
    <w:rsid w:val="00C22125"/>
    <w:rPr>
      <w:rFonts w:ascii="Arial" w:hAnsi="Arial"/>
      <w:color w:val="1C1C1C"/>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footer" w:uiPriority="99"/>
    <w:lsdException w:name="Body Text" w:qFormat="1"/>
    <w:lsdException w:name="Subtitle"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AF532E"/>
    <w:rPr>
      <w:sz w:val="26"/>
      <w:szCs w:val="24"/>
    </w:rPr>
  </w:style>
  <w:style w:type="paragraph" w:styleId="Heading1">
    <w:name w:val="heading 1"/>
    <w:basedOn w:val="BodyText"/>
    <w:next w:val="BodyText"/>
    <w:rsid w:val="00F62CEA"/>
    <w:pPr>
      <w:keepNext/>
      <w:spacing w:before="160" w:after="1360" w:line="600" w:lineRule="exact"/>
      <w:ind w:left="907" w:hanging="907"/>
      <w:jc w:val="left"/>
      <w:outlineLvl w:val="0"/>
    </w:pPr>
    <w:rPr>
      <w:b/>
      <w:color w:val="86A20B"/>
      <w:sz w:val="52"/>
    </w:rPr>
  </w:style>
  <w:style w:type="paragraph" w:styleId="Heading2">
    <w:name w:val="heading 2"/>
    <w:basedOn w:val="Chapter"/>
    <w:next w:val="BodyText"/>
    <w:link w:val="Heading2Char"/>
    <w:qFormat/>
    <w:rsid w:val="00F62CEA"/>
    <w:pPr>
      <w:spacing w:before="600" w:after="0" w:line="480" w:lineRule="exact"/>
      <w:ind w:left="907" w:hanging="907"/>
      <w:outlineLvl w:val="1"/>
    </w:pPr>
    <w:rPr>
      <w:color w:val="4298B5"/>
      <w:sz w:val="40"/>
    </w:rPr>
  </w:style>
  <w:style w:type="paragraph" w:styleId="Heading3">
    <w:name w:val="heading 3"/>
    <w:basedOn w:val="Heading2"/>
    <w:next w:val="BodyText"/>
    <w:qFormat/>
    <w:rsid w:val="00F62CEA"/>
    <w:pPr>
      <w:spacing w:before="560" w:line="380" w:lineRule="exact"/>
      <w:ind w:left="0" w:firstLine="0"/>
      <w:outlineLvl w:val="2"/>
    </w:pPr>
    <w:rPr>
      <w:color w:val="auto"/>
      <w:sz w:val="32"/>
    </w:rPr>
  </w:style>
  <w:style w:type="paragraph" w:styleId="Heading4">
    <w:name w:val="heading 4"/>
    <w:basedOn w:val="Heading3"/>
    <w:next w:val="BodyText"/>
    <w:qFormat/>
    <w:rsid w:val="00F62CEA"/>
    <w:pPr>
      <w:spacing w:before="480" w:line="360" w:lineRule="exact"/>
      <w:outlineLvl w:val="3"/>
    </w:pPr>
    <w:rPr>
      <w:b w:val="0"/>
      <w:i/>
      <w:sz w:val="28"/>
    </w:rPr>
  </w:style>
  <w:style w:type="paragraph" w:styleId="Heading5">
    <w:name w:val="heading 5"/>
    <w:basedOn w:val="Heading4"/>
    <w:next w:val="BodyText"/>
    <w:qFormat/>
    <w:rsid w:val="00F62CEA"/>
    <w:pPr>
      <w:spacing w:line="320" w:lineRule="exact"/>
      <w:outlineLvl w:val="4"/>
    </w:pPr>
    <w:rPr>
      <w:sz w:val="24"/>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sz w:val="20"/>
    </w:rPr>
  </w:style>
  <w:style w:type="paragraph" w:styleId="Heading8">
    <w:name w:val="heading 8"/>
    <w:basedOn w:val="BodyText"/>
    <w:next w:val="BodyText"/>
    <w:rsid w:val="00A17328"/>
    <w:pPr>
      <w:spacing w:after="60" w:line="240" w:lineRule="auto"/>
      <w:jc w:val="left"/>
      <w:outlineLvl w:val="7"/>
    </w:pPr>
    <w:rPr>
      <w:i/>
      <w:sz w:val="20"/>
    </w:rPr>
  </w:style>
  <w:style w:type="paragraph" w:styleId="Heading9">
    <w:name w:val="heading 9"/>
    <w:basedOn w:val="BodyText"/>
    <w:next w:val="BodyText"/>
    <w:rsid w:val="00A17328"/>
    <w:pPr>
      <w:spacing w:after="60" w:line="240" w:lineRule="auto"/>
      <w:jc w:val="left"/>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E47C1C"/>
    <w:pPr>
      <w:spacing w:before="240" w:line="320" w:lineRule="atLeast"/>
      <w:jc w:val="both"/>
    </w:pPr>
    <w:rPr>
      <w:rFonts w:ascii="Arial" w:hAnsi="Arial"/>
      <w:color w:val="1C1C1C"/>
      <w:sz w:val="24"/>
    </w:rPr>
  </w:style>
  <w:style w:type="paragraph" w:styleId="Footer">
    <w:name w:val="footer"/>
    <w:basedOn w:val="BodyText"/>
    <w:link w:val="FooterChar"/>
    <w:uiPriority w:val="99"/>
    <w:rsid w:val="002B6178"/>
    <w:pPr>
      <w:spacing w:before="80" w:line="200" w:lineRule="exact"/>
      <w:ind w:right="6"/>
      <w:jc w:val="left"/>
    </w:pPr>
    <w:rPr>
      <w:caps/>
      <w:color w:val="333333"/>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3076E"/>
    <w:rPr>
      <w:rFonts w:ascii="Arial" w:hAnsi="Arial"/>
      <w:b/>
      <w:color w:val="333333"/>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sz w:val="22"/>
    </w:rPr>
  </w:style>
  <w:style w:type="paragraph" w:customStyle="1" w:styleId="BoxContinued">
    <w:name w:val="Box Continued"/>
    <w:basedOn w:val="BodyText"/>
    <w:next w:val="BodyText"/>
    <w:semiHidden/>
    <w:rsid w:val="00A17328"/>
    <w:pPr>
      <w:spacing w:before="180" w:line="220" w:lineRule="exact"/>
      <w:jc w:val="right"/>
    </w:pPr>
    <w:rPr>
      <w:sz w:val="18"/>
    </w:rPr>
  </w:style>
  <w:style w:type="paragraph" w:customStyle="1" w:styleId="BoxHeading1">
    <w:name w:val="Box Heading 1"/>
    <w:basedOn w:val="BodyText"/>
    <w:next w:val="Box"/>
    <w:rsid w:val="00A17328"/>
    <w:pPr>
      <w:keepNext/>
      <w:spacing w:before="200" w:line="280" w:lineRule="atLeast"/>
    </w:pPr>
    <w:rPr>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sz w:val="22"/>
    </w:rPr>
  </w:style>
  <w:style w:type="paragraph" w:customStyle="1" w:styleId="BoxListNumber">
    <w:name w:val="Box List Number"/>
    <w:basedOn w:val="BodyText"/>
    <w:rsid w:val="00864ADC"/>
    <w:pPr>
      <w:keepNext/>
      <w:numPr>
        <w:numId w:val="13"/>
      </w:numPr>
      <w:spacing w:before="120" w:line="280" w:lineRule="atLeast"/>
    </w:pPr>
    <w:rPr>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sz w:val="20"/>
    </w:rPr>
  </w:style>
  <w:style w:type="paragraph" w:customStyle="1" w:styleId="Note">
    <w:name w:val="Note"/>
    <w:basedOn w:val="BodyText"/>
    <w:next w:val="Normal"/>
    <w:rsid w:val="00A17328"/>
    <w:pPr>
      <w:keepLines/>
      <w:spacing w:before="80" w:line="220" w:lineRule="exact"/>
    </w:pPr>
    <w:rPr>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05152B"/>
    <w:pPr>
      <w:spacing w:before="120" w:after="0" w:line="320" w:lineRule="exact"/>
      <w:ind w:left="1304" w:hanging="1304"/>
    </w:pPr>
    <w:rPr>
      <w:sz w:val="24"/>
    </w:r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67127"/>
    <w:rPr>
      <w:sz w:val="24"/>
    </w:rPr>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5"/>
      </w:numPr>
      <w:spacing w:before="120"/>
    </w:pPr>
  </w:style>
  <w:style w:type="paragraph" w:styleId="ListBullet2">
    <w:name w:val="List Bullet 2"/>
    <w:basedOn w:val="BodyText"/>
    <w:rsid w:val="00DB67C9"/>
    <w:pPr>
      <w:numPr>
        <w:numId w:val="6"/>
      </w:numPr>
      <w:spacing w:before="120"/>
    </w:pPr>
  </w:style>
  <w:style w:type="paragraph" w:styleId="ListBullet3">
    <w:name w:val="List Bullet 3"/>
    <w:basedOn w:val="BodyText"/>
    <w:rsid w:val="00DB67C9"/>
    <w:pPr>
      <w:numPr>
        <w:numId w:val="7"/>
      </w:numPr>
      <w:spacing w:before="120"/>
    </w:pPr>
  </w:style>
  <w:style w:type="paragraph" w:styleId="ListNumber">
    <w:name w:val="List Number"/>
    <w:basedOn w:val="BodyText"/>
    <w:rsid w:val="00864ADC"/>
    <w:pPr>
      <w:numPr>
        <w:numId w:val="1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4C4E0D"/>
    <w:pPr>
      <w:spacing w:before="120" w:line="280" w:lineRule="exact"/>
      <w:ind w:left="340"/>
    </w:pPr>
    <w:rPr>
      <w:sz w:val="22"/>
    </w:rPr>
  </w:style>
  <w:style w:type="paragraph" w:customStyle="1" w:styleId="QuoteBullet">
    <w:name w:val="Quote Bullet"/>
    <w:basedOn w:val="Quote"/>
    <w:rsid w:val="00323E09"/>
    <w:pPr>
      <w:numPr>
        <w:numId w:val="8"/>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9"/>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14"/>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10"/>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sz w:val="20"/>
    </w:rPr>
  </w:style>
  <w:style w:type="paragraph" w:customStyle="1" w:styleId="TableBullet">
    <w:name w:val="Table Bullet"/>
    <w:basedOn w:val="TableBodyText"/>
    <w:rsid w:val="00323E09"/>
    <w:pPr>
      <w:numPr>
        <w:numId w:val="11"/>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67127"/>
    <w:rPr>
      <w:sz w:val="24"/>
    </w:rPr>
  </w:style>
  <w:style w:type="paragraph" w:customStyle="1" w:styleId="TableUnitsRow">
    <w:name w:val="Table Units Row"/>
    <w:basedOn w:val="TableBodyText"/>
    <w:rsid w:val="00A17328"/>
    <w:pPr>
      <w:spacing w:before="80" w:after="80"/>
    </w:pPr>
  </w:style>
  <w:style w:type="paragraph" w:styleId="TOC1">
    <w:name w:val="toc 1"/>
    <w:basedOn w:val="Normal"/>
    <w:next w:val="TOC2"/>
    <w:semiHidden/>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sz w:val="22"/>
    </w:rPr>
  </w:style>
  <w:style w:type="character" w:styleId="Emphasis">
    <w:name w:val="Emphasis"/>
    <w:basedOn w:val="DefaultParagraphFont"/>
    <w:rsid w:val="00DA5BBA"/>
    <w:rPr>
      <w:i/>
      <w:iCs/>
    </w:rPr>
  </w:style>
  <w:style w:type="paragraph" w:customStyle="1" w:styleId="OZNZQuestion">
    <w:name w:val="OZNZ Question"/>
    <w:basedOn w:val="Normal"/>
    <w:uiPriority w:val="99"/>
    <w:qFormat/>
    <w:rsid w:val="00291CB8"/>
    <w:pPr>
      <w:spacing w:line="320" w:lineRule="atLeast"/>
      <w:jc w:val="both"/>
    </w:pPr>
    <w:rPr>
      <w:rFonts w:ascii="Arial" w:hAnsi="Arial" w:cs="Arial"/>
      <w:sz w:val="24"/>
    </w:rPr>
  </w:style>
  <w:style w:type="character" w:customStyle="1" w:styleId="FooterChar">
    <w:name w:val="Footer Char"/>
    <w:basedOn w:val="DefaultParagraphFont"/>
    <w:link w:val="Footer"/>
    <w:uiPriority w:val="99"/>
    <w:rsid w:val="002B6178"/>
    <w:rPr>
      <w:rFonts w:ascii="Arial" w:hAnsi="Arial"/>
      <w:caps/>
      <w:color w:val="333333"/>
      <w:spacing w:val="-4"/>
      <w:sz w:val="16"/>
    </w:rPr>
  </w:style>
  <w:style w:type="character" w:styleId="Hyperlink">
    <w:name w:val="Hyperlink"/>
    <w:basedOn w:val="DefaultParagraphFont"/>
    <w:rsid w:val="001C3A87"/>
    <w:rPr>
      <w:color w:val="0000FF" w:themeColor="hyperlink"/>
      <w:u w:val="single"/>
    </w:rPr>
  </w:style>
  <w:style w:type="paragraph" w:customStyle="1" w:styleId="OZNZReference">
    <w:name w:val="OZNZ Reference"/>
    <w:basedOn w:val="Reference"/>
    <w:uiPriority w:val="99"/>
    <w:qFormat/>
    <w:rsid w:val="00607742"/>
    <w:rPr>
      <w:rFonts w:cs="Arial"/>
      <w:color w:val="auto"/>
      <w:szCs w:val="24"/>
    </w:rPr>
  </w:style>
  <w:style w:type="paragraph" w:styleId="ListParagraph">
    <w:name w:val="List Paragraph"/>
    <w:basedOn w:val="Normal"/>
    <w:uiPriority w:val="34"/>
    <w:rsid w:val="00544AA9"/>
    <w:pPr>
      <w:ind w:left="720"/>
      <w:contextualSpacing/>
    </w:pPr>
  </w:style>
  <w:style w:type="paragraph" w:styleId="CommentSubject">
    <w:name w:val="annotation subject"/>
    <w:basedOn w:val="CommentText"/>
    <w:next w:val="CommentText"/>
    <w:link w:val="CommentSubjectChar"/>
    <w:rsid w:val="006813DF"/>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6813DF"/>
    <w:rPr>
      <w:szCs w:val="24"/>
    </w:rPr>
  </w:style>
  <w:style w:type="character" w:customStyle="1" w:styleId="CommentSubjectChar">
    <w:name w:val="Comment Subject Char"/>
    <w:basedOn w:val="CommentTextChar"/>
    <w:link w:val="CommentSubject"/>
    <w:rsid w:val="006813DF"/>
    <w:rPr>
      <w:b/>
      <w:bCs/>
      <w:szCs w:val="24"/>
    </w:rPr>
  </w:style>
  <w:style w:type="character" w:customStyle="1" w:styleId="BodyTextChar">
    <w:name w:val="Body Text Char"/>
    <w:basedOn w:val="DefaultParagraphFont"/>
    <w:link w:val="BodyText"/>
    <w:rsid w:val="00DA0229"/>
    <w:rPr>
      <w:rFonts w:ascii="Arial" w:hAnsi="Arial"/>
      <w:color w:val="1C1C1C"/>
      <w:sz w:val="24"/>
    </w:rPr>
  </w:style>
  <w:style w:type="paragraph" w:styleId="Revision">
    <w:name w:val="Revision"/>
    <w:hidden/>
    <w:uiPriority w:val="99"/>
    <w:semiHidden/>
    <w:rsid w:val="00A64813"/>
    <w:rPr>
      <w:sz w:val="26"/>
      <w:szCs w:val="24"/>
    </w:rPr>
  </w:style>
  <w:style w:type="character" w:customStyle="1" w:styleId="Heading2Char">
    <w:name w:val="Heading 2 Char"/>
    <w:basedOn w:val="DefaultParagraphFont"/>
    <w:link w:val="Heading2"/>
    <w:rsid w:val="00C01300"/>
    <w:rPr>
      <w:rFonts w:ascii="Arial" w:hAnsi="Arial"/>
      <w:b/>
      <w:color w:val="4298B5"/>
      <w:sz w:val="40"/>
    </w:rPr>
  </w:style>
  <w:style w:type="paragraph" w:styleId="NormalWeb">
    <w:name w:val="Normal (Web)"/>
    <w:basedOn w:val="Normal"/>
    <w:rsid w:val="0064314F"/>
    <w:rPr>
      <w:sz w:val="24"/>
    </w:rPr>
  </w:style>
  <w:style w:type="character" w:styleId="FollowedHyperlink">
    <w:name w:val="FollowedHyperlink"/>
    <w:basedOn w:val="DefaultParagraphFont"/>
    <w:rsid w:val="00A42515"/>
    <w:rPr>
      <w:color w:val="800080" w:themeColor="followedHyperlink"/>
      <w:u w:val="single"/>
    </w:rPr>
  </w:style>
  <w:style w:type="character" w:customStyle="1" w:styleId="QuoteChar">
    <w:name w:val="Quote Char"/>
    <w:basedOn w:val="DefaultParagraphFont"/>
    <w:link w:val="Quote"/>
    <w:rsid w:val="00C22125"/>
    <w:rPr>
      <w:rFonts w:ascii="Arial" w:hAnsi="Arial"/>
      <w:color w:val="1C1C1C"/>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5798">
      <w:bodyDiv w:val="1"/>
      <w:marLeft w:val="0"/>
      <w:marRight w:val="0"/>
      <w:marTop w:val="0"/>
      <w:marBottom w:val="0"/>
      <w:divBdr>
        <w:top w:val="none" w:sz="0" w:space="0" w:color="auto"/>
        <w:left w:val="none" w:sz="0" w:space="0" w:color="auto"/>
        <w:bottom w:val="none" w:sz="0" w:space="0" w:color="auto"/>
        <w:right w:val="none" w:sz="0" w:space="0" w:color="auto"/>
      </w:divBdr>
    </w:div>
    <w:div w:id="1495415838">
      <w:bodyDiv w:val="1"/>
      <w:marLeft w:val="0"/>
      <w:marRight w:val="0"/>
      <w:marTop w:val="0"/>
      <w:marBottom w:val="0"/>
      <w:divBdr>
        <w:top w:val="none" w:sz="0" w:space="0" w:color="auto"/>
        <w:left w:val="none" w:sz="0" w:space="0" w:color="auto"/>
        <w:bottom w:val="none" w:sz="0" w:space="0" w:color="auto"/>
        <w:right w:val="none" w:sz="0" w:space="0" w:color="auto"/>
      </w:divBdr>
      <w:divsChild>
        <w:div w:id="1745908283">
          <w:marLeft w:val="216"/>
          <w:marRight w:val="216"/>
          <w:marTop w:val="336"/>
          <w:marBottom w:val="216"/>
          <w:divBdr>
            <w:top w:val="none" w:sz="0" w:space="0" w:color="auto"/>
            <w:left w:val="none" w:sz="0" w:space="0" w:color="auto"/>
            <w:bottom w:val="none" w:sz="0" w:space="0" w:color="auto"/>
            <w:right w:val="none" w:sz="0" w:space="0" w:color="auto"/>
          </w:divBdr>
          <w:divsChild>
            <w:div w:id="1933391255">
              <w:marLeft w:val="2700"/>
              <w:marRight w:val="240"/>
              <w:marTop w:val="0"/>
              <w:marBottom w:val="0"/>
              <w:divBdr>
                <w:top w:val="none" w:sz="0" w:space="0" w:color="auto"/>
                <w:left w:val="none" w:sz="0" w:space="0" w:color="auto"/>
                <w:bottom w:val="none" w:sz="0" w:space="0" w:color="auto"/>
                <w:right w:val="none" w:sz="0" w:space="0" w:color="auto"/>
              </w:divBdr>
              <w:divsChild>
                <w:div w:id="1825389435">
                  <w:marLeft w:val="0"/>
                  <w:marRight w:val="0"/>
                  <w:marTop w:val="0"/>
                  <w:marBottom w:val="0"/>
                  <w:divBdr>
                    <w:top w:val="none" w:sz="0" w:space="0" w:color="auto"/>
                    <w:left w:val="none" w:sz="0" w:space="0" w:color="auto"/>
                    <w:bottom w:val="none" w:sz="0" w:space="0" w:color="auto"/>
                    <w:right w:val="none" w:sz="0" w:space="0" w:color="auto"/>
                  </w:divBdr>
                  <w:divsChild>
                    <w:div w:id="109821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hyperlink" Target="http://www.ris.finance.gov.au/2011/02/23/investment-protocol-to-the-australia-new-zealand-closer-economic-relations-trade-agreement-regulation-impact-statement-%E2%80%93-commonwealth-treasury/"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iscr.org.nz/n578.html" TargetMode="Externa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chorus.co.nz/file/205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bs.gov.au/AUSSTATS/abs@.nsf/DetailsPage/5352.0Calendar%20year%202010?OpenDocument" TargetMode="External"/><Relationship Id="rId20" Type="http://schemas.openxmlformats.org/officeDocument/2006/relationships/hyperlink" Target="http://www.firb.gov.au/content/Publications/AnnualReports/2010-2011/_downloads/2010-11_FIRB_AR.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http://www.linz.govt.nz/overseas-investment/decisions/decision-summaries/oio-decision-summaries-december-2011" TargetMode="Externa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yperlink" Target="http://www.oecd.org/dataoecd/60/43/48462282.pdf" TargetMode="External"/><Relationship Id="rId28"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hyperlink" Target="http://www.dfat.gov.au/fta/anzcerta/downloads/Protocol-on-investment-to-the-ANZCERTA.pdf"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yperlink" Target="http://www.treasury.govt.nz/economy/overview/2012/23.htm"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ANZPC\template2010\chapterANZ.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Totals!$B$95</c:f>
              <c:strCache>
                <c:ptCount val="1"/>
                <c:pt idx="0">
                  <c:v>less  restrictive  more</c:v>
                </c:pt>
              </c:strCache>
            </c:strRef>
          </c:tx>
          <c:spPr>
            <a:solidFill>
              <a:srgbClr val="8EC1D3"/>
            </a:solidFill>
            <a:ln>
              <a:solidFill>
                <a:sysClr val="windowText" lastClr="000000">
                  <a:lumMod val="75000"/>
                  <a:lumOff val="25000"/>
                </a:sysClr>
              </a:solidFill>
            </a:ln>
          </c:spPr>
          <c:invertIfNegative val="0"/>
          <c:cat>
            <c:strRef>
              <c:f>Totals!$C$94:$S$94</c:f>
              <c:strCache>
                <c:ptCount val="17"/>
                <c:pt idx="0">
                  <c:v>China </c:v>
                </c:pt>
                <c:pt idx="1">
                  <c:v>Saudi Arabia</c:v>
                </c:pt>
                <c:pt idx="2">
                  <c:v>Indonesia </c:v>
                </c:pt>
                <c:pt idx="3">
                  <c:v>India</c:v>
                </c:pt>
                <c:pt idx="4">
                  <c:v>Japan</c:v>
                </c:pt>
                <c:pt idx="5">
                  <c:v>New Zealand</c:v>
                </c:pt>
                <c:pt idx="6">
                  <c:v>Mexico</c:v>
                </c:pt>
                <c:pt idx="7">
                  <c:v>Russia</c:v>
                </c:pt>
                <c:pt idx="8">
                  <c:v>Canada</c:v>
                </c:pt>
                <c:pt idx="9">
                  <c:v>Korea</c:v>
                </c:pt>
                <c:pt idx="10">
                  <c:v>Australia</c:v>
                </c:pt>
                <c:pt idx="11">
                  <c:v>US</c:v>
                </c:pt>
                <c:pt idx="12">
                  <c:v>OECD Average</c:v>
                </c:pt>
                <c:pt idx="13">
                  <c:v>Chile </c:v>
                </c:pt>
                <c:pt idx="14">
                  <c:v>Ireland</c:v>
                </c:pt>
                <c:pt idx="15">
                  <c:v>UK</c:v>
                </c:pt>
                <c:pt idx="16">
                  <c:v>France</c:v>
                </c:pt>
              </c:strCache>
            </c:strRef>
          </c:cat>
          <c:val>
            <c:numRef>
              <c:f>Totals!$C$95:$S$95</c:f>
              <c:numCache>
                <c:formatCode>General</c:formatCode>
                <c:ptCount val="17"/>
                <c:pt idx="0">
                  <c:v>0.40799999999999997</c:v>
                </c:pt>
                <c:pt idx="1">
                  <c:v>0.34200000000000003</c:v>
                </c:pt>
                <c:pt idx="2">
                  <c:v>0.308</c:v>
                </c:pt>
                <c:pt idx="3">
                  <c:v>0.29699999999999999</c:v>
                </c:pt>
                <c:pt idx="4">
                  <c:v>0.26500000000000001</c:v>
                </c:pt>
                <c:pt idx="5">
                  <c:v>0.249</c:v>
                </c:pt>
                <c:pt idx="6">
                  <c:v>0.22500000000000001</c:v>
                </c:pt>
                <c:pt idx="7">
                  <c:v>0.189</c:v>
                </c:pt>
                <c:pt idx="8">
                  <c:v>0.16600000000000001</c:v>
                </c:pt>
                <c:pt idx="9">
                  <c:v>0.14299999999999999</c:v>
                </c:pt>
                <c:pt idx="10">
                  <c:v>0.128</c:v>
                </c:pt>
                <c:pt idx="11">
                  <c:v>8.8999999999999996E-2</c:v>
                </c:pt>
                <c:pt idx="12">
                  <c:v>8.3000000000000004E-2</c:v>
                </c:pt>
                <c:pt idx="13">
                  <c:v>6.8000000000000005E-2</c:v>
                </c:pt>
                <c:pt idx="14">
                  <c:v>5.8999999999999997E-2</c:v>
                </c:pt>
                <c:pt idx="15">
                  <c:v>6.0999999999999999E-2</c:v>
                </c:pt>
                <c:pt idx="16">
                  <c:v>4.4999999999999998E-2</c:v>
                </c:pt>
              </c:numCache>
            </c:numRef>
          </c:val>
        </c:ser>
        <c:dLbls>
          <c:showLegendKey val="0"/>
          <c:showVal val="0"/>
          <c:showCatName val="0"/>
          <c:showSerName val="0"/>
          <c:showPercent val="0"/>
          <c:showBubbleSize val="0"/>
        </c:dLbls>
        <c:gapWidth val="150"/>
        <c:axId val="74028544"/>
        <c:axId val="74030080"/>
      </c:barChart>
      <c:catAx>
        <c:axId val="74028544"/>
        <c:scaling>
          <c:orientation val="minMax"/>
        </c:scaling>
        <c:delete val="0"/>
        <c:axPos val="b"/>
        <c:majorTickMark val="out"/>
        <c:minorTickMark val="none"/>
        <c:tickLblPos val="nextTo"/>
        <c:spPr>
          <a:ln w="9525">
            <a:solidFill>
              <a:sysClr val="windowText" lastClr="000000">
                <a:lumMod val="65000"/>
                <a:lumOff val="35000"/>
              </a:sysClr>
            </a:solidFill>
          </a:ln>
        </c:spPr>
        <c:txPr>
          <a:bodyPr/>
          <a:lstStyle/>
          <a:p>
            <a:pPr>
              <a:defRPr sz="1000"/>
            </a:pPr>
            <a:endParaRPr lang="en-US"/>
          </a:p>
        </c:txPr>
        <c:crossAx val="74030080"/>
        <c:crosses val="autoZero"/>
        <c:auto val="1"/>
        <c:lblAlgn val="ctr"/>
        <c:lblOffset val="100"/>
        <c:noMultiLvlLbl val="0"/>
      </c:catAx>
      <c:valAx>
        <c:axId val="74030080"/>
        <c:scaling>
          <c:orientation val="minMax"/>
          <c:max val="1"/>
          <c:min val="0"/>
        </c:scaling>
        <c:delete val="0"/>
        <c:axPos val="l"/>
        <c:title>
          <c:tx>
            <c:rich>
              <a:bodyPr rot="-5400000" vert="horz"/>
              <a:lstStyle/>
              <a:p>
                <a:pPr>
                  <a:defRPr/>
                </a:pPr>
                <a:r>
                  <a:rPr lang="en-AU" baseline="0"/>
                  <a:t>level of restrictivemess</a:t>
                </a:r>
                <a:endParaRPr lang="en-AU"/>
              </a:p>
            </c:rich>
          </c:tx>
          <c:layout>
            <c:manualLayout>
              <c:xMode val="edge"/>
              <c:yMode val="edge"/>
              <c:x val="1.8814814814814815E-2"/>
              <c:y val="0.13788472222222223"/>
            </c:manualLayout>
          </c:layout>
          <c:overlay val="0"/>
        </c:title>
        <c:numFmt formatCode="#,##0.0" sourceLinked="0"/>
        <c:majorTickMark val="out"/>
        <c:minorTickMark val="none"/>
        <c:tickLblPos val="nextTo"/>
        <c:spPr>
          <a:ln w="9525">
            <a:solidFill>
              <a:sysClr val="windowText" lastClr="000000">
                <a:lumMod val="75000"/>
                <a:lumOff val="25000"/>
              </a:sysClr>
            </a:solidFill>
          </a:ln>
        </c:spPr>
        <c:crossAx val="74028544"/>
        <c:crosses val="autoZero"/>
        <c:crossBetween val="between"/>
        <c:minorUnit val="2.0000000000000004E-2"/>
      </c:valAx>
      <c:spPr>
        <a:noFill/>
        <a:ln>
          <a:noFill/>
        </a:ln>
      </c:spPr>
    </c:plotArea>
    <c:plotVisOnly val="1"/>
    <c:dispBlanksAs val="gap"/>
    <c:showDLblsOverMax val="0"/>
  </c:chart>
  <c:spPr>
    <a:ln>
      <a:noFill/>
    </a:ln>
  </c:spPr>
  <c:txPr>
    <a:bodyPr/>
    <a:lstStyle/>
    <a:p>
      <a:pPr>
        <a:defRPr baseline="0">
          <a:latin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635EE-D184-4085-9F85-445341CAF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chapterANZ.dotm</Template>
  <TotalTime>54</TotalTime>
  <Pages>33</Pages>
  <Words>10301</Words>
  <Characters>60733</Characters>
  <Application>Microsoft Office Word</Application>
  <DocSecurity>0</DocSecurity>
  <Lines>506</Lines>
  <Paragraphs>141</Paragraphs>
  <ScaleCrop>false</ScaleCrop>
  <HeadingPairs>
    <vt:vector size="2" baseType="variant">
      <vt:variant>
        <vt:lpstr>Title</vt:lpstr>
      </vt:variant>
      <vt:variant>
        <vt:i4>1</vt:i4>
      </vt:variant>
    </vt:vector>
  </HeadingPairs>
  <TitlesOfParts>
    <vt:vector size="1" baseType="lpstr">
      <vt:lpstr>Barriers to foreign investment</vt:lpstr>
    </vt:vector>
  </TitlesOfParts>
  <Company>Productivity Commission</Company>
  <LinksUpToDate>false</LinksUpToDate>
  <CharactersWithSpaces>70893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Barriers to foreign investment</dc:title>
  <dc:subject>Report</dc:subject>
  <dc:creator/>
  <dc:description>1.</dc:description>
  <cp:lastModifiedBy>Productivity Commission</cp:lastModifiedBy>
  <cp:revision>27</cp:revision>
  <cp:lastPrinted>2012-12-02T11:36:00Z</cp:lastPrinted>
  <dcterms:created xsi:type="dcterms:W3CDTF">2012-12-02T11:39:00Z</dcterms:created>
  <dcterms:modified xsi:type="dcterms:W3CDTF">2012-12-11T22:30:00Z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-801205400</vt:i4>
  </property>
  <property fmtid="{D5CDD505-2E9C-101B-9397-08002B2CF9AE}" pid="3" name="_NewReviewCycle">
    <vt:lpwstr/>
  </property>
  <property fmtid="{D5CDD505-2E9C-101B-9397-08002B2CF9AE}" pid="4" name="_EmailSubject">
    <vt:lpwstr>Web files for the OZ-NZ final report [SEC=UNCLASSIFIED]</vt:lpwstr>
  </property>
  <property fmtid="{D5CDD505-2E9C-101B-9397-08002B2CF9AE}" pid="5" name="_AuthorEmail">
    <vt:lpwstr>Louise.Jordan@pc.gov.au</vt:lpwstr>
  </property>
  <property fmtid="{D5CDD505-2E9C-101B-9397-08002B2CF9AE}" pid="6" name="_AuthorEmailDisplayName">
    <vt:lpwstr>Jordan, Louise</vt:lpwstr>
  </property>
  <property fmtid="{D5CDD505-2E9C-101B-9397-08002B2CF9AE}" pid="7" name="_ReviewingToolsShownOnce">
    <vt:lpwstr/>
  </property>
</Properties>
</file>