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4B" w:rsidRPr="001F40D5" w:rsidRDefault="006D064B" w:rsidP="006D064B">
      <w:pPr>
        <w:pStyle w:val="Heading1"/>
      </w:pPr>
      <w:bookmarkStart w:id="0" w:name="_AppendixNotByChapter"/>
      <w:bookmarkStart w:id="1" w:name="ChapterNumber"/>
      <w:bookmarkEnd w:id="0"/>
      <w:r w:rsidRPr="001F40D5">
        <w:t>F</w:t>
      </w:r>
      <w:bookmarkEnd w:id="1"/>
      <w:r w:rsidRPr="001F40D5">
        <w:tab/>
        <w:t>Mutual recognition of imputation credits</w:t>
      </w:r>
    </w:p>
    <w:p w:rsidR="006D064B" w:rsidRDefault="006D064B" w:rsidP="006D064B">
      <w:pPr>
        <w:pStyle w:val="BodyText"/>
      </w:pPr>
      <w:bookmarkStart w:id="2" w:name="Begin"/>
      <w:bookmarkEnd w:id="2"/>
      <w:r w:rsidRPr="0000186D">
        <w:t>For a number of participants, the single step that would do most to strengthen trans-Tasman economic relations would be mutual recognition of dividend imputation tax credits</w:t>
      </w:r>
      <w:r>
        <w:t xml:space="preserve"> </w:t>
      </w:r>
      <w:r w:rsidRPr="00385961">
        <w:rPr>
          <w:szCs w:val="24"/>
        </w:rPr>
        <w:t>(</w:t>
      </w:r>
      <w:proofErr w:type="spellStart"/>
      <w:r w:rsidRPr="00385961">
        <w:rPr>
          <w:szCs w:val="24"/>
        </w:rPr>
        <w:t>MRIC</w:t>
      </w:r>
      <w:proofErr w:type="spellEnd"/>
      <w:r w:rsidRPr="00385961">
        <w:rPr>
          <w:szCs w:val="24"/>
        </w:rPr>
        <w:t>).</w:t>
      </w:r>
      <w:r w:rsidRPr="00385961">
        <w:rPr>
          <w:rStyle w:val="FootnoteReference"/>
          <w:szCs w:val="24"/>
        </w:rPr>
        <w:footnoteReference w:id="2"/>
      </w:r>
      <w:r>
        <w:rPr>
          <w:szCs w:val="24"/>
        </w:rPr>
        <w:t xml:space="preserve"> </w:t>
      </w:r>
      <w:r w:rsidRPr="00385961">
        <w:rPr>
          <w:szCs w:val="24"/>
        </w:rPr>
        <w:t xml:space="preserve">Under </w:t>
      </w:r>
      <w:proofErr w:type="spellStart"/>
      <w:r w:rsidRPr="00385961">
        <w:rPr>
          <w:szCs w:val="24"/>
        </w:rPr>
        <w:t>MRIC</w:t>
      </w:r>
      <w:proofErr w:type="spellEnd"/>
      <w:r w:rsidRPr="00385961">
        <w:rPr>
          <w:szCs w:val="24"/>
        </w:rPr>
        <w:t>, each government would recognise the imputation credits attached to dividends distributed to their resident shareholders by companies resident in the other country. It is a long-standing issue, having been debated for at least 20 years.</w:t>
      </w:r>
    </w:p>
    <w:p w:rsidR="006D064B" w:rsidRPr="00385961" w:rsidRDefault="006D064B" w:rsidP="006D064B">
      <w:pPr>
        <w:pStyle w:val="BodyText"/>
        <w:rPr>
          <w:szCs w:val="24"/>
        </w:rPr>
      </w:pPr>
      <w:r w:rsidRPr="00385961">
        <w:rPr>
          <w:szCs w:val="24"/>
        </w:rPr>
        <w:t xml:space="preserve">The Commissions have undertaken in-depth analysis of </w:t>
      </w:r>
      <w:proofErr w:type="spellStart"/>
      <w:r w:rsidRPr="00385961">
        <w:rPr>
          <w:szCs w:val="24"/>
        </w:rPr>
        <w:t>MRIC</w:t>
      </w:r>
      <w:proofErr w:type="spellEnd"/>
      <w:r w:rsidRPr="00385961">
        <w:rPr>
          <w:szCs w:val="24"/>
        </w:rPr>
        <w:t>. In addition to consideration of the input from submitters (box </w:t>
      </w:r>
      <w:proofErr w:type="spellStart"/>
      <w:r w:rsidR="00371318">
        <w:rPr>
          <w:szCs w:val="24"/>
        </w:rPr>
        <w:t>F.</w:t>
      </w:r>
      <w:r w:rsidRPr="00385961">
        <w:rPr>
          <w:szCs w:val="24"/>
        </w:rPr>
        <w:t>1</w:t>
      </w:r>
      <w:proofErr w:type="spellEnd"/>
      <w:r w:rsidRPr="00385961">
        <w:rPr>
          <w:szCs w:val="24"/>
        </w:rPr>
        <w:t xml:space="preserve">) and from participants in roundtables, a technical workshop of experts was held in late October 2012. The workshop provided an opportunity to obtain further technical input from the business, academic and policy communities, and to expose the Commissions’ own analysis to expert scrutiny. </w:t>
      </w:r>
      <w:r w:rsidR="00497EB5">
        <w:rPr>
          <w:szCs w:val="24"/>
        </w:rPr>
        <w:t xml:space="preserve">Focal points for the workshop were modelling of </w:t>
      </w:r>
      <w:proofErr w:type="spellStart"/>
      <w:r w:rsidR="00497EB5">
        <w:rPr>
          <w:szCs w:val="24"/>
        </w:rPr>
        <w:t>MRIC</w:t>
      </w:r>
      <w:proofErr w:type="spellEnd"/>
      <w:r w:rsidR="00497EB5">
        <w:rPr>
          <w:szCs w:val="24"/>
        </w:rPr>
        <w:t xml:space="preserve"> undertaken by the Centre for International Economics (CIE) for the Australia New</w:t>
      </w:r>
      <w:r w:rsidR="00FA5A9A">
        <w:rPr>
          <w:szCs w:val="24"/>
        </w:rPr>
        <w:t xml:space="preserve"> Zealand Leadership Forum (sub. </w:t>
      </w:r>
      <w:r w:rsidR="00497EB5">
        <w:rPr>
          <w:szCs w:val="24"/>
        </w:rPr>
        <w:t>58) and by the Australian Commission (</w:t>
      </w:r>
      <w:r w:rsidR="000E6542">
        <w:rPr>
          <w:szCs w:val="24"/>
        </w:rPr>
        <w:t>s</w:t>
      </w:r>
      <w:r w:rsidR="00497EB5">
        <w:rPr>
          <w:szCs w:val="24"/>
        </w:rPr>
        <w:t xml:space="preserve">upplementary </w:t>
      </w:r>
      <w:r w:rsidR="000E6542">
        <w:rPr>
          <w:szCs w:val="24"/>
        </w:rPr>
        <w:t>p</w:t>
      </w:r>
      <w:r w:rsidR="00497EB5">
        <w:rPr>
          <w:szCs w:val="24"/>
        </w:rPr>
        <w:t>aper G)</w:t>
      </w:r>
      <w:r w:rsidR="00934098">
        <w:rPr>
          <w:szCs w:val="24"/>
        </w:rPr>
        <w:t>.</w:t>
      </w:r>
      <w:r w:rsidR="00014464">
        <w:rPr>
          <w:rStyle w:val="FootnoteReference"/>
          <w:szCs w:val="24"/>
        </w:rPr>
        <w:footnoteReference w:id="3"/>
      </w:r>
    </w:p>
    <w:p w:rsidR="006D064B" w:rsidRPr="001F40D5" w:rsidRDefault="006D064B" w:rsidP="006D064B">
      <w:pPr>
        <w:pStyle w:val="Heading2"/>
        <w:rPr>
          <w:rFonts w:cs="Arial"/>
        </w:rPr>
      </w:pPr>
      <w:r w:rsidRPr="001F40D5">
        <w:rPr>
          <w:rFonts w:cs="Arial"/>
        </w:rPr>
        <w:fldChar w:fldCharType="begin"/>
      </w:r>
      <w:r w:rsidRPr="001F40D5">
        <w:rPr>
          <w:rFonts w:cs="Arial"/>
        </w:rPr>
        <w:instrText xml:space="preserve"> COMMENTS  \* MERGEFORMAT </w:instrText>
      </w:r>
      <w:r w:rsidRPr="001F40D5">
        <w:rPr>
          <w:rFonts w:cs="Arial"/>
        </w:rPr>
        <w:fldChar w:fldCharType="separate"/>
      </w:r>
      <w:proofErr w:type="spellStart"/>
      <w:r w:rsidRPr="001F40D5">
        <w:rPr>
          <w:rFonts w:cs="Arial"/>
        </w:rPr>
        <w:t>F.</w:t>
      </w:r>
      <w:r w:rsidRPr="001F40D5">
        <w:rPr>
          <w:rFonts w:cs="Arial"/>
        </w:rPr>
        <w:fldChar w:fldCharType="end"/>
      </w:r>
      <w:r w:rsidRPr="001F40D5">
        <w:rPr>
          <w:rFonts w:cs="Arial"/>
        </w:rPr>
        <w:fldChar w:fldCharType="begin"/>
      </w:r>
      <w:r w:rsidRPr="001F40D5">
        <w:rPr>
          <w:rFonts w:cs="Arial"/>
        </w:rPr>
        <w:instrText xml:space="preserve"> SEQ Heading2 </w:instrText>
      </w:r>
      <w:r w:rsidRPr="001F40D5">
        <w:rPr>
          <w:rFonts w:cs="Arial"/>
        </w:rPr>
        <w:fldChar w:fldCharType="separate"/>
      </w:r>
      <w:r w:rsidR="008568A0">
        <w:rPr>
          <w:rFonts w:cs="Arial"/>
          <w:noProof/>
        </w:rPr>
        <w:t>1</w:t>
      </w:r>
      <w:proofErr w:type="spellEnd"/>
      <w:r w:rsidRPr="001F40D5">
        <w:rPr>
          <w:rFonts w:cs="Arial"/>
          <w:noProof/>
        </w:rPr>
        <w:fldChar w:fldCharType="end"/>
      </w:r>
      <w:r w:rsidRPr="001F40D5">
        <w:rPr>
          <w:rFonts w:cs="Arial"/>
        </w:rPr>
        <w:tab/>
        <w:t>Background</w:t>
      </w:r>
    </w:p>
    <w:p w:rsidR="006D064B" w:rsidRDefault="006D064B" w:rsidP="006D064B">
      <w:pPr>
        <w:pStyle w:val="BodyText"/>
      </w:pPr>
      <w:r>
        <w:t xml:space="preserve">Most governments tax both </w:t>
      </w:r>
      <w:r w:rsidR="000E6542">
        <w:t xml:space="preserve">the </w:t>
      </w:r>
      <w:r>
        <w:t xml:space="preserve">income generated within their economies (the </w:t>
      </w:r>
      <w:r w:rsidR="000E6542">
        <w:t>‘</w:t>
      </w:r>
      <w:r>
        <w:t>source principle</w:t>
      </w:r>
      <w:r w:rsidR="000E6542">
        <w:t>’</w:t>
      </w:r>
      <w:r>
        <w:t xml:space="preserve">) and the world-wide income of their residents (the </w:t>
      </w:r>
      <w:r w:rsidR="000E6542">
        <w:t>‘</w:t>
      </w:r>
      <w:r>
        <w:t>residence principle</w:t>
      </w:r>
      <w:r w:rsidR="000E6542">
        <w:t>’</w:t>
      </w:r>
      <w:r>
        <w:t xml:space="preserve">). This results in double taxation of income </w:t>
      </w:r>
      <w:r w:rsidR="009046AC">
        <w:t>when a</w:t>
      </w:r>
      <w:r w:rsidR="003B5214">
        <w:t>n</w:t>
      </w:r>
      <w:r>
        <w:t xml:space="preserve"> earner is a resident of one country and the income is earned in another.</w:t>
      </w:r>
    </w:p>
    <w:p w:rsidR="006D064B" w:rsidRPr="0000186D" w:rsidRDefault="006D064B" w:rsidP="006D064B">
      <w:pPr>
        <w:pStyle w:val="BodyText"/>
      </w:pPr>
      <w:r>
        <w:lastRenderedPageBreak/>
        <w:t xml:space="preserve">Double taxation has harmful effects on the international exchange of goods and services and cross-border movements of capital, technology and </w:t>
      </w:r>
      <w:r w:rsidR="000E6542">
        <w:t>people</w:t>
      </w:r>
      <w:r>
        <w:t>. In recognition of the need to remove this obstacle to the development of economic relations between countries, both the UN and the OECD have developed Model Convention</w:t>
      </w:r>
      <w:r w:rsidR="00FA5A9A">
        <w:t>s for double tax agreements (UN 2011; OECD </w:t>
      </w:r>
      <w:r>
        <w:t xml:space="preserve">2010). These provide a basis for allocating taxing rights between the source country, within which income is generated, and the country of residence of the income earner. A broad principle reflected in the Conventions is that the source country generally has first taxing rights on business income where a minimum threshold of physical presence by the business is met, with the business owner’s country of residence recognising tax paid in the source country. The </w:t>
      </w:r>
      <w:r w:rsidR="00934098">
        <w:t xml:space="preserve">double tax arrangements between </w:t>
      </w:r>
      <w:r>
        <w:t>Australia and New Zealand broadly conform with the OECD Convention.</w:t>
      </w:r>
    </w:p>
    <w:p w:rsidR="00C20CBA" w:rsidRDefault="00C20CBA" w:rsidP="008C330A">
      <w:pPr>
        <w:pStyle w:val="BodyText"/>
      </w:pPr>
      <w:r>
        <w:t>One element of double taxation not addressed by double tax agreements is where a company earns income in one country and its shareholders are resident in another. This omission reflects that most countries operate the ‘classical system’ for taxing companies and their shareholders. Under the classical system, a company is taxed on its earnings as an entity in its own right, and dividends are additionally taxed as income in the hands of shareholders. In other words, taxation of company income at both the company and shareholder level is an intended feature. Many countries, however, tax capital income such as dividends relatively lightly. For example, they have social security taxes that apply only to labour income, or they tax capital income at lower rate than labour income (OECD 2007).</w:t>
      </w:r>
    </w:p>
    <w:p w:rsidR="006178EF" w:rsidRDefault="006178EF" w:rsidP="008C330A">
      <w:pPr>
        <w:pStyle w:val="BoxSpace"/>
        <w:keepNext w:val="0"/>
        <w:spacing w:before="24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D064B" w:rsidRPr="00385961" w:rsidTr="00497EB5">
        <w:tc>
          <w:tcPr>
            <w:tcW w:w="8771" w:type="dxa"/>
            <w:tcBorders>
              <w:top w:val="nil"/>
              <w:left w:val="nil"/>
              <w:bottom w:val="nil"/>
              <w:right w:val="nil"/>
            </w:tcBorders>
            <w:shd w:val="clear" w:color="auto" w:fill="D9EAF0"/>
          </w:tcPr>
          <w:p w:rsidR="006D064B" w:rsidRPr="00385961" w:rsidRDefault="006D064B" w:rsidP="006178EF">
            <w:pPr>
              <w:pStyle w:val="BoxTitle"/>
              <w:keepNext w:val="0"/>
              <w:keepLines w:val="0"/>
              <w:rPr>
                <w:b w:val="0"/>
                <w:szCs w:val="24"/>
                <w:lang w:val="en-AU" w:eastAsia="en-AU"/>
              </w:rPr>
            </w:pPr>
            <w:r w:rsidRPr="00385961">
              <w:rPr>
                <w:b w:val="0"/>
                <w:szCs w:val="24"/>
                <w:lang w:val="en-AU" w:eastAsia="en-AU"/>
              </w:rPr>
              <w:t xml:space="preserve">Box </w:t>
            </w:r>
            <w:r w:rsidRPr="00385961">
              <w:rPr>
                <w:b w:val="0"/>
                <w:szCs w:val="24"/>
                <w:lang w:val="en-AU" w:eastAsia="en-AU"/>
              </w:rPr>
              <w:fldChar w:fldCharType="begin"/>
            </w:r>
            <w:r w:rsidRPr="00385961">
              <w:rPr>
                <w:b w:val="0"/>
                <w:szCs w:val="24"/>
                <w:lang w:val="en-AU" w:eastAsia="en-AU"/>
              </w:rPr>
              <w:instrText xml:space="preserve"> COMMENTS  \* MERGEFORMAT </w:instrText>
            </w:r>
            <w:r w:rsidRPr="00385961">
              <w:rPr>
                <w:b w:val="0"/>
                <w:szCs w:val="24"/>
                <w:lang w:val="en-AU" w:eastAsia="en-AU"/>
              </w:rPr>
              <w:fldChar w:fldCharType="separate"/>
            </w:r>
            <w:proofErr w:type="spellStart"/>
            <w:r w:rsidRPr="00385961">
              <w:rPr>
                <w:b w:val="0"/>
                <w:szCs w:val="24"/>
                <w:lang w:val="en-AU" w:eastAsia="en-AU"/>
              </w:rPr>
              <w:t>F.</w:t>
            </w:r>
            <w:r w:rsidRPr="00385961">
              <w:rPr>
                <w:b w:val="0"/>
                <w:szCs w:val="24"/>
                <w:lang w:val="en-AU" w:eastAsia="en-AU"/>
              </w:rPr>
              <w:fldChar w:fldCharType="end"/>
            </w:r>
            <w:r w:rsidRPr="00385961">
              <w:rPr>
                <w:b w:val="0"/>
                <w:szCs w:val="24"/>
                <w:lang w:val="en-AU" w:eastAsia="en-AU"/>
              </w:rPr>
              <w:fldChar w:fldCharType="begin"/>
            </w:r>
            <w:r w:rsidRPr="00385961">
              <w:rPr>
                <w:b w:val="0"/>
                <w:szCs w:val="24"/>
                <w:lang w:val="en-AU" w:eastAsia="en-AU"/>
              </w:rPr>
              <w:instrText xml:space="preserve"> SEQ Box \* ARABIC </w:instrText>
            </w:r>
            <w:r w:rsidRPr="00385961">
              <w:rPr>
                <w:b w:val="0"/>
                <w:szCs w:val="24"/>
                <w:lang w:val="en-AU" w:eastAsia="en-AU"/>
              </w:rPr>
              <w:fldChar w:fldCharType="separate"/>
            </w:r>
            <w:r w:rsidR="008568A0">
              <w:rPr>
                <w:b w:val="0"/>
                <w:noProof/>
                <w:szCs w:val="24"/>
                <w:lang w:val="en-AU" w:eastAsia="en-AU"/>
              </w:rPr>
              <w:t>1</w:t>
            </w:r>
            <w:proofErr w:type="spellEnd"/>
            <w:r w:rsidRPr="00385961">
              <w:rPr>
                <w:b w:val="0"/>
                <w:szCs w:val="24"/>
                <w:lang w:val="en-AU" w:eastAsia="en-AU"/>
              </w:rPr>
              <w:fldChar w:fldCharType="end"/>
            </w:r>
            <w:r w:rsidRPr="00385961">
              <w:rPr>
                <w:b w:val="0"/>
                <w:szCs w:val="24"/>
                <w:lang w:val="en-AU" w:eastAsia="en-AU"/>
              </w:rPr>
              <w:tab/>
            </w:r>
            <w:r w:rsidRPr="006A47DB">
              <w:rPr>
                <w:szCs w:val="24"/>
                <w:lang w:val="en-AU" w:eastAsia="en-AU"/>
              </w:rPr>
              <w:t>Participants’ comments</w:t>
            </w:r>
            <w:r w:rsidR="00C20CBA">
              <w:rPr>
                <w:szCs w:val="24"/>
                <w:lang w:val="en-AU" w:eastAsia="en-AU"/>
              </w:rPr>
              <w:t xml:space="preserve"> on </w:t>
            </w:r>
            <w:proofErr w:type="spellStart"/>
            <w:r w:rsidR="00C20CBA">
              <w:rPr>
                <w:szCs w:val="24"/>
                <w:lang w:val="en-AU" w:eastAsia="en-AU"/>
              </w:rPr>
              <w:t>MRIC</w:t>
            </w:r>
            <w:proofErr w:type="spellEnd"/>
          </w:p>
        </w:tc>
      </w:tr>
      <w:tr w:rsidR="006D064B" w:rsidRPr="00385961" w:rsidTr="00497EB5">
        <w:tc>
          <w:tcPr>
            <w:tcW w:w="8771" w:type="dxa"/>
            <w:tcBorders>
              <w:top w:val="nil"/>
              <w:left w:val="nil"/>
              <w:bottom w:val="nil"/>
              <w:right w:val="nil"/>
            </w:tcBorders>
            <w:shd w:val="clear" w:color="auto" w:fill="D9EAF0"/>
          </w:tcPr>
          <w:p w:rsidR="006D064B" w:rsidRPr="001F7356" w:rsidRDefault="006D064B" w:rsidP="006178EF">
            <w:pPr>
              <w:pStyle w:val="Box"/>
              <w:keepNext w:val="0"/>
            </w:pPr>
            <w:r w:rsidRPr="004F7DE3">
              <w:t>Mutual recognition has advantages</w:t>
            </w:r>
          </w:p>
          <w:p w:rsidR="006D064B" w:rsidRPr="00385961" w:rsidRDefault="006D064B" w:rsidP="006178EF">
            <w:pPr>
              <w:pStyle w:val="BoxQuote"/>
              <w:keepNext w:val="0"/>
            </w:pPr>
            <w:r w:rsidRPr="00385961">
              <w:t>Under mutual recognition the capital markets of Australia and NZ would become more integrated and competitive. The pool of investors from which capital could be sourced would be expanded and the cost of capital reduced as equity returns would no longer carry the tax inefficiency from double taxation. (</w:t>
            </w:r>
            <w:proofErr w:type="spellStart"/>
            <w:r w:rsidRPr="00385961">
              <w:t>ANZ</w:t>
            </w:r>
            <w:proofErr w:type="spellEnd"/>
            <w:r w:rsidRPr="00385961">
              <w:t>, sub. 50, p. 6)</w:t>
            </w:r>
          </w:p>
          <w:p w:rsidR="006D064B" w:rsidRPr="00385961" w:rsidRDefault="006D064B" w:rsidP="006178EF">
            <w:pPr>
              <w:pStyle w:val="BoxQuote"/>
              <w:keepNext w:val="0"/>
            </w:pPr>
            <w:r w:rsidRPr="00385961">
              <w:t>Australia and New Zealand cannot progress to a genuine single economic and investment market without mutual recognition of franking credits. (Australian Bankers</w:t>
            </w:r>
            <w:r w:rsidR="006C2A0A">
              <w:t>’</w:t>
            </w:r>
            <w:r w:rsidRPr="00385961">
              <w:t xml:space="preserve"> Association, sub. 37, p. 1)</w:t>
            </w:r>
          </w:p>
          <w:p w:rsidR="006D064B" w:rsidRDefault="006D064B" w:rsidP="006178EF">
            <w:pPr>
              <w:pStyle w:val="BoxQuote"/>
              <w:keepNext w:val="0"/>
            </w:pPr>
            <w:r w:rsidRPr="00385961">
              <w:t xml:space="preserve">The lack of mutual recognition of </w:t>
            </w:r>
            <w:proofErr w:type="spellStart"/>
            <w:r w:rsidRPr="00385961">
              <w:t>MRIC</w:t>
            </w:r>
            <w:proofErr w:type="spellEnd"/>
            <w:r w:rsidRPr="00385961">
              <w:t xml:space="preserve"> is discouraging to </w:t>
            </w:r>
            <w:proofErr w:type="spellStart"/>
            <w:r w:rsidRPr="00385961">
              <w:t>Temperzone’s</w:t>
            </w:r>
            <w:proofErr w:type="spellEnd"/>
            <w:r w:rsidRPr="00385961">
              <w:t xml:space="preserve"> efforts to expand the growth of its exports and the resultant inefficiency of capital investment decisions is detrimental to the New Zealand economy. (</w:t>
            </w:r>
            <w:proofErr w:type="spellStart"/>
            <w:r w:rsidRPr="00385961">
              <w:t>Temperzone</w:t>
            </w:r>
            <w:proofErr w:type="spellEnd"/>
            <w:r w:rsidRPr="00385961">
              <w:t>, sub.</w:t>
            </w:r>
            <w:r w:rsidR="00FA5A9A">
              <w:t> </w:t>
            </w:r>
            <w:proofErr w:type="spellStart"/>
            <w:r w:rsidRPr="00385961">
              <w:t>DR63</w:t>
            </w:r>
            <w:proofErr w:type="spellEnd"/>
            <w:r w:rsidRPr="00385961">
              <w:t>, p. 1)</w:t>
            </w:r>
          </w:p>
          <w:p w:rsidR="006D064B" w:rsidRDefault="006D064B" w:rsidP="006178EF">
            <w:pPr>
              <w:pStyle w:val="BoxQuote"/>
              <w:keepNext w:val="0"/>
            </w:pPr>
            <w:r w:rsidRPr="00385961">
              <w:t xml:space="preserve">Under </w:t>
            </w:r>
            <w:proofErr w:type="spellStart"/>
            <w:r w:rsidRPr="00385961">
              <w:t>MRIC</w:t>
            </w:r>
            <w:proofErr w:type="spellEnd"/>
            <w:r w:rsidRPr="00385961">
              <w:t>, the capital markets of Australia and New Zealand would become more integrated and efficient. A deeper pool of capital would result. Vibrant competitive capital markets are essential if Australasia wishes to fully capture the opportunities arising from Asian growth</w:t>
            </w:r>
            <w:r w:rsidR="009046AC">
              <w:t>.</w:t>
            </w:r>
            <w:r w:rsidRPr="00385961">
              <w:t xml:space="preserve"> (Institute of Finance Professionals, sub.</w:t>
            </w:r>
            <w:r w:rsidR="00FA5A9A">
              <w:t> </w:t>
            </w:r>
            <w:proofErr w:type="spellStart"/>
            <w:r w:rsidRPr="00385961">
              <w:t>DR92</w:t>
            </w:r>
            <w:proofErr w:type="spellEnd"/>
            <w:r w:rsidRPr="00385961">
              <w:t>, p. 2)</w:t>
            </w:r>
          </w:p>
          <w:p w:rsidR="006D064B" w:rsidRPr="00385961" w:rsidRDefault="006058BF" w:rsidP="006178EF">
            <w:pPr>
              <w:pStyle w:val="Continued"/>
            </w:pPr>
            <w:r>
              <w:t>(Continued next page)</w:t>
            </w:r>
          </w:p>
        </w:tc>
      </w:tr>
      <w:tr w:rsidR="006D064B" w:rsidRPr="004F7DE3" w:rsidTr="00497EB5">
        <w:trPr>
          <w:cantSplit/>
        </w:trPr>
        <w:tc>
          <w:tcPr>
            <w:tcW w:w="8771" w:type="dxa"/>
            <w:tcBorders>
              <w:top w:val="nil"/>
              <w:left w:val="nil"/>
              <w:bottom w:val="nil"/>
              <w:right w:val="nil"/>
            </w:tcBorders>
            <w:shd w:val="clear" w:color="auto" w:fill="D9EAF0"/>
          </w:tcPr>
          <w:p w:rsidR="006D064B" w:rsidRPr="004F7DE3" w:rsidRDefault="006D064B" w:rsidP="006178EF">
            <w:pPr>
              <w:pStyle w:val="Box"/>
              <w:keepNext w:val="0"/>
              <w:spacing w:before="0" w:line="120" w:lineRule="exact"/>
              <w:rPr>
                <w:rFonts w:cs="Arial"/>
                <w:szCs w:val="22"/>
              </w:rPr>
            </w:pPr>
          </w:p>
        </w:tc>
      </w:tr>
    </w:tbl>
    <w:p w:rsidR="006058BF" w:rsidRDefault="006058BF" w:rsidP="006178EF">
      <w:pPr>
        <w:pStyle w:val="BoxSpace"/>
        <w:spacing w:before="24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058BF" w:rsidTr="006058BF">
        <w:tc>
          <w:tcPr>
            <w:tcW w:w="8771" w:type="dxa"/>
            <w:tcBorders>
              <w:top w:val="nil"/>
              <w:left w:val="nil"/>
              <w:bottom w:val="nil"/>
              <w:right w:val="nil"/>
            </w:tcBorders>
            <w:shd w:val="clear" w:color="auto" w:fill="D9EAF0"/>
          </w:tcPr>
          <w:p w:rsidR="006058BF" w:rsidRDefault="006058BF" w:rsidP="006058BF">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t>1</w:t>
            </w:r>
            <w:proofErr w:type="spellEnd"/>
            <w:r>
              <w:tab/>
            </w:r>
            <w:r w:rsidRPr="006058BF">
              <w:rPr>
                <w:b w:val="0"/>
                <w:sz w:val="18"/>
                <w:szCs w:val="18"/>
              </w:rPr>
              <w:t>(continued)</w:t>
            </w:r>
          </w:p>
        </w:tc>
      </w:tr>
      <w:tr w:rsidR="006058BF" w:rsidTr="006058BF">
        <w:trPr>
          <w:cantSplit/>
        </w:trPr>
        <w:tc>
          <w:tcPr>
            <w:tcW w:w="8771" w:type="dxa"/>
            <w:tcBorders>
              <w:top w:val="nil"/>
              <w:left w:val="nil"/>
              <w:bottom w:val="nil"/>
              <w:right w:val="nil"/>
            </w:tcBorders>
            <w:shd w:val="clear" w:color="auto" w:fill="D9EAF0"/>
          </w:tcPr>
          <w:p w:rsidR="006058BF" w:rsidRDefault="006058BF" w:rsidP="006178EF">
            <w:pPr>
              <w:pStyle w:val="BoxQuote"/>
              <w:spacing w:line="251" w:lineRule="exact"/>
            </w:pPr>
            <w:r w:rsidRPr="006058BF">
              <w:t xml:space="preserve">Essentially, the lack of mutual recognition of tax credits is a form of tariff on trans-Tasman investment flows. As a result, resources are not allocated efficiently because of the incidence of double taxation on the same income flow, which results in distortion of investment decisions. (New Zealand Institute of Chartered Accountants, sub. </w:t>
            </w:r>
            <w:proofErr w:type="spellStart"/>
            <w:r w:rsidRPr="006058BF">
              <w:t>DR116</w:t>
            </w:r>
            <w:proofErr w:type="spellEnd"/>
            <w:r w:rsidRPr="006058BF">
              <w:t>, p. 6)</w:t>
            </w:r>
          </w:p>
          <w:p w:rsidR="006058BF" w:rsidRPr="001F7356" w:rsidRDefault="006058BF" w:rsidP="006178EF">
            <w:pPr>
              <w:pStyle w:val="Box"/>
              <w:spacing w:before="100"/>
            </w:pPr>
            <w:r w:rsidRPr="004F7DE3">
              <w:t>The two countries would be affected differently</w:t>
            </w:r>
          </w:p>
          <w:p w:rsidR="006058BF" w:rsidRPr="00385961" w:rsidRDefault="006058BF" w:rsidP="006178EF">
            <w:pPr>
              <w:pStyle w:val="BoxQuote"/>
              <w:spacing w:line="251" w:lineRule="exact"/>
            </w:pPr>
            <w:r w:rsidRPr="00385961">
              <w:t>CPA Australia supports the introduction of a Mutual Recognition Regime [</w:t>
            </w:r>
            <w:proofErr w:type="spellStart"/>
            <w:r w:rsidRPr="00385961">
              <w:t>MRR</w:t>
            </w:r>
            <w:proofErr w:type="spellEnd"/>
            <w:r w:rsidRPr="00385961">
              <w:t xml:space="preserve">] in respect of imputation credits between Australia and NZ. …. any </w:t>
            </w:r>
            <w:proofErr w:type="spellStart"/>
            <w:r w:rsidRPr="00385961">
              <w:t>MRR</w:t>
            </w:r>
            <w:proofErr w:type="spellEnd"/>
            <w:r w:rsidRPr="00385961">
              <w:t xml:space="preserve"> is likely to be more costly for Australia than for NZ, given the greater Australian investment in NZ than vice versa. Solutions for addressing this would need to be considered as part of any </w:t>
            </w:r>
            <w:proofErr w:type="spellStart"/>
            <w:r w:rsidRPr="00385961">
              <w:t>MRR</w:t>
            </w:r>
            <w:proofErr w:type="spellEnd"/>
            <w:r w:rsidRPr="00385961">
              <w:t xml:space="preserve">. One option could be to require each country to pay some form of subsidy to the other for the tax credits provided by the other country to its residents. This approach would address the higher cost of an </w:t>
            </w:r>
            <w:proofErr w:type="spellStart"/>
            <w:r w:rsidRPr="00385961">
              <w:t>MRR</w:t>
            </w:r>
            <w:proofErr w:type="spellEnd"/>
            <w:r w:rsidRPr="00385961">
              <w:t xml:space="preserve"> for Australia, thereby making it more economically viable for an </w:t>
            </w:r>
            <w:proofErr w:type="spellStart"/>
            <w:r w:rsidRPr="00385961">
              <w:t>MRR</w:t>
            </w:r>
            <w:proofErr w:type="spellEnd"/>
            <w:r w:rsidRPr="00385961">
              <w:t xml:space="preserve"> to be negotiated between the two countries. (CPA Australia, sub. 53, pp. 2–3)</w:t>
            </w:r>
          </w:p>
          <w:p w:rsidR="006058BF" w:rsidRPr="001F7356" w:rsidRDefault="006058BF" w:rsidP="006178EF">
            <w:pPr>
              <w:pStyle w:val="Box"/>
              <w:spacing w:before="100"/>
            </w:pPr>
            <w:r w:rsidRPr="004F7DE3">
              <w:t>Time to bring the issue to a conclusion</w:t>
            </w:r>
          </w:p>
          <w:p w:rsidR="006058BF" w:rsidRPr="001F7356" w:rsidRDefault="006058BF" w:rsidP="006178EF">
            <w:pPr>
              <w:pStyle w:val="BoxQuote"/>
              <w:spacing w:line="251" w:lineRule="exact"/>
              <w:rPr>
                <w:i/>
              </w:rPr>
            </w:pPr>
            <w:r w:rsidRPr="00385961">
              <w:t xml:space="preserve">Whilst accepting that the issues are complex, given the length of time </w:t>
            </w:r>
            <w:r w:rsidRPr="004F7DE3">
              <w:t xml:space="preserve">over which </w:t>
            </w:r>
            <w:r w:rsidRPr="00385961">
              <w:t>this issue has been considered,</w:t>
            </w:r>
            <w:r w:rsidRPr="004F7DE3">
              <w:t xml:space="preserve"> the Group believes that it is preferable that a resolution is reached in order to bring finality to the issue</w:t>
            </w:r>
            <w:r w:rsidRPr="001F7356">
              <w:t>.</w:t>
            </w:r>
            <w:r w:rsidRPr="00B618DA">
              <w:t xml:space="preserve"> (Corporate Taxpayers Group, sub.</w:t>
            </w:r>
            <w:r>
              <w:t> </w:t>
            </w:r>
            <w:proofErr w:type="spellStart"/>
            <w:r w:rsidRPr="00385961">
              <w:t>DR65</w:t>
            </w:r>
            <w:proofErr w:type="spellEnd"/>
            <w:r w:rsidRPr="00385961">
              <w:t>, p.</w:t>
            </w:r>
            <w:r w:rsidRPr="004F7DE3">
              <w:t> </w:t>
            </w:r>
            <w:r w:rsidRPr="00385961">
              <w:t>1</w:t>
            </w:r>
            <w:r w:rsidRPr="004F7DE3">
              <w:t>)</w:t>
            </w:r>
          </w:p>
          <w:p w:rsidR="006058BF" w:rsidRPr="004F7DE3" w:rsidRDefault="006058BF" w:rsidP="006178EF">
            <w:pPr>
              <w:pStyle w:val="BoxQuote"/>
              <w:spacing w:line="251" w:lineRule="exact"/>
            </w:pPr>
            <w:r w:rsidRPr="00385961">
              <w:t>More leadership, not more analysis, is needed to bring this issue to a successful conclusion</w:t>
            </w:r>
            <w:r w:rsidRPr="004F7DE3">
              <w:t>.</w:t>
            </w:r>
            <w:r w:rsidRPr="00385961">
              <w:t xml:space="preserve"> (Australia New Zealand Leadership Forum, sub</w:t>
            </w:r>
            <w:r w:rsidRPr="004F7DE3">
              <w:t>.</w:t>
            </w:r>
            <w:r>
              <w:t> </w:t>
            </w:r>
            <w:proofErr w:type="spellStart"/>
            <w:r w:rsidRPr="004F7DE3">
              <w:t>DR</w:t>
            </w:r>
            <w:r w:rsidRPr="00385961">
              <w:t>120</w:t>
            </w:r>
            <w:proofErr w:type="spellEnd"/>
            <w:r w:rsidRPr="004F7DE3">
              <w:t>, p</w:t>
            </w:r>
            <w:r w:rsidRPr="001F7356">
              <w:t>.</w:t>
            </w:r>
            <w:r w:rsidRPr="00B618DA">
              <w:t> 2</w:t>
            </w:r>
            <w:r w:rsidRPr="00385961">
              <w:t>)</w:t>
            </w:r>
          </w:p>
          <w:p w:rsidR="006058BF" w:rsidRPr="001F7356" w:rsidRDefault="006058BF" w:rsidP="006178EF">
            <w:pPr>
              <w:pStyle w:val="Box"/>
              <w:spacing w:before="100"/>
            </w:pPr>
            <w:r w:rsidRPr="004F7DE3">
              <w:t>Unilateral action?</w:t>
            </w:r>
          </w:p>
          <w:p w:rsidR="006058BF" w:rsidRDefault="006058BF" w:rsidP="006C2A0A">
            <w:pPr>
              <w:pStyle w:val="BoxQuote"/>
              <w:spacing w:line="251" w:lineRule="exact"/>
            </w:pPr>
            <w:r w:rsidRPr="00385961">
              <w:t xml:space="preserve">Should the Australian Government not support a full mutual recognition policy, </w:t>
            </w:r>
            <w:proofErr w:type="spellStart"/>
            <w:r w:rsidRPr="00385961">
              <w:t>NZVCA</w:t>
            </w:r>
            <w:proofErr w:type="spellEnd"/>
            <w:r w:rsidRPr="00385961">
              <w:t xml:space="preserve"> considers the New Zealand Government should still consider a policy whereby a full tax credit is available in New Zealand for Australian franking credits. This policy may give rise to an initial revenue loss to the New Zealand Government. However, </w:t>
            </w:r>
            <w:proofErr w:type="spellStart"/>
            <w:r w:rsidRPr="00385961">
              <w:t>NZVCA</w:t>
            </w:r>
            <w:proofErr w:type="spellEnd"/>
            <w:r w:rsidRPr="00385961">
              <w:t xml:space="preserve"> considers longer term benefits to New Zealand will outweigh any initial cost. (New Zealand Venture Capital Association, sub. 32, p. 2)</w:t>
            </w:r>
          </w:p>
        </w:tc>
      </w:tr>
      <w:tr w:rsidR="006058BF" w:rsidTr="006058BF">
        <w:trPr>
          <w:cantSplit/>
        </w:trPr>
        <w:tc>
          <w:tcPr>
            <w:tcW w:w="8771" w:type="dxa"/>
            <w:tcBorders>
              <w:top w:val="nil"/>
              <w:left w:val="nil"/>
              <w:bottom w:val="nil"/>
              <w:right w:val="nil"/>
            </w:tcBorders>
            <w:shd w:val="clear" w:color="auto" w:fill="D9EAF0"/>
          </w:tcPr>
          <w:p w:rsidR="006058BF" w:rsidRDefault="006058BF">
            <w:pPr>
              <w:pStyle w:val="Box"/>
              <w:spacing w:before="0" w:line="120" w:lineRule="exact"/>
            </w:pPr>
          </w:p>
        </w:tc>
      </w:tr>
      <w:tr w:rsidR="006058BF" w:rsidRPr="006058BF" w:rsidTr="006058BF">
        <w:tc>
          <w:tcPr>
            <w:tcW w:w="8771" w:type="dxa"/>
            <w:tcBorders>
              <w:top w:val="nil"/>
              <w:left w:val="nil"/>
              <w:bottom w:val="nil"/>
              <w:right w:val="nil"/>
            </w:tcBorders>
          </w:tcPr>
          <w:p w:rsidR="006058BF" w:rsidRPr="006058BF" w:rsidRDefault="006058BF">
            <w:pPr>
              <w:pStyle w:val="Box"/>
              <w:keepNext w:val="0"/>
              <w:spacing w:before="60" w:after="60" w:line="80" w:lineRule="exact"/>
              <w:rPr>
                <w:b/>
                <w:color w:val="auto"/>
                <w:sz w:val="14"/>
              </w:rPr>
            </w:pPr>
          </w:p>
        </w:tc>
      </w:tr>
    </w:tbl>
    <w:p w:rsidR="006D064B" w:rsidRDefault="006D064B" w:rsidP="006178EF">
      <w:pPr>
        <w:pStyle w:val="BodyText"/>
        <w:spacing w:before="160" w:line="310" w:lineRule="atLeast"/>
      </w:pPr>
      <w:r>
        <w:t xml:space="preserve">Australia and New Zealand have adopted a different approach to mitigating the double taxation of company income, by </w:t>
      </w:r>
      <w:r w:rsidR="009046AC">
        <w:t xml:space="preserve">each </w:t>
      </w:r>
      <w:r>
        <w:t xml:space="preserve">adopting </w:t>
      </w:r>
      <w:r w:rsidR="009046AC">
        <w:t xml:space="preserve">a </w:t>
      </w:r>
      <w:r>
        <w:t>dividend imputation system. This is a mechanism that integrates taxation of company income and the personal income of shareholders. It works by taxing dividends in the hands of shareholders on the basis of the pre-tax company income that underlies the dividends, but with shareholders being able to claim a credit for tax paid at the company level (</w:t>
      </w:r>
      <w:r w:rsidR="002963F1">
        <w:t xml:space="preserve">figure </w:t>
      </w:r>
      <w:proofErr w:type="spellStart"/>
      <w:r w:rsidR="002963F1">
        <w:t>F.</w:t>
      </w:r>
      <w:r>
        <w:t>1</w:t>
      </w:r>
      <w:proofErr w:type="spellEnd"/>
      <w:r>
        <w:t>). This, in effect, makes the company tax a withholding tax (</w:t>
      </w:r>
      <w:r w:rsidR="00DF4ACA">
        <w:t xml:space="preserve">Bob Officer, pers. comm., 31 October </w:t>
      </w:r>
      <w:r>
        <w:t>2012).</w:t>
      </w:r>
    </w:p>
    <w:p w:rsidR="006D064B" w:rsidRDefault="006D064B" w:rsidP="006178EF">
      <w:pPr>
        <w:pStyle w:val="BodyText"/>
        <w:spacing w:before="160" w:line="310" w:lineRule="atLeast"/>
      </w:pPr>
      <w:r>
        <w:t>The motivation for this integrated approach, which was introduced in Australia in 1987 and in New Zealand in 1989, is to achieve tax neutrality with respect to</w:t>
      </w:r>
      <w:r w:rsidR="00FB45EE">
        <w:t>:</w:t>
      </w:r>
      <w:r>
        <w:t xml:space="preserve"> business organisational form (incorporated or unincorporated); financial structure (debt or equity); and companies’ income distribution policies (earnings retention or distribution).</w:t>
      </w:r>
      <w:r w:rsidR="000C3A89">
        <w:t xml:space="preserve"> </w:t>
      </w:r>
      <w:r>
        <w:t>Neutrality promotes economic efficiency by avoiding tax differentials that discriminate amongst different forms of investment. The imputation regime also:</w:t>
      </w:r>
    </w:p>
    <w:p w:rsidR="006D064B" w:rsidRDefault="006D064B" w:rsidP="006D064B">
      <w:pPr>
        <w:pStyle w:val="ListBullet"/>
      </w:pPr>
      <w:r>
        <w:lastRenderedPageBreak/>
        <w:t>helps to avoid the ‘agency costs’ that can arise where the tax regime encourages companies to retain rather than distribute earnings (thus lessening the disciplines that are imposed when companies have to go to their shareholders for new capital)</w:t>
      </w:r>
    </w:p>
    <w:p w:rsidR="006D064B" w:rsidRDefault="006D064B" w:rsidP="006D064B">
      <w:pPr>
        <w:pStyle w:val="ListBullet"/>
      </w:pPr>
      <w:r>
        <w:t>contributes to corporate financial resilience (by avoiding incentives to gear up with tax</w:t>
      </w:r>
      <w:r w:rsidR="000E6542">
        <w:t>-</w:t>
      </w:r>
      <w:r>
        <w:t>deductible interest</w:t>
      </w:r>
      <w:r w:rsidR="000E6542">
        <w:t>-</w:t>
      </w:r>
      <w:r>
        <w:t>bearing debt) (</w:t>
      </w:r>
      <w:r w:rsidR="00DF4ACA">
        <w:t xml:space="preserve">Bob </w:t>
      </w:r>
      <w:r>
        <w:t>Officer</w:t>
      </w:r>
      <w:r w:rsidR="00FA5A9A">
        <w:t>, pers. comm., 31 </w:t>
      </w:r>
      <w:r w:rsidR="00DF4ACA">
        <w:t>October</w:t>
      </w:r>
      <w:r>
        <w:t xml:space="preserve"> 2012</w:t>
      </w:r>
      <w:r w:rsidR="000E6542">
        <w:t xml:space="preserve">; </w:t>
      </w:r>
      <w:r w:rsidR="00DF4ACA">
        <w:t xml:space="preserve">Peter </w:t>
      </w:r>
      <w:r>
        <w:t>Swan</w:t>
      </w:r>
      <w:r w:rsidR="00DF4ACA">
        <w:t>, pers. comm., 31 October</w:t>
      </w:r>
      <w:r>
        <w:t xml:space="preserve"> 2012).</w:t>
      </w:r>
    </w:p>
    <w:p w:rsidR="00497EB5" w:rsidRDefault="00497EB5" w:rsidP="006D064B">
      <w:pPr>
        <w:pStyle w:val="BodyText"/>
      </w:pPr>
      <w:r>
        <w:t>Australia’s Henry Review observed that:</w:t>
      </w:r>
    </w:p>
    <w:p w:rsidR="000E6542" w:rsidRPr="00822F02" w:rsidRDefault="00497EB5" w:rsidP="00822F02">
      <w:pPr>
        <w:pStyle w:val="Quote"/>
      </w:pPr>
      <w:r w:rsidRPr="00822F02">
        <w:t>Dividend imputation continues to provide benefits such as neutrality around financing and entity choices.</w:t>
      </w:r>
      <w:r w:rsidR="000C3A89" w:rsidRPr="00822F02">
        <w:t xml:space="preserve"> </w:t>
      </w:r>
      <w:r w:rsidRPr="00822F02">
        <w:t>It also enhances the integrity of the tax system by reducing the benefits of minimising company income tax.</w:t>
      </w:r>
      <w:r w:rsidR="000C3A89" w:rsidRPr="00822F02">
        <w:t xml:space="preserve"> </w:t>
      </w:r>
      <w:r w:rsidRPr="00822F02">
        <w:t>These benefits mean that dividend imputation should be maintained in the short to medium term (</w:t>
      </w:r>
      <w:r w:rsidR="00822F02">
        <w:t>Australia’s Future Tax System Panel</w:t>
      </w:r>
      <w:r w:rsidR="00FA5A9A">
        <w:t> </w:t>
      </w:r>
      <w:r w:rsidR="000937E2" w:rsidRPr="00822F02">
        <w:t xml:space="preserve">2010, </w:t>
      </w:r>
      <w:r w:rsidRPr="00822F02">
        <w:t>p.</w:t>
      </w:r>
      <w:r w:rsidR="00FA5A9A">
        <w:t> </w:t>
      </w:r>
      <w:r w:rsidRPr="00822F02">
        <w:t>42).</w:t>
      </w:r>
    </w:p>
    <w:p w:rsidR="006D064B" w:rsidRDefault="0013128C" w:rsidP="006058BF">
      <w:pPr>
        <w:pStyle w:val="BodyText"/>
        <w:spacing w:before="200"/>
      </w:pPr>
      <w:r>
        <w:t>N</w:t>
      </w:r>
      <w:r w:rsidR="006D064B" w:rsidRPr="0000186D">
        <w:t xml:space="preserve">either Australia nor New Zealand apply their imputation arrangements to dividends received from companies based in the trans-Tasman partner country. </w:t>
      </w:r>
      <w:r>
        <w:t>An</w:t>
      </w:r>
      <w:r w:rsidRPr="0000186D">
        <w:t xml:space="preserve"> </w:t>
      </w:r>
      <w:r w:rsidR="006D064B" w:rsidRPr="0000186D">
        <w:t xml:space="preserve">exception </w:t>
      </w:r>
      <w:r w:rsidR="00716C07">
        <w:t>—</w:t>
      </w:r>
      <w:r w:rsidR="006D064B" w:rsidRPr="0000186D">
        <w:t xml:space="preserve"> known as the </w:t>
      </w:r>
      <w:r>
        <w:t>‘</w:t>
      </w:r>
      <w:r w:rsidR="006D064B" w:rsidRPr="0000186D">
        <w:t>triangular arrangement</w:t>
      </w:r>
      <w:r>
        <w:t xml:space="preserve">’ </w:t>
      </w:r>
      <w:r w:rsidR="00716C07">
        <w:t>—</w:t>
      </w:r>
      <w:r w:rsidR="006D064B" w:rsidRPr="0000186D">
        <w:t xml:space="preserve"> </w:t>
      </w:r>
      <w:r>
        <w:t xml:space="preserve">was </w:t>
      </w:r>
      <w:r w:rsidRPr="0000186D">
        <w:t>introduced in 2003</w:t>
      </w:r>
      <w:r>
        <w:t xml:space="preserve"> and </w:t>
      </w:r>
      <w:r w:rsidR="006D064B" w:rsidRPr="0000186D">
        <w:t xml:space="preserve">applies </w:t>
      </w:r>
      <w:r>
        <w:t>to</w:t>
      </w:r>
      <w:r w:rsidR="006D064B" w:rsidRPr="0000186D">
        <w:t xml:space="preserve"> Australian compan</w:t>
      </w:r>
      <w:r>
        <w:t>ies with</w:t>
      </w:r>
      <w:r w:rsidR="006D064B" w:rsidRPr="0000186D">
        <w:t xml:space="preserve"> both operations and shareholders in New Zealand, and vice versa. This arrangement is described in Appendix </w:t>
      </w:r>
      <w:proofErr w:type="spellStart"/>
      <w:r w:rsidR="00911ECB">
        <w:t>F.1</w:t>
      </w:r>
      <w:proofErr w:type="spellEnd"/>
      <w:r w:rsidR="006D064B" w:rsidRPr="0000186D">
        <w:t xml:space="preserve">. </w:t>
      </w:r>
      <w:r>
        <w:t>I</w:t>
      </w:r>
      <w:r w:rsidRPr="0000186D">
        <w:t>t has very limited application</w:t>
      </w:r>
      <w:r w:rsidR="006D064B">
        <w:t>.</w:t>
      </w:r>
    </w:p>
    <w:p w:rsidR="006D064B" w:rsidRDefault="006D064B" w:rsidP="006058BF">
      <w:pPr>
        <w:pStyle w:val="BodyText"/>
        <w:spacing w:before="200"/>
      </w:pPr>
      <w:r w:rsidRPr="0000186D">
        <w:t xml:space="preserve">Non-recognition of the imputation credits of one trans-Tasman </w:t>
      </w:r>
      <w:r w:rsidR="009046AC">
        <w:t>country</w:t>
      </w:r>
      <w:r w:rsidR="009046AC" w:rsidRPr="0000186D">
        <w:t xml:space="preserve"> </w:t>
      </w:r>
      <w:r w:rsidRPr="0000186D">
        <w:t xml:space="preserve">by the other results in dividends </w:t>
      </w:r>
      <w:r w:rsidR="00497EB5">
        <w:t>received by Australian and New Zealand shareholde</w:t>
      </w:r>
      <w:r w:rsidR="00716C07">
        <w:t>rs from trans-Tasman companies —</w:t>
      </w:r>
      <w:r w:rsidR="00497EB5">
        <w:t xml:space="preserve"> those with trans-Tasman </w:t>
      </w:r>
      <w:r w:rsidR="00716C07">
        <w:t>shareholders and/or operations —</w:t>
      </w:r>
      <w:r w:rsidR="00497EB5">
        <w:t xml:space="preserve"> </w:t>
      </w:r>
      <w:r w:rsidRPr="0000186D">
        <w:t xml:space="preserve">being taxed more heavily than dividends </w:t>
      </w:r>
      <w:r w:rsidR="0013128C">
        <w:t>received from</w:t>
      </w:r>
      <w:r w:rsidRPr="0000186D">
        <w:t xml:space="preserve"> domestic</w:t>
      </w:r>
      <w:r w:rsidR="0013128C">
        <w:t xml:space="preserve"> companies</w:t>
      </w:r>
      <w:r w:rsidRPr="0000186D">
        <w:t>. In effect, dividends paid across the Tasman are subject to double tax (company income tax in one country and shareholder income tax in the other)</w:t>
      </w:r>
      <w:r w:rsidR="00497EB5">
        <w:t>.</w:t>
      </w:r>
    </w:p>
    <w:p w:rsidR="00497EB5" w:rsidRDefault="00497EB5" w:rsidP="006058BF">
      <w:pPr>
        <w:pStyle w:val="BodyText"/>
        <w:spacing w:before="200"/>
      </w:pPr>
      <w:proofErr w:type="spellStart"/>
      <w:r>
        <w:t>MRIC</w:t>
      </w:r>
      <w:proofErr w:type="spellEnd"/>
      <w:r>
        <w:t xml:space="preserve"> would extend the boundaries of each country’s imputation system</w:t>
      </w:r>
      <w:r w:rsidR="009046AC">
        <w:t>.</w:t>
      </w:r>
      <w:r>
        <w:t xml:space="preserve"> Australian and New Zealand shareholders</w:t>
      </w:r>
      <w:r w:rsidR="009046AC">
        <w:t xml:space="preserve"> of trans-Tasman companies would be treated </w:t>
      </w:r>
      <w:r w:rsidR="00AF7C4C">
        <w:t>in the</w:t>
      </w:r>
      <w:r w:rsidR="009046AC">
        <w:t xml:space="preserve"> same </w:t>
      </w:r>
      <w:r w:rsidR="00AF7C4C">
        <w:t xml:space="preserve">way </w:t>
      </w:r>
      <w:r w:rsidR="009046AC">
        <w:t xml:space="preserve">as </w:t>
      </w:r>
      <w:r>
        <w:t>domestic shareholders.</w:t>
      </w:r>
      <w:r w:rsidR="000C3A89">
        <w:t xml:space="preserve"> </w:t>
      </w:r>
      <w:r>
        <w:t>Th</w:t>
      </w:r>
      <w:r w:rsidR="009046AC">
        <w:t>is</w:t>
      </w:r>
      <w:r>
        <w:t xml:space="preserve"> would extend to the trans-Tasman corporate sector the benefits that </w:t>
      </w:r>
      <w:r w:rsidR="009046AC">
        <w:t xml:space="preserve">prompted </w:t>
      </w:r>
      <w:r>
        <w:t xml:space="preserve">each country </w:t>
      </w:r>
      <w:r w:rsidR="0013128C">
        <w:t>to</w:t>
      </w:r>
      <w:r>
        <w:t xml:space="preserve"> adopt the imputation system domestically.</w:t>
      </w:r>
    </w:p>
    <w:p w:rsidR="003B5214" w:rsidRDefault="009046AC" w:rsidP="006058BF">
      <w:pPr>
        <w:pStyle w:val="BodyText"/>
        <w:spacing w:before="200"/>
      </w:pPr>
      <w:r w:rsidRPr="003B5214">
        <w:t xml:space="preserve">While </w:t>
      </w:r>
      <w:proofErr w:type="spellStart"/>
      <w:r w:rsidRPr="003B5214">
        <w:t>MRIC</w:t>
      </w:r>
      <w:proofErr w:type="spellEnd"/>
      <w:r w:rsidR="003B5214">
        <w:t xml:space="preserve"> </w:t>
      </w:r>
      <w:r w:rsidRPr="003B5214">
        <w:t>would remove the double tax that applies when company income is distributed across the Tasman, it would not remove double taxation of Australian and New Zealand capital invested in the rest of the world. This could increase the propensity for Australasian investors and companies to invest in the trans-Tasman partner country, relative to third countries. The question of whether that would be inefficient is</w:t>
      </w:r>
      <w:r w:rsidR="00FA5A9A">
        <w:t xml:space="preserve"> examined later in this paper.</w:t>
      </w:r>
    </w:p>
    <w:p w:rsidR="006D064B" w:rsidRDefault="006D064B" w:rsidP="006D064B">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fldChar w:fldCharType="begin"/>
      </w:r>
      <w:r>
        <w:rPr>
          <w:b w:val="0"/>
        </w:rPr>
        <w:instrText xml:space="preserve"> SEQ Figure \* ARABIC </w:instrText>
      </w:r>
      <w:r>
        <w:rPr>
          <w:b w:val="0"/>
        </w:rPr>
        <w:fldChar w:fldCharType="separate"/>
      </w:r>
      <w:r w:rsidR="008568A0">
        <w:rPr>
          <w:b w:val="0"/>
          <w:noProof/>
        </w:rPr>
        <w:t>1</w:t>
      </w:r>
      <w:proofErr w:type="spellEnd"/>
      <w:r>
        <w:rPr>
          <w:b w:val="0"/>
        </w:rPr>
        <w:fldChar w:fldCharType="end"/>
      </w:r>
      <w:r>
        <w:tab/>
      </w:r>
      <w:r w:rsidRPr="0000186D">
        <w:t>How current tax settings impact trans-Tasman investment returns</w:t>
      </w:r>
    </w:p>
    <w:p w:rsidR="006D064B" w:rsidRPr="00696A2F" w:rsidRDefault="0013128C" w:rsidP="00696A2F">
      <w:pPr>
        <w:pStyle w:val="Subtitle"/>
      </w:pPr>
      <w:r w:rsidRPr="00696A2F">
        <w:t>Example</w:t>
      </w:r>
      <w:r w:rsidR="00934D04" w:rsidRPr="00696A2F">
        <w:t xml:space="preserve"> </w:t>
      </w:r>
      <w:r w:rsidRPr="00696A2F">
        <w:t>of an Australian investor investing in an Australian</w:t>
      </w:r>
      <w:r w:rsidR="00934D04" w:rsidRPr="00696A2F">
        <w:t xml:space="preserve"> and a New Zealand company.</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6D064B" w:rsidTr="00497EB5">
        <w:tc>
          <w:tcPr>
            <w:tcW w:w="8777" w:type="dxa"/>
          </w:tcPr>
          <w:p w:rsidR="006D064B" w:rsidRDefault="00FA5A9A" w:rsidP="00497EB5">
            <w:pPr>
              <w:pStyle w:val="Figure"/>
            </w:pPr>
            <w:bookmarkStart w:id="3" w:name="_GoBack"/>
            <w:r w:rsidRPr="00FA5A9A">
              <w:rPr>
                <w:rFonts w:ascii="Times New Roman" w:hAnsi="Times New Roman" w:cs="Arial"/>
                <w:b/>
                <w:noProof/>
                <w:color w:val="auto"/>
                <w:sz w:val="22"/>
                <w:szCs w:val="22"/>
              </w:rPr>
              <mc:AlternateContent>
                <mc:Choice Requires="wpc">
                  <w:drawing>
                    <wp:inline distT="0" distB="0" distL="0" distR="0" wp14:anchorId="363AEAA0" wp14:editId="0D47DFDC">
                      <wp:extent cx="5257800" cy="6036310"/>
                      <wp:effectExtent l="0" t="0" r="0" b="0"/>
                      <wp:docPr id="56" name="Canvas 1" descr="Figure F. 1 How current tax settings impact trans-Tasman investment returns. This figure gives an example of an Australian investor investing in an Australian company, and also in a New Zealand company without mutual recognition of imputation credits.  The investor is assumed to have a marginal personal tax rate of 45 per cent. The example shows that when the Australian company earns $100 of profit on behalf of the investor, the net dividend he or she receives with full imputation and after all tax is $55. This is an overall tax rate of 45 per cent which is in line with the investor’s  marginal personal tax rate.  However, when the New Zealand company earns $100 of profit, New Zealand company tax takes $28, leaving a dividend of $72.  Without recognition of imputation credits, this is taxed at 45 per cent leaving an after-tax dividend of $39.40.  This is an overall effective tax rate of 60.4 per cen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 name="Text Box 247"/>
                              <wps:cNvSpPr txBox="1">
                                <a:spLocks noChangeArrowheads="1"/>
                              </wps:cNvSpPr>
                              <wps:spPr bwMode="auto">
                                <a:xfrm>
                                  <a:off x="390500" y="979802"/>
                                  <a:ext cx="2257500" cy="590501"/>
                                </a:xfrm>
                                <a:prstGeom prst="rect">
                                  <a:avLst/>
                                </a:prstGeom>
                                <a:solidFill>
                                  <a:srgbClr val="FFFFFF"/>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Company earns income of $100 and pays Australian company tax of $30 and issues $70 of imputed dividends</w:t>
                                    </w:r>
                                  </w:p>
                                </w:txbxContent>
                              </wps:txbx>
                              <wps:bodyPr rot="0" vert="horz" wrap="square" lIns="91440" tIns="45720" rIns="91440" bIns="45720" anchor="ctr" anchorCtr="0" upright="1">
                                <a:noAutofit/>
                              </wps:bodyPr>
                            </wps:wsp>
                            <wps:wsp>
                              <wps:cNvPr id="32" name="Text Box 248"/>
                              <wps:cNvSpPr txBox="1">
                                <a:spLocks noChangeArrowheads="1"/>
                              </wps:cNvSpPr>
                              <wps:spPr bwMode="auto">
                                <a:xfrm>
                                  <a:off x="2842132" y="986802"/>
                                  <a:ext cx="2285600" cy="590501"/>
                                </a:xfrm>
                                <a:prstGeom prst="rect">
                                  <a:avLst/>
                                </a:prstGeom>
                                <a:solidFill>
                                  <a:srgbClr val="FFFFFF"/>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Company earns income of $100 and pays NZ company tax of $28 and issues $72 of imputed dividends</w:t>
                                    </w:r>
                                  </w:p>
                                </w:txbxContent>
                              </wps:txbx>
                              <wps:bodyPr rot="0" vert="horz" wrap="square" lIns="91440" tIns="45720" rIns="91440" bIns="45720" anchor="ctr" anchorCtr="0" upright="1">
                                <a:noAutofit/>
                              </wps:bodyPr>
                            </wps:wsp>
                            <wps:wsp>
                              <wps:cNvPr id="33" name="Text Box 66"/>
                              <wps:cNvSpPr txBox="1">
                                <a:spLocks noChangeArrowheads="1"/>
                              </wps:cNvSpPr>
                              <wps:spPr bwMode="auto">
                                <a:xfrm>
                                  <a:off x="390500" y="1784343"/>
                                  <a:ext cx="2257500" cy="654057"/>
                                </a:xfrm>
                                <a:prstGeom prst="rect">
                                  <a:avLst/>
                                </a:prstGeom>
                                <a:solidFill>
                                  <a:srgbClr val="FFFFFF"/>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Shareholder receives fully imputed dividend (</w:t>
                                    </w:r>
                                    <w:proofErr w:type="spellStart"/>
                                    <w:r w:rsidRPr="00EF0AC8">
                                      <w:rPr>
                                        <w:rFonts w:ascii="Arial" w:hAnsi="Arial" w:cs="Arial"/>
                                        <w:sz w:val="20"/>
                                        <w:szCs w:val="20"/>
                                      </w:rPr>
                                      <w:t>ie</w:t>
                                    </w:r>
                                    <w:proofErr w:type="spellEnd"/>
                                    <w:r w:rsidRPr="00EF0AC8">
                                      <w:rPr>
                                        <w:rFonts w:ascii="Arial" w:hAnsi="Arial" w:cs="Arial"/>
                                        <w:sz w:val="20"/>
                                        <w:szCs w:val="20"/>
                                      </w:rPr>
                                      <w:t xml:space="preserve"> $70 cash and $30 imputation credit)</w:t>
                                    </w:r>
                                  </w:p>
                                </w:txbxContent>
                              </wps:txbx>
                              <wps:bodyPr rot="0" vert="horz" wrap="square" lIns="91440" tIns="45720" rIns="91440" bIns="45720" anchor="ctr" anchorCtr="0" upright="1">
                                <a:noAutofit/>
                              </wps:bodyPr>
                            </wps:wsp>
                            <wps:wsp>
                              <wps:cNvPr id="34" name="Text Box 67"/>
                              <wps:cNvSpPr txBox="1">
                                <a:spLocks noChangeArrowheads="1"/>
                              </wps:cNvSpPr>
                              <wps:spPr bwMode="auto">
                                <a:xfrm>
                                  <a:off x="2842132" y="1784343"/>
                                  <a:ext cx="2285600" cy="654057"/>
                                </a:xfrm>
                                <a:prstGeom prst="rect">
                                  <a:avLst/>
                                </a:prstGeom>
                                <a:solidFill>
                                  <a:srgbClr val="FFFFFF"/>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Shareholder receives fully imputed dividend (</w:t>
                                    </w:r>
                                    <w:proofErr w:type="spellStart"/>
                                    <w:r w:rsidRPr="00EF0AC8">
                                      <w:rPr>
                                        <w:rFonts w:ascii="Arial" w:hAnsi="Arial" w:cs="Arial"/>
                                        <w:sz w:val="20"/>
                                        <w:szCs w:val="20"/>
                                      </w:rPr>
                                      <w:t>ie</w:t>
                                    </w:r>
                                    <w:proofErr w:type="spellEnd"/>
                                    <w:r w:rsidRPr="00EF0AC8">
                                      <w:rPr>
                                        <w:rFonts w:ascii="Arial" w:hAnsi="Arial" w:cs="Arial"/>
                                        <w:sz w:val="20"/>
                                        <w:szCs w:val="20"/>
                                      </w:rPr>
                                      <w:t xml:space="preserve"> $72 cash and $28 imputation credit)</w:t>
                                    </w:r>
                                  </w:p>
                                </w:txbxContent>
                              </wps:txbx>
                              <wps:bodyPr rot="0" vert="horz" wrap="square" lIns="91440" tIns="45720" rIns="91440" bIns="45720" anchor="ctr" anchorCtr="0" upright="1">
                                <a:noAutofit/>
                              </wps:bodyPr>
                            </wps:wsp>
                            <wps:wsp>
                              <wps:cNvPr id="35" name="Text Box 68"/>
                              <wps:cNvSpPr txBox="1">
                                <a:spLocks noChangeArrowheads="1"/>
                              </wps:cNvSpPr>
                              <wps:spPr bwMode="auto">
                                <a:xfrm>
                                  <a:off x="405868" y="2804805"/>
                                  <a:ext cx="2257500" cy="668701"/>
                                </a:xfrm>
                                <a:prstGeom prst="rect">
                                  <a:avLst/>
                                </a:prstGeom>
                                <a:solidFill>
                                  <a:srgbClr val="FFFFFF"/>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Shareholder taxed on $100, and uses the imputation credits to offset personal income tax liability</w:t>
                                    </w:r>
                                  </w:p>
                                </w:txbxContent>
                              </wps:txbx>
                              <wps:bodyPr rot="0" vert="horz" wrap="square" lIns="91440" tIns="45720" rIns="91440" bIns="45720" anchor="ctr" anchorCtr="0" upright="1">
                                <a:noAutofit/>
                              </wps:bodyPr>
                            </wps:wsp>
                            <wps:wsp>
                              <wps:cNvPr id="36" name="Text Box 69"/>
                              <wps:cNvSpPr txBox="1">
                                <a:spLocks noChangeArrowheads="1"/>
                              </wps:cNvSpPr>
                              <wps:spPr bwMode="auto">
                                <a:xfrm>
                                  <a:off x="2842132" y="2804805"/>
                                  <a:ext cx="2285600" cy="668701"/>
                                </a:xfrm>
                                <a:prstGeom prst="rect">
                                  <a:avLst/>
                                </a:prstGeom>
                                <a:solidFill>
                                  <a:srgbClr val="FFFFFF"/>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b/>
                                        <w:sz w:val="20"/>
                                        <w:szCs w:val="20"/>
                                      </w:rPr>
                                      <w:t>Imputation credits not recognised</w:t>
                                    </w:r>
                                    <w:r w:rsidRPr="00EF0AC8">
                                      <w:rPr>
                                        <w:rFonts w:ascii="Arial" w:hAnsi="Arial" w:cs="Arial"/>
                                        <w:sz w:val="20"/>
                                        <w:szCs w:val="20"/>
                                      </w:rPr>
                                      <w:t>, so shareholder has to pay income tax on $72</w:t>
                                    </w:r>
                                  </w:p>
                                </w:txbxContent>
                              </wps:txbx>
                              <wps:bodyPr rot="0" vert="horz" wrap="square" lIns="91440" tIns="45720" rIns="91440" bIns="45720" anchor="ctr" anchorCtr="0" upright="1">
                                <a:noAutofit/>
                              </wps:bodyPr>
                            </wps:wsp>
                            <wps:wsp>
                              <wps:cNvPr id="37" name="Text Box 70"/>
                              <wps:cNvSpPr txBox="1">
                                <a:spLocks noChangeArrowheads="1"/>
                              </wps:cNvSpPr>
                              <wps:spPr bwMode="auto">
                                <a:xfrm>
                                  <a:off x="1004040" y="3978933"/>
                                  <a:ext cx="2341140" cy="342901"/>
                                </a:xfrm>
                                <a:prstGeom prst="rect">
                                  <a:avLst/>
                                </a:prstGeom>
                                <a:solidFill>
                                  <a:srgbClr val="D9EAF0">
                                    <a:alpha val="50000"/>
                                  </a:srgbClr>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Australian investor (tax rate = 45%)</w:t>
                                    </w:r>
                                  </w:p>
                                </w:txbxContent>
                              </wps:txbx>
                              <wps:bodyPr rot="0" vert="horz" wrap="square" lIns="91440" tIns="45720" rIns="91440" bIns="45720" anchor="ctr" anchorCtr="0" upright="1">
                                <a:noAutofit/>
                              </wps:bodyPr>
                            </wps:wsp>
                            <wps:wsp>
                              <wps:cNvPr id="38" name="Text Box 71"/>
                              <wps:cNvSpPr txBox="1">
                                <a:spLocks noChangeArrowheads="1"/>
                              </wps:cNvSpPr>
                              <wps:spPr bwMode="auto">
                                <a:xfrm>
                                  <a:off x="388644" y="4620828"/>
                                  <a:ext cx="2316136" cy="1048452"/>
                                </a:xfrm>
                                <a:prstGeom prst="rect">
                                  <a:avLst/>
                                </a:prstGeom>
                                <a:solidFill>
                                  <a:srgbClr val="D9EAF0">
                                    <a:alpha val="49804"/>
                                  </a:srgbClr>
                                </a:solidFill>
                                <a:ln w="15875">
                                  <a:solidFill>
                                    <a:srgbClr val="000000"/>
                                  </a:solidFill>
                                  <a:miter lim="800000"/>
                                  <a:headEnd/>
                                  <a:tailEnd/>
                                </a:ln>
                              </wps:spPr>
                              <wps:txbx>
                                <w:txbxContent>
                                  <w:p w:rsidR="007E46B6" w:rsidRPr="00EF0AC8" w:rsidRDefault="007E46B6" w:rsidP="00FA5A9A">
                                    <w:pPr>
                                      <w:spacing w:before="100" w:after="100"/>
                                      <w:jc w:val="center"/>
                                      <w:rPr>
                                        <w:rFonts w:ascii="Arial" w:hAnsi="Arial" w:cs="Arial"/>
                                        <w:sz w:val="20"/>
                                        <w:szCs w:val="20"/>
                                      </w:rPr>
                                    </w:pPr>
                                    <w:r w:rsidRPr="00EF0AC8">
                                      <w:rPr>
                                        <w:rFonts w:ascii="Arial" w:hAnsi="Arial" w:cs="Arial"/>
                                        <w:sz w:val="20"/>
                                        <w:szCs w:val="20"/>
                                      </w:rPr>
                                      <w:t>Shareholder tax = $15 (45% of $100</w:t>
                                    </w:r>
                                    <w:r>
                                      <w:rPr>
                                        <w:rFonts w:ascii="Arial" w:hAnsi="Arial" w:cs="Arial"/>
                                        <w:sz w:val="20"/>
                                        <w:szCs w:val="20"/>
                                      </w:rPr>
                                      <w:t xml:space="preserve"> </w:t>
                                    </w:r>
                                    <w:r w:rsidRPr="00EF0AC8">
                                      <w:rPr>
                                        <w:rFonts w:ascii="Arial" w:hAnsi="Arial" w:cs="Arial"/>
                                        <w:sz w:val="20"/>
                                        <w:szCs w:val="20"/>
                                      </w:rPr>
                                      <w:t>- $30 credit)</w:t>
                                    </w:r>
                                  </w:p>
                                  <w:p w:rsidR="007E46B6" w:rsidRPr="00EF0AC8" w:rsidRDefault="007E46B6" w:rsidP="00FA5A9A">
                                    <w:pPr>
                                      <w:spacing w:before="100" w:after="100"/>
                                      <w:jc w:val="center"/>
                                      <w:rPr>
                                        <w:rFonts w:ascii="Arial" w:hAnsi="Arial" w:cs="Arial"/>
                                        <w:sz w:val="20"/>
                                        <w:szCs w:val="20"/>
                                      </w:rPr>
                                    </w:pPr>
                                    <w:r w:rsidRPr="00EF0AC8">
                                      <w:rPr>
                                        <w:rFonts w:ascii="Arial" w:hAnsi="Arial" w:cs="Arial"/>
                                        <w:sz w:val="20"/>
                                        <w:szCs w:val="20"/>
                                      </w:rPr>
                                      <w:t>After-tax dividend = $70 - $15 = $55</w:t>
                                    </w:r>
                                  </w:p>
                                  <w:p w:rsidR="007E46B6" w:rsidRPr="00EF0AC8" w:rsidRDefault="007E46B6" w:rsidP="00FA5A9A">
                                    <w:pPr>
                                      <w:spacing w:before="100" w:after="100"/>
                                      <w:jc w:val="center"/>
                                      <w:rPr>
                                        <w:rFonts w:ascii="Arial" w:hAnsi="Arial" w:cs="Arial"/>
                                        <w:sz w:val="20"/>
                                        <w:szCs w:val="20"/>
                                      </w:rPr>
                                    </w:pPr>
                                    <w:r w:rsidRPr="00EF0AC8">
                                      <w:rPr>
                                        <w:rFonts w:ascii="Arial" w:hAnsi="Arial" w:cs="Arial"/>
                                        <w:sz w:val="20"/>
                                        <w:szCs w:val="20"/>
                                      </w:rPr>
                                      <w:t>Effective tax rate = 45%</w:t>
                                    </w:r>
                                  </w:p>
                                </w:txbxContent>
                              </wps:txbx>
                              <wps:bodyPr rot="0" vert="horz" wrap="square" lIns="91440" tIns="45720" rIns="91440" bIns="45720" anchor="ctr" anchorCtr="0" upright="1">
                                <a:noAutofit/>
                              </wps:bodyPr>
                            </wps:wsp>
                            <wps:wsp>
                              <wps:cNvPr id="39" name="Text Box 72"/>
                              <wps:cNvSpPr txBox="1">
                                <a:spLocks noChangeArrowheads="1"/>
                              </wps:cNvSpPr>
                              <wps:spPr bwMode="auto">
                                <a:xfrm>
                                  <a:off x="3551944" y="4923088"/>
                                  <a:ext cx="1555100" cy="886501"/>
                                </a:xfrm>
                                <a:prstGeom prst="rect">
                                  <a:avLst/>
                                </a:prstGeom>
                                <a:solidFill>
                                  <a:srgbClr val="D9EAF0">
                                    <a:alpha val="50000"/>
                                  </a:srgbClr>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Receives after-tax dividend of $39.60</w:t>
                                    </w:r>
                                  </w:p>
                                  <w:p w:rsidR="007E46B6" w:rsidRPr="00EF0AC8" w:rsidRDefault="007E46B6" w:rsidP="00FA5A9A">
                                    <w:pPr>
                                      <w:jc w:val="center"/>
                                      <w:rPr>
                                        <w:rFonts w:ascii="Arial" w:hAnsi="Arial" w:cs="Arial"/>
                                        <w:sz w:val="20"/>
                                        <w:szCs w:val="20"/>
                                        <w:vertAlign w:val="superscript"/>
                                      </w:rPr>
                                    </w:pPr>
                                    <w:r w:rsidRPr="00EF0AC8">
                                      <w:rPr>
                                        <w:rFonts w:ascii="Arial" w:hAnsi="Arial" w:cs="Arial"/>
                                        <w:sz w:val="20"/>
                                        <w:szCs w:val="20"/>
                                      </w:rPr>
                                      <w:t>Effective tax rate = 60.4%</w:t>
                                    </w:r>
                                  </w:p>
                                </w:txbxContent>
                              </wps:txbx>
                              <wps:bodyPr rot="0" vert="horz" wrap="square" lIns="91440" tIns="45720" rIns="91440" bIns="45720" anchor="ctr" anchorCtr="0" upright="1">
                                <a:noAutofit/>
                              </wps:bodyPr>
                            </wps:wsp>
                            <wps:wsp>
                              <wps:cNvPr id="40" name="Text Box 73"/>
                              <wps:cNvSpPr txBox="1">
                                <a:spLocks noChangeArrowheads="1"/>
                              </wps:cNvSpPr>
                              <wps:spPr bwMode="auto">
                                <a:xfrm>
                                  <a:off x="3467100" y="3688726"/>
                                  <a:ext cx="1721320" cy="914402"/>
                                </a:xfrm>
                                <a:prstGeom prst="rect">
                                  <a:avLst/>
                                </a:prstGeom>
                                <a:solidFill>
                                  <a:srgbClr val="FFFFFF"/>
                                </a:solidFill>
                                <a:ln w="15875">
                                  <a:solidFill>
                                    <a:srgbClr val="000000"/>
                                  </a:solidFill>
                                  <a:prstDash val="sysDot"/>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If credits were recognised the investor would instead receive an after-tax dividend of $55*</w:t>
                                    </w:r>
                                  </w:p>
                                </w:txbxContent>
                              </wps:txbx>
                              <wps:bodyPr rot="0" vert="horz" wrap="square" lIns="91440" tIns="45720" rIns="91440" bIns="45720" anchor="ctr" anchorCtr="0" upright="1">
                                <a:noAutofit/>
                              </wps:bodyPr>
                            </wps:wsp>
                            <wps:wsp>
                              <wps:cNvPr id="42" name="Line 75"/>
                              <wps:cNvCnPr/>
                              <wps:spPr bwMode="auto">
                                <a:xfrm>
                                  <a:off x="1505448" y="790575"/>
                                  <a:ext cx="0" cy="189226"/>
                                </a:xfrm>
                                <a:prstGeom prst="line">
                                  <a:avLst/>
                                </a:prstGeom>
                                <a:noFill/>
                                <a:ln w="12700">
                                  <a:solidFill>
                                    <a:srgbClr val="86A20B"/>
                                  </a:solidFill>
                                  <a:round/>
                                  <a:headEnd/>
                                  <a:tailEnd type="triangle" w="med" len="med"/>
                                </a:ln>
                                <a:extLst>
                                  <a:ext uri="{909E8E84-426E-40DD-AFC4-6F175D3DCCD1}">
                                    <a14:hiddenFill xmlns:a14="http://schemas.microsoft.com/office/drawing/2010/main">
                                      <a:noFill/>
                                    </a14:hiddenFill>
                                  </a:ext>
                                </a:extLst>
                              </wps:spPr>
                              <wps:bodyPr/>
                            </wps:wsp>
                            <wps:wsp>
                              <wps:cNvPr id="43" name="Line 76"/>
                              <wps:cNvCnPr/>
                              <wps:spPr bwMode="auto">
                                <a:xfrm>
                                  <a:off x="1522548" y="1574843"/>
                                  <a:ext cx="100" cy="200000"/>
                                </a:xfrm>
                                <a:prstGeom prst="line">
                                  <a:avLst/>
                                </a:prstGeom>
                                <a:noFill/>
                                <a:ln w="12700">
                                  <a:solidFill>
                                    <a:srgbClr val="86A20B"/>
                                  </a:solidFill>
                                  <a:round/>
                                  <a:headEnd/>
                                  <a:tailEnd type="triangle" w="med" len="med"/>
                                </a:ln>
                                <a:extLst>
                                  <a:ext uri="{909E8E84-426E-40DD-AFC4-6F175D3DCCD1}">
                                    <a14:hiddenFill xmlns:a14="http://schemas.microsoft.com/office/drawing/2010/main">
                                      <a:noFill/>
                                    </a14:hiddenFill>
                                  </a:ext>
                                </a:extLst>
                              </wps:spPr>
                              <wps:bodyPr/>
                            </wps:wsp>
                            <wps:wsp>
                              <wps:cNvPr id="45" name="Line 78"/>
                              <wps:cNvCnPr/>
                              <wps:spPr bwMode="auto">
                                <a:xfrm flipH="1">
                                  <a:off x="3980328" y="804954"/>
                                  <a:ext cx="100" cy="171316"/>
                                </a:xfrm>
                                <a:prstGeom prst="line">
                                  <a:avLst/>
                                </a:prstGeom>
                                <a:noFill/>
                                <a:ln w="12700">
                                  <a:solidFill>
                                    <a:srgbClr val="4298B5"/>
                                  </a:solidFill>
                                  <a:round/>
                                  <a:headEnd/>
                                  <a:tailEnd type="triangle" w="med" len="med"/>
                                </a:ln>
                                <a:extLst>
                                  <a:ext uri="{909E8E84-426E-40DD-AFC4-6F175D3DCCD1}">
                                    <a14:hiddenFill xmlns:a14="http://schemas.microsoft.com/office/drawing/2010/main">
                                      <a:noFill/>
                                    </a14:hiddenFill>
                                  </a:ext>
                                </a:extLst>
                              </wps:spPr>
                              <wps:bodyPr/>
                            </wps:wsp>
                            <wps:wsp>
                              <wps:cNvPr id="44" name="Line 77"/>
                              <wps:cNvCnPr/>
                              <wps:spPr bwMode="auto">
                                <a:xfrm>
                                  <a:off x="1540348" y="2438400"/>
                                  <a:ext cx="0" cy="366405"/>
                                </a:xfrm>
                                <a:prstGeom prst="line">
                                  <a:avLst/>
                                </a:prstGeom>
                                <a:noFill/>
                                <a:ln w="12700">
                                  <a:solidFill>
                                    <a:srgbClr val="86A20B"/>
                                  </a:solidFill>
                                  <a:round/>
                                  <a:headEnd/>
                                  <a:tailEnd type="triangle" w="med" len="med"/>
                                </a:ln>
                                <a:extLst>
                                  <a:ext uri="{909E8E84-426E-40DD-AFC4-6F175D3DCCD1}">
                                    <a14:hiddenFill xmlns:a14="http://schemas.microsoft.com/office/drawing/2010/main">
                                      <a:noFill/>
                                    </a14:hiddenFill>
                                  </a:ext>
                                </a:extLst>
                              </wps:spPr>
                              <wps:bodyPr/>
                            </wps:wsp>
                            <wps:wsp>
                              <wps:cNvPr id="46" name="Line 79"/>
                              <wps:cNvCnPr/>
                              <wps:spPr bwMode="auto">
                                <a:xfrm>
                                  <a:off x="3980328" y="1574843"/>
                                  <a:ext cx="100" cy="209500"/>
                                </a:xfrm>
                                <a:prstGeom prst="line">
                                  <a:avLst/>
                                </a:prstGeom>
                                <a:noFill/>
                                <a:ln w="12700">
                                  <a:solidFill>
                                    <a:srgbClr val="4298B5"/>
                                  </a:solidFill>
                                  <a:round/>
                                  <a:headEnd/>
                                  <a:tailEnd type="triangle" w="med" len="med"/>
                                </a:ln>
                                <a:extLst>
                                  <a:ext uri="{909E8E84-426E-40DD-AFC4-6F175D3DCCD1}">
                                    <a14:hiddenFill xmlns:a14="http://schemas.microsoft.com/office/drawing/2010/main">
                                      <a:noFill/>
                                    </a14:hiddenFill>
                                  </a:ext>
                                </a:extLst>
                              </wps:spPr>
                              <wps:bodyPr/>
                            </wps:wsp>
                            <wps:wsp>
                              <wps:cNvPr id="47" name="Line 80"/>
                              <wps:cNvCnPr/>
                              <wps:spPr bwMode="auto">
                                <a:xfrm flipH="1">
                                  <a:off x="3980328" y="2427004"/>
                                  <a:ext cx="100" cy="377801"/>
                                </a:xfrm>
                                <a:prstGeom prst="line">
                                  <a:avLst/>
                                </a:prstGeom>
                                <a:noFill/>
                                <a:ln w="12700">
                                  <a:solidFill>
                                    <a:srgbClr val="4298B5"/>
                                  </a:solidFill>
                                  <a:round/>
                                  <a:headEnd/>
                                  <a:tailEnd type="triangle" w="med" len="med"/>
                                </a:ln>
                                <a:extLst>
                                  <a:ext uri="{909E8E84-426E-40DD-AFC4-6F175D3DCCD1}">
                                    <a14:hiddenFill xmlns:a14="http://schemas.microsoft.com/office/drawing/2010/main">
                                      <a:noFill/>
                                    </a14:hiddenFill>
                                  </a:ext>
                                </a:extLst>
                              </wps:spPr>
                              <wps:bodyPr/>
                            </wps:wsp>
                            <wps:wsp>
                              <wps:cNvPr id="48" name="Line 81"/>
                              <wps:cNvCnPr/>
                              <wps:spPr bwMode="auto">
                                <a:xfrm flipH="1">
                                  <a:off x="1438900" y="4313567"/>
                                  <a:ext cx="443688" cy="284400"/>
                                </a:xfrm>
                                <a:prstGeom prst="line">
                                  <a:avLst/>
                                </a:prstGeom>
                                <a:noFill/>
                                <a:ln w="12700">
                                  <a:solidFill>
                                    <a:srgbClr val="86A20B"/>
                                  </a:solidFill>
                                  <a:round/>
                                  <a:headEnd/>
                                  <a:tailEnd type="triangle" w="med" len="med"/>
                                </a:ln>
                                <a:extLst>
                                  <a:ext uri="{909E8E84-426E-40DD-AFC4-6F175D3DCCD1}">
                                    <a14:hiddenFill xmlns:a14="http://schemas.microsoft.com/office/drawing/2010/main">
                                      <a:noFill/>
                                    </a14:hiddenFill>
                                  </a:ext>
                                </a:extLst>
                              </wps:spPr>
                              <wps:bodyPr/>
                            </wps:wsp>
                            <wps:wsp>
                              <wps:cNvPr id="49" name="Line 82"/>
                              <wps:cNvCnPr/>
                              <wps:spPr bwMode="auto">
                                <a:xfrm>
                                  <a:off x="2857500" y="4321834"/>
                                  <a:ext cx="915000" cy="593634"/>
                                </a:xfrm>
                                <a:prstGeom prst="line">
                                  <a:avLst/>
                                </a:prstGeom>
                                <a:noFill/>
                                <a:ln w="12700">
                                  <a:solidFill>
                                    <a:srgbClr val="4298B5"/>
                                  </a:solidFill>
                                  <a:round/>
                                  <a:headEnd/>
                                  <a:tailEnd type="triangle" w="med" len="med"/>
                                </a:ln>
                                <a:extLst>
                                  <a:ext uri="{909E8E84-426E-40DD-AFC4-6F175D3DCCD1}">
                                    <a14:hiddenFill xmlns:a14="http://schemas.microsoft.com/office/drawing/2010/main">
                                      <a:noFill/>
                                    </a14:hiddenFill>
                                  </a:ext>
                                </a:extLst>
                              </wps:spPr>
                              <wps:bodyPr/>
                            </wps:wsp>
                            <wps:wsp>
                              <wps:cNvPr id="50" name="Line 83"/>
                              <wps:cNvCnPr/>
                              <wps:spPr bwMode="auto">
                                <a:xfrm>
                                  <a:off x="4318528" y="3465786"/>
                                  <a:ext cx="500" cy="222940"/>
                                </a:xfrm>
                                <a:prstGeom prst="line">
                                  <a:avLst/>
                                </a:prstGeom>
                                <a:noFill/>
                                <a:ln w="12700">
                                  <a:solidFill>
                                    <a:srgbClr val="4298B5"/>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1" name="Line 85"/>
                              <wps:cNvCnPr/>
                              <wps:spPr bwMode="auto">
                                <a:xfrm flipV="1">
                                  <a:off x="4326112" y="4603128"/>
                                  <a:ext cx="0" cy="312340"/>
                                </a:xfrm>
                                <a:prstGeom prst="line">
                                  <a:avLst/>
                                </a:prstGeom>
                                <a:noFill/>
                                <a:ln w="12700">
                                  <a:solidFill>
                                    <a:srgbClr val="4298B5"/>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2" name="Line 87"/>
                              <wps:cNvCnPr>
                                <a:stCxn id="35" idx="2"/>
                              </wps:cNvCnPr>
                              <wps:spPr bwMode="auto">
                                <a:xfrm>
                                  <a:off x="1534618" y="3473506"/>
                                  <a:ext cx="309550" cy="497161"/>
                                </a:xfrm>
                                <a:prstGeom prst="line">
                                  <a:avLst/>
                                </a:prstGeom>
                                <a:noFill/>
                                <a:ln w="12700">
                                  <a:solidFill>
                                    <a:srgbClr val="86A20B"/>
                                  </a:solidFill>
                                  <a:round/>
                                  <a:headEnd/>
                                  <a:tailEnd type="triangle" w="med" len="med"/>
                                </a:ln>
                                <a:extLst>
                                  <a:ext uri="{909E8E84-426E-40DD-AFC4-6F175D3DCCD1}">
                                    <a14:hiddenFill xmlns:a14="http://schemas.microsoft.com/office/drawing/2010/main">
                                      <a:noFill/>
                                    </a14:hiddenFill>
                                  </a:ext>
                                </a:extLst>
                              </wps:spPr>
                              <wps:bodyPr/>
                            </wps:wsp>
                            <wps:wsp>
                              <wps:cNvPr id="53" name="Line 88"/>
                              <wps:cNvCnPr/>
                              <wps:spPr bwMode="auto">
                                <a:xfrm flipH="1">
                                  <a:off x="2857500" y="3465786"/>
                                  <a:ext cx="571500" cy="504881"/>
                                </a:xfrm>
                                <a:prstGeom prst="line">
                                  <a:avLst/>
                                </a:prstGeom>
                                <a:noFill/>
                                <a:ln w="12700">
                                  <a:solidFill>
                                    <a:srgbClr val="4298B5"/>
                                  </a:solidFill>
                                  <a:round/>
                                  <a:headEnd/>
                                  <a:tailEnd type="triangle" w="med" len="med"/>
                                </a:ln>
                                <a:extLst>
                                  <a:ext uri="{909E8E84-426E-40DD-AFC4-6F175D3DCCD1}">
                                    <a14:hiddenFill xmlns:a14="http://schemas.microsoft.com/office/drawing/2010/main">
                                      <a:noFill/>
                                    </a14:hiddenFill>
                                  </a:ext>
                                </a:extLst>
                              </wps:spPr>
                              <wps:bodyPr/>
                            </wps:wsp>
                            <wps:wsp>
                              <wps:cNvPr id="54" name="Text Box 62"/>
                              <wps:cNvSpPr txBox="1">
                                <a:spLocks noChangeArrowheads="1"/>
                              </wps:cNvSpPr>
                              <wps:spPr bwMode="auto">
                                <a:xfrm>
                                  <a:off x="586868" y="174600"/>
                                  <a:ext cx="1828800" cy="615975"/>
                                </a:xfrm>
                                <a:prstGeom prst="rect">
                                  <a:avLst/>
                                </a:prstGeom>
                                <a:solidFill>
                                  <a:srgbClr val="D9EAF0">
                                    <a:alpha val="50000"/>
                                  </a:srgbClr>
                                </a:solidFill>
                                <a:ln w="15875">
                                  <a:solidFill>
                                    <a:srgbClr val="000000"/>
                                  </a:solidFill>
                                  <a:miter lim="800000"/>
                                  <a:headEnd/>
                                  <a:tailEnd/>
                                </a:ln>
                              </wps:spPr>
                              <wps:txb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 xml:space="preserve">Australian investment </w:t>
                                    </w:r>
                                    <w:r>
                                      <w:rPr>
                                        <w:rFonts w:ascii="Arial" w:hAnsi="Arial" w:cs="Arial"/>
                                        <w:sz w:val="20"/>
                                        <w:szCs w:val="20"/>
                                      </w:rPr>
                                      <w:t>—</w:t>
                                    </w:r>
                                    <w:r w:rsidRPr="00EF0AC8">
                                      <w:rPr>
                                        <w:rFonts w:ascii="Arial" w:hAnsi="Arial" w:cs="Arial"/>
                                        <w:sz w:val="20"/>
                                        <w:szCs w:val="20"/>
                                      </w:rPr>
                                      <w:t xml:space="preserve"> with imputation</w:t>
                                    </w:r>
                                    <w:r>
                                      <w:rPr>
                                        <w:rFonts w:ascii="Arial" w:hAnsi="Arial" w:cs="Arial"/>
                                        <w:sz w:val="20"/>
                                        <w:szCs w:val="20"/>
                                      </w:rPr>
                                      <w:t>,</w:t>
                                    </w:r>
                                    <w:r w:rsidRPr="00EF0AC8">
                                      <w:rPr>
                                        <w:rFonts w:ascii="Arial" w:hAnsi="Arial" w:cs="Arial"/>
                                        <w:sz w:val="20"/>
                                        <w:szCs w:val="20"/>
                                      </w:rPr>
                                      <w:t xml:space="preserve"> investment in an Australian </w:t>
                                    </w:r>
                                    <w:r>
                                      <w:rPr>
                                        <w:rFonts w:ascii="Arial" w:hAnsi="Arial" w:cs="Arial"/>
                                        <w:sz w:val="20"/>
                                        <w:szCs w:val="20"/>
                                      </w:rPr>
                                      <w:t>company</w:t>
                                    </w:r>
                                  </w:p>
                                </w:txbxContent>
                              </wps:txbx>
                              <wps:bodyPr rot="0" vert="horz" wrap="square" lIns="91440" tIns="45720" rIns="91440" bIns="45720" anchor="ctr" anchorCtr="0" upright="1">
                                <a:noAutofit/>
                              </wps:bodyPr>
                            </wps:wsp>
                            <wps:wsp>
                              <wps:cNvPr id="55" name="Text Box 246"/>
                              <wps:cNvSpPr txBox="1">
                                <a:spLocks noChangeArrowheads="1"/>
                              </wps:cNvSpPr>
                              <wps:spPr bwMode="auto">
                                <a:xfrm>
                                  <a:off x="3061552" y="174600"/>
                                  <a:ext cx="1823060" cy="615975"/>
                                </a:xfrm>
                                <a:prstGeom prst="rect">
                                  <a:avLst/>
                                </a:prstGeom>
                                <a:solidFill>
                                  <a:srgbClr val="D9EAF0">
                                    <a:alpha val="50000"/>
                                  </a:srgbClr>
                                </a:solidFill>
                                <a:ln w="15875">
                                  <a:solidFill>
                                    <a:srgbClr val="000000"/>
                                  </a:solidFill>
                                  <a:miter lim="800000"/>
                                  <a:headEnd/>
                                  <a:tailEnd/>
                                </a:ln>
                              </wps:spPr>
                              <wps:txbx>
                                <w:txbxContent>
                                  <w:p w:rsidR="007E46B6" w:rsidRPr="00EF0AC8" w:rsidRDefault="007E46B6" w:rsidP="002D0ED6">
                                    <w:pPr>
                                      <w:spacing w:after="100"/>
                                      <w:jc w:val="center"/>
                                      <w:rPr>
                                        <w:rFonts w:ascii="Arial" w:hAnsi="Arial" w:cs="Arial"/>
                                        <w:sz w:val="20"/>
                                        <w:szCs w:val="20"/>
                                      </w:rPr>
                                    </w:pPr>
                                    <w:r w:rsidRPr="00EF0AC8">
                                      <w:rPr>
                                        <w:rFonts w:ascii="Arial" w:hAnsi="Arial" w:cs="Arial"/>
                                        <w:sz w:val="20"/>
                                        <w:szCs w:val="20"/>
                                      </w:rPr>
                                      <w:t xml:space="preserve">New Zealand investment </w:t>
                                    </w:r>
                                    <w:r>
                                      <w:rPr>
                                        <w:rFonts w:ascii="Arial" w:hAnsi="Arial" w:cs="Arial"/>
                                        <w:sz w:val="20"/>
                                        <w:szCs w:val="20"/>
                                      </w:rPr>
                                      <w:t>—</w:t>
                                    </w:r>
                                    <w:r w:rsidRPr="00EF0AC8">
                                      <w:rPr>
                                        <w:rFonts w:ascii="Arial" w:hAnsi="Arial" w:cs="Arial"/>
                                        <w:sz w:val="20"/>
                                        <w:szCs w:val="20"/>
                                      </w:rPr>
                                      <w:t xml:space="preserve"> without </w:t>
                                    </w:r>
                                    <w:proofErr w:type="spellStart"/>
                                    <w:r w:rsidRPr="00EF0AC8">
                                      <w:rPr>
                                        <w:rFonts w:ascii="Arial" w:hAnsi="Arial" w:cs="Arial"/>
                                        <w:sz w:val="20"/>
                                        <w:szCs w:val="20"/>
                                      </w:rPr>
                                      <w:t>MRIC</w:t>
                                    </w:r>
                                    <w:proofErr w:type="spellEnd"/>
                                    <w:r>
                                      <w:rPr>
                                        <w:rFonts w:ascii="Arial" w:hAnsi="Arial" w:cs="Arial"/>
                                        <w:sz w:val="20"/>
                                        <w:szCs w:val="20"/>
                                      </w:rPr>
                                      <w:t>, investment in a New Zealand company</w:t>
                                    </w:r>
                                    <w:r w:rsidRPr="00EF0AC8">
                                      <w:rPr>
                                        <w:rFonts w:ascii="Arial" w:hAnsi="Arial" w:cs="Arial"/>
                                        <w:sz w:val="20"/>
                                        <w:szCs w:val="20"/>
                                      </w:rPr>
                                      <w:t xml:space="preserve"> </w:t>
                                    </w:r>
                                  </w:p>
                                </w:txbxContent>
                              </wps:txbx>
                              <wps:bodyPr rot="0" vert="horz" wrap="square" lIns="91440" tIns="45720" rIns="91440" bIns="45720" anchor="ctr" anchorCtr="0" upright="1">
                                <a:noAutofit/>
                              </wps:bodyPr>
                            </wps:wsp>
                          </wpc:wpc>
                        </a:graphicData>
                      </a:graphic>
                    </wp:inline>
                  </w:drawing>
                </mc:Choice>
                <mc:Fallback>
                  <w:pict>
                    <v:group id="Canvas 1" o:spid="_x0000_s1026" editas="canvas" alt="Description: Figure F. 1 How current tax settings impact trans-Tasman investment returns. This figure gives an example of an Australian investor investing in an Australian company, and also in a New Zealand company without mutual recognition of imputation credits.  The investor is assumed to have a marginal personal tax rate of 45 per cent. The example shows that when the Australian company earns $100 of profit on behalf of the investor, the net dividend he or she receives with full imputation and after all tax is $55. This is an overall tax rate of 45 per cent which is in line with the investor’s  marginal personal tax rate.  However, when the New Zealand company earns $100 of profit, New Zealand company tax takes $28, leaving a dividend of $72.  Without recognition of imputation credits, this is taxed at 45 per cent leaving an after-tax dividend of $39.40.  This is an overall effective tax rate of 60.4 per cent." style="width:414pt;height:475.3pt;mso-position-horizontal-relative:char;mso-position-vertical-relative:line" coordsize="52578,6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F. 1 How current tax settings impact trans-Tasman investment returns. This figure gives an example of an Australian investor investing in an Australian company, and also in a New Zealand company without mutual recognition of imputation credits.  The investor is assumed to have a marginal personal tax rate of 45 per cent. The example shows that when the Australian company earns $100 of profit on behalf of the investor, the net dividend he or she receives with full imputation and after all tax is $55. This is an overall tax rate of 45 per cent which is in line with the investor’s  marginal personal tax rate.  However, when the New Zealand company earns $100 of profit, New Zealand company tax takes $28, leaving a dividend of $72.  Without recognition of imputation credits, this is taxed at 45 per cent leaving an after-tax dividend of $39.40.  This is an overall effective tax rate of 60.4 per cent." style="position:absolute;width:52578;height:60363;visibility:visible;mso-wrap-style:square">
                        <v:fill o:detectmouseclick="t"/>
                        <v:path o:connecttype="none"/>
                      </v:shape>
                      <v:shapetype id="_x0000_t202" coordsize="21600,21600" o:spt="202" path="m,l,21600r21600,l21600,xe">
                        <v:stroke joinstyle="miter"/>
                        <v:path gradientshapeok="t" o:connecttype="rect"/>
                      </v:shapetype>
                      <v:shape id="Text Box 247" o:spid="_x0000_s1028" type="#_x0000_t202" style="position:absolute;left:3905;top:9798;width:22575;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LSZsYA&#10;AADbAAAADwAAAGRycy9kb3ducmV2LnhtbESPQWvCQBSE7wX/w/IEb3XXFqSkrlK0hSpempQWb4/s&#10;axLMvk2za0z89a5Q6HGYmW+Yxaq3teio9ZVjDbOpAkGcO1NxoeEze7t/AuEDssHaMWkYyMNqObpb&#10;YGLcmT+oS0MhIoR9ghrKEJpESp+XZNFPXUMcvR/XWgxRtoU0LZ4j3NbyQam5tFhxXCixoXVJ+TE9&#10;WQ071f1mQ9YfTl+pej1c9pvt97DRejLuX55BBOrDf/iv/W40PM7g9iX+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LSZsYAAADbAAAADwAAAAAAAAAAAAAAAACYAgAAZHJz&#10;L2Rvd25yZXYueG1sUEsFBgAAAAAEAAQA9QAAAIsDAAAAAA==&#10;" strokeweight="1.25pt">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Company earns income of $100 and pays Australian company tax of $30 and issues $70 of imputed dividends</w:t>
                              </w:r>
                            </w:p>
                          </w:txbxContent>
                        </v:textbox>
                      </v:shape>
                      <v:shape id="Text Box 248" o:spid="_x0000_s1029" type="#_x0000_t202" style="position:absolute;left:28421;top:9868;width:22856;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MEcYA&#10;AADbAAAADwAAAGRycy9kb3ducmV2LnhtbESPQWvCQBSE7wX/w/IK3upuLUhJXaVUhSpempQWb4/s&#10;axKafRuza0z89a5Q6HGYmW+Y+bK3teio9ZVjDY8TBYI4d6biQsNntnl4BuEDssHaMWkYyMNyMbqb&#10;Y2LcmT+oS0MhIoR9ghrKEJpESp+XZNFPXEMcvR/XWgxRtoU0LZ4j3NZyqtRMWqw4LpTY0FtJ+W96&#10;shp2qjtmQ9YfTl+pWh8u+9X2e1hpPb7vX19ABOrDf/iv/W40PE3h9iX+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BMEcYAAADbAAAADwAAAAAAAAAAAAAAAACYAgAAZHJz&#10;L2Rvd25yZXYueG1sUEsFBgAAAAAEAAQA9QAAAIsDAAAAAA==&#10;" strokeweight="1.25pt">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Company earns income of $100 and pays NZ company tax of $28 and issues $72 of imputed dividends</w:t>
                              </w:r>
                            </w:p>
                          </w:txbxContent>
                        </v:textbox>
                      </v:shape>
                      <v:shape id="Text Box 66" o:spid="_x0000_s1030" type="#_x0000_t202" style="position:absolute;left:3905;top:17843;width:22575;height:6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pisYA&#10;AADbAAAADwAAAGRycy9kb3ducmV2LnhtbESPQWvCQBSE7wX/w/IK3upuFaSkrlKqhSpempQWb4/s&#10;axKafRuza0z89a5Q6HGYmW+Yxaq3teio9ZVjDY8TBYI4d6biQsNn9vbwBMIHZIO1Y9IwkIfVcnS3&#10;wMS4M39Ql4ZCRAj7BDWUITSJlD4vyaKfuIY4ej+utRiibAtpWjxHuK3lVKm5tFhxXCixodeS8t/0&#10;ZDXsVHfMhqw/nL5StTlc9uvt97DWenzfvzyDCNSH//Bf+91omM3g9iX+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zpisYAAADbAAAADwAAAAAAAAAAAAAAAACYAgAAZHJz&#10;L2Rvd25yZXYueG1sUEsFBgAAAAAEAAQA9QAAAIsDAAAAAA==&#10;" strokeweight="1.25pt">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Shareholder receives fully imputed dividend (</w:t>
                              </w:r>
                              <w:proofErr w:type="spellStart"/>
                              <w:r w:rsidRPr="00EF0AC8">
                                <w:rPr>
                                  <w:rFonts w:ascii="Arial" w:hAnsi="Arial" w:cs="Arial"/>
                                  <w:sz w:val="20"/>
                                  <w:szCs w:val="20"/>
                                </w:rPr>
                                <w:t>ie</w:t>
                              </w:r>
                              <w:proofErr w:type="spellEnd"/>
                              <w:r w:rsidRPr="00EF0AC8">
                                <w:rPr>
                                  <w:rFonts w:ascii="Arial" w:hAnsi="Arial" w:cs="Arial"/>
                                  <w:sz w:val="20"/>
                                  <w:szCs w:val="20"/>
                                </w:rPr>
                                <w:t xml:space="preserve"> $70 cash and $30 imputation credit)</w:t>
                              </w:r>
                            </w:p>
                          </w:txbxContent>
                        </v:textbox>
                      </v:shape>
                      <v:shape id="Text Box 67" o:spid="_x0000_s1031" type="#_x0000_t202" style="position:absolute;left:28421;top:17843;width:22856;height:6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x/scA&#10;AADbAAAADwAAAGRycy9kb3ducmV2LnhtbESPQUvDQBSE74L/YXkFb3a3tYik3RaxClq8mEhLb4/s&#10;axLMvk2z2zTpr+8KgsdhZr5hFqve1qKj1leONUzGCgRx7kzFhYbv7O3+CYQPyAZrx6RhIA+r5e3N&#10;AhPjzvxFXRoKESHsE9RQhtAkUvq8JIt+7Bri6B1cazFE2RbStHiOcFvLqVKP0mLFcaHEhl5Kyn/S&#10;k9WwUd0xG7J+f9qm6nV/+Vx/7Ia11nej/nkOIlAf/sN/7Xej4WEGv1/iD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Fcf7HAAAA2wAAAA8AAAAAAAAAAAAAAAAAmAIAAGRy&#10;cy9kb3ducmV2LnhtbFBLBQYAAAAABAAEAPUAAACMAwAAAAA=&#10;" strokeweight="1.25pt">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Shareholder receives fully imputed dividend (</w:t>
                              </w:r>
                              <w:proofErr w:type="spellStart"/>
                              <w:r w:rsidRPr="00EF0AC8">
                                <w:rPr>
                                  <w:rFonts w:ascii="Arial" w:hAnsi="Arial" w:cs="Arial"/>
                                  <w:sz w:val="20"/>
                                  <w:szCs w:val="20"/>
                                </w:rPr>
                                <w:t>ie</w:t>
                              </w:r>
                              <w:proofErr w:type="spellEnd"/>
                              <w:r w:rsidRPr="00EF0AC8">
                                <w:rPr>
                                  <w:rFonts w:ascii="Arial" w:hAnsi="Arial" w:cs="Arial"/>
                                  <w:sz w:val="20"/>
                                  <w:szCs w:val="20"/>
                                </w:rPr>
                                <w:t xml:space="preserve"> $72 cash and $28 imputation credit)</w:t>
                              </w:r>
                            </w:p>
                          </w:txbxContent>
                        </v:textbox>
                      </v:shape>
                      <v:shape id="Text Box 68" o:spid="_x0000_s1032" type="#_x0000_t202" style="position:absolute;left:4058;top:28048;width:22575;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UZccA&#10;AADbAAAADwAAAGRycy9kb3ducmV2LnhtbESPQUvDQBSE74L/YXkFb3a3lYqk3RaxClq8mEhLb4/s&#10;axLMvk2z2zTpr+8KgsdhZr5hFqve1qKj1leONUzGCgRx7kzFhYbv7O3+CYQPyAZrx6RhIA+r5e3N&#10;AhPjzvxFXRoKESHsE9RQhtAkUvq8JIt+7Bri6B1cazFE2RbStHiOcFvLqVKP0mLFcaHEhl5Kyn/S&#10;k9WwUd0xG7J+f9qm6nV/+Vx/7Ia11nej/nkOIlAf/sN/7Xej4WEGv1/iD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J1GXHAAAA2wAAAA8AAAAAAAAAAAAAAAAAmAIAAGRy&#10;cy9kb3ducmV2LnhtbFBLBQYAAAAABAAEAPUAAACMAwAAAAA=&#10;" strokeweight="1.25pt">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Shareholder taxed on $100, and uses the imputation credits to offset personal income tax liability</w:t>
                              </w:r>
                            </w:p>
                          </w:txbxContent>
                        </v:textbox>
                      </v:shape>
                      <v:shape id="Text Box 69" o:spid="_x0000_s1033" type="#_x0000_t202" style="position:absolute;left:28421;top:28048;width:22856;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KEsYA&#10;AADbAAAADwAAAGRycy9kb3ducmV2LnhtbESPQUvDQBSE70L/w/IEb2bXCqXEbovYCiq9NBGlt0f2&#10;mQSzb9PsNk3667sFweMwM98wi9VgG9FT52vHGh4SBYK4cKbmUsNn/no/B+EDssHGMWkYycNqOblZ&#10;YGrciXfUZ6EUEcI+RQ1VCG0qpS8qsugT1xJH78d1FkOUXSlNh6cIt42cKjWTFmuOCxW29FJR8Zsd&#10;rYYP1R/yMR/2x69Mbfbn7fr9e1xrfXc7PD+BCDSE//Bf+81oeJzB9U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tKEsYAAADbAAAADwAAAAAAAAAAAAAAAACYAgAAZHJz&#10;L2Rvd25yZXYueG1sUEsFBgAAAAAEAAQA9QAAAIsDAAAAAA==&#10;" strokeweight="1.25pt">
                        <v:textbox>
                          <w:txbxContent>
                            <w:p w:rsidR="007E46B6" w:rsidRPr="00EF0AC8" w:rsidRDefault="007E46B6" w:rsidP="00FA5A9A">
                              <w:pPr>
                                <w:jc w:val="center"/>
                                <w:rPr>
                                  <w:rFonts w:ascii="Arial" w:hAnsi="Arial" w:cs="Arial"/>
                                  <w:sz w:val="20"/>
                                  <w:szCs w:val="20"/>
                                </w:rPr>
                              </w:pPr>
                              <w:r w:rsidRPr="00EF0AC8">
                                <w:rPr>
                                  <w:rFonts w:ascii="Arial" w:hAnsi="Arial" w:cs="Arial"/>
                                  <w:b/>
                                  <w:sz w:val="20"/>
                                  <w:szCs w:val="20"/>
                                </w:rPr>
                                <w:t>Imputation credits not recognised</w:t>
                              </w:r>
                              <w:r w:rsidRPr="00EF0AC8">
                                <w:rPr>
                                  <w:rFonts w:ascii="Arial" w:hAnsi="Arial" w:cs="Arial"/>
                                  <w:sz w:val="20"/>
                                  <w:szCs w:val="20"/>
                                </w:rPr>
                                <w:t>, so shareholder has to pay income tax on $72</w:t>
                              </w:r>
                            </w:p>
                          </w:txbxContent>
                        </v:textbox>
                      </v:shape>
                      <v:shape id="Text Box 70" o:spid="_x0000_s1034" type="#_x0000_t202" style="position:absolute;left:10040;top:39789;width:2341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8icQA&#10;AADbAAAADwAAAGRycy9kb3ducmV2LnhtbESPQYvCMBSE78L+h/AW9qapLrpSjbIsCCKI2hXx+Gie&#10;bW3zUpqo9d8bQfA4zMw3zHTemkpcqXGFZQX9XgSCOLW64EzB/n/RHYNwHlljZZkU3MnBfPbRmWKs&#10;7Y13dE18JgKEXYwKcu/rWEqX5mTQ9WxNHLyTbQz6IJtM6gZvAW4qOYiikTRYcFjIsaa/nNIyuRgF&#10;w3V5Hruov7L7MtkcB/4wXG8PSn19tr8TEJ5a/w6/2kut4PsH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FfInEAAAA2wAAAA8AAAAAAAAAAAAAAAAAmAIAAGRycy9k&#10;b3ducmV2LnhtbFBLBQYAAAAABAAEAPUAAACJAwAAAAA=&#10;" fillcolor="#d9eaf0" strokeweight="1.25pt">
                        <v:fill opacity="32896f"/>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Australian investor (tax rate = 45%)</w:t>
                              </w:r>
                            </w:p>
                          </w:txbxContent>
                        </v:textbox>
                      </v:shape>
                      <v:shape id="Text Box 71" o:spid="_x0000_s1035" type="#_x0000_t202" style="position:absolute;left:3886;top:46208;width:23161;height:10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pcr8A&#10;AADbAAAADwAAAGRycy9kb3ducmV2LnhtbERPy4rCMBTdC/5DuII7TVUQ6RhFREVQF75mfae50xab&#10;m9pErX69WQguD+c9ntamEHeqXG5ZQa8bgSBOrM45VXA6LjsjEM4jaywsk4InOZhOmo0xxto+eE/3&#10;g09FCGEXo4LM+zKW0iUZGXRdWxIH7t9WBn2AVSp1hY8QbgrZj6KhNJhzaMiwpHlGyeVwMwp2dJ3l&#10;27/f1eJkjXxtyt5tMzwr1W7Vsx8Qnmr/FX/ca61gEMaGL+EHyM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7ylyvwAAANsAAAAPAAAAAAAAAAAAAAAAAJgCAABkcnMvZG93bnJl&#10;di54bWxQSwUGAAAAAAQABAD1AAAAhAMAAAAA&#10;" fillcolor="#d9eaf0" strokeweight="1.25pt">
                        <v:fill opacity="32639f"/>
                        <v:textbox>
                          <w:txbxContent>
                            <w:p w:rsidR="007E46B6" w:rsidRPr="00EF0AC8" w:rsidRDefault="007E46B6" w:rsidP="00FA5A9A">
                              <w:pPr>
                                <w:spacing w:before="100" w:after="100"/>
                                <w:jc w:val="center"/>
                                <w:rPr>
                                  <w:rFonts w:ascii="Arial" w:hAnsi="Arial" w:cs="Arial"/>
                                  <w:sz w:val="20"/>
                                  <w:szCs w:val="20"/>
                                </w:rPr>
                              </w:pPr>
                              <w:r w:rsidRPr="00EF0AC8">
                                <w:rPr>
                                  <w:rFonts w:ascii="Arial" w:hAnsi="Arial" w:cs="Arial"/>
                                  <w:sz w:val="20"/>
                                  <w:szCs w:val="20"/>
                                </w:rPr>
                                <w:t>Shareholder tax = $15 (45% of $100</w:t>
                              </w:r>
                              <w:r>
                                <w:rPr>
                                  <w:rFonts w:ascii="Arial" w:hAnsi="Arial" w:cs="Arial"/>
                                  <w:sz w:val="20"/>
                                  <w:szCs w:val="20"/>
                                </w:rPr>
                                <w:t xml:space="preserve"> </w:t>
                              </w:r>
                              <w:r w:rsidRPr="00EF0AC8">
                                <w:rPr>
                                  <w:rFonts w:ascii="Arial" w:hAnsi="Arial" w:cs="Arial"/>
                                  <w:sz w:val="20"/>
                                  <w:szCs w:val="20"/>
                                </w:rPr>
                                <w:t>- $30 credit)</w:t>
                              </w:r>
                            </w:p>
                            <w:p w:rsidR="007E46B6" w:rsidRPr="00EF0AC8" w:rsidRDefault="007E46B6" w:rsidP="00FA5A9A">
                              <w:pPr>
                                <w:spacing w:before="100" w:after="100"/>
                                <w:jc w:val="center"/>
                                <w:rPr>
                                  <w:rFonts w:ascii="Arial" w:hAnsi="Arial" w:cs="Arial"/>
                                  <w:sz w:val="20"/>
                                  <w:szCs w:val="20"/>
                                </w:rPr>
                              </w:pPr>
                              <w:r w:rsidRPr="00EF0AC8">
                                <w:rPr>
                                  <w:rFonts w:ascii="Arial" w:hAnsi="Arial" w:cs="Arial"/>
                                  <w:sz w:val="20"/>
                                  <w:szCs w:val="20"/>
                                </w:rPr>
                                <w:t>After-tax dividend = $70 - $15 = $55</w:t>
                              </w:r>
                            </w:p>
                            <w:p w:rsidR="007E46B6" w:rsidRPr="00EF0AC8" w:rsidRDefault="007E46B6" w:rsidP="00FA5A9A">
                              <w:pPr>
                                <w:spacing w:before="100" w:after="100"/>
                                <w:jc w:val="center"/>
                                <w:rPr>
                                  <w:rFonts w:ascii="Arial" w:hAnsi="Arial" w:cs="Arial"/>
                                  <w:sz w:val="20"/>
                                  <w:szCs w:val="20"/>
                                </w:rPr>
                              </w:pPr>
                              <w:r w:rsidRPr="00EF0AC8">
                                <w:rPr>
                                  <w:rFonts w:ascii="Arial" w:hAnsi="Arial" w:cs="Arial"/>
                                  <w:sz w:val="20"/>
                                  <w:szCs w:val="20"/>
                                </w:rPr>
                                <w:t>Effective tax rate = 45%</w:t>
                              </w:r>
                            </w:p>
                          </w:txbxContent>
                        </v:textbox>
                      </v:shape>
                      <v:shape id="Text Box 72" o:spid="_x0000_s1036" type="#_x0000_t202" style="position:absolute;left:35519;top:49230;width:15551;height:8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ZNYMQA&#10;AADbAAAADwAAAGRycy9kb3ducmV2LnhtbESPQYvCMBSE78L+h/AWvGmqorjVKIsgiCC6XZE9Pppn&#10;223zUpqo9d8bQfA4zMw3zHzZmkpcqXGFZQWDfgSCOLW64EzB8Xfdm4JwHlljZZkU3MnBcvHRmWOs&#10;7Y1/6Jr4TAQIuxgV5N7XsZQuzcmg69uaOHhn2xj0QTaZ1A3eAtxUchhFE2mw4LCQY02rnNIyuRgF&#10;4135P3XRYGuPZbL/G/rTeHc4KdX9bL9nIDy1/h1+tTdawegL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TWDEAAAA2wAAAA8AAAAAAAAAAAAAAAAAmAIAAGRycy9k&#10;b3ducmV2LnhtbFBLBQYAAAAABAAEAPUAAACJAwAAAAA=&#10;" fillcolor="#d9eaf0" strokeweight="1.25pt">
                        <v:fill opacity="32896f"/>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Receives after-tax dividend of $39.60</w:t>
                              </w:r>
                            </w:p>
                            <w:p w:rsidR="007E46B6" w:rsidRPr="00EF0AC8" w:rsidRDefault="007E46B6" w:rsidP="00FA5A9A">
                              <w:pPr>
                                <w:jc w:val="center"/>
                                <w:rPr>
                                  <w:rFonts w:ascii="Arial" w:hAnsi="Arial" w:cs="Arial"/>
                                  <w:sz w:val="20"/>
                                  <w:szCs w:val="20"/>
                                  <w:vertAlign w:val="superscript"/>
                                </w:rPr>
                              </w:pPr>
                              <w:r w:rsidRPr="00EF0AC8">
                                <w:rPr>
                                  <w:rFonts w:ascii="Arial" w:hAnsi="Arial" w:cs="Arial"/>
                                  <w:sz w:val="20"/>
                                  <w:szCs w:val="20"/>
                                </w:rPr>
                                <w:t>Effective tax rate = 60.4%</w:t>
                              </w:r>
                            </w:p>
                          </w:txbxContent>
                        </v:textbox>
                      </v:shape>
                      <v:shape id="Text Box 73" o:spid="_x0000_s1037" type="#_x0000_t202" style="position:absolute;left:34671;top:36887;width:1721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rL8A&#10;AADbAAAADwAAAGRycy9kb3ducmV2LnhtbERPy4rCMBTdC/MP4Qqzm6aKDlKNIgVBmI06brq7NLcP&#10;bG5KkrHt35vFgMvDee8Oo+nEk5xvLStYJCkI4tLqlmsF99/T1waED8gaO8ukYCIPh/3HbIeZtgNf&#10;6XkLtYgh7DNU0ITQZ1L6siGDPrE9ceQq6wyGCF0ttcMhhptOLtP0WxpsOTY02FPeUPm4/RkF+eri&#10;3ZRPx2Ko6h9crotKDoVSn/PxuAURaAxv8b/7rBWs4vr4Jf4Au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b8ysvwAAANsAAAAPAAAAAAAAAAAAAAAAAJgCAABkcnMvZG93bnJl&#10;di54bWxQSwUGAAAAAAQABAD1AAAAhAMAAAAA&#10;" strokeweight="1.25pt">
                        <v:stroke dashstyle="1 1"/>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If credits were recognised the investor would instead receive an after-tax dividend of $55*</w:t>
                              </w:r>
                            </w:p>
                          </w:txbxContent>
                        </v:textbox>
                      </v:shape>
                      <v:line id="Line 75" o:spid="_x0000_s1038" style="position:absolute;visibility:visible;mso-wrap-style:square" from="15054,7905" to="15054,9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cjTccAAADbAAAADwAAAGRycy9kb3ducmV2LnhtbESP3WrCQBSE7wt9h+UUvCm68QeR1FW0&#10;VNqKpcYqeHnIHpNg9mzIrjF9e1co9HKYmW+Y6bw1pWiodoVlBf1eBII4tbrgTMH+Z9WdgHAeWWNp&#10;mRT8koP57PFhirG2V06o2flMBAi7GBXk3lexlC7NyaDr2Yo4eCdbG/RB1pnUNV4D3JRyEEVjabDg&#10;sJBjRa85pefdxSjYnpNNM/z8Xi/eDuZr+9wuj+/DRKnOU7t4AeGp9f/hv/aHVjAawP1L+AF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ZyNNxwAAANsAAAAPAAAAAAAA&#10;AAAAAAAAAKECAABkcnMvZG93bnJldi54bWxQSwUGAAAAAAQABAD5AAAAlQMAAAAA&#10;" strokecolor="#86a20b" strokeweight="1pt">
                        <v:stroke endarrow="block"/>
                      </v:line>
                      <v:line id="Line 76" o:spid="_x0000_s1039" style="position:absolute;visibility:visible;mso-wrap-style:square" from="15225,15748" to="15226,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uG1scAAADbAAAADwAAAGRycy9kb3ducmV2LnhtbESPQUvDQBSE74L/YXlCL8VsNEUkdluq&#10;WNqKYhMVPD6yzyQ0+zZkt2n677uFgsdhZr5hpvPBNKKnztWWFdxFMQjiwuqaSwXfX8vbRxDOI2ts&#10;LJOCIzmYz66vpphqe+CM+tyXIkDYpaig8r5NpXRFRQZdZFvi4P3ZzqAPsiul7vAQ4KaR93H8IA3W&#10;HBYqbOmlomKX742C7S5775PN59vi9cd8bMfD8+8qyZQa3QyLJxCeBv8fvrTXWsEkgfOX8APk7A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4bWxwAAANsAAAAPAAAAAAAA&#10;AAAAAAAAAKECAABkcnMvZG93bnJldi54bWxQSwUGAAAAAAQABAD5AAAAlQMAAAAA&#10;" strokecolor="#86a20b" strokeweight="1pt">
                        <v:stroke endarrow="block"/>
                      </v:line>
                      <v:line id="Line 78" o:spid="_x0000_s1040" style="position:absolute;flip:x;visibility:visible;mso-wrap-style:square" from="39803,8049" to="39804,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MqcMEAAADbAAAADwAAAGRycy9kb3ducmV2LnhtbESP3YrCMBCF7wXfIYywd5qqVaQaRQRx&#10;Ya9WfYCxGdtqM6lJtN233ywseHk4Px9ntelMLV7kfGVZwXiUgCDOra64UHA+7YcLED4ga6wtk4If&#10;8rBZ93srzLRt+Ztex1CIOMI+QwVlCE0mpc9LMuhHtiGO3tU6gyFKV0jtsI3jppaTJJlLgxVHQokN&#10;7UrK78eniRCXj5s2vXxNi3tyu6X2cVg4VOpj0G2XIAJ14R3+b39qBekM/r7EH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IypwwQAAANsAAAAPAAAAAAAAAAAAAAAA&#10;AKECAABkcnMvZG93bnJldi54bWxQSwUGAAAAAAQABAD5AAAAjwMAAAAA&#10;" strokecolor="#4298b5" strokeweight="1pt">
                        <v:stroke endarrow="block"/>
                      </v:line>
                      <v:line id="Line 77" o:spid="_x0000_s1041" style="position:absolute;visibility:visible;mso-wrap-style:square" from="15403,24384" to="15403,28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IeoscAAADbAAAADwAAAGRycy9kb3ducmV2LnhtbESP3WrCQBSE74W+w3IK3hTd+INI6ioq&#10;llqx1FiFXh6yp0kwezZk15i+fbdQ8HKYmW+Y2aI1pWiodoVlBYN+BII4tbrgTMHp86U3BeE8ssbS&#10;Min4IQeL+UNnhrG2N06oOfpMBAi7GBXk3lexlC7NyaDr24o4eN+2NuiDrDOpa7wFuCnlMIom0mDB&#10;YSHHitY5pZfj1Sg4XJJ9M3r72C03Z/N+eGpXX6+jRKnuY7t8BuGp9ffwf3urFYzH8Pcl/AA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wh6ixwAAANsAAAAPAAAAAAAA&#10;AAAAAAAAAKECAABkcnMvZG93bnJldi54bWxQSwUGAAAAAAQABAD5AAAAlQMAAAAA&#10;" strokecolor="#86a20b" strokeweight="1pt">
                        <v:stroke endarrow="block"/>
                      </v:line>
                      <v:line id="Line 79" o:spid="_x0000_s1042" style="position:absolute;visibility:visible;mso-wrap-style:square" from="39803,15748" to="39804,17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4i8QAAADbAAAADwAAAGRycy9kb3ducmV2LnhtbESPQWsCMRSE7wX/Q3hCb5q1FGtXo4jQ&#10;UpBaqm3Pz+S5u3TzsiRp3P57UxB6HGbmG2ax6m0rEvnQOFYwGRcgiLUzDVcKPg5PoxmIEJENto5J&#10;wS8FWC0HNwssjTvzO6V9rESGcChRQR1jV0oZdE0Ww9h1xNk7OW8xZukraTyeM9y28q4optJiw3mh&#10;xo42Nenv/Y9VkJ613z4Y2W1T2nx96rfX3XH9qNTtsF/PQUTq43/42n4xCu6n8Pcl/wC5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biLxAAAANsAAAAPAAAAAAAAAAAA&#10;AAAAAKECAABkcnMvZG93bnJldi54bWxQSwUGAAAAAAQABAD5AAAAkgMAAAAA&#10;" strokecolor="#4298b5" strokeweight="1pt">
                        <v:stroke endarrow="block"/>
                      </v:line>
                      <v:line id="Line 80" o:spid="_x0000_s1043" style="position:absolute;flip:x;visibility:visible;mso-wrap-style:square" from="39803,24270" to="39804,28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0RnMEAAADbAAAADwAAAGRycy9kb3ducmV2LnhtbESP3YrCMBCF7wXfIYywd5qqRaUaRQRx&#10;Ya9WfYCxGdtqM6lJtN233ywseHk4Px9ntelMLV7kfGVZwXiUgCDOra64UHA+7YcLED4ga6wtk4If&#10;8rBZ93srzLRt+Ztex1CIOMI+QwVlCE0mpc9LMuhHtiGO3tU6gyFKV0jtsI3jppaTJJlJgxVHQokN&#10;7UrK78eniRCXj5s2vXxNi3tyu6X2cVg4VOpj0G2XIAJ14R3+b39qBekc/r7EH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vRGcwQAAANsAAAAPAAAAAAAAAAAAAAAA&#10;AKECAABkcnMvZG93bnJldi54bWxQSwUGAAAAAAQABAD5AAAAjwMAAAAA&#10;" strokecolor="#4298b5" strokeweight="1pt">
                        <v:stroke endarrow="block"/>
                      </v:line>
                      <v:line id="Line 81" o:spid="_x0000_s1044" style="position:absolute;flip:x;visibility:visible;mso-wrap-style:square" from="14389,43135" to="18825,45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q8w8EAAADbAAAADwAAAGRycy9kb3ducmV2LnhtbERPy4rCMBTdC/5DuII7TWesIp1GEUGQ&#10;WShakZndpbl9YHNTmox2/t4sBJeH807XvWnEnTpXW1bwMY1AEOdW11wquGS7yRKE88gaG8uk4J8c&#10;rFfDQYqJtg8+0f3sSxFC2CWooPK+TaR0eUUG3dS2xIErbGfQB9iVUnf4COGmkZ9RtJAGaw4NFba0&#10;rSi/nf+MAjP/0fPj7jArvuPslv1e4+Wi3Ss1HvWbLxCeev8Wv9x7rSAOY8OX8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erzDwQAAANsAAAAPAAAAAAAAAAAAAAAA&#10;AKECAABkcnMvZG93bnJldi54bWxQSwUGAAAAAAQABAD5AAAAjwMAAAAA&#10;" strokecolor="#86a20b" strokeweight="1pt">
                        <v:stroke endarrow="block"/>
                      </v:line>
                      <v:line id="Line 82" o:spid="_x0000_s1045" style="position:absolute;visibility:visible;mso-wrap-style:square" from="28575,43218" to="37725,49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Is+cQAAADbAAAADwAAAGRycy9kb3ducmV2LnhtbESP3WoCMRSE7wu+QziCd5q1FFu3RhGh&#10;RZBaan+uT5PT3cXNyZLEuH17UxB6OczMN8xi1dtWJPKhcaxgOilAEGtnGq4UfLw/jR9AhIhssHVM&#10;Cn4pwGo5uFlgadyZ3ygdYiUyhEOJCuoYu1LKoGuyGCauI87ej/MWY5a+ksbjOcNtK2+LYiYtNpwX&#10;auxoU5M+Hk5WQXrWfndvZLdLafP1qV9f9t/ruVKjYb9+BBGpj//ha3trFNzN4e9L/gFy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z5xAAAANsAAAAPAAAAAAAAAAAA&#10;AAAAAKECAABkcnMvZG93bnJldi54bWxQSwUGAAAAAAQABAD5AAAAkgMAAAAA&#10;" strokecolor="#4298b5" strokeweight="1pt">
                        <v:stroke endarrow="block"/>
                      </v:line>
                      <v:line id="Line 83" o:spid="_x0000_s1046" style="position:absolute;visibility:visible;mso-wrap-style:square" from="43185,34657" to="43190,3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0678AAADbAAAADwAAAGRycy9kb3ducmV2LnhtbERPy4rCMBTdD/gP4QruxtRBZ6Q2iggD&#10;LtUps74217a0ualN+vDvzUJweTjvZDeaWvTUutKygsU8AkGcWV1yriD9+/1cg3AeWWNtmRQ8yMFu&#10;O/lIMNZ24DP1F5+LEMIuRgWF900spcsKMujmtiEO3M22Bn2AbS51i0MIN7X8iqJvabDk0FBgQ4eC&#10;surSGQUyHa6nQ9Xfu5/H6eiz2+p/2TVKzabjfgPC0+jf4pf7qBWswvrwJfwAuX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TB0678AAADbAAAADwAAAAAAAAAAAAAAAACh&#10;AgAAZHJzL2Rvd25yZXYueG1sUEsFBgAAAAAEAAQA+QAAAI0DAAAAAA==&#10;" strokecolor="#4298b5" strokeweight="1pt">
                        <v:stroke dashstyle="1 1" endarrow="block"/>
                      </v:line>
                      <v:line id="Line 85" o:spid="_x0000_s1047" style="position:absolute;flip:y;visibility:visible;mso-wrap-style:square" from="43261,46031" to="43261,49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PKMMAAADbAAAADwAAAGRycy9kb3ducmV2LnhtbESPT2sCMRTE7wW/Q3hCbzVrpeKuRhGh&#10;WLy0/rs/Ns/N6uZlSaKu374pFDwOM/MbZrbobCNu5EPtWMFwkIEgLp2uuVJw2H++TUCEiKyxcUwK&#10;HhRgMe+9zLDQ7s5buu1iJRKEQ4EKTIxtIWUoDVkMA9cSJ+/kvMWYpK+k9nhPcNvI9ywbS4s1pwWD&#10;La0MlZfd1Sr4udj1MRvZPG+1H5vN5Pydr89Kvfa75RREpC4+w//tL63gYwh/X9IP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TzyjDAAAA2wAAAA8AAAAAAAAAAAAA&#10;AAAAoQIAAGRycy9kb3ducmV2LnhtbFBLBQYAAAAABAAEAPkAAACRAwAAAAA=&#10;" strokecolor="#4298b5" strokeweight="1pt">
                        <v:stroke dashstyle="1 1" endarrow="block"/>
                      </v:line>
                      <v:line id="Line 87" o:spid="_x0000_s1048" style="position:absolute;visibility:visible;mso-wrap-style:square" from="15346,34735" to="18441,39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61kMcAAADbAAAADwAAAGRycy9kb3ducmV2LnhtbESPQWvCQBSE74X+h+UVvBTdqCiSuoqW&#10;Slux1FgFj4/sMwlm34bsGtN/7wqFHoeZ+YaZzltTioZqV1hW0O9FIIhTqwvOFOx/Vt0JCOeRNZaW&#10;ScEvOZjPHh+mGGt75YSanc9EgLCLUUHufRVL6dKcDLqerYiDd7K1QR9knUld4zXATSkHUTSWBgsO&#10;CzlW9JpTet5djILtOdk0w8/v9eLtYL62z+3y+D5MlOo8tYsXEJ5a/x/+a39oBaMB3L+EH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vrWQxwAAANsAAAAPAAAAAAAA&#10;AAAAAAAAAKECAABkcnMvZG93bnJldi54bWxQSwUGAAAAAAQABAD5AAAAlQMAAAAA&#10;" strokecolor="#86a20b" strokeweight="1pt">
                        <v:stroke endarrow="block"/>
                      </v:line>
                      <v:line id="Line 88" o:spid="_x0000_s1049" style="position:absolute;flip:x;visibility:visible;mso-wrap-style:square" from="28575,34657" to="34290,39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BQsIAAADbAAAADwAAAGRycy9kb3ducmV2LnhtbESP32rCMBTG74W9QzgD7zSt1SGdaRkD&#10;UdjVdA9w1py11eakS6Ktb28GAy8/vj8/vk05mk5cyfnWsoJ0noAgrqxuuVbwddzO1iB8QNbYWSYF&#10;N/JQFk+TDebaDvxJ10OoRRxhn6OCJoQ+l9JXDRn0c9sTR+/HOoMhSldL7XCI46aTiyR5kQZbjoQG&#10;e3pvqDofLiZCXJX2w/L7I6vPyem0tL+7tUOlps/j2yuIQGN4hP/be61glcHfl/gD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1+BQsIAAADbAAAADwAAAAAAAAAAAAAA&#10;AAChAgAAZHJzL2Rvd25yZXYueG1sUEsFBgAAAAAEAAQA+QAAAJADAAAAAA==&#10;" strokecolor="#4298b5" strokeweight="1pt">
                        <v:stroke endarrow="block"/>
                      </v:line>
                      <v:shape id="Text Box 62" o:spid="_x0000_s1050" type="#_x0000_t202" style="position:absolute;left:5868;top:1746;width:18288;height:6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HXsIA&#10;AADbAAAADwAAAGRycy9kb3ducmV2LnhtbESPQYvCMBSE7wv+h/AEb2uqqEjXKCIIIohaRfb4aN62&#10;3TYvpYla/70RBI/DzDfDzBatqcSNGldYVjDoRyCIU6sLzhScT+vvKQjnkTVWlknBgxws5p2vGcba&#10;3vlIt8RnIpSwi1FB7n0dS+nSnAy6vq2Jg/dnG4M+yCaTusF7KDeVHEbRRBosOCzkWNMqp7RMrkbB&#10;eFf+T1002Npzmex/h/4y3h0uSvW67fIHhKfWf8JveqMDN4L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AdewgAAANsAAAAPAAAAAAAAAAAAAAAAAJgCAABkcnMvZG93&#10;bnJldi54bWxQSwUGAAAAAAQABAD1AAAAhwMAAAAA&#10;" fillcolor="#d9eaf0" strokeweight="1.25pt">
                        <v:fill opacity="32896f"/>
                        <v:textbox>
                          <w:txbxContent>
                            <w:p w:rsidR="007E46B6" w:rsidRPr="00EF0AC8" w:rsidRDefault="007E46B6" w:rsidP="00FA5A9A">
                              <w:pPr>
                                <w:jc w:val="center"/>
                                <w:rPr>
                                  <w:rFonts w:ascii="Arial" w:hAnsi="Arial" w:cs="Arial"/>
                                  <w:sz w:val="20"/>
                                  <w:szCs w:val="20"/>
                                </w:rPr>
                              </w:pPr>
                              <w:r w:rsidRPr="00EF0AC8">
                                <w:rPr>
                                  <w:rFonts w:ascii="Arial" w:hAnsi="Arial" w:cs="Arial"/>
                                  <w:sz w:val="20"/>
                                  <w:szCs w:val="20"/>
                                </w:rPr>
                                <w:t xml:space="preserve">Australian investment </w:t>
                              </w:r>
                              <w:r>
                                <w:rPr>
                                  <w:rFonts w:ascii="Arial" w:hAnsi="Arial" w:cs="Arial"/>
                                  <w:sz w:val="20"/>
                                  <w:szCs w:val="20"/>
                                </w:rPr>
                                <w:t>—</w:t>
                              </w:r>
                              <w:r w:rsidRPr="00EF0AC8">
                                <w:rPr>
                                  <w:rFonts w:ascii="Arial" w:hAnsi="Arial" w:cs="Arial"/>
                                  <w:sz w:val="20"/>
                                  <w:szCs w:val="20"/>
                                </w:rPr>
                                <w:t xml:space="preserve"> with imputation</w:t>
                              </w:r>
                              <w:r>
                                <w:rPr>
                                  <w:rFonts w:ascii="Arial" w:hAnsi="Arial" w:cs="Arial"/>
                                  <w:sz w:val="20"/>
                                  <w:szCs w:val="20"/>
                                </w:rPr>
                                <w:t>,</w:t>
                              </w:r>
                              <w:r w:rsidRPr="00EF0AC8">
                                <w:rPr>
                                  <w:rFonts w:ascii="Arial" w:hAnsi="Arial" w:cs="Arial"/>
                                  <w:sz w:val="20"/>
                                  <w:szCs w:val="20"/>
                                </w:rPr>
                                <w:t xml:space="preserve"> investment in an Australian </w:t>
                              </w:r>
                              <w:r>
                                <w:rPr>
                                  <w:rFonts w:ascii="Arial" w:hAnsi="Arial" w:cs="Arial"/>
                                  <w:sz w:val="20"/>
                                  <w:szCs w:val="20"/>
                                </w:rPr>
                                <w:t>company</w:t>
                              </w:r>
                            </w:p>
                          </w:txbxContent>
                        </v:textbox>
                      </v:shape>
                      <v:shape id="Text Box 246" o:spid="_x0000_s1051" type="#_x0000_t202" style="position:absolute;left:30615;top:1746;width:18231;height:6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ixcQA&#10;AADbAAAADwAAAGRycy9kb3ducmV2LnhtbESPQWvCQBSE70L/w/IKvZldhRRJXaUUCqUgrTGEHh/Z&#10;ZxKTfRuyW03/fVcQPA4z3wyz3k62F2cafetYwyJRIIgrZ1quNRSH9/kKhA/IBnvHpOGPPGw3D7M1&#10;ZsZdeE/nPNQilrDPUEMTwpBJ6auGLPrEDcTRO7rRYohyrKUZ8RLLbS+XSj1Liy3HhQYHemuo6vJf&#10;qyHddaeVV4tPV3T5188ylOnuu9T66XF6fQERaAr38I3+MJFL4fol/g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EosXEAAAA2wAAAA8AAAAAAAAAAAAAAAAAmAIAAGRycy9k&#10;b3ducmV2LnhtbFBLBQYAAAAABAAEAPUAAACJAwAAAAA=&#10;" fillcolor="#d9eaf0" strokeweight="1.25pt">
                        <v:fill opacity="32896f"/>
                        <v:textbox>
                          <w:txbxContent>
                            <w:p w:rsidR="007E46B6" w:rsidRPr="00EF0AC8" w:rsidRDefault="007E46B6" w:rsidP="002D0ED6">
                              <w:pPr>
                                <w:spacing w:after="100"/>
                                <w:jc w:val="center"/>
                                <w:rPr>
                                  <w:rFonts w:ascii="Arial" w:hAnsi="Arial" w:cs="Arial"/>
                                  <w:sz w:val="20"/>
                                  <w:szCs w:val="20"/>
                                </w:rPr>
                              </w:pPr>
                              <w:r w:rsidRPr="00EF0AC8">
                                <w:rPr>
                                  <w:rFonts w:ascii="Arial" w:hAnsi="Arial" w:cs="Arial"/>
                                  <w:sz w:val="20"/>
                                  <w:szCs w:val="20"/>
                                </w:rPr>
                                <w:t xml:space="preserve">New Zealand investment </w:t>
                              </w:r>
                              <w:r>
                                <w:rPr>
                                  <w:rFonts w:ascii="Arial" w:hAnsi="Arial" w:cs="Arial"/>
                                  <w:sz w:val="20"/>
                                  <w:szCs w:val="20"/>
                                </w:rPr>
                                <w:t>—</w:t>
                              </w:r>
                              <w:r w:rsidRPr="00EF0AC8">
                                <w:rPr>
                                  <w:rFonts w:ascii="Arial" w:hAnsi="Arial" w:cs="Arial"/>
                                  <w:sz w:val="20"/>
                                  <w:szCs w:val="20"/>
                                </w:rPr>
                                <w:t xml:space="preserve"> without </w:t>
                              </w:r>
                              <w:proofErr w:type="spellStart"/>
                              <w:r w:rsidRPr="00EF0AC8">
                                <w:rPr>
                                  <w:rFonts w:ascii="Arial" w:hAnsi="Arial" w:cs="Arial"/>
                                  <w:sz w:val="20"/>
                                  <w:szCs w:val="20"/>
                                </w:rPr>
                                <w:t>MRIC</w:t>
                              </w:r>
                              <w:proofErr w:type="spellEnd"/>
                              <w:r>
                                <w:rPr>
                                  <w:rFonts w:ascii="Arial" w:hAnsi="Arial" w:cs="Arial"/>
                                  <w:sz w:val="20"/>
                                  <w:szCs w:val="20"/>
                                </w:rPr>
                                <w:t>, investment in a New Zealand company</w:t>
                              </w:r>
                              <w:r w:rsidRPr="00EF0AC8">
                                <w:rPr>
                                  <w:rFonts w:ascii="Arial" w:hAnsi="Arial" w:cs="Arial"/>
                                  <w:sz w:val="20"/>
                                  <w:szCs w:val="20"/>
                                </w:rPr>
                                <w:t xml:space="preserve"> </w:t>
                              </w:r>
                            </w:p>
                          </w:txbxContent>
                        </v:textbox>
                      </v:shape>
                      <w10:anchorlock/>
                    </v:group>
                  </w:pict>
                </mc:Fallback>
              </mc:AlternateContent>
            </w:r>
            <w:bookmarkEnd w:id="3"/>
          </w:p>
        </w:tc>
      </w:tr>
    </w:tbl>
    <w:p w:rsidR="006058BF" w:rsidRDefault="006058BF" w:rsidP="006058BF">
      <w:pPr>
        <w:pStyle w:val="BodyText"/>
        <w:rPr>
          <w:color w:val="4298B5"/>
          <w:sz w:val="40"/>
        </w:rPr>
      </w:pPr>
      <w:r>
        <w:br w:type="page"/>
      </w:r>
    </w:p>
    <w:p w:rsidR="006D064B" w:rsidRDefault="006D064B" w:rsidP="00696A2F">
      <w:pPr>
        <w:pStyle w:val="Heading2"/>
        <w:keepLines/>
        <w:rPr>
          <w:rFonts w:cs="Arial"/>
        </w:rPr>
      </w:pPr>
      <w:proofErr w:type="spellStart"/>
      <w:r w:rsidRPr="00103433">
        <w:rPr>
          <w:rFonts w:cs="Arial"/>
        </w:rPr>
        <w:lastRenderedPageBreak/>
        <w:t>F.2</w:t>
      </w:r>
      <w:proofErr w:type="spellEnd"/>
      <w:r w:rsidRPr="00103433">
        <w:rPr>
          <w:rFonts w:cs="Arial"/>
        </w:rPr>
        <w:tab/>
        <w:t xml:space="preserve">What is the </w:t>
      </w:r>
      <w:r w:rsidR="00EA57C5">
        <w:rPr>
          <w:rFonts w:cs="Arial"/>
        </w:rPr>
        <w:t>issue</w:t>
      </w:r>
      <w:r w:rsidRPr="00103433">
        <w:rPr>
          <w:rFonts w:cs="Arial"/>
        </w:rPr>
        <w:t>?</w:t>
      </w:r>
    </w:p>
    <w:p w:rsidR="006D064B" w:rsidRDefault="006D064B" w:rsidP="006178EF">
      <w:pPr>
        <w:pStyle w:val="Heading3"/>
        <w:keepLines/>
        <w:spacing w:before="240"/>
        <w:rPr>
          <w:rFonts w:cs="Arial"/>
        </w:rPr>
      </w:pPr>
      <w:proofErr w:type="spellStart"/>
      <w:r w:rsidRPr="00103433">
        <w:rPr>
          <w:rFonts w:cs="Arial"/>
        </w:rPr>
        <w:t>Allocative</w:t>
      </w:r>
      <w:proofErr w:type="spellEnd"/>
      <w:r w:rsidRPr="00103433">
        <w:rPr>
          <w:rFonts w:cs="Arial"/>
        </w:rPr>
        <w:t xml:space="preserve"> inefficiency</w:t>
      </w:r>
    </w:p>
    <w:p w:rsidR="006D064B" w:rsidRDefault="00DD7669" w:rsidP="002A3532">
      <w:pPr>
        <w:pStyle w:val="BodyText"/>
        <w:keepNext/>
        <w:keepLines/>
        <w:spacing w:before="200" w:line="310" w:lineRule="atLeast"/>
        <w:rPr>
          <w:lang w:val="en-NZ" w:eastAsia="en-US"/>
        </w:rPr>
      </w:pPr>
      <w:r>
        <w:rPr>
          <w:lang w:val="en-NZ" w:eastAsia="en-US"/>
        </w:rPr>
        <w:t>T</w:t>
      </w:r>
      <w:r w:rsidR="006D064B" w:rsidRPr="00103433">
        <w:rPr>
          <w:lang w:val="en-NZ" w:eastAsia="en-US"/>
        </w:rPr>
        <w:t>he different tax treatment of domestic and trans-Tasman dividends distorts decisions by Australian and New Zealand investors about whe</w:t>
      </w:r>
      <w:r>
        <w:rPr>
          <w:lang w:val="en-NZ" w:eastAsia="en-US"/>
        </w:rPr>
        <w:t>ther to invest domestically or trans-Tasman.</w:t>
      </w:r>
      <w:r w:rsidR="006D064B" w:rsidRPr="00103433">
        <w:rPr>
          <w:lang w:val="en-NZ" w:eastAsia="en-US"/>
        </w:rPr>
        <w:t xml:space="preserve"> </w:t>
      </w:r>
      <w:r w:rsidR="00271E0E">
        <w:rPr>
          <w:lang w:val="en-NZ" w:eastAsia="en-US"/>
        </w:rPr>
        <w:t>It can also distort investment decisions made by Australian and New Zealand companies. It creates</w:t>
      </w:r>
      <w:r w:rsidR="006D064B" w:rsidRPr="00103433">
        <w:rPr>
          <w:lang w:val="en-NZ" w:eastAsia="en-US"/>
        </w:rPr>
        <w:t xml:space="preserve"> a home-country bias</w:t>
      </w:r>
      <w:r w:rsidR="00271E0E">
        <w:rPr>
          <w:lang w:val="en-NZ" w:eastAsia="en-US"/>
        </w:rPr>
        <w:t>,</w:t>
      </w:r>
      <w:r w:rsidR="006D064B" w:rsidRPr="00103433">
        <w:rPr>
          <w:lang w:val="en-NZ" w:eastAsia="en-US"/>
        </w:rPr>
        <w:t xml:space="preserve"> </w:t>
      </w:r>
      <w:r w:rsidR="00271E0E">
        <w:rPr>
          <w:lang w:val="en-NZ" w:eastAsia="en-US"/>
        </w:rPr>
        <w:t>t</w:t>
      </w:r>
      <w:r w:rsidR="006D064B" w:rsidRPr="00103433">
        <w:rPr>
          <w:lang w:val="en-NZ" w:eastAsia="en-US"/>
        </w:rPr>
        <w:t>hat is Australian and New Zealand companies tend to be owned more by their respective nationals than by trans-Tasman investors, and</w:t>
      </w:r>
      <w:r w:rsidR="006D064B">
        <w:rPr>
          <w:lang w:val="en-NZ" w:eastAsia="en-US"/>
        </w:rPr>
        <w:t xml:space="preserve"> —</w:t>
      </w:r>
      <w:r w:rsidR="006D064B" w:rsidRPr="00103433">
        <w:rPr>
          <w:lang w:val="en-NZ" w:eastAsia="en-US"/>
        </w:rPr>
        <w:t xml:space="preserve"> subject to a qualification explained in the next section</w:t>
      </w:r>
      <w:r w:rsidR="006D064B">
        <w:rPr>
          <w:lang w:val="en-NZ" w:eastAsia="en-US"/>
        </w:rPr>
        <w:t xml:space="preserve"> —</w:t>
      </w:r>
      <w:r w:rsidR="006D064B" w:rsidRPr="00103433">
        <w:rPr>
          <w:lang w:val="en-NZ" w:eastAsia="en-US"/>
        </w:rPr>
        <w:t xml:space="preserve"> companies tend to invest in their home country, rather than in the trans-Tasman market as a whole. These biases result in inefficient allocation of capital and </w:t>
      </w:r>
      <w:r w:rsidR="00271E0E">
        <w:rPr>
          <w:lang w:val="en-NZ" w:eastAsia="en-US"/>
        </w:rPr>
        <w:t>less-than-optimal</w:t>
      </w:r>
      <w:r w:rsidR="006D064B" w:rsidRPr="00103433">
        <w:rPr>
          <w:lang w:val="en-NZ" w:eastAsia="en-US"/>
        </w:rPr>
        <w:t xml:space="preserve"> portfolio diversification by investors.</w:t>
      </w:r>
    </w:p>
    <w:p w:rsidR="006D064B" w:rsidRDefault="006D064B" w:rsidP="002A3532">
      <w:pPr>
        <w:pStyle w:val="BodyText"/>
        <w:keepNext/>
        <w:keepLines/>
        <w:spacing w:before="200" w:line="310" w:lineRule="atLeast"/>
        <w:rPr>
          <w:lang w:val="en-NZ" w:eastAsia="en-US"/>
        </w:rPr>
      </w:pPr>
      <w:r w:rsidRPr="00103433">
        <w:rPr>
          <w:lang w:val="en-NZ" w:eastAsia="en-US"/>
        </w:rPr>
        <w:t xml:space="preserve">For firms, the home bias effect </w:t>
      </w:r>
      <w:r w:rsidR="00DF3C61">
        <w:rPr>
          <w:lang w:val="en-NZ" w:eastAsia="en-US"/>
        </w:rPr>
        <w:t>occurs because</w:t>
      </w:r>
      <w:r w:rsidRPr="00103433">
        <w:rPr>
          <w:lang w:val="en-NZ" w:eastAsia="en-US"/>
        </w:rPr>
        <w:t xml:space="preserve"> </w:t>
      </w:r>
      <w:r w:rsidR="00DF3C61">
        <w:rPr>
          <w:lang w:val="en-NZ" w:eastAsia="en-US"/>
        </w:rPr>
        <w:t>the level of post-</w:t>
      </w:r>
      <w:r w:rsidRPr="00103433">
        <w:rPr>
          <w:lang w:val="en-NZ" w:eastAsia="en-US"/>
        </w:rPr>
        <w:t xml:space="preserve">tax </w:t>
      </w:r>
      <w:r w:rsidR="00DF3C61">
        <w:rPr>
          <w:lang w:val="en-NZ" w:eastAsia="en-US"/>
        </w:rPr>
        <w:t>returns for shareholders can affect</w:t>
      </w:r>
      <w:r w:rsidRPr="00103433">
        <w:rPr>
          <w:lang w:val="en-NZ" w:eastAsia="en-US"/>
        </w:rPr>
        <w:t xml:space="preserve"> their cost of capital (the minimum return required to elicit funds for investment). Shares that offer imputed dividends can generate lower pre-tax returns to meet investors’ required post-tax rate of return. Hence, firms </w:t>
      </w:r>
      <w:r w:rsidR="00C42BD7">
        <w:rPr>
          <w:lang w:val="en-NZ" w:eastAsia="en-US"/>
        </w:rPr>
        <w:t>have</w:t>
      </w:r>
      <w:r w:rsidRPr="00103433">
        <w:rPr>
          <w:lang w:val="en-NZ" w:eastAsia="en-US"/>
        </w:rPr>
        <w:t xml:space="preserve"> an incentive to bias their investments toward those that enable dividends to be paid with imputation credits attached. Where imputation credits are recognised </w:t>
      </w:r>
      <w:r w:rsidR="00DF3C61">
        <w:rPr>
          <w:lang w:val="en-NZ" w:eastAsia="en-US"/>
        </w:rPr>
        <w:t>for</w:t>
      </w:r>
      <w:r w:rsidRPr="00103433">
        <w:rPr>
          <w:lang w:val="en-NZ" w:eastAsia="en-US"/>
        </w:rPr>
        <w:t xml:space="preserve"> tax paid on domestic earnings, but not </w:t>
      </w:r>
      <w:r w:rsidR="00DF3C61">
        <w:rPr>
          <w:lang w:val="en-NZ" w:eastAsia="en-US"/>
        </w:rPr>
        <w:t>for</w:t>
      </w:r>
      <w:r w:rsidRPr="00103433">
        <w:rPr>
          <w:lang w:val="en-NZ" w:eastAsia="en-US"/>
        </w:rPr>
        <w:t xml:space="preserve"> earnings from across the Tasman, firms </w:t>
      </w:r>
      <w:r w:rsidR="00C42BD7">
        <w:rPr>
          <w:lang w:val="en-NZ" w:eastAsia="en-US"/>
        </w:rPr>
        <w:t>h</w:t>
      </w:r>
      <w:r w:rsidRPr="00103433">
        <w:rPr>
          <w:lang w:val="en-NZ" w:eastAsia="en-US"/>
        </w:rPr>
        <w:t>a</w:t>
      </w:r>
      <w:r w:rsidR="00C42BD7">
        <w:rPr>
          <w:lang w:val="en-NZ" w:eastAsia="en-US"/>
        </w:rPr>
        <w:t>v</w:t>
      </w:r>
      <w:r w:rsidRPr="00103433">
        <w:rPr>
          <w:lang w:val="en-NZ" w:eastAsia="en-US"/>
        </w:rPr>
        <w:t>e an incentive to bias the allocation of their capital to within their home economy (</w:t>
      </w:r>
      <w:r w:rsidR="00371318">
        <w:rPr>
          <w:lang w:val="en-NZ" w:eastAsia="en-US"/>
        </w:rPr>
        <w:t>b</w:t>
      </w:r>
      <w:r w:rsidRPr="00103433">
        <w:rPr>
          <w:lang w:val="en-NZ" w:eastAsia="en-US"/>
        </w:rPr>
        <w:t xml:space="preserve">ox </w:t>
      </w:r>
      <w:proofErr w:type="spellStart"/>
      <w:r w:rsidR="00371318">
        <w:rPr>
          <w:lang w:val="en-NZ" w:eastAsia="en-US"/>
        </w:rPr>
        <w:t>F.</w:t>
      </w:r>
      <w:r w:rsidRPr="00103433">
        <w:rPr>
          <w:lang w:val="en-NZ" w:eastAsia="en-US"/>
        </w:rPr>
        <w:t>2</w:t>
      </w:r>
      <w:proofErr w:type="spellEnd"/>
      <w:r w:rsidRPr="00103433">
        <w:rPr>
          <w:lang w:val="en-NZ" w:eastAsia="en-US"/>
        </w:rPr>
        <w:t>).</w:t>
      </w:r>
    </w:p>
    <w:p w:rsidR="006D064B" w:rsidRPr="00385961" w:rsidRDefault="006D064B" w:rsidP="006058BF">
      <w:pPr>
        <w:pStyle w:val="BoxSpace"/>
        <w:spacing w:before="240"/>
        <w:rPr>
          <w:rFonts w:cs="Arial"/>
          <w:sz w:val="16"/>
          <w:szCs w:val="16"/>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D064B" w:rsidRPr="001F7356" w:rsidTr="00497EB5">
        <w:tc>
          <w:tcPr>
            <w:tcW w:w="8771" w:type="dxa"/>
            <w:tcBorders>
              <w:top w:val="nil"/>
              <w:left w:val="nil"/>
              <w:bottom w:val="nil"/>
              <w:right w:val="nil"/>
            </w:tcBorders>
            <w:shd w:val="clear" w:color="auto" w:fill="D9EAF0"/>
          </w:tcPr>
          <w:p w:rsidR="006D064B" w:rsidRPr="00B618DA" w:rsidRDefault="006D064B" w:rsidP="00497EB5">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fldChar w:fldCharType="begin"/>
            </w:r>
            <w:r>
              <w:rPr>
                <w:b w:val="0"/>
              </w:rPr>
              <w:instrText xml:space="preserve"> SEQ Box \* ARABIC </w:instrText>
            </w:r>
            <w:r>
              <w:rPr>
                <w:b w:val="0"/>
              </w:rPr>
              <w:fldChar w:fldCharType="separate"/>
            </w:r>
            <w:r w:rsidR="008568A0">
              <w:rPr>
                <w:b w:val="0"/>
                <w:noProof/>
              </w:rPr>
              <w:t>2</w:t>
            </w:r>
            <w:proofErr w:type="spellEnd"/>
            <w:r>
              <w:rPr>
                <w:b w:val="0"/>
              </w:rPr>
              <w:fldChar w:fldCharType="end"/>
            </w:r>
            <w:r w:rsidRPr="001F7356">
              <w:tab/>
              <w:t>The effect of cross-border double tax on a N</w:t>
            </w:r>
            <w:r w:rsidRPr="00B618DA">
              <w:t>ew Zealand investor’s choice of investments</w:t>
            </w:r>
          </w:p>
        </w:tc>
      </w:tr>
      <w:tr w:rsidR="006D064B" w:rsidRPr="00AF76B3" w:rsidTr="00497EB5">
        <w:trPr>
          <w:cantSplit/>
        </w:trPr>
        <w:tc>
          <w:tcPr>
            <w:tcW w:w="8771" w:type="dxa"/>
            <w:tcBorders>
              <w:top w:val="nil"/>
              <w:left w:val="nil"/>
              <w:bottom w:val="nil"/>
              <w:right w:val="nil"/>
            </w:tcBorders>
            <w:shd w:val="clear" w:color="auto" w:fill="D9EAF0"/>
          </w:tcPr>
          <w:p w:rsidR="006D064B" w:rsidRPr="001F7356" w:rsidRDefault="006D064B" w:rsidP="002A3532">
            <w:pPr>
              <w:pStyle w:val="Box"/>
              <w:spacing w:line="270" w:lineRule="atLeast"/>
              <w:rPr>
                <w:rFonts w:cs="Arial"/>
                <w:szCs w:val="22"/>
              </w:rPr>
            </w:pPr>
            <w:r w:rsidRPr="004F7DE3">
              <w:rPr>
                <w:rFonts w:cs="Arial"/>
                <w:szCs w:val="22"/>
              </w:rPr>
              <w:t>Assume a</w:t>
            </w:r>
            <w:r w:rsidR="00DF3C61">
              <w:rPr>
                <w:rFonts w:cs="Arial"/>
                <w:szCs w:val="22"/>
              </w:rPr>
              <w:t xml:space="preserve"> New Zealand</w:t>
            </w:r>
            <w:r w:rsidRPr="004F7DE3">
              <w:rPr>
                <w:rFonts w:cs="Arial"/>
                <w:szCs w:val="22"/>
              </w:rPr>
              <w:t xml:space="preserve"> investor requires a minimum 6</w:t>
            </w:r>
            <w:r w:rsidR="00022122">
              <w:rPr>
                <w:rFonts w:cs="Arial"/>
                <w:szCs w:val="22"/>
              </w:rPr>
              <w:t> </w:t>
            </w:r>
            <w:proofErr w:type="spellStart"/>
            <w:r w:rsidR="007D3ADC">
              <w:rPr>
                <w:rFonts w:cs="Arial"/>
                <w:szCs w:val="22"/>
              </w:rPr>
              <w:t>percent</w:t>
            </w:r>
            <w:proofErr w:type="spellEnd"/>
            <w:r w:rsidRPr="004F7DE3">
              <w:rPr>
                <w:rFonts w:cs="Arial"/>
                <w:szCs w:val="22"/>
              </w:rPr>
              <w:t xml:space="preserve"> post-tax rate of return to invest.</w:t>
            </w:r>
          </w:p>
          <w:p w:rsidR="006D064B" w:rsidRPr="00B618DA" w:rsidRDefault="006D064B" w:rsidP="002A3532">
            <w:pPr>
              <w:pStyle w:val="Box"/>
              <w:spacing w:line="270" w:lineRule="atLeast"/>
              <w:rPr>
                <w:rFonts w:cs="Arial"/>
                <w:szCs w:val="22"/>
              </w:rPr>
            </w:pPr>
            <w:r w:rsidRPr="00B618DA">
              <w:rPr>
                <w:rFonts w:cs="Arial"/>
                <w:szCs w:val="22"/>
              </w:rPr>
              <w:t>With a 33</w:t>
            </w:r>
            <w:r w:rsidR="00022122">
              <w:rPr>
                <w:rFonts w:cs="Arial"/>
                <w:szCs w:val="22"/>
              </w:rPr>
              <w:t> </w:t>
            </w:r>
            <w:proofErr w:type="spellStart"/>
            <w:r w:rsidR="007D3ADC">
              <w:rPr>
                <w:rFonts w:cs="Arial"/>
                <w:szCs w:val="22"/>
              </w:rPr>
              <w:t>percent</w:t>
            </w:r>
            <w:proofErr w:type="spellEnd"/>
            <w:r w:rsidRPr="00B618DA">
              <w:rPr>
                <w:rFonts w:cs="Arial"/>
                <w:szCs w:val="22"/>
              </w:rPr>
              <w:t xml:space="preserve"> personal tax rate</w:t>
            </w:r>
            <w:r w:rsidR="00F8651F">
              <w:rPr>
                <w:rFonts w:cs="Arial"/>
                <w:szCs w:val="22"/>
              </w:rPr>
              <w:t xml:space="preserve"> under an</w:t>
            </w:r>
            <w:r w:rsidRPr="00B618DA">
              <w:rPr>
                <w:rFonts w:cs="Arial"/>
                <w:szCs w:val="22"/>
              </w:rPr>
              <w:t xml:space="preserve"> imputation credit regime, the investor would require the company to generate a pre-tax return of 9</w:t>
            </w:r>
            <w:r w:rsidR="00022122">
              <w:rPr>
                <w:rFonts w:cs="Arial"/>
                <w:szCs w:val="22"/>
              </w:rPr>
              <w:t> </w:t>
            </w:r>
            <w:proofErr w:type="spellStart"/>
            <w:r w:rsidR="007D3ADC">
              <w:rPr>
                <w:rFonts w:cs="Arial"/>
                <w:szCs w:val="22"/>
              </w:rPr>
              <w:t>percent</w:t>
            </w:r>
            <w:proofErr w:type="spellEnd"/>
            <w:r w:rsidRPr="00B618DA">
              <w:rPr>
                <w:rFonts w:cs="Arial"/>
                <w:szCs w:val="22"/>
              </w:rPr>
              <w:t xml:space="preserve"> to deliver the required post-tax return (9.0 x 0.67 = 6.0).</w:t>
            </w:r>
          </w:p>
          <w:p w:rsidR="006D064B" w:rsidRPr="00385961" w:rsidRDefault="006D064B" w:rsidP="002A3532">
            <w:pPr>
              <w:pStyle w:val="Box"/>
              <w:spacing w:line="270" w:lineRule="atLeast"/>
              <w:rPr>
                <w:rFonts w:cs="Arial"/>
                <w:szCs w:val="22"/>
              </w:rPr>
            </w:pPr>
            <w:r w:rsidRPr="00B618DA">
              <w:rPr>
                <w:rFonts w:cs="Arial"/>
                <w:szCs w:val="22"/>
              </w:rPr>
              <w:t xml:space="preserve">For </w:t>
            </w:r>
            <w:r w:rsidR="00F8651F">
              <w:rPr>
                <w:rFonts w:cs="Arial"/>
                <w:szCs w:val="22"/>
              </w:rPr>
              <w:t xml:space="preserve">an </w:t>
            </w:r>
            <w:r w:rsidRPr="00B618DA">
              <w:rPr>
                <w:rFonts w:cs="Arial"/>
                <w:szCs w:val="22"/>
              </w:rPr>
              <w:t>investment in</w:t>
            </w:r>
            <w:r w:rsidR="00F8651F">
              <w:rPr>
                <w:rFonts w:cs="Arial"/>
                <w:szCs w:val="22"/>
              </w:rPr>
              <w:t>to</w:t>
            </w:r>
            <w:r w:rsidRPr="00B618DA">
              <w:rPr>
                <w:rFonts w:cs="Arial"/>
                <w:szCs w:val="22"/>
              </w:rPr>
              <w:t xml:space="preserve"> Australia, however, the minimum pre-tax return required is higher. Again assuming a 33</w:t>
            </w:r>
            <w:r w:rsidR="00022122">
              <w:rPr>
                <w:rFonts w:cs="Arial"/>
                <w:szCs w:val="22"/>
              </w:rPr>
              <w:t> </w:t>
            </w:r>
            <w:proofErr w:type="spellStart"/>
            <w:r w:rsidR="007D3ADC">
              <w:rPr>
                <w:rFonts w:cs="Arial"/>
                <w:szCs w:val="22"/>
              </w:rPr>
              <w:t>percent</w:t>
            </w:r>
            <w:proofErr w:type="spellEnd"/>
            <w:r w:rsidRPr="00B618DA">
              <w:rPr>
                <w:rFonts w:cs="Arial"/>
                <w:szCs w:val="22"/>
              </w:rPr>
              <w:t xml:space="preserve"> personal tax rate, an Australian </w:t>
            </w:r>
            <w:r w:rsidR="00F8651F">
              <w:rPr>
                <w:rFonts w:cs="Arial"/>
                <w:szCs w:val="22"/>
              </w:rPr>
              <w:t xml:space="preserve">company </w:t>
            </w:r>
            <w:r w:rsidRPr="00B618DA">
              <w:rPr>
                <w:rFonts w:cs="Arial"/>
                <w:szCs w:val="22"/>
              </w:rPr>
              <w:t>tax rate of 30</w:t>
            </w:r>
            <w:r w:rsidR="00022122">
              <w:rPr>
                <w:rFonts w:cs="Arial"/>
                <w:szCs w:val="22"/>
              </w:rPr>
              <w:t> </w:t>
            </w:r>
            <w:proofErr w:type="spellStart"/>
            <w:r w:rsidR="007D3ADC">
              <w:rPr>
                <w:rFonts w:cs="Arial"/>
                <w:szCs w:val="22"/>
              </w:rPr>
              <w:t>percent</w:t>
            </w:r>
            <w:proofErr w:type="spellEnd"/>
            <w:r w:rsidRPr="00B618DA">
              <w:rPr>
                <w:rFonts w:cs="Arial"/>
                <w:szCs w:val="22"/>
              </w:rPr>
              <w:t>, and no New Zeal</w:t>
            </w:r>
            <w:r w:rsidRPr="001A2FC1">
              <w:rPr>
                <w:rFonts w:cs="Arial"/>
                <w:szCs w:val="22"/>
              </w:rPr>
              <w:t>and recognition of Australian imputation credits, the pre-tax rate of return required is 12.8</w:t>
            </w:r>
            <w:r w:rsidR="00022122">
              <w:rPr>
                <w:rFonts w:cs="Arial"/>
                <w:szCs w:val="22"/>
              </w:rPr>
              <w:t> </w:t>
            </w:r>
            <w:proofErr w:type="spellStart"/>
            <w:r w:rsidR="007D3ADC">
              <w:rPr>
                <w:rFonts w:cs="Arial"/>
                <w:szCs w:val="22"/>
              </w:rPr>
              <w:t>percent</w:t>
            </w:r>
            <w:proofErr w:type="spellEnd"/>
            <w:r w:rsidRPr="001A2FC1">
              <w:rPr>
                <w:rFonts w:cs="Arial"/>
                <w:szCs w:val="22"/>
              </w:rPr>
              <w:t xml:space="preserve"> (12.8 x 0.7 x 0.67 = 6.0).</w:t>
            </w:r>
          </w:p>
          <w:p w:rsidR="006D064B" w:rsidRPr="00385961" w:rsidRDefault="006D064B" w:rsidP="002A3532">
            <w:pPr>
              <w:pStyle w:val="Box"/>
              <w:spacing w:line="270" w:lineRule="atLeast"/>
              <w:rPr>
                <w:rFonts w:cs="Arial"/>
                <w:szCs w:val="22"/>
              </w:rPr>
            </w:pPr>
            <w:r w:rsidRPr="00385961">
              <w:rPr>
                <w:rFonts w:cs="Arial"/>
                <w:szCs w:val="22"/>
              </w:rPr>
              <w:t>Thus, the investor will have an investment bias toward New Zealand. In this example, otherwise comparable Australian inv</w:t>
            </w:r>
            <w:r w:rsidR="00022122">
              <w:rPr>
                <w:rFonts w:cs="Arial"/>
                <w:szCs w:val="22"/>
              </w:rPr>
              <w:t>estments need to yield nearly 4 </w:t>
            </w:r>
            <w:r w:rsidRPr="00385961">
              <w:rPr>
                <w:rFonts w:cs="Arial"/>
                <w:szCs w:val="22"/>
              </w:rPr>
              <w:t>percentage points mo</w:t>
            </w:r>
            <w:r>
              <w:rPr>
                <w:rFonts w:cs="Arial"/>
                <w:szCs w:val="22"/>
              </w:rPr>
              <w:t>re (in other words to have a 44</w:t>
            </w:r>
            <w:r w:rsidR="00022122">
              <w:rPr>
                <w:rFonts w:cs="Arial"/>
                <w:szCs w:val="22"/>
              </w:rPr>
              <w:t> </w:t>
            </w:r>
            <w:proofErr w:type="spellStart"/>
            <w:r w:rsidR="007D3ADC">
              <w:rPr>
                <w:rFonts w:cs="Arial"/>
                <w:szCs w:val="22"/>
              </w:rPr>
              <w:t>percent</w:t>
            </w:r>
            <w:proofErr w:type="spellEnd"/>
            <w:r w:rsidRPr="001A2FC1">
              <w:rPr>
                <w:rFonts w:cs="Arial"/>
                <w:szCs w:val="22"/>
              </w:rPr>
              <w:t xml:space="preserve"> higher rate of return) than domestic investments to be attractive.</w:t>
            </w:r>
          </w:p>
        </w:tc>
      </w:tr>
      <w:tr w:rsidR="006D064B" w:rsidRPr="00AF76B3" w:rsidTr="00497EB5">
        <w:trPr>
          <w:cantSplit/>
        </w:trPr>
        <w:tc>
          <w:tcPr>
            <w:tcW w:w="8771" w:type="dxa"/>
            <w:tcBorders>
              <w:top w:val="nil"/>
              <w:left w:val="nil"/>
              <w:bottom w:val="nil"/>
              <w:right w:val="nil"/>
            </w:tcBorders>
            <w:shd w:val="clear" w:color="auto" w:fill="D9EAF0"/>
          </w:tcPr>
          <w:p w:rsidR="006D064B" w:rsidRPr="004F7DE3" w:rsidRDefault="006D064B" w:rsidP="00497EB5">
            <w:pPr>
              <w:pStyle w:val="Box"/>
              <w:spacing w:before="0" w:line="120" w:lineRule="exact"/>
              <w:rPr>
                <w:rFonts w:cs="Arial"/>
                <w:szCs w:val="22"/>
              </w:rPr>
            </w:pPr>
          </w:p>
        </w:tc>
      </w:tr>
    </w:tbl>
    <w:p w:rsidR="006D064B" w:rsidRPr="00385961" w:rsidRDefault="006D064B" w:rsidP="002A3532">
      <w:pPr>
        <w:pStyle w:val="BodyText"/>
        <w:widowControl w:val="0"/>
        <w:spacing w:before="160" w:line="310" w:lineRule="atLeast"/>
        <w:rPr>
          <w:rFonts w:cs="Arial"/>
          <w:szCs w:val="24"/>
        </w:rPr>
      </w:pPr>
      <w:r w:rsidRPr="001A2FC1">
        <w:rPr>
          <w:rFonts w:cs="Arial"/>
          <w:szCs w:val="24"/>
        </w:rPr>
        <w:t xml:space="preserve">The economic cost of the </w:t>
      </w:r>
      <w:proofErr w:type="spellStart"/>
      <w:r w:rsidRPr="001A2FC1">
        <w:rPr>
          <w:rFonts w:cs="Arial"/>
          <w:szCs w:val="24"/>
        </w:rPr>
        <w:t>allocative</w:t>
      </w:r>
      <w:proofErr w:type="spellEnd"/>
      <w:r w:rsidRPr="001A2FC1">
        <w:rPr>
          <w:rFonts w:cs="Arial"/>
          <w:szCs w:val="24"/>
        </w:rPr>
        <w:t xml:space="preserve"> inefficiency arising from</w:t>
      </w:r>
      <w:r w:rsidRPr="00385961">
        <w:rPr>
          <w:rFonts w:cs="Arial"/>
          <w:szCs w:val="24"/>
        </w:rPr>
        <w:t xml:space="preserve"> these distorted investment incentives is explained further in </w:t>
      </w:r>
      <w:r w:rsidR="00371318">
        <w:rPr>
          <w:rFonts w:cs="Arial"/>
          <w:szCs w:val="24"/>
        </w:rPr>
        <w:t>b</w:t>
      </w:r>
      <w:r w:rsidRPr="00385961">
        <w:rPr>
          <w:rFonts w:cs="Arial"/>
          <w:szCs w:val="24"/>
        </w:rPr>
        <w:t xml:space="preserve">ox </w:t>
      </w:r>
      <w:proofErr w:type="spellStart"/>
      <w:r w:rsidR="00371318">
        <w:rPr>
          <w:rFonts w:cs="Arial"/>
          <w:szCs w:val="24"/>
        </w:rPr>
        <w:t>F.</w:t>
      </w:r>
      <w:r w:rsidRPr="00385961">
        <w:rPr>
          <w:rFonts w:cs="Arial"/>
          <w:szCs w:val="24"/>
        </w:rPr>
        <w:t>3</w:t>
      </w:r>
      <w:proofErr w:type="spellEnd"/>
      <w:r w:rsidRPr="00385961">
        <w:rPr>
          <w:rFonts w:cs="Arial"/>
          <w:szCs w:val="24"/>
        </w:rPr>
        <w:t>.</w:t>
      </w:r>
    </w:p>
    <w:p w:rsidR="006D064B" w:rsidRDefault="006D064B" w:rsidP="006D064B">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D064B" w:rsidTr="00497EB5">
        <w:tc>
          <w:tcPr>
            <w:tcW w:w="8771" w:type="dxa"/>
            <w:tcBorders>
              <w:top w:val="nil"/>
              <w:left w:val="nil"/>
              <w:bottom w:val="nil"/>
              <w:right w:val="nil"/>
            </w:tcBorders>
            <w:shd w:val="clear" w:color="auto" w:fill="D9EAF0"/>
          </w:tcPr>
          <w:p w:rsidR="006D064B" w:rsidRDefault="006D064B" w:rsidP="00497EB5">
            <w:pPr>
              <w:pStyle w:val="BoxTitle"/>
            </w:pPr>
            <w:bookmarkStart w:id="4" w:name="_Ref341807180"/>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fldChar w:fldCharType="begin"/>
            </w:r>
            <w:r>
              <w:rPr>
                <w:b w:val="0"/>
              </w:rPr>
              <w:instrText xml:space="preserve"> SEQ Box \* ARABIC </w:instrText>
            </w:r>
            <w:r>
              <w:rPr>
                <w:b w:val="0"/>
              </w:rPr>
              <w:fldChar w:fldCharType="separate"/>
            </w:r>
            <w:r w:rsidR="008568A0">
              <w:rPr>
                <w:b w:val="0"/>
                <w:noProof/>
              </w:rPr>
              <w:t>3</w:t>
            </w:r>
            <w:proofErr w:type="spellEnd"/>
            <w:r>
              <w:rPr>
                <w:b w:val="0"/>
              </w:rPr>
              <w:fldChar w:fldCharType="end"/>
            </w:r>
            <w:bookmarkEnd w:id="4"/>
            <w:r>
              <w:tab/>
            </w:r>
            <w:r w:rsidRPr="00103433">
              <w:t xml:space="preserve">The </w:t>
            </w:r>
            <w:proofErr w:type="spellStart"/>
            <w:r w:rsidRPr="00103433">
              <w:t>allocative</w:t>
            </w:r>
            <w:proofErr w:type="spellEnd"/>
            <w:r w:rsidRPr="00103433">
              <w:t xml:space="preserve"> inefficiency caused by double taxation</w:t>
            </w:r>
          </w:p>
        </w:tc>
      </w:tr>
      <w:tr w:rsidR="006D064B" w:rsidTr="00497EB5">
        <w:tc>
          <w:tcPr>
            <w:tcW w:w="8771" w:type="dxa"/>
            <w:tcBorders>
              <w:top w:val="nil"/>
              <w:left w:val="nil"/>
              <w:bottom w:val="nil"/>
              <w:right w:val="nil"/>
            </w:tcBorders>
            <w:shd w:val="clear" w:color="auto" w:fill="D9EAF0"/>
          </w:tcPr>
          <w:p w:rsidR="006D064B" w:rsidRDefault="00D67247" w:rsidP="002A3532">
            <w:pPr>
              <w:pStyle w:val="Box"/>
              <w:spacing w:line="270" w:lineRule="atLeast"/>
            </w:pPr>
            <w:r>
              <w:t xml:space="preserve">Figure </w:t>
            </w:r>
            <w:proofErr w:type="spellStart"/>
            <w:r>
              <w:t>F.</w:t>
            </w:r>
            <w:r w:rsidR="000E6B8E">
              <w:t>2</w:t>
            </w:r>
            <w:proofErr w:type="spellEnd"/>
            <w:r w:rsidRPr="00103433">
              <w:t xml:space="preserve"> shows, in a stylised </w:t>
            </w:r>
            <w:r w:rsidR="006D064B" w:rsidRPr="00103433">
              <w:t>manner</w:t>
            </w:r>
            <w:r w:rsidR="006D064B" w:rsidRPr="001F7356">
              <w:rPr>
                <w:rFonts w:cs="Arial"/>
                <w:color w:val="auto"/>
                <w:position w:val="6"/>
                <w:szCs w:val="22"/>
                <w:lang w:val="en-NZ" w:eastAsia="en-US"/>
              </w:rPr>
              <w:footnoteReference w:id="4"/>
            </w:r>
            <w:r w:rsidR="006D064B" w:rsidRPr="00103433">
              <w:t xml:space="preserve">, the inefficiency resulting from the misallocation of capital when returns to trans-Tasman capital are </w:t>
            </w:r>
            <w:r w:rsidR="0039388E">
              <w:t>subject to two layers of tax</w:t>
            </w:r>
            <w:r w:rsidR="006D064B" w:rsidRPr="00103433">
              <w:t>. It shows the allocation of New Zealand-owned capital between the two countries, with and without the New Zealand tax authorities recognising Australian imputation credits (</w:t>
            </w:r>
            <w:r w:rsidR="002963F1">
              <w:t>figure</w:t>
            </w:r>
            <w:r w:rsidR="00C42BD7">
              <w:t>s</w:t>
            </w:r>
            <w:r w:rsidR="002963F1">
              <w:t xml:space="preserve"> </w:t>
            </w:r>
            <w:proofErr w:type="spellStart"/>
            <w:r>
              <w:t>F.</w:t>
            </w:r>
            <w:r w:rsidRPr="00103433">
              <w:t>2A</w:t>
            </w:r>
            <w:proofErr w:type="spellEnd"/>
            <w:r w:rsidRPr="00103433">
              <w:t xml:space="preserve"> and B respectively</w:t>
            </w:r>
            <w:r w:rsidR="006D064B" w:rsidRPr="00103433">
              <w:t>).</w:t>
            </w:r>
          </w:p>
          <w:p w:rsidR="006D064B" w:rsidRPr="004F7DE3" w:rsidRDefault="006D064B" w:rsidP="00696A2F">
            <w:pPr>
              <w:pStyle w:val="Box"/>
              <w:rPr>
                <w:rFonts w:cs="Arial"/>
                <w:szCs w:val="22"/>
              </w:rPr>
            </w:pPr>
            <w:r w:rsidRPr="00B618DA">
              <w:rPr>
                <w:rFonts w:cs="Arial"/>
                <w:szCs w:val="22"/>
              </w:rPr>
              <w:t>Figure</w:t>
            </w:r>
            <w:r w:rsidR="000E6B8E">
              <w:rPr>
                <w:rFonts w:cs="Arial"/>
                <w:szCs w:val="22"/>
              </w:rPr>
              <w:t xml:space="preserve"> </w:t>
            </w:r>
            <w:proofErr w:type="spellStart"/>
            <w:r w:rsidR="000E6B8E">
              <w:rPr>
                <w:rFonts w:cs="Arial"/>
                <w:szCs w:val="22"/>
              </w:rPr>
              <w:t>F.2</w:t>
            </w:r>
            <w:proofErr w:type="spellEnd"/>
            <w:r w:rsidRPr="00B618DA">
              <w:rPr>
                <w:rFonts w:cs="Arial"/>
                <w:szCs w:val="22"/>
              </w:rPr>
              <w:t xml:space="preserve"> </w:t>
            </w:r>
            <w:r w:rsidRPr="00385961">
              <w:rPr>
                <w:rFonts w:cs="Arial"/>
                <w:b/>
                <w:szCs w:val="22"/>
              </w:rPr>
              <w:t>Taxation of New Zealand owned capital</w:t>
            </w:r>
          </w:p>
          <w:p w:rsidR="006058BF" w:rsidRDefault="00242600" w:rsidP="00497EB5">
            <w:pPr>
              <w:pStyle w:val="Box"/>
              <w:rPr>
                <w:rFonts w:cs="Arial"/>
                <w:szCs w:val="22"/>
              </w:rPr>
            </w:pPr>
            <w:r>
              <w:rPr>
                <w:rFonts w:cs="Arial"/>
                <w:szCs w:val="22"/>
              </w:rPr>
              <w:pict w14:anchorId="172E14CE">
                <v:shape id="_x0000_i1025" type="#_x0000_t75" style="width:424.4pt;height:186.45pt">
                  <v:imagedata r:id="rId13" o:title=""/>
                </v:shape>
              </w:pict>
            </w:r>
          </w:p>
          <w:p w:rsidR="006D064B" w:rsidRDefault="006D064B" w:rsidP="002A3532">
            <w:pPr>
              <w:pStyle w:val="Box"/>
              <w:spacing w:line="270" w:lineRule="atLeast"/>
              <w:rPr>
                <w:rFonts w:cs="Arial"/>
                <w:szCs w:val="22"/>
              </w:rPr>
            </w:pPr>
            <w:r w:rsidRPr="00AF76B3">
              <w:rPr>
                <w:rFonts w:cs="Arial"/>
                <w:szCs w:val="22"/>
              </w:rPr>
              <w:t>The base of each graph (</w:t>
            </w:r>
            <w:proofErr w:type="spellStart"/>
            <w:r w:rsidRPr="00AF76B3">
              <w:rPr>
                <w:rFonts w:cs="Arial"/>
                <w:szCs w:val="22"/>
              </w:rPr>
              <w:t>O</w:t>
            </w:r>
            <w:r w:rsidRPr="00385961">
              <w:rPr>
                <w:rFonts w:cs="Arial"/>
                <w:szCs w:val="22"/>
                <w:vertAlign w:val="subscript"/>
              </w:rPr>
              <w:t>NZ</w:t>
            </w:r>
            <w:proofErr w:type="spellEnd"/>
            <w:r w:rsidRPr="00AF76B3">
              <w:rPr>
                <w:rFonts w:cs="Arial"/>
                <w:szCs w:val="22"/>
              </w:rPr>
              <w:t xml:space="preserve"> to </w:t>
            </w:r>
            <w:proofErr w:type="spellStart"/>
            <w:r w:rsidRPr="00AF76B3">
              <w:rPr>
                <w:rFonts w:cs="Arial"/>
                <w:szCs w:val="22"/>
              </w:rPr>
              <w:t>O</w:t>
            </w:r>
            <w:r w:rsidRPr="00385961">
              <w:rPr>
                <w:rFonts w:cs="Arial"/>
                <w:szCs w:val="22"/>
                <w:vertAlign w:val="subscript"/>
              </w:rPr>
              <w:t>AU</w:t>
            </w:r>
            <w:proofErr w:type="spellEnd"/>
            <w:r w:rsidRPr="00AF76B3">
              <w:rPr>
                <w:rFonts w:cs="Arial"/>
                <w:szCs w:val="22"/>
              </w:rPr>
              <w:t>) represents the total amount of New Zealand capital available for investment in bo</w:t>
            </w:r>
            <w:r w:rsidR="000E6B8E">
              <w:rPr>
                <w:rFonts w:cs="Arial"/>
                <w:szCs w:val="22"/>
              </w:rPr>
              <w:t>t</w:t>
            </w:r>
            <w:r w:rsidRPr="00AF76B3">
              <w:rPr>
                <w:rFonts w:cs="Arial"/>
                <w:szCs w:val="22"/>
              </w:rPr>
              <w:t>h countries. Any point along the base represents a division of the capital between the two countries,</w:t>
            </w:r>
            <w:r>
              <w:rPr>
                <w:rFonts w:cs="Arial"/>
                <w:szCs w:val="22"/>
              </w:rPr>
              <w:t xml:space="preserve"> </w:t>
            </w:r>
            <w:r w:rsidRPr="00AF76B3">
              <w:rPr>
                <w:rFonts w:cs="Arial"/>
                <w:szCs w:val="22"/>
              </w:rPr>
              <w:t xml:space="preserve">with New Zealand-located capital measured from </w:t>
            </w:r>
            <w:proofErr w:type="spellStart"/>
            <w:r w:rsidRPr="00AF76B3">
              <w:rPr>
                <w:rFonts w:cs="Arial"/>
                <w:szCs w:val="22"/>
              </w:rPr>
              <w:t>O</w:t>
            </w:r>
            <w:r w:rsidRPr="00385961">
              <w:rPr>
                <w:rFonts w:cs="Arial"/>
                <w:szCs w:val="22"/>
                <w:vertAlign w:val="subscript"/>
              </w:rPr>
              <w:t>NZ</w:t>
            </w:r>
            <w:proofErr w:type="spellEnd"/>
            <w:r w:rsidRPr="00AF76B3">
              <w:rPr>
                <w:rFonts w:cs="Arial"/>
                <w:szCs w:val="22"/>
              </w:rPr>
              <w:t xml:space="preserve"> and Australia-located capital measured from </w:t>
            </w:r>
            <w:proofErr w:type="spellStart"/>
            <w:r w:rsidRPr="00AF76B3">
              <w:rPr>
                <w:rFonts w:cs="Arial"/>
                <w:szCs w:val="22"/>
              </w:rPr>
              <w:t>O</w:t>
            </w:r>
            <w:r w:rsidRPr="00385961">
              <w:rPr>
                <w:rFonts w:cs="Arial"/>
                <w:szCs w:val="22"/>
                <w:vertAlign w:val="subscript"/>
              </w:rPr>
              <w:t>AU</w:t>
            </w:r>
            <w:proofErr w:type="spellEnd"/>
            <w:r w:rsidRPr="00AF76B3">
              <w:rPr>
                <w:rFonts w:cs="Arial"/>
                <w:szCs w:val="22"/>
              </w:rPr>
              <w:t>. The vertical axes are the marginal product of that capital when invested in New Zealand (</w:t>
            </w:r>
            <w:proofErr w:type="spellStart"/>
            <w:r w:rsidRPr="00AF76B3">
              <w:rPr>
                <w:rFonts w:cs="Arial"/>
                <w:szCs w:val="22"/>
              </w:rPr>
              <w:t>MPK</w:t>
            </w:r>
            <w:r w:rsidRPr="00385961">
              <w:rPr>
                <w:rFonts w:cs="Arial"/>
                <w:szCs w:val="22"/>
                <w:vertAlign w:val="subscript"/>
              </w:rPr>
              <w:t>NZ</w:t>
            </w:r>
            <w:proofErr w:type="spellEnd"/>
            <w:r w:rsidRPr="00AF76B3">
              <w:rPr>
                <w:rFonts w:cs="Arial"/>
                <w:szCs w:val="22"/>
              </w:rPr>
              <w:t>, left axis) and in Australia (</w:t>
            </w:r>
            <w:proofErr w:type="spellStart"/>
            <w:r w:rsidRPr="00AF76B3">
              <w:rPr>
                <w:rFonts w:cs="Arial"/>
                <w:szCs w:val="22"/>
              </w:rPr>
              <w:t>MPK</w:t>
            </w:r>
            <w:r w:rsidRPr="00385961">
              <w:rPr>
                <w:rFonts w:cs="Arial"/>
                <w:szCs w:val="22"/>
                <w:vertAlign w:val="subscript"/>
              </w:rPr>
              <w:t>AU</w:t>
            </w:r>
            <w:proofErr w:type="spellEnd"/>
            <w:r w:rsidRPr="00AF76B3">
              <w:rPr>
                <w:rFonts w:cs="Arial"/>
                <w:szCs w:val="22"/>
              </w:rPr>
              <w:t xml:space="preserve">, right axis). The respective </w:t>
            </w:r>
            <w:proofErr w:type="spellStart"/>
            <w:r w:rsidRPr="00AF76B3">
              <w:rPr>
                <w:rFonts w:cs="Arial"/>
                <w:szCs w:val="22"/>
              </w:rPr>
              <w:t>MPK</w:t>
            </w:r>
            <w:proofErr w:type="spellEnd"/>
            <w:r w:rsidRPr="00AF76B3">
              <w:rPr>
                <w:rFonts w:cs="Arial"/>
                <w:szCs w:val="22"/>
              </w:rPr>
              <w:t xml:space="preserve"> schedules, AB for capital invested in New Zealand, and CD for capital invested in Australia, are downward sloping on the basis that the marginal product of capital falls as the quantity increases.</w:t>
            </w:r>
          </w:p>
          <w:p w:rsidR="006058BF" w:rsidRDefault="006058BF" w:rsidP="002A3532">
            <w:pPr>
              <w:pStyle w:val="Box"/>
              <w:spacing w:line="270" w:lineRule="atLeast"/>
              <w:rPr>
                <w:rFonts w:cs="Arial"/>
                <w:szCs w:val="22"/>
              </w:rPr>
            </w:pPr>
            <w:r w:rsidRPr="00AF76B3">
              <w:rPr>
                <w:rFonts w:cs="Arial"/>
                <w:szCs w:val="22"/>
              </w:rPr>
              <w:t>The areas under the AB and CD lines represent the output</w:t>
            </w:r>
            <w:r>
              <w:rPr>
                <w:rFonts w:cs="Arial"/>
                <w:szCs w:val="22"/>
              </w:rPr>
              <w:t>s</w:t>
            </w:r>
            <w:r w:rsidRPr="00AF76B3">
              <w:rPr>
                <w:rFonts w:cs="Arial"/>
                <w:szCs w:val="22"/>
              </w:rPr>
              <w:t xml:space="preserve"> generated from the New Zealand capital </w:t>
            </w:r>
            <w:r>
              <w:rPr>
                <w:rFonts w:cs="Arial"/>
                <w:szCs w:val="22"/>
              </w:rPr>
              <w:t>in each country when it is combined with other factors of production</w:t>
            </w:r>
            <w:r w:rsidR="000E6B8E">
              <w:rPr>
                <w:rFonts w:cs="Arial"/>
                <w:szCs w:val="22"/>
              </w:rPr>
              <w:t>.</w:t>
            </w:r>
            <w:r w:rsidRPr="004F7DE3">
              <w:rPr>
                <w:rFonts w:cs="Arial"/>
                <w:position w:val="6"/>
                <w:szCs w:val="22"/>
              </w:rPr>
              <w:footnoteReference w:id="5"/>
            </w:r>
            <w:r w:rsidRPr="00AF76B3">
              <w:rPr>
                <w:rFonts w:cs="Arial"/>
                <w:szCs w:val="22"/>
              </w:rPr>
              <w:t xml:space="preserve"> In the case where New Zealand does not recognise Australian imputation credits (</w:t>
            </w:r>
            <w:r>
              <w:rPr>
                <w:rFonts w:cs="Arial"/>
                <w:szCs w:val="22"/>
              </w:rPr>
              <w:t xml:space="preserve">figure </w:t>
            </w:r>
            <w:proofErr w:type="spellStart"/>
            <w:r>
              <w:rPr>
                <w:rFonts w:cs="Arial"/>
                <w:szCs w:val="22"/>
              </w:rPr>
              <w:t>F.</w:t>
            </w:r>
            <w:r w:rsidRPr="00AF76B3">
              <w:rPr>
                <w:rFonts w:cs="Arial"/>
                <w:szCs w:val="22"/>
              </w:rPr>
              <w:t>2A</w:t>
            </w:r>
            <w:proofErr w:type="spellEnd"/>
            <w:r w:rsidRPr="00AF76B3">
              <w:rPr>
                <w:rFonts w:cs="Arial"/>
                <w:szCs w:val="22"/>
              </w:rPr>
              <w:t xml:space="preserve">), </w:t>
            </w:r>
            <w:proofErr w:type="spellStart"/>
            <w:r w:rsidRPr="00AF76B3">
              <w:rPr>
                <w:rFonts w:cs="Arial"/>
                <w:szCs w:val="22"/>
              </w:rPr>
              <w:t>O</w:t>
            </w:r>
            <w:r w:rsidRPr="00385961">
              <w:rPr>
                <w:rFonts w:cs="Arial"/>
                <w:szCs w:val="22"/>
                <w:vertAlign w:val="subscript"/>
              </w:rPr>
              <w:t>NZ</w:t>
            </w:r>
            <w:r w:rsidRPr="00AF76B3">
              <w:rPr>
                <w:rFonts w:cs="Arial"/>
                <w:szCs w:val="22"/>
              </w:rPr>
              <w:t>X</w:t>
            </w:r>
            <w:proofErr w:type="spellEnd"/>
            <w:r w:rsidRPr="00AF76B3">
              <w:rPr>
                <w:rFonts w:cs="Arial"/>
                <w:szCs w:val="22"/>
              </w:rPr>
              <w:t xml:space="preserve"> is the amount of capital allocated to New Zealand and </w:t>
            </w:r>
            <w:proofErr w:type="spellStart"/>
            <w:r w:rsidRPr="00AF76B3">
              <w:rPr>
                <w:rFonts w:cs="Arial"/>
                <w:szCs w:val="22"/>
              </w:rPr>
              <w:t>O</w:t>
            </w:r>
            <w:r w:rsidRPr="00385961">
              <w:rPr>
                <w:rFonts w:cs="Arial"/>
                <w:szCs w:val="22"/>
                <w:vertAlign w:val="subscript"/>
              </w:rPr>
              <w:t>AU</w:t>
            </w:r>
            <w:r w:rsidRPr="00AF76B3">
              <w:rPr>
                <w:rFonts w:cs="Arial"/>
                <w:szCs w:val="22"/>
              </w:rPr>
              <w:t>X</w:t>
            </w:r>
            <w:proofErr w:type="spellEnd"/>
            <w:r w:rsidRPr="00AF76B3">
              <w:rPr>
                <w:rFonts w:cs="Arial"/>
                <w:szCs w:val="22"/>
              </w:rPr>
              <w:t xml:space="preserve"> is that allocated to Australia.</w:t>
            </w:r>
          </w:p>
          <w:p w:rsidR="006D064B" w:rsidRDefault="006058BF" w:rsidP="002A3532">
            <w:pPr>
              <w:pStyle w:val="Continued"/>
              <w:spacing w:before="0"/>
            </w:pPr>
            <w:r>
              <w:t>(Continued next page)</w:t>
            </w:r>
          </w:p>
        </w:tc>
      </w:tr>
      <w:tr w:rsidR="006D064B" w:rsidTr="00497EB5">
        <w:trPr>
          <w:cantSplit/>
        </w:trPr>
        <w:tc>
          <w:tcPr>
            <w:tcW w:w="8771" w:type="dxa"/>
            <w:tcBorders>
              <w:top w:val="nil"/>
              <w:left w:val="nil"/>
              <w:bottom w:val="nil"/>
              <w:right w:val="nil"/>
            </w:tcBorders>
            <w:shd w:val="clear" w:color="auto" w:fill="D9EAF0"/>
          </w:tcPr>
          <w:p w:rsidR="006D064B" w:rsidRDefault="006D064B" w:rsidP="00497EB5">
            <w:pPr>
              <w:pStyle w:val="Box"/>
              <w:spacing w:before="0" w:line="120" w:lineRule="exact"/>
            </w:pPr>
          </w:p>
        </w:tc>
      </w:tr>
      <w:tr w:rsidR="006D064B" w:rsidRPr="00696A2F" w:rsidTr="00497EB5">
        <w:tc>
          <w:tcPr>
            <w:tcW w:w="8771" w:type="dxa"/>
            <w:tcBorders>
              <w:top w:val="nil"/>
              <w:left w:val="nil"/>
              <w:bottom w:val="nil"/>
              <w:right w:val="nil"/>
            </w:tcBorders>
          </w:tcPr>
          <w:p w:rsidR="006D064B" w:rsidRPr="00696A2F" w:rsidRDefault="006D064B" w:rsidP="00497EB5">
            <w:pPr>
              <w:pStyle w:val="Box"/>
              <w:keepNext w:val="0"/>
              <w:spacing w:before="60" w:after="60" w:line="80" w:lineRule="exact"/>
              <w:rPr>
                <w:b/>
                <w:color w:val="auto"/>
                <w:sz w:val="14"/>
              </w:rPr>
            </w:pPr>
          </w:p>
        </w:tc>
      </w:tr>
    </w:tbl>
    <w:p w:rsidR="006058BF" w:rsidRDefault="006058BF" w:rsidP="00D67247">
      <w:pPr>
        <w:pStyle w:val="BoxSpace"/>
        <w:spacing w:before="24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058BF" w:rsidTr="006058BF">
        <w:tc>
          <w:tcPr>
            <w:tcW w:w="8771" w:type="dxa"/>
            <w:tcBorders>
              <w:top w:val="nil"/>
              <w:left w:val="nil"/>
              <w:bottom w:val="nil"/>
              <w:right w:val="nil"/>
            </w:tcBorders>
            <w:shd w:val="clear" w:color="auto" w:fill="D9EAF0"/>
          </w:tcPr>
          <w:p w:rsidR="006058BF" w:rsidRDefault="006058BF" w:rsidP="006058BF">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t>3</w:t>
            </w:r>
            <w:proofErr w:type="spellEnd"/>
            <w:r>
              <w:tab/>
            </w:r>
            <w:r w:rsidRPr="006058BF">
              <w:rPr>
                <w:b w:val="0"/>
                <w:sz w:val="18"/>
                <w:szCs w:val="18"/>
              </w:rPr>
              <w:t>(continued)</w:t>
            </w:r>
          </w:p>
        </w:tc>
      </w:tr>
      <w:tr w:rsidR="006058BF" w:rsidTr="006058BF">
        <w:trPr>
          <w:cantSplit/>
        </w:trPr>
        <w:tc>
          <w:tcPr>
            <w:tcW w:w="8771" w:type="dxa"/>
            <w:tcBorders>
              <w:top w:val="nil"/>
              <w:left w:val="nil"/>
              <w:bottom w:val="nil"/>
              <w:right w:val="nil"/>
            </w:tcBorders>
            <w:shd w:val="clear" w:color="auto" w:fill="D9EAF0"/>
          </w:tcPr>
          <w:p w:rsidR="006058BF" w:rsidRDefault="006058BF" w:rsidP="00D67247">
            <w:pPr>
              <w:pStyle w:val="Box"/>
              <w:spacing w:before="80" w:line="270" w:lineRule="atLeast"/>
              <w:rPr>
                <w:rFonts w:cs="Arial"/>
                <w:szCs w:val="22"/>
              </w:rPr>
            </w:pPr>
            <w:r w:rsidRPr="00AF76B3">
              <w:rPr>
                <w:rFonts w:cs="Arial"/>
                <w:szCs w:val="22"/>
              </w:rPr>
              <w:t>Total output in New Zealand is represented by the area shaded mauve, and in Australia by the striped areas. That allocation is determined by the point where the pre-New Zealand-tax and post-Australian-tax returns to New Zealand investors are equalised across the Tasman. The Australian company tax paid under this allocation is depicted by the red</w:t>
            </w:r>
            <w:r>
              <w:rPr>
                <w:rFonts w:cs="Arial"/>
                <w:szCs w:val="22"/>
              </w:rPr>
              <w:t>-</w:t>
            </w:r>
            <w:r w:rsidRPr="00AF76B3">
              <w:rPr>
                <w:rFonts w:cs="Arial"/>
                <w:szCs w:val="22"/>
              </w:rPr>
              <w:t>striped area. (Personal tax applicable to investors in New Zealand is not shown as it is the same whether the investor invests in Australia or New Zealand.)</w:t>
            </w:r>
          </w:p>
          <w:p w:rsidR="006058BF" w:rsidRDefault="006058BF" w:rsidP="00D67247">
            <w:pPr>
              <w:pStyle w:val="Box"/>
              <w:spacing w:before="100" w:line="270" w:lineRule="atLeast"/>
              <w:rPr>
                <w:rFonts w:cs="Arial"/>
                <w:szCs w:val="22"/>
              </w:rPr>
            </w:pPr>
            <w:r w:rsidRPr="00AF76B3">
              <w:rPr>
                <w:rFonts w:cs="Arial"/>
                <w:szCs w:val="22"/>
              </w:rPr>
              <w:t>Assuming homogeneous factors earning their marginal products, the blue</w:t>
            </w:r>
            <w:r>
              <w:rPr>
                <w:rFonts w:cs="Arial"/>
                <w:szCs w:val="22"/>
              </w:rPr>
              <w:t>-</w:t>
            </w:r>
            <w:r w:rsidRPr="00AF76B3">
              <w:rPr>
                <w:rFonts w:cs="Arial"/>
                <w:szCs w:val="22"/>
              </w:rPr>
              <w:t>striped area represents labour income, and the black</w:t>
            </w:r>
            <w:r>
              <w:rPr>
                <w:rFonts w:cs="Arial"/>
                <w:szCs w:val="22"/>
              </w:rPr>
              <w:t>-</w:t>
            </w:r>
            <w:r w:rsidRPr="00AF76B3">
              <w:rPr>
                <w:rFonts w:cs="Arial"/>
                <w:szCs w:val="22"/>
              </w:rPr>
              <w:t xml:space="preserve">striped area represents post-Australian-tax capital income. The significance of this decomposition is discussed later, in </w:t>
            </w:r>
            <w:r>
              <w:rPr>
                <w:rFonts w:cs="Arial"/>
                <w:szCs w:val="22"/>
              </w:rPr>
              <w:t>box </w:t>
            </w:r>
            <w:proofErr w:type="spellStart"/>
            <w:r>
              <w:rPr>
                <w:rFonts w:cs="Arial"/>
                <w:szCs w:val="22"/>
              </w:rPr>
              <w:t>F</w:t>
            </w:r>
            <w:r w:rsidRPr="00AF76B3">
              <w:rPr>
                <w:rFonts w:cs="Arial"/>
                <w:szCs w:val="22"/>
              </w:rPr>
              <w:t>.</w:t>
            </w:r>
            <w:r>
              <w:rPr>
                <w:rFonts w:cs="Arial"/>
                <w:szCs w:val="22"/>
              </w:rPr>
              <w:t>6</w:t>
            </w:r>
            <w:proofErr w:type="spellEnd"/>
            <w:r w:rsidRPr="00AF76B3">
              <w:rPr>
                <w:rFonts w:cs="Arial"/>
                <w:szCs w:val="22"/>
              </w:rPr>
              <w:t>.</w:t>
            </w:r>
          </w:p>
          <w:p w:rsidR="006058BF" w:rsidRDefault="006058BF" w:rsidP="00D67247">
            <w:pPr>
              <w:pStyle w:val="Box"/>
              <w:spacing w:before="100" w:line="270" w:lineRule="atLeast"/>
              <w:rPr>
                <w:rFonts w:cs="Arial"/>
                <w:szCs w:val="22"/>
              </w:rPr>
            </w:pPr>
            <w:r w:rsidRPr="00AF76B3">
              <w:rPr>
                <w:rFonts w:cs="Arial"/>
                <w:szCs w:val="22"/>
              </w:rPr>
              <w:t xml:space="preserve">In </w:t>
            </w:r>
            <w:r>
              <w:rPr>
                <w:rFonts w:cs="Arial"/>
                <w:szCs w:val="22"/>
              </w:rPr>
              <w:t xml:space="preserve">figure </w:t>
            </w:r>
            <w:proofErr w:type="spellStart"/>
            <w:r>
              <w:rPr>
                <w:rFonts w:cs="Arial"/>
                <w:szCs w:val="22"/>
              </w:rPr>
              <w:t>F.</w:t>
            </w:r>
            <w:r w:rsidRPr="00AF76B3">
              <w:rPr>
                <w:rFonts w:cs="Arial"/>
                <w:szCs w:val="22"/>
              </w:rPr>
              <w:t>2B</w:t>
            </w:r>
            <w:proofErr w:type="spellEnd"/>
            <w:r w:rsidRPr="00AF76B3">
              <w:rPr>
                <w:rFonts w:cs="Arial"/>
                <w:szCs w:val="22"/>
              </w:rPr>
              <w:t>, New Zealand recognises Australian imputation credits. Th</w:t>
            </w:r>
            <w:r>
              <w:rPr>
                <w:rFonts w:cs="Arial"/>
                <w:szCs w:val="22"/>
              </w:rPr>
              <w:t>is</w:t>
            </w:r>
            <w:r w:rsidRPr="00AF76B3">
              <w:rPr>
                <w:rFonts w:cs="Arial"/>
                <w:szCs w:val="22"/>
              </w:rPr>
              <w:t xml:space="preserve"> removes the effect of Australian company tax from New Zealand investors’ capital allocation decisions, as they receive a tax credit in New Zealand for company tax paid in Australia. The allocation of New Zealand capital that now equalises returns is </w:t>
            </w:r>
            <w:proofErr w:type="spellStart"/>
            <w:r w:rsidRPr="00AF76B3">
              <w:rPr>
                <w:rFonts w:cs="Arial"/>
                <w:szCs w:val="22"/>
              </w:rPr>
              <w:t>O</w:t>
            </w:r>
            <w:r w:rsidRPr="00385961">
              <w:rPr>
                <w:rFonts w:cs="Arial"/>
                <w:szCs w:val="22"/>
                <w:vertAlign w:val="subscript"/>
              </w:rPr>
              <w:t>NZ</w:t>
            </w:r>
            <w:r w:rsidRPr="00AF76B3">
              <w:rPr>
                <w:rFonts w:cs="Arial"/>
                <w:szCs w:val="22"/>
              </w:rPr>
              <w:t>Y</w:t>
            </w:r>
            <w:proofErr w:type="spellEnd"/>
            <w:r w:rsidRPr="00AF76B3">
              <w:rPr>
                <w:rFonts w:cs="Arial"/>
                <w:szCs w:val="22"/>
              </w:rPr>
              <w:t xml:space="preserve"> in New Zealand and </w:t>
            </w:r>
            <w:proofErr w:type="spellStart"/>
            <w:r w:rsidRPr="00AF76B3">
              <w:rPr>
                <w:rFonts w:cs="Arial"/>
                <w:szCs w:val="22"/>
              </w:rPr>
              <w:t>O</w:t>
            </w:r>
            <w:r w:rsidRPr="00385961">
              <w:rPr>
                <w:rFonts w:cs="Arial"/>
                <w:szCs w:val="22"/>
                <w:vertAlign w:val="subscript"/>
              </w:rPr>
              <w:t>AU</w:t>
            </w:r>
            <w:r w:rsidRPr="00AF76B3">
              <w:rPr>
                <w:rFonts w:cs="Arial"/>
                <w:szCs w:val="22"/>
              </w:rPr>
              <w:t>Y</w:t>
            </w:r>
            <w:proofErr w:type="spellEnd"/>
            <w:r w:rsidRPr="00AF76B3">
              <w:rPr>
                <w:rFonts w:cs="Arial"/>
                <w:szCs w:val="22"/>
              </w:rPr>
              <w:t xml:space="preserve"> in Australia</w:t>
            </w:r>
            <w:r w:rsidR="001E1BFD">
              <w:rPr>
                <w:rFonts w:cs="Arial"/>
                <w:szCs w:val="22"/>
              </w:rPr>
              <w:t xml:space="preserve"> —</w:t>
            </w:r>
            <w:r w:rsidRPr="00AF76B3">
              <w:rPr>
                <w:rFonts w:cs="Arial"/>
                <w:szCs w:val="22"/>
              </w:rPr>
              <w:t xml:space="preserve"> </w:t>
            </w:r>
            <w:r w:rsidR="00F673FD">
              <w:rPr>
                <w:rFonts w:cs="Arial"/>
                <w:szCs w:val="22"/>
              </w:rPr>
              <w:t>that is</w:t>
            </w:r>
            <w:r w:rsidR="001E1BFD">
              <w:rPr>
                <w:rFonts w:cs="Arial"/>
                <w:szCs w:val="22"/>
              </w:rPr>
              <w:t>,</w:t>
            </w:r>
            <w:r w:rsidRPr="00AF76B3">
              <w:rPr>
                <w:rFonts w:cs="Arial"/>
                <w:szCs w:val="22"/>
              </w:rPr>
              <w:t xml:space="preserve"> some New Zealand capital </w:t>
            </w:r>
            <w:r>
              <w:rPr>
                <w:rFonts w:cs="Arial"/>
                <w:szCs w:val="22"/>
              </w:rPr>
              <w:t>(</w:t>
            </w:r>
            <w:proofErr w:type="spellStart"/>
            <w:r>
              <w:rPr>
                <w:rFonts w:cs="Arial"/>
                <w:szCs w:val="22"/>
              </w:rPr>
              <w:t>XY</w:t>
            </w:r>
            <w:proofErr w:type="spellEnd"/>
            <w:r>
              <w:rPr>
                <w:rFonts w:cs="Arial"/>
                <w:szCs w:val="22"/>
              </w:rPr>
              <w:t xml:space="preserve">) </w:t>
            </w:r>
            <w:r w:rsidRPr="00AF76B3">
              <w:rPr>
                <w:rFonts w:cs="Arial"/>
                <w:szCs w:val="22"/>
              </w:rPr>
              <w:t>shifts from New Zealand to Australia. This expands output, and the company tax base, in Australia. The</w:t>
            </w:r>
            <w:r>
              <w:rPr>
                <w:rFonts w:cs="Arial"/>
                <w:szCs w:val="22"/>
              </w:rPr>
              <w:t xml:space="preserve"> stock of New Zealand capital produces </w:t>
            </w:r>
            <w:r w:rsidRPr="00AF76B3">
              <w:rPr>
                <w:rFonts w:cs="Arial"/>
                <w:szCs w:val="22"/>
              </w:rPr>
              <w:t>greater output</w:t>
            </w:r>
            <w:r>
              <w:rPr>
                <w:rFonts w:cs="Arial"/>
                <w:szCs w:val="22"/>
              </w:rPr>
              <w:t xml:space="preserve"> overall</w:t>
            </w:r>
            <w:r w:rsidRPr="00AF76B3">
              <w:rPr>
                <w:rFonts w:cs="Arial"/>
                <w:szCs w:val="22"/>
              </w:rPr>
              <w:t xml:space="preserve">, represented by the area of the triangle </w:t>
            </w:r>
            <w:proofErr w:type="spellStart"/>
            <w:r w:rsidRPr="00AF76B3">
              <w:rPr>
                <w:rFonts w:cs="Arial"/>
                <w:szCs w:val="22"/>
              </w:rPr>
              <w:t>EFG</w:t>
            </w:r>
            <w:proofErr w:type="spellEnd"/>
            <w:r w:rsidRPr="00AF76B3">
              <w:rPr>
                <w:rFonts w:cs="Arial"/>
                <w:szCs w:val="22"/>
              </w:rPr>
              <w:t>. This triangle represents the gain from improved efficiency in the allocation of New Zealand capital between the countries.</w:t>
            </w:r>
          </w:p>
          <w:p w:rsidR="006058BF" w:rsidRDefault="006058BF" w:rsidP="00D67247">
            <w:pPr>
              <w:pStyle w:val="Box"/>
              <w:spacing w:before="100" w:line="270" w:lineRule="atLeast"/>
              <w:rPr>
                <w:rFonts w:cs="Arial"/>
                <w:szCs w:val="22"/>
              </w:rPr>
            </w:pPr>
            <w:r w:rsidRPr="00AF76B3">
              <w:rPr>
                <w:rFonts w:cs="Arial"/>
                <w:szCs w:val="22"/>
              </w:rPr>
              <w:t xml:space="preserve">A parallel analysis applies to the trans-Tasman allocation of Australian-owned capital with, and without, recognition by Australia of New Zealand imputation credits. Recognition of New Zealand credits would result in a shift of Australian capital to New Zealand, an expansion of output and of the company tax base in New Zealand, and an efficiency gain. The gain in </w:t>
            </w:r>
            <w:proofErr w:type="spellStart"/>
            <w:r w:rsidRPr="00AF76B3">
              <w:rPr>
                <w:rFonts w:cs="Arial"/>
                <w:szCs w:val="22"/>
              </w:rPr>
              <w:t>allocative</w:t>
            </w:r>
            <w:proofErr w:type="spellEnd"/>
            <w:r w:rsidRPr="00AF76B3">
              <w:rPr>
                <w:rFonts w:cs="Arial"/>
                <w:szCs w:val="22"/>
              </w:rPr>
              <w:t xml:space="preserve"> efficiency from </w:t>
            </w:r>
            <w:r w:rsidRPr="00E11C36">
              <w:rPr>
                <w:rFonts w:cs="Arial"/>
                <w:i/>
                <w:szCs w:val="22"/>
              </w:rPr>
              <w:t>mutual</w:t>
            </w:r>
            <w:r w:rsidRPr="00AF76B3">
              <w:rPr>
                <w:rFonts w:cs="Arial"/>
                <w:szCs w:val="22"/>
              </w:rPr>
              <w:t xml:space="preserve"> recognition of imputation credits would be the sum of the gains from the improved allocation of both New Zealand and Australian capital.</w:t>
            </w:r>
          </w:p>
          <w:p w:rsidR="006058BF" w:rsidRDefault="006058BF" w:rsidP="00D67247">
            <w:pPr>
              <w:pStyle w:val="Box"/>
              <w:spacing w:before="100" w:line="270" w:lineRule="atLeast"/>
              <w:rPr>
                <w:rFonts w:cs="Arial"/>
                <w:szCs w:val="22"/>
              </w:rPr>
            </w:pPr>
            <w:r>
              <w:rPr>
                <w:rFonts w:cs="Arial"/>
                <w:szCs w:val="22"/>
              </w:rPr>
              <w:t>I</w:t>
            </w:r>
            <w:r w:rsidRPr="00AF76B3">
              <w:rPr>
                <w:rFonts w:cs="Arial"/>
                <w:szCs w:val="22"/>
              </w:rPr>
              <w:t>n each case, the country whose imputation credits are recognised</w:t>
            </w:r>
            <w:r>
              <w:rPr>
                <w:rFonts w:cs="Arial"/>
                <w:szCs w:val="22"/>
              </w:rPr>
              <w:t xml:space="preserve"> captures all the efficiency gain and more besides, the latter at the expense of the recognising country</w:t>
            </w:r>
            <w:r w:rsidRPr="00AF76B3">
              <w:rPr>
                <w:rFonts w:cs="Arial"/>
                <w:szCs w:val="22"/>
              </w:rPr>
              <w:t xml:space="preserve">. In </w:t>
            </w:r>
            <w:r>
              <w:rPr>
                <w:rFonts w:cs="Arial"/>
                <w:szCs w:val="22"/>
              </w:rPr>
              <w:t xml:space="preserve">figure </w:t>
            </w:r>
            <w:proofErr w:type="spellStart"/>
            <w:r>
              <w:rPr>
                <w:rFonts w:cs="Arial"/>
                <w:szCs w:val="22"/>
              </w:rPr>
              <w:t>F.</w:t>
            </w:r>
            <w:r w:rsidRPr="00AF76B3">
              <w:rPr>
                <w:rFonts w:cs="Arial"/>
                <w:szCs w:val="22"/>
              </w:rPr>
              <w:t>2B</w:t>
            </w:r>
            <w:proofErr w:type="spellEnd"/>
            <w:r w:rsidRPr="00AF76B3">
              <w:rPr>
                <w:rFonts w:cs="Arial"/>
                <w:szCs w:val="22"/>
              </w:rPr>
              <w:t xml:space="preserve">, Australian company tax revenue increases by area </w:t>
            </w:r>
            <w:proofErr w:type="spellStart"/>
            <w:r w:rsidRPr="00AF76B3">
              <w:rPr>
                <w:rFonts w:cs="Arial"/>
                <w:szCs w:val="22"/>
              </w:rPr>
              <w:t>HJIG</w:t>
            </w:r>
            <w:proofErr w:type="spellEnd"/>
            <w:r w:rsidRPr="00AF76B3">
              <w:rPr>
                <w:rFonts w:cs="Arial"/>
                <w:szCs w:val="22"/>
              </w:rPr>
              <w:t xml:space="preserve">, which is equal to area </w:t>
            </w:r>
            <w:proofErr w:type="spellStart"/>
            <w:r w:rsidRPr="00AF76B3">
              <w:rPr>
                <w:rFonts w:cs="Arial"/>
                <w:szCs w:val="22"/>
              </w:rPr>
              <w:t>EFIG</w:t>
            </w:r>
            <w:proofErr w:type="spellEnd"/>
            <w:r>
              <w:rPr>
                <w:rFonts w:cs="Arial"/>
                <w:szCs w:val="22"/>
              </w:rPr>
              <w:t xml:space="preserve">. This area is greater than the efficiency gain (area </w:t>
            </w:r>
            <w:proofErr w:type="spellStart"/>
            <w:r>
              <w:rPr>
                <w:rFonts w:cs="Arial"/>
                <w:szCs w:val="22"/>
              </w:rPr>
              <w:t>EFG</w:t>
            </w:r>
            <w:proofErr w:type="spellEnd"/>
            <w:r>
              <w:rPr>
                <w:rFonts w:cs="Arial"/>
                <w:szCs w:val="22"/>
              </w:rPr>
              <w:t xml:space="preserve">) leaving the area </w:t>
            </w:r>
            <w:proofErr w:type="spellStart"/>
            <w:r>
              <w:rPr>
                <w:rFonts w:cs="Arial"/>
                <w:szCs w:val="22"/>
              </w:rPr>
              <w:t>GFI</w:t>
            </w:r>
            <w:proofErr w:type="spellEnd"/>
            <w:r>
              <w:rPr>
                <w:rFonts w:cs="Arial"/>
                <w:szCs w:val="22"/>
              </w:rPr>
              <w:t xml:space="preserve"> as a loss to New Zealand</w:t>
            </w:r>
            <w:r w:rsidRPr="00AF76B3">
              <w:rPr>
                <w:rFonts w:cs="Arial"/>
                <w:szCs w:val="22"/>
              </w:rPr>
              <w:t xml:space="preserve">. New Zealand’s recognition of Australian imputation credits </w:t>
            </w:r>
            <w:r>
              <w:rPr>
                <w:rFonts w:cs="Arial"/>
                <w:szCs w:val="22"/>
              </w:rPr>
              <w:t xml:space="preserve">would </w:t>
            </w:r>
            <w:r w:rsidRPr="00AF76B3">
              <w:rPr>
                <w:rFonts w:cs="Arial"/>
                <w:szCs w:val="22"/>
              </w:rPr>
              <w:t>expan</w:t>
            </w:r>
            <w:r>
              <w:rPr>
                <w:rFonts w:cs="Arial"/>
                <w:szCs w:val="22"/>
              </w:rPr>
              <w:t>d</w:t>
            </w:r>
            <w:r w:rsidRPr="00AF76B3">
              <w:rPr>
                <w:rFonts w:cs="Arial"/>
                <w:szCs w:val="22"/>
              </w:rPr>
              <w:t xml:space="preserve"> the output of the two economies combined, </w:t>
            </w:r>
            <w:r>
              <w:rPr>
                <w:rFonts w:cs="Arial"/>
                <w:szCs w:val="22"/>
              </w:rPr>
              <w:t xml:space="preserve">but </w:t>
            </w:r>
            <w:r w:rsidRPr="00AF76B3">
              <w:rPr>
                <w:rFonts w:cs="Arial"/>
                <w:szCs w:val="22"/>
              </w:rPr>
              <w:t>New</w:t>
            </w:r>
            <w:r>
              <w:rPr>
                <w:rFonts w:cs="Arial"/>
                <w:szCs w:val="22"/>
              </w:rPr>
              <w:t xml:space="preserve"> Zealand itself would lose out.</w:t>
            </w:r>
          </w:p>
          <w:p w:rsidR="006058BF" w:rsidRDefault="006058BF" w:rsidP="00D67247">
            <w:pPr>
              <w:pStyle w:val="Box"/>
              <w:spacing w:before="100" w:line="270" w:lineRule="atLeast"/>
              <w:rPr>
                <w:rFonts w:cs="Arial"/>
                <w:szCs w:val="22"/>
              </w:rPr>
            </w:pPr>
            <w:r>
              <w:rPr>
                <w:rFonts w:cs="Arial"/>
                <w:szCs w:val="22"/>
              </w:rPr>
              <w:t xml:space="preserve">There can be further effects from the shift of capital leading to even larger transfers from the recognising country to the other. Shifts of capital could result in changes in rates of return to capital, and in wage rates. To the extent these </w:t>
            </w:r>
            <w:r w:rsidR="00F673FD">
              <w:rPr>
                <w:rFonts w:cs="Arial"/>
                <w:szCs w:val="22"/>
              </w:rPr>
              <w:t>transfers are between capital owned by residents of</w:t>
            </w:r>
            <w:r>
              <w:rPr>
                <w:rFonts w:cs="Arial"/>
                <w:szCs w:val="22"/>
              </w:rPr>
              <w:t xml:space="preserve"> one country to labour in the other, </w:t>
            </w:r>
            <w:r w:rsidR="00F1061D">
              <w:rPr>
                <w:rFonts w:cs="Arial"/>
                <w:szCs w:val="22"/>
              </w:rPr>
              <w:t>they</w:t>
            </w:r>
            <w:r>
              <w:rPr>
                <w:rFonts w:cs="Arial"/>
                <w:szCs w:val="22"/>
              </w:rPr>
              <w:t xml:space="preserve"> will be between the two countries as well as between capital and labour. These further effects are analysed in box </w:t>
            </w:r>
            <w:proofErr w:type="spellStart"/>
            <w:r>
              <w:rPr>
                <w:rFonts w:cs="Arial"/>
                <w:szCs w:val="22"/>
              </w:rPr>
              <w:t>F.6</w:t>
            </w:r>
            <w:proofErr w:type="spellEnd"/>
            <w:r>
              <w:rPr>
                <w:rFonts w:cs="Arial"/>
                <w:szCs w:val="22"/>
              </w:rPr>
              <w:t>.</w:t>
            </w:r>
          </w:p>
          <w:p w:rsidR="006058BF" w:rsidRDefault="006058BF" w:rsidP="00D67247">
            <w:pPr>
              <w:pStyle w:val="Box"/>
              <w:spacing w:before="100" w:line="270" w:lineRule="atLeast"/>
            </w:pPr>
            <w:r w:rsidRPr="00AF76B3">
              <w:rPr>
                <w:rFonts w:cs="Arial"/>
                <w:szCs w:val="22"/>
              </w:rPr>
              <w:t xml:space="preserve">This analysis </w:t>
            </w:r>
            <w:r>
              <w:rPr>
                <w:rFonts w:cs="Arial"/>
                <w:szCs w:val="22"/>
              </w:rPr>
              <w:t>—</w:t>
            </w:r>
            <w:r w:rsidRPr="00AF76B3">
              <w:rPr>
                <w:rFonts w:cs="Arial"/>
                <w:szCs w:val="22"/>
              </w:rPr>
              <w:t xml:space="preserve"> albeit highly stylised </w:t>
            </w:r>
            <w:r>
              <w:rPr>
                <w:rFonts w:cs="Arial"/>
                <w:szCs w:val="22"/>
              </w:rPr>
              <w:t>—</w:t>
            </w:r>
            <w:r w:rsidRPr="00AF76B3">
              <w:rPr>
                <w:rFonts w:cs="Arial"/>
                <w:szCs w:val="22"/>
              </w:rPr>
              <w:t xml:space="preserve"> points, thus far, to two conclusions. First, removal of the double tax on trans-Tasman investment would deliver a joint net benefit. Second, it is not in the interests of either country to recognise imputation credits unilaterally.</w:t>
            </w:r>
          </w:p>
        </w:tc>
      </w:tr>
      <w:tr w:rsidR="006058BF" w:rsidTr="006058BF">
        <w:trPr>
          <w:cantSplit/>
        </w:trPr>
        <w:tc>
          <w:tcPr>
            <w:tcW w:w="8771" w:type="dxa"/>
            <w:tcBorders>
              <w:top w:val="nil"/>
              <w:left w:val="nil"/>
              <w:bottom w:val="nil"/>
              <w:right w:val="nil"/>
            </w:tcBorders>
            <w:shd w:val="clear" w:color="auto" w:fill="D9EAF0"/>
          </w:tcPr>
          <w:p w:rsidR="006058BF" w:rsidRDefault="006058BF" w:rsidP="00D67247">
            <w:pPr>
              <w:pStyle w:val="BoxSource"/>
              <w:spacing w:before="120" w:after="80" w:line="200" w:lineRule="exact"/>
            </w:pPr>
            <w:r>
              <w:rPr>
                <w:i/>
              </w:rPr>
              <w:t>Source</w:t>
            </w:r>
            <w:r w:rsidRPr="00167F06">
              <w:t xml:space="preserve">: </w:t>
            </w:r>
            <w:r>
              <w:t>Benge and Slack (2012).</w:t>
            </w:r>
          </w:p>
        </w:tc>
      </w:tr>
    </w:tbl>
    <w:p w:rsidR="006D064B" w:rsidRDefault="009046AC" w:rsidP="006D064B">
      <w:pPr>
        <w:pStyle w:val="Heading3"/>
      </w:pPr>
      <w:r>
        <w:lastRenderedPageBreak/>
        <w:t>F</w:t>
      </w:r>
      <w:r w:rsidR="006D064B" w:rsidRPr="00D05623">
        <w:t>irms with access to international capital</w:t>
      </w:r>
    </w:p>
    <w:p w:rsidR="003B5214" w:rsidRDefault="006D064B" w:rsidP="006D064B">
      <w:pPr>
        <w:pStyle w:val="BodyText"/>
        <w:rPr>
          <w:lang w:val="en-NZ" w:eastAsia="en-US"/>
        </w:rPr>
      </w:pPr>
      <w:r w:rsidRPr="00A912CB">
        <w:rPr>
          <w:lang w:val="en-NZ" w:eastAsia="en-US"/>
        </w:rPr>
        <w:t>For a firm whose shares are traded globally, how its local shareholders are taxed may have little or no influence on its cost of capital, and therefore on its i</w:t>
      </w:r>
      <w:r w:rsidR="003B5214">
        <w:rPr>
          <w:lang w:val="en-NZ" w:eastAsia="en-US"/>
        </w:rPr>
        <w:t>nvestment allocation decisions.</w:t>
      </w:r>
    </w:p>
    <w:p w:rsidR="006D064B" w:rsidRDefault="006D064B" w:rsidP="006D064B">
      <w:pPr>
        <w:pStyle w:val="BodyText"/>
        <w:rPr>
          <w:lang w:val="en-NZ" w:eastAsia="en-US"/>
        </w:rPr>
      </w:pPr>
      <w:r w:rsidRPr="00A912CB">
        <w:rPr>
          <w:lang w:val="en-NZ" w:eastAsia="en-US"/>
        </w:rPr>
        <w:t>To understand this, suppose the existing imputation credits for domestic shareholders were to be removed. This would reduce after-tax returns for domestic shareholders who, as a result, could be expected to reweight their portfolios toward alternative forms of capital (debt, offshore equity, property, etc.). This would lower domestic share prices and restore the after-tax rate of return required by investors, resulting</w:t>
      </w:r>
      <w:r w:rsidRPr="00A912CB" w:rsidDel="009046AC">
        <w:rPr>
          <w:lang w:val="en-NZ" w:eastAsia="en-US"/>
        </w:rPr>
        <w:t xml:space="preserve"> in </w:t>
      </w:r>
      <w:r w:rsidRPr="00A912CB">
        <w:rPr>
          <w:lang w:val="en-NZ" w:eastAsia="en-US"/>
        </w:rPr>
        <w:t xml:space="preserve">a higher cost of capital for firms. However, non-resident shareholders, unaffected by the removal of imputation credits, </w:t>
      </w:r>
      <w:r w:rsidR="003B5214">
        <w:rPr>
          <w:lang w:val="en-NZ" w:eastAsia="en-US"/>
        </w:rPr>
        <w:t xml:space="preserve">would find </w:t>
      </w:r>
      <w:r w:rsidRPr="00A912CB">
        <w:rPr>
          <w:lang w:val="en-NZ" w:eastAsia="en-US"/>
        </w:rPr>
        <w:t>the shares more attractive. These investors could be expected to buy and drive the share price back up. If there w</w:t>
      </w:r>
      <w:r w:rsidR="00A72D8D">
        <w:rPr>
          <w:lang w:val="en-NZ" w:eastAsia="en-US"/>
        </w:rPr>
        <w:t>ere</w:t>
      </w:r>
      <w:r w:rsidRPr="00A912CB">
        <w:rPr>
          <w:lang w:val="en-NZ" w:eastAsia="en-US"/>
        </w:rPr>
        <w:t xml:space="preserve"> full substitutability of foreign for domestic capital, the end result should be that share prices</w:t>
      </w:r>
      <w:r w:rsidR="006B5A25">
        <w:rPr>
          <w:lang w:val="en-NZ" w:eastAsia="en-US"/>
        </w:rPr>
        <w:t xml:space="preserve"> —</w:t>
      </w:r>
      <w:r w:rsidRPr="00A912CB">
        <w:rPr>
          <w:lang w:val="en-NZ" w:eastAsia="en-US"/>
        </w:rPr>
        <w:t xml:space="preserve"> and therefore firms' cost of capital and their investment allocation decisions</w:t>
      </w:r>
      <w:r w:rsidR="006B5A25">
        <w:rPr>
          <w:lang w:val="en-NZ" w:eastAsia="en-US"/>
        </w:rPr>
        <w:t xml:space="preserve"> —</w:t>
      </w:r>
      <w:r w:rsidRPr="00A912CB">
        <w:rPr>
          <w:lang w:val="en-NZ" w:eastAsia="en-US"/>
        </w:rPr>
        <w:t xml:space="preserve"> are unaffected. </w:t>
      </w:r>
      <w:r w:rsidR="00DD7669">
        <w:rPr>
          <w:lang w:val="en-NZ" w:eastAsia="en-US"/>
        </w:rPr>
        <w:t xml:space="preserve">Commenting on this issue </w:t>
      </w:r>
      <w:r w:rsidR="000937E2">
        <w:rPr>
          <w:lang w:val="en-NZ" w:eastAsia="en-US"/>
        </w:rPr>
        <w:t>the Henry Review</w:t>
      </w:r>
      <w:r w:rsidR="00D97441">
        <w:rPr>
          <w:lang w:val="en-NZ" w:eastAsia="en-US"/>
        </w:rPr>
        <w:t xml:space="preserve"> </w:t>
      </w:r>
      <w:r w:rsidR="00DD7669">
        <w:rPr>
          <w:lang w:val="en-NZ" w:eastAsia="en-US"/>
        </w:rPr>
        <w:t>stated:</w:t>
      </w:r>
    </w:p>
    <w:p w:rsidR="00DD7669" w:rsidRPr="00C478EE" w:rsidRDefault="00DD7669" w:rsidP="00C478EE">
      <w:pPr>
        <w:pStyle w:val="Quote"/>
      </w:pPr>
      <w:r w:rsidRPr="00C478EE">
        <w:t>Since companies seeking to expand offshore would typically be larger and more mature, they should have better access to international capital than other businesses in the domestic economy.</w:t>
      </w:r>
      <w:r w:rsidR="000C3A89" w:rsidRPr="00C478EE">
        <w:t xml:space="preserve"> </w:t>
      </w:r>
      <w:r w:rsidRPr="00C478EE">
        <w:t>Providing imputation credits to resident shareholders for foreign tax paid would not directly assist them in raising foreign capital and so cou</w:t>
      </w:r>
      <w:r w:rsidR="008A394E" w:rsidRPr="00C478EE">
        <w:t>l</w:t>
      </w:r>
      <w:r w:rsidRPr="00C478EE">
        <w:t>d have limited impact on their cost of capital and their potential for offshore expansion.</w:t>
      </w:r>
      <w:r w:rsidR="000C3A89" w:rsidRPr="00C478EE">
        <w:t xml:space="preserve"> </w:t>
      </w:r>
      <w:r w:rsidRPr="00C478EE">
        <w:t>It would, however, increase resident shareholders’ po</w:t>
      </w:r>
      <w:r w:rsidR="008A394E" w:rsidRPr="00C478EE">
        <w:t>st-tax returns from their savings</w:t>
      </w:r>
      <w:r w:rsidR="00D97441" w:rsidRPr="00C478EE">
        <w:t>.</w:t>
      </w:r>
      <w:r w:rsidR="008A394E" w:rsidRPr="00C478EE">
        <w:t xml:space="preserve"> (</w:t>
      </w:r>
      <w:r w:rsidR="00C478EE">
        <w:t>Australia’s Future Tax System Panel</w:t>
      </w:r>
      <w:r w:rsidR="00C478EE" w:rsidRPr="00C478EE">
        <w:t xml:space="preserve"> 2010, </w:t>
      </w:r>
      <w:r w:rsidR="008A394E" w:rsidRPr="00C478EE">
        <w:t>pp. 200</w:t>
      </w:r>
      <w:r w:rsidR="00D67247">
        <w:sym w:font="Symbol" w:char="F02D"/>
      </w:r>
      <w:r w:rsidR="008A394E" w:rsidRPr="00C478EE">
        <w:t>01)</w:t>
      </w:r>
    </w:p>
    <w:p w:rsidR="006D064B" w:rsidRDefault="006D064B" w:rsidP="006D064B">
      <w:pPr>
        <w:pStyle w:val="BodyText"/>
        <w:rPr>
          <w:lang w:val="en-NZ" w:eastAsia="en-US"/>
        </w:rPr>
      </w:pPr>
      <w:r w:rsidRPr="00A912CB">
        <w:rPr>
          <w:lang w:val="en-NZ" w:eastAsia="en-US"/>
        </w:rPr>
        <w:t xml:space="preserve">When analysing the effects of adopting </w:t>
      </w:r>
      <w:proofErr w:type="spellStart"/>
      <w:r w:rsidRPr="00A912CB">
        <w:rPr>
          <w:lang w:val="en-NZ" w:eastAsia="en-US"/>
        </w:rPr>
        <w:t>MRIC</w:t>
      </w:r>
      <w:proofErr w:type="spellEnd"/>
      <w:r w:rsidRPr="00A912CB">
        <w:rPr>
          <w:lang w:val="en-NZ" w:eastAsia="en-US"/>
        </w:rPr>
        <w:t xml:space="preserve">, therefore, it is necessary to differentiate between firms that have access to global capital markets and those that do not. For fully global firms, adoption of </w:t>
      </w:r>
      <w:proofErr w:type="spellStart"/>
      <w:r w:rsidRPr="00A912CB">
        <w:rPr>
          <w:lang w:val="en-NZ" w:eastAsia="en-US"/>
        </w:rPr>
        <w:t>MRIC</w:t>
      </w:r>
      <w:proofErr w:type="spellEnd"/>
      <w:r w:rsidRPr="00A912CB">
        <w:rPr>
          <w:lang w:val="en-NZ" w:eastAsia="en-US"/>
        </w:rPr>
        <w:t xml:space="preserve"> would tend not to affect their investment allocation decisions. </w:t>
      </w:r>
      <w:r w:rsidR="000A5361">
        <w:rPr>
          <w:lang w:val="en-NZ" w:eastAsia="en-US"/>
        </w:rPr>
        <w:t xml:space="preserve">Such firms should also be relatively indifferent about any changes in the ownership of their shares induced by </w:t>
      </w:r>
      <w:proofErr w:type="spellStart"/>
      <w:r w:rsidR="000A5361">
        <w:rPr>
          <w:lang w:val="en-NZ" w:eastAsia="en-US"/>
        </w:rPr>
        <w:t>MRIC</w:t>
      </w:r>
      <w:proofErr w:type="spellEnd"/>
      <w:r w:rsidRPr="00A912CB">
        <w:rPr>
          <w:lang w:val="en-NZ" w:eastAsia="en-US"/>
        </w:rPr>
        <w:t>.</w:t>
      </w:r>
    </w:p>
    <w:p w:rsidR="006D064B" w:rsidRPr="00A912CB" w:rsidRDefault="006D064B" w:rsidP="006D064B">
      <w:pPr>
        <w:pStyle w:val="Heading3"/>
        <w:rPr>
          <w:rFonts w:cs="Arial"/>
        </w:rPr>
      </w:pPr>
      <w:r w:rsidRPr="00A912CB">
        <w:rPr>
          <w:rFonts w:cs="Arial"/>
        </w:rPr>
        <w:t>Dynamic efficiency</w:t>
      </w:r>
    </w:p>
    <w:p w:rsidR="00C01D26" w:rsidRPr="00632492" w:rsidRDefault="00C01D26" w:rsidP="00C01D26">
      <w:pPr>
        <w:pStyle w:val="BodyText"/>
        <w:rPr>
          <w:rFonts w:cs="Arial"/>
          <w:szCs w:val="22"/>
          <w:lang w:val="en-NZ" w:eastAsia="en-US"/>
        </w:rPr>
      </w:pPr>
      <w:r w:rsidRPr="00632492">
        <w:rPr>
          <w:rFonts w:cs="Arial"/>
          <w:szCs w:val="22"/>
          <w:lang w:val="en-NZ" w:eastAsia="en-US"/>
        </w:rPr>
        <w:t>Participants in this study have argued that the economic costs of not recognising trans-Tasman imputation credits extend beyond ‘</w:t>
      </w:r>
      <w:proofErr w:type="spellStart"/>
      <w:r w:rsidRPr="00632492">
        <w:rPr>
          <w:rFonts w:cs="Arial"/>
          <w:szCs w:val="22"/>
          <w:lang w:val="en-NZ" w:eastAsia="en-US"/>
        </w:rPr>
        <w:t>allocative</w:t>
      </w:r>
      <w:proofErr w:type="spellEnd"/>
      <w:r w:rsidRPr="00632492">
        <w:rPr>
          <w:rFonts w:cs="Arial"/>
          <w:szCs w:val="22"/>
          <w:lang w:val="en-NZ" w:eastAsia="en-US"/>
        </w:rPr>
        <w:t>’ inefficiency. They highlight that ‘dynamic’ benefits are also being foregone (box</w:t>
      </w:r>
      <w:r w:rsidR="001C66B4" w:rsidRPr="00632492">
        <w:rPr>
          <w:rFonts w:cs="Arial"/>
          <w:szCs w:val="22"/>
          <w:lang w:val="en-NZ" w:eastAsia="en-US"/>
        </w:rPr>
        <w:t> </w:t>
      </w:r>
      <w:proofErr w:type="spellStart"/>
      <w:r w:rsidRPr="00632492">
        <w:rPr>
          <w:rFonts w:cs="Arial"/>
          <w:szCs w:val="22"/>
          <w:lang w:val="en-NZ" w:eastAsia="en-US"/>
        </w:rPr>
        <w:t>F.4</w:t>
      </w:r>
      <w:proofErr w:type="spellEnd"/>
      <w:r w:rsidRPr="00632492">
        <w:rPr>
          <w:rFonts w:cs="Arial"/>
          <w:szCs w:val="22"/>
          <w:lang w:val="en-NZ" w:eastAsia="en-US"/>
        </w:rPr>
        <w:t>). These include the benefits from the greater choice in products and services, economies of scale, and greater competition and innovation.</w:t>
      </w:r>
    </w:p>
    <w:p w:rsidR="006D064B" w:rsidRPr="00A912CB" w:rsidRDefault="006D064B" w:rsidP="006D064B">
      <w:pPr>
        <w:keepNext/>
        <w:spacing w:before="360" w:after="0" w:line="80" w:lineRule="exact"/>
        <w:rPr>
          <w:rFonts w:ascii="Arial" w:hAnsi="Arial"/>
          <w:color w:val="1C1C1C"/>
          <w:sz w:val="24"/>
          <w:szCs w:val="20"/>
          <w:lang w:val="en-AU" w:eastAsia="en-AU"/>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D064B" w:rsidRPr="00A912CB" w:rsidTr="00497EB5">
        <w:tc>
          <w:tcPr>
            <w:tcW w:w="8771" w:type="dxa"/>
            <w:tcBorders>
              <w:top w:val="nil"/>
              <w:left w:val="nil"/>
              <w:bottom w:val="nil"/>
              <w:right w:val="nil"/>
            </w:tcBorders>
            <w:shd w:val="clear" w:color="auto" w:fill="D9EAF0"/>
          </w:tcPr>
          <w:p w:rsidR="006D064B" w:rsidRPr="00A912CB" w:rsidRDefault="006D064B" w:rsidP="00824CFC">
            <w:pPr>
              <w:keepNext/>
              <w:keepLines/>
              <w:spacing w:before="120" w:after="0" w:line="320" w:lineRule="exact"/>
              <w:ind w:left="1304" w:hanging="1304"/>
              <w:rPr>
                <w:rFonts w:ascii="Arial" w:hAnsi="Arial"/>
                <w:b/>
                <w:sz w:val="24"/>
              </w:rPr>
            </w:pPr>
            <w:r w:rsidRPr="00A912CB">
              <w:rPr>
                <w:rFonts w:ascii="Arial" w:hAnsi="Arial"/>
                <w:sz w:val="24"/>
              </w:rPr>
              <w:t xml:space="preserve">Box </w:t>
            </w:r>
            <w:r w:rsidRPr="00A912CB">
              <w:rPr>
                <w:rFonts w:ascii="Arial" w:hAnsi="Arial"/>
                <w:sz w:val="24"/>
              </w:rPr>
              <w:fldChar w:fldCharType="begin"/>
            </w:r>
            <w:r w:rsidRPr="00A912CB">
              <w:rPr>
                <w:rFonts w:ascii="Arial" w:hAnsi="Arial"/>
                <w:sz w:val="24"/>
              </w:rPr>
              <w:instrText xml:space="preserve"> COMMENTS  \* MERGEFORMAT </w:instrText>
            </w:r>
            <w:r w:rsidRPr="00A912CB">
              <w:rPr>
                <w:rFonts w:ascii="Arial" w:hAnsi="Arial"/>
                <w:sz w:val="24"/>
              </w:rPr>
              <w:fldChar w:fldCharType="separate"/>
            </w:r>
            <w:proofErr w:type="spellStart"/>
            <w:r w:rsidRPr="00A912CB">
              <w:rPr>
                <w:rFonts w:ascii="Arial" w:hAnsi="Arial"/>
                <w:sz w:val="24"/>
              </w:rPr>
              <w:t>F.</w:t>
            </w:r>
            <w:r w:rsidRPr="00A912CB">
              <w:rPr>
                <w:rFonts w:ascii="Arial" w:hAnsi="Arial"/>
                <w:sz w:val="24"/>
              </w:rPr>
              <w:fldChar w:fldCharType="end"/>
            </w:r>
            <w:r w:rsidRPr="00A912CB">
              <w:rPr>
                <w:rFonts w:ascii="Arial" w:hAnsi="Arial"/>
                <w:sz w:val="24"/>
              </w:rPr>
              <w:fldChar w:fldCharType="begin"/>
            </w:r>
            <w:r w:rsidRPr="00A912CB">
              <w:rPr>
                <w:rFonts w:ascii="Arial" w:hAnsi="Arial"/>
                <w:sz w:val="24"/>
              </w:rPr>
              <w:instrText xml:space="preserve"> SEQ Box \* ARABIC </w:instrText>
            </w:r>
            <w:r w:rsidRPr="00A912CB">
              <w:rPr>
                <w:rFonts w:ascii="Arial" w:hAnsi="Arial"/>
                <w:sz w:val="24"/>
              </w:rPr>
              <w:fldChar w:fldCharType="separate"/>
            </w:r>
            <w:r w:rsidR="008568A0">
              <w:rPr>
                <w:rFonts w:ascii="Arial" w:hAnsi="Arial"/>
                <w:noProof/>
                <w:sz w:val="24"/>
              </w:rPr>
              <w:t>4</w:t>
            </w:r>
            <w:proofErr w:type="spellEnd"/>
            <w:r w:rsidRPr="00A912CB">
              <w:rPr>
                <w:rFonts w:ascii="Arial" w:hAnsi="Arial"/>
                <w:sz w:val="24"/>
              </w:rPr>
              <w:fldChar w:fldCharType="end"/>
            </w:r>
            <w:r w:rsidRPr="00A912CB">
              <w:rPr>
                <w:rFonts w:ascii="Arial" w:hAnsi="Arial"/>
                <w:b/>
                <w:sz w:val="24"/>
              </w:rPr>
              <w:tab/>
            </w:r>
            <w:r w:rsidR="00824CFC">
              <w:rPr>
                <w:rFonts w:ascii="Arial" w:hAnsi="Arial"/>
                <w:b/>
                <w:sz w:val="24"/>
              </w:rPr>
              <w:t>Participant v</w:t>
            </w:r>
            <w:r w:rsidRPr="00A912CB">
              <w:rPr>
                <w:rFonts w:ascii="Arial" w:hAnsi="Arial"/>
                <w:b/>
                <w:sz w:val="24"/>
              </w:rPr>
              <w:t>iews on dynamic efficiency</w:t>
            </w:r>
          </w:p>
        </w:tc>
      </w:tr>
      <w:tr w:rsidR="006D064B" w:rsidRPr="00A912CB" w:rsidTr="00497EB5">
        <w:trPr>
          <w:cantSplit/>
        </w:trPr>
        <w:tc>
          <w:tcPr>
            <w:tcW w:w="8771" w:type="dxa"/>
            <w:tcBorders>
              <w:top w:val="nil"/>
              <w:left w:val="nil"/>
              <w:bottom w:val="nil"/>
              <w:right w:val="nil"/>
            </w:tcBorders>
            <w:shd w:val="clear" w:color="auto" w:fill="D9EAF0"/>
          </w:tcPr>
          <w:p w:rsidR="006D064B" w:rsidRPr="00A912CB" w:rsidRDefault="006D064B" w:rsidP="00696A2F">
            <w:pPr>
              <w:pStyle w:val="BoxQuote"/>
            </w:pPr>
            <w:r w:rsidRPr="00A912CB">
              <w:t>…an important benefit of [</w:t>
            </w:r>
            <w:proofErr w:type="spellStart"/>
            <w:r w:rsidRPr="00A912CB">
              <w:t>MRIC</w:t>
            </w:r>
            <w:proofErr w:type="spellEnd"/>
            <w:r w:rsidRPr="00A912CB">
              <w:t>] may well be the ability of New Zealand and Australian small and medium</w:t>
            </w:r>
            <w:r w:rsidR="005C7BE8">
              <w:t xml:space="preserve"> </w:t>
            </w:r>
            <w:r w:rsidRPr="00A912CB">
              <w:t xml:space="preserve">sized businesses not only to export to each other’s market but also through this process learn the skills to export </w:t>
            </w:r>
            <w:r w:rsidR="001C66B4">
              <w:t>to third markets. (</w:t>
            </w:r>
            <w:proofErr w:type="spellStart"/>
            <w:r w:rsidR="001C66B4">
              <w:t>ANZLF</w:t>
            </w:r>
            <w:proofErr w:type="spellEnd"/>
            <w:r w:rsidR="00696A2F">
              <w:t>,</w:t>
            </w:r>
            <w:r w:rsidR="001C66B4">
              <w:t xml:space="preserve"> sub. 58, p. </w:t>
            </w:r>
            <w:r w:rsidRPr="00A912CB">
              <w:t>11)</w:t>
            </w:r>
          </w:p>
          <w:p w:rsidR="006D064B" w:rsidRPr="00A912CB" w:rsidRDefault="006D064B" w:rsidP="00696A2F">
            <w:pPr>
              <w:pStyle w:val="BoxQuote"/>
            </w:pPr>
            <w:r w:rsidRPr="00A912CB">
              <w:t>[</w:t>
            </w:r>
            <w:proofErr w:type="spellStart"/>
            <w:r w:rsidRPr="00A912CB">
              <w:t>MRIC</w:t>
            </w:r>
            <w:proofErr w:type="spellEnd"/>
            <w:r w:rsidRPr="00A912CB">
              <w:t xml:space="preserve">] should boost product and service market competition, lower compliance costs for business (particularly the </w:t>
            </w:r>
            <w:proofErr w:type="spellStart"/>
            <w:r w:rsidRPr="00A912CB">
              <w:t>SME</w:t>
            </w:r>
            <w:proofErr w:type="spellEnd"/>
            <w:r w:rsidRPr="00A912CB">
              <w:t xml:space="preserve"> market) and generally promote the development of a Single Economic Market. (New Zealand </w:t>
            </w:r>
            <w:r w:rsidR="00B70C3A">
              <w:t>V</w:t>
            </w:r>
            <w:r w:rsidRPr="00A912CB">
              <w:t>enture Capital Association, sub.</w:t>
            </w:r>
            <w:r w:rsidR="001C66B4">
              <w:t> </w:t>
            </w:r>
            <w:r w:rsidRPr="00A912CB">
              <w:t>32, p.</w:t>
            </w:r>
            <w:r w:rsidR="001C66B4">
              <w:t> </w:t>
            </w:r>
            <w:r w:rsidRPr="00A912CB">
              <w:t>1)</w:t>
            </w:r>
          </w:p>
          <w:p w:rsidR="006D064B" w:rsidRPr="00A912CB" w:rsidRDefault="005C7BE8" w:rsidP="00696A2F">
            <w:pPr>
              <w:pStyle w:val="BoxQuote"/>
            </w:pPr>
            <w:r>
              <w:t>…</w:t>
            </w:r>
            <w:r w:rsidRPr="00A912CB">
              <w:t xml:space="preserve"> </w:t>
            </w:r>
            <w:r w:rsidR="006D064B" w:rsidRPr="00A912CB">
              <w:t>the gains we have analysed are not the only, or even necessarily the most important gains. Mutual recognition will boost product market competition, reduce incentives for artificial tax structuring, make it less costly for businesses to set up trans-Tasman subsidiaries and reduce pressure for a race to the bottom in company tax rates. Our investment efficiency analysis is comparative static and ignores further dynamic gains that can arise fro</w:t>
            </w:r>
            <w:r w:rsidR="005609E2">
              <w:t>m new products and processes</w:t>
            </w:r>
            <w:r>
              <w:t>.</w:t>
            </w:r>
            <w:r w:rsidR="005609E2">
              <w:t xml:space="preserve"> (</w:t>
            </w:r>
            <w:r w:rsidR="006D064B" w:rsidRPr="00A912CB">
              <w:t>Benge</w:t>
            </w:r>
            <w:r w:rsidR="005609E2">
              <w:t xml:space="preserve"> and Slack</w:t>
            </w:r>
            <w:r w:rsidR="001C66B4">
              <w:t xml:space="preserve"> 2012, p. </w:t>
            </w:r>
            <w:r w:rsidR="006D064B" w:rsidRPr="00A912CB">
              <w:t>15)</w:t>
            </w:r>
          </w:p>
        </w:tc>
      </w:tr>
      <w:tr w:rsidR="006D064B" w:rsidRPr="00A912CB" w:rsidTr="00497EB5">
        <w:trPr>
          <w:cantSplit/>
        </w:trPr>
        <w:tc>
          <w:tcPr>
            <w:tcW w:w="8771" w:type="dxa"/>
            <w:tcBorders>
              <w:top w:val="nil"/>
              <w:left w:val="nil"/>
              <w:bottom w:val="nil"/>
              <w:right w:val="nil"/>
            </w:tcBorders>
            <w:shd w:val="clear" w:color="auto" w:fill="D9EAF0"/>
          </w:tcPr>
          <w:p w:rsidR="006D064B" w:rsidRPr="00A912CB" w:rsidRDefault="006D064B" w:rsidP="00497EB5">
            <w:pPr>
              <w:keepNext/>
              <w:spacing w:after="0" w:line="120" w:lineRule="exact"/>
              <w:jc w:val="both"/>
              <w:rPr>
                <w:rFonts w:ascii="Arial" w:hAnsi="Arial"/>
                <w:color w:val="1C1C1C"/>
                <w:szCs w:val="20"/>
                <w:lang w:val="en-AU" w:eastAsia="en-AU"/>
              </w:rPr>
            </w:pPr>
          </w:p>
        </w:tc>
      </w:tr>
      <w:tr w:rsidR="006D064B" w:rsidRPr="00696A2F" w:rsidTr="00497EB5">
        <w:tc>
          <w:tcPr>
            <w:tcW w:w="8771" w:type="dxa"/>
            <w:tcBorders>
              <w:top w:val="nil"/>
              <w:left w:val="nil"/>
              <w:bottom w:val="nil"/>
              <w:right w:val="nil"/>
            </w:tcBorders>
          </w:tcPr>
          <w:p w:rsidR="006D064B" w:rsidRPr="00696A2F" w:rsidRDefault="006D064B" w:rsidP="00497EB5">
            <w:pPr>
              <w:spacing w:before="60" w:after="60" w:line="80" w:lineRule="exact"/>
              <w:jc w:val="both"/>
              <w:rPr>
                <w:rFonts w:ascii="Arial" w:hAnsi="Arial"/>
                <w:b/>
                <w:sz w:val="14"/>
                <w:szCs w:val="20"/>
                <w:lang w:val="en-AU" w:eastAsia="en-AU"/>
              </w:rPr>
            </w:pPr>
          </w:p>
        </w:tc>
      </w:tr>
    </w:tbl>
    <w:p w:rsidR="006D064B" w:rsidRPr="00F35323" w:rsidRDefault="00F35323" w:rsidP="006D064B">
      <w:pPr>
        <w:pStyle w:val="BodyText"/>
      </w:pPr>
      <w:r w:rsidRPr="00F35323">
        <w:t xml:space="preserve">There are potential dynamic efficiency gains associated with </w:t>
      </w:r>
      <w:proofErr w:type="spellStart"/>
      <w:r w:rsidRPr="00F35323">
        <w:t>MRIC</w:t>
      </w:r>
      <w:proofErr w:type="spellEnd"/>
      <w:r w:rsidRPr="00F35323">
        <w:t>, to the extent that additional investment across the Tasman results in increased penetration of the markets of each economy by the firms of the other. The size of these gains depends on the extent to which competition and innovation would increase. These effects, by their very nature, are virtually impossible to quantify. Dynamic efficiency gains were not quantified in either the CIE or Commission modelling.</w:t>
      </w:r>
    </w:p>
    <w:p w:rsidR="006D064B" w:rsidRDefault="006D064B" w:rsidP="006D064B">
      <w:pPr>
        <w:pStyle w:val="Heading3"/>
        <w:rPr>
          <w:rFonts w:cs="Arial"/>
        </w:rPr>
      </w:pPr>
      <w:r w:rsidRPr="00D05623">
        <w:rPr>
          <w:rFonts w:cs="Arial"/>
        </w:rPr>
        <w:t>Costs of tax compliance and complexity</w:t>
      </w:r>
    </w:p>
    <w:p w:rsidR="006D064B" w:rsidRPr="00D05623" w:rsidRDefault="006D064B" w:rsidP="006D064B">
      <w:pPr>
        <w:pStyle w:val="BodyText"/>
        <w:rPr>
          <w:lang w:val="en-NZ" w:eastAsia="en-US"/>
        </w:rPr>
      </w:pPr>
      <w:r w:rsidRPr="00D05623">
        <w:rPr>
          <w:lang w:val="en-NZ" w:eastAsia="en-US"/>
        </w:rPr>
        <w:t xml:space="preserve">Another aspect of </w:t>
      </w:r>
      <w:r w:rsidR="00E361CA">
        <w:rPr>
          <w:lang w:val="en-NZ" w:eastAsia="en-US"/>
        </w:rPr>
        <w:t>this issue</w:t>
      </w:r>
      <w:r w:rsidRPr="00D05623">
        <w:rPr>
          <w:lang w:val="en-NZ" w:eastAsia="en-US"/>
        </w:rPr>
        <w:t xml:space="preserve"> concerns the complexities that arise where companies </w:t>
      </w:r>
      <w:r w:rsidR="00E361CA">
        <w:rPr>
          <w:lang w:val="en-NZ" w:eastAsia="en-US"/>
        </w:rPr>
        <w:t>adopt</w:t>
      </w:r>
      <w:r w:rsidRPr="00D05623">
        <w:rPr>
          <w:lang w:val="en-NZ" w:eastAsia="en-US"/>
        </w:rPr>
        <w:t xml:space="preserve"> strategies to mitigate the effect of the double tax. </w:t>
      </w:r>
      <w:r w:rsidR="00482864">
        <w:rPr>
          <w:lang w:val="en-NZ" w:eastAsia="en-US"/>
        </w:rPr>
        <w:t>Such s</w:t>
      </w:r>
      <w:r w:rsidR="00E361CA">
        <w:rPr>
          <w:lang w:val="en-NZ" w:eastAsia="en-US"/>
        </w:rPr>
        <w:t>trategies</w:t>
      </w:r>
      <w:r w:rsidRPr="00D05623">
        <w:rPr>
          <w:lang w:val="en-NZ" w:eastAsia="en-US"/>
        </w:rPr>
        <w:t xml:space="preserve"> include:</w:t>
      </w:r>
    </w:p>
    <w:p w:rsidR="006D064B" w:rsidRPr="00D05623" w:rsidRDefault="006D064B" w:rsidP="006D064B">
      <w:pPr>
        <w:pStyle w:val="ListBullet"/>
      </w:pPr>
      <w:r w:rsidRPr="00D05623">
        <w:t xml:space="preserve">financing trans-Tasman investments </w:t>
      </w:r>
      <w:r w:rsidR="00482864" w:rsidRPr="00D05623">
        <w:t xml:space="preserve">with debt </w:t>
      </w:r>
      <w:r w:rsidRPr="00D05623">
        <w:t>to the fullest extent possible. Because interest is deductible for the company, debt financing results in only one layer of tax</w:t>
      </w:r>
    </w:p>
    <w:p w:rsidR="006D064B" w:rsidRPr="00D05623" w:rsidRDefault="00E361CA" w:rsidP="006D064B">
      <w:pPr>
        <w:pStyle w:val="ListBullet"/>
      </w:pPr>
      <w:r>
        <w:t xml:space="preserve">using </w:t>
      </w:r>
      <w:r w:rsidR="006D064B" w:rsidRPr="00D05623">
        <w:t>arrangements that shift income within a corporate group to where the shareholders are locat</w:t>
      </w:r>
      <w:r w:rsidR="00696A2F">
        <w:t>ed, so-called ‘transfer-pricing’</w:t>
      </w:r>
    </w:p>
    <w:p w:rsidR="00482864" w:rsidRDefault="006D064B" w:rsidP="006D064B">
      <w:pPr>
        <w:pStyle w:val="ListBullet"/>
      </w:pPr>
      <w:r w:rsidRPr="00D05623">
        <w:t xml:space="preserve">avoiding use of the company </w:t>
      </w:r>
      <w:r w:rsidR="00482864">
        <w:t>form</w:t>
      </w:r>
    </w:p>
    <w:p w:rsidR="006D064B" w:rsidRPr="00D05623" w:rsidRDefault="006D064B" w:rsidP="006D064B">
      <w:pPr>
        <w:pStyle w:val="ListBullet"/>
      </w:pPr>
      <w:r w:rsidRPr="00D05623">
        <w:t xml:space="preserve">breaking up a company that operates across both economies </w:t>
      </w:r>
      <w:r w:rsidR="00D2603B">
        <w:t xml:space="preserve">in an effort to achieve </w:t>
      </w:r>
      <w:r w:rsidRPr="00D05623">
        <w:t>New Zealand operations owned by New Zealand shareholders and Australian operations owned by Australian shareholders — whilst attempting to maintain operating links through contractual arrangements.</w:t>
      </w:r>
    </w:p>
    <w:p w:rsidR="006D064B" w:rsidRDefault="006D064B" w:rsidP="006D064B">
      <w:pPr>
        <w:pStyle w:val="BodyText"/>
        <w:rPr>
          <w:lang w:val="en-NZ" w:eastAsia="en-US"/>
        </w:rPr>
      </w:pPr>
      <w:r w:rsidRPr="00D05623">
        <w:rPr>
          <w:lang w:val="en-NZ" w:eastAsia="en-US"/>
        </w:rPr>
        <w:t>While these kinds of avoidance arrangement</w:t>
      </w:r>
      <w:r w:rsidR="00777B51">
        <w:rPr>
          <w:lang w:val="en-NZ" w:eastAsia="en-US"/>
        </w:rPr>
        <w:t>s</w:t>
      </w:r>
      <w:r w:rsidRPr="00D05623">
        <w:rPr>
          <w:lang w:val="en-NZ" w:eastAsia="en-US"/>
        </w:rPr>
        <w:t xml:space="preserve"> can help to lessen the extent of investment misallocation, they can be costly in other ways. For companies, they can </w:t>
      </w:r>
      <w:r w:rsidR="009A17D6">
        <w:rPr>
          <w:lang w:val="en-NZ" w:eastAsia="en-US"/>
        </w:rPr>
        <w:t>reduce</w:t>
      </w:r>
      <w:r w:rsidR="009A17D6" w:rsidRPr="00D05623">
        <w:rPr>
          <w:lang w:val="en-NZ" w:eastAsia="en-US"/>
        </w:rPr>
        <w:t xml:space="preserve"> </w:t>
      </w:r>
      <w:r w:rsidRPr="00D05623">
        <w:rPr>
          <w:lang w:val="en-NZ" w:eastAsia="en-US"/>
        </w:rPr>
        <w:t>financial resilience, unnecessarily complicate management of the business, and increase tax compliance costs and uncertainties. For</w:t>
      </w:r>
      <w:r w:rsidRPr="00D05623" w:rsidDel="009A17D6">
        <w:rPr>
          <w:lang w:val="en-NZ" w:eastAsia="en-US"/>
        </w:rPr>
        <w:t xml:space="preserve"> </w:t>
      </w:r>
      <w:r w:rsidRPr="00D05623">
        <w:rPr>
          <w:lang w:val="en-NZ" w:eastAsia="en-US"/>
        </w:rPr>
        <w:t>tax authorities</w:t>
      </w:r>
      <w:r w:rsidR="009A17D6">
        <w:rPr>
          <w:lang w:val="en-NZ" w:eastAsia="en-US"/>
        </w:rPr>
        <w:t xml:space="preserve"> </w:t>
      </w:r>
      <w:r w:rsidR="009A17D6">
        <w:rPr>
          <w:lang w:val="en-NZ" w:eastAsia="en-US"/>
        </w:rPr>
        <w:lastRenderedPageBreak/>
        <w:t>trying</w:t>
      </w:r>
      <w:r w:rsidR="009A17D6" w:rsidRPr="00D05623">
        <w:rPr>
          <w:lang w:val="en-NZ" w:eastAsia="en-US"/>
        </w:rPr>
        <w:t xml:space="preserve"> </w:t>
      </w:r>
      <w:r w:rsidR="00FE03F4">
        <w:rPr>
          <w:lang w:val="en-NZ" w:eastAsia="en-US"/>
        </w:rPr>
        <w:t xml:space="preserve">to preserve the integrity of the tax system, </w:t>
      </w:r>
      <w:r w:rsidRPr="00D05623">
        <w:rPr>
          <w:lang w:val="en-NZ" w:eastAsia="en-US"/>
        </w:rPr>
        <w:t>they give rise to a need to apply and administer countervailing measures, such as thin capitalisation an</w:t>
      </w:r>
      <w:r w:rsidR="001C66B4">
        <w:rPr>
          <w:lang w:val="en-NZ" w:eastAsia="en-US"/>
        </w:rPr>
        <w:t>d transfer-pricing rules. Table </w:t>
      </w:r>
      <w:proofErr w:type="spellStart"/>
      <w:r w:rsidR="002963F1">
        <w:rPr>
          <w:lang w:val="en-NZ" w:eastAsia="en-US"/>
        </w:rPr>
        <w:t>F.</w:t>
      </w:r>
      <w:r w:rsidRPr="00D05623">
        <w:rPr>
          <w:lang w:val="en-NZ" w:eastAsia="en-US"/>
        </w:rPr>
        <w:t>1</w:t>
      </w:r>
      <w:proofErr w:type="spellEnd"/>
      <w:r w:rsidRPr="00D05623">
        <w:rPr>
          <w:lang w:val="en-NZ" w:eastAsia="en-US"/>
        </w:rPr>
        <w:t xml:space="preserve"> provides some examples of the costs and problem</w:t>
      </w:r>
      <w:r>
        <w:rPr>
          <w:lang w:val="en-NZ" w:eastAsia="en-US"/>
        </w:rPr>
        <w:t>s that can arise.</w:t>
      </w:r>
    </w:p>
    <w:p w:rsidR="006D064B" w:rsidRDefault="006D064B" w:rsidP="004F20AF">
      <w:pPr>
        <w:pStyle w:val="TableTitle"/>
        <w:ind w:left="1418" w:hanging="1418"/>
      </w:pPr>
      <w:r>
        <w:rPr>
          <w:b w:val="0"/>
        </w:rPr>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fldChar w:fldCharType="begin"/>
      </w:r>
      <w:r>
        <w:rPr>
          <w:b w:val="0"/>
        </w:rPr>
        <w:instrText xml:space="preserve"> SEQ Table \* ARABIC </w:instrText>
      </w:r>
      <w:r>
        <w:rPr>
          <w:b w:val="0"/>
        </w:rPr>
        <w:fldChar w:fldCharType="separate"/>
      </w:r>
      <w:r w:rsidR="008568A0">
        <w:rPr>
          <w:b w:val="0"/>
          <w:noProof/>
        </w:rPr>
        <w:t>1</w:t>
      </w:r>
      <w:proofErr w:type="spellEnd"/>
      <w:r>
        <w:rPr>
          <w:b w:val="0"/>
        </w:rPr>
        <w:fldChar w:fldCharType="end"/>
      </w:r>
      <w:r>
        <w:tab/>
        <w:t>C</w:t>
      </w:r>
      <w:r w:rsidRPr="00656B9E">
        <w:t>ase studies of tax planning challenges in absence of mutual recognition of imputation credits</w:t>
      </w:r>
    </w:p>
    <w:tbl>
      <w:tblPr>
        <w:tblW w:w="5000" w:type="pct"/>
        <w:tblCellMar>
          <w:left w:w="0" w:type="dxa"/>
          <w:right w:w="0" w:type="dxa"/>
        </w:tblCellMar>
        <w:tblLook w:val="0000" w:firstRow="0" w:lastRow="0" w:firstColumn="0" w:lastColumn="0" w:noHBand="0" w:noVBand="0"/>
      </w:tblPr>
      <w:tblGrid>
        <w:gridCol w:w="1941"/>
        <w:gridCol w:w="6848"/>
      </w:tblGrid>
      <w:tr w:rsidR="0032735C" w:rsidTr="0032735C">
        <w:trPr>
          <w:cantSplit/>
        </w:trPr>
        <w:tc>
          <w:tcPr>
            <w:tcW w:w="5000" w:type="pct"/>
            <w:gridSpan w:val="2"/>
            <w:tcBorders>
              <w:top w:val="single" w:sz="6" w:space="0" w:color="auto"/>
              <w:bottom w:val="single" w:sz="6" w:space="0" w:color="auto"/>
            </w:tcBorders>
            <w:shd w:val="clear" w:color="auto" w:fill="E7ECCE"/>
          </w:tcPr>
          <w:p w:rsidR="0032735C" w:rsidRDefault="0032735C" w:rsidP="00B210D4">
            <w:pPr>
              <w:pStyle w:val="TableColumnHeading"/>
              <w:keepNext w:val="0"/>
              <w:keepLines w:val="0"/>
              <w:spacing w:before="120" w:after="120"/>
              <w:ind w:right="-128"/>
              <w:jc w:val="left"/>
            </w:pPr>
            <w:r w:rsidRPr="00F668A9">
              <w:t>Case 1: Buying a subsidiary company in the trans-Tasman neighbour</w:t>
            </w:r>
          </w:p>
        </w:tc>
      </w:tr>
      <w:tr w:rsidR="004F20AF" w:rsidTr="00B210D4">
        <w:trPr>
          <w:cantSplit/>
        </w:trPr>
        <w:tc>
          <w:tcPr>
            <w:tcW w:w="1104" w:type="pct"/>
            <w:tcBorders>
              <w:top w:val="single" w:sz="6" w:space="0" w:color="auto"/>
            </w:tcBorders>
          </w:tcPr>
          <w:p w:rsidR="004F20AF" w:rsidRPr="00843721" w:rsidRDefault="004F20AF" w:rsidP="00B210D4">
            <w:pPr>
              <w:pStyle w:val="TableBodyText"/>
              <w:keepNext w:val="0"/>
              <w:keepLines w:val="0"/>
              <w:spacing w:before="80"/>
              <w:jc w:val="left"/>
              <w:rPr>
                <w:b/>
              </w:rPr>
            </w:pPr>
            <w:r w:rsidRPr="00843721">
              <w:rPr>
                <w:b/>
              </w:rPr>
              <w:t>Facts</w:t>
            </w:r>
          </w:p>
        </w:tc>
        <w:tc>
          <w:tcPr>
            <w:tcW w:w="3896" w:type="pct"/>
            <w:tcBorders>
              <w:top w:val="single" w:sz="6" w:space="0" w:color="auto"/>
            </w:tcBorders>
          </w:tcPr>
          <w:p w:rsidR="004F20AF" w:rsidRPr="00843721" w:rsidRDefault="004F20AF" w:rsidP="00B72EBD">
            <w:pPr>
              <w:pStyle w:val="TableBodyText"/>
              <w:keepNext w:val="0"/>
              <w:keepLines w:val="0"/>
              <w:spacing w:before="80" w:after="80"/>
              <w:jc w:val="left"/>
            </w:pPr>
            <w:r w:rsidRPr="00843721">
              <w:t>A mid-sized (total assets circa $</w:t>
            </w:r>
            <w:proofErr w:type="spellStart"/>
            <w:r w:rsidRPr="00843721">
              <w:t>NZ200m</w:t>
            </w:r>
            <w:proofErr w:type="spellEnd"/>
            <w:r w:rsidRPr="00843721">
              <w:t xml:space="preserve">) </w:t>
            </w:r>
            <w:r>
              <w:t xml:space="preserve">New Zealand company (NZ Co) </w:t>
            </w:r>
            <w:r w:rsidRPr="00843721">
              <w:t>wishes to acquire a competitor company in Australia (</w:t>
            </w:r>
            <w:proofErr w:type="spellStart"/>
            <w:r w:rsidRPr="00843721">
              <w:t>Aus</w:t>
            </w:r>
            <w:proofErr w:type="spellEnd"/>
            <w:r w:rsidRPr="00843721">
              <w:t xml:space="preserve"> Co).</w:t>
            </w:r>
          </w:p>
        </w:tc>
      </w:tr>
      <w:tr w:rsidR="004F20AF" w:rsidTr="00B210D4">
        <w:trPr>
          <w:cantSplit/>
        </w:trPr>
        <w:tc>
          <w:tcPr>
            <w:tcW w:w="1104" w:type="pct"/>
          </w:tcPr>
          <w:p w:rsidR="004F20AF" w:rsidRPr="00843721" w:rsidRDefault="004F20AF" w:rsidP="00B210D4">
            <w:pPr>
              <w:pStyle w:val="TableBodyText"/>
              <w:keepNext w:val="0"/>
              <w:keepLines w:val="0"/>
              <w:jc w:val="left"/>
              <w:rPr>
                <w:b/>
              </w:rPr>
            </w:pPr>
            <w:r w:rsidRPr="00843721">
              <w:rPr>
                <w:b/>
              </w:rPr>
              <w:t>Preferred structure</w:t>
            </w:r>
          </w:p>
        </w:tc>
        <w:tc>
          <w:tcPr>
            <w:tcW w:w="3896" w:type="pct"/>
          </w:tcPr>
          <w:p w:rsidR="004F20AF" w:rsidRPr="00843721" w:rsidRDefault="004F20AF" w:rsidP="00B72EBD">
            <w:pPr>
              <w:pStyle w:val="TableBodyText"/>
              <w:keepNext w:val="0"/>
              <w:keepLines w:val="0"/>
              <w:spacing w:after="80"/>
              <w:jc w:val="left"/>
            </w:pPr>
            <w:r w:rsidRPr="00843721">
              <w:t xml:space="preserve">NZ Co to acquire 100% of the shares in </w:t>
            </w:r>
            <w:proofErr w:type="spellStart"/>
            <w:r w:rsidRPr="00843721">
              <w:t>Aus</w:t>
            </w:r>
            <w:proofErr w:type="spellEnd"/>
            <w:r w:rsidRPr="00843721">
              <w:t xml:space="preserve"> Co, funded using $</w:t>
            </w:r>
            <w:proofErr w:type="spellStart"/>
            <w:r w:rsidRPr="00843721">
              <w:t>20m</w:t>
            </w:r>
            <w:proofErr w:type="spellEnd"/>
            <w:r w:rsidRPr="00843721">
              <w:t xml:space="preserve"> in retained earnings and $</w:t>
            </w:r>
            <w:proofErr w:type="spellStart"/>
            <w:r w:rsidRPr="00843721">
              <w:t>80m</w:t>
            </w:r>
            <w:proofErr w:type="spellEnd"/>
            <w:r w:rsidRPr="00843721">
              <w:t xml:space="preserve"> in debt from its NZ bankers.</w:t>
            </w:r>
          </w:p>
        </w:tc>
      </w:tr>
      <w:tr w:rsidR="004F20AF" w:rsidTr="00B210D4">
        <w:trPr>
          <w:cantSplit/>
        </w:trPr>
        <w:tc>
          <w:tcPr>
            <w:tcW w:w="1104" w:type="pct"/>
            <w:shd w:val="clear" w:color="auto" w:fill="auto"/>
          </w:tcPr>
          <w:p w:rsidR="004F20AF" w:rsidRPr="00843721" w:rsidRDefault="004F20AF" w:rsidP="00B210D4">
            <w:pPr>
              <w:pStyle w:val="TableBodyText"/>
              <w:keepNext w:val="0"/>
              <w:keepLines w:val="0"/>
              <w:spacing w:after="200"/>
              <w:jc w:val="left"/>
              <w:rPr>
                <w:b/>
              </w:rPr>
            </w:pPr>
            <w:r w:rsidRPr="00843721">
              <w:rPr>
                <w:b/>
              </w:rPr>
              <w:t>Problems with preferred structure</w:t>
            </w:r>
          </w:p>
        </w:tc>
        <w:tc>
          <w:tcPr>
            <w:tcW w:w="3896" w:type="pct"/>
            <w:shd w:val="clear" w:color="auto" w:fill="auto"/>
          </w:tcPr>
          <w:p w:rsidR="004F20AF" w:rsidRPr="00843721" w:rsidRDefault="004F20AF" w:rsidP="00B210D4">
            <w:pPr>
              <w:pStyle w:val="TableBodyText"/>
              <w:keepNext w:val="0"/>
              <w:keepLines w:val="0"/>
              <w:spacing w:after="240"/>
              <w:jc w:val="left"/>
            </w:pPr>
            <w:r w:rsidRPr="00843721">
              <w:t xml:space="preserve">NZ shareholders of NZ Co face two layers of tax on any dividends. </w:t>
            </w:r>
          </w:p>
        </w:tc>
      </w:tr>
      <w:tr w:rsidR="004F20AF" w:rsidTr="00B210D4">
        <w:trPr>
          <w:cantSplit/>
        </w:trPr>
        <w:tc>
          <w:tcPr>
            <w:tcW w:w="1104" w:type="pct"/>
            <w:shd w:val="clear" w:color="auto" w:fill="auto"/>
          </w:tcPr>
          <w:p w:rsidR="004F20AF" w:rsidRPr="00843721" w:rsidRDefault="004F20AF" w:rsidP="00B210D4">
            <w:pPr>
              <w:pStyle w:val="TableBodyText"/>
              <w:keepNext w:val="0"/>
              <w:keepLines w:val="0"/>
              <w:jc w:val="left"/>
              <w:rPr>
                <w:b/>
              </w:rPr>
            </w:pPr>
            <w:r w:rsidRPr="00843721">
              <w:rPr>
                <w:b/>
              </w:rPr>
              <w:t>Potential solution</w:t>
            </w:r>
          </w:p>
        </w:tc>
        <w:tc>
          <w:tcPr>
            <w:tcW w:w="3896" w:type="pct"/>
            <w:shd w:val="clear" w:color="auto" w:fill="auto"/>
          </w:tcPr>
          <w:p w:rsidR="004F20AF" w:rsidRPr="00843721" w:rsidRDefault="004F20AF" w:rsidP="00B72EBD">
            <w:pPr>
              <w:pStyle w:val="TableBodyText"/>
              <w:keepNext w:val="0"/>
              <w:keepLines w:val="0"/>
              <w:spacing w:after="80"/>
              <w:jc w:val="left"/>
            </w:pPr>
            <w:r w:rsidRPr="00843721">
              <w:t xml:space="preserve">Establish Australian Limited Partner (ALP) to purchase </w:t>
            </w:r>
            <w:proofErr w:type="spellStart"/>
            <w:r w:rsidRPr="00843721">
              <w:t>Aus</w:t>
            </w:r>
            <w:proofErr w:type="spellEnd"/>
            <w:r w:rsidRPr="00843721">
              <w:t xml:space="preserve"> </w:t>
            </w:r>
            <w:proofErr w:type="spellStart"/>
            <w:r w:rsidRPr="00843721">
              <w:t>Co’s</w:t>
            </w:r>
            <w:proofErr w:type="spellEnd"/>
            <w:r w:rsidRPr="00843721">
              <w:t xml:space="preserve"> assets, and wind-up </w:t>
            </w:r>
            <w:proofErr w:type="spellStart"/>
            <w:r w:rsidRPr="00843721">
              <w:t>Aus</w:t>
            </w:r>
            <w:proofErr w:type="spellEnd"/>
            <w:r w:rsidRPr="00843721">
              <w:t xml:space="preserve"> Co. ALP to be owned directly by NZ </w:t>
            </w:r>
            <w:proofErr w:type="spellStart"/>
            <w:r w:rsidRPr="00843721">
              <w:t>Co’s</w:t>
            </w:r>
            <w:proofErr w:type="spellEnd"/>
            <w:r w:rsidRPr="00843721">
              <w:t xml:space="preserve"> shareholders so that tax paid in Australia can be offset against NZ </w:t>
            </w:r>
            <w:proofErr w:type="spellStart"/>
            <w:r w:rsidRPr="00843721">
              <w:t>Co’s</w:t>
            </w:r>
            <w:proofErr w:type="spellEnd"/>
            <w:r w:rsidRPr="00843721">
              <w:t xml:space="preserve"> shareholders NZ tax liability.</w:t>
            </w:r>
          </w:p>
        </w:tc>
      </w:tr>
      <w:tr w:rsidR="004F20AF" w:rsidTr="00B210D4">
        <w:trPr>
          <w:cantSplit/>
        </w:trPr>
        <w:tc>
          <w:tcPr>
            <w:tcW w:w="1104" w:type="pct"/>
            <w:shd w:val="clear" w:color="auto" w:fill="auto"/>
          </w:tcPr>
          <w:p w:rsidR="004F20AF" w:rsidRPr="00843721" w:rsidRDefault="004F20AF" w:rsidP="00B210D4">
            <w:pPr>
              <w:pStyle w:val="TableBodyText"/>
              <w:keepNext w:val="0"/>
              <w:keepLines w:val="0"/>
              <w:jc w:val="left"/>
              <w:rPr>
                <w:b/>
              </w:rPr>
            </w:pPr>
            <w:r w:rsidRPr="00843721">
              <w:rPr>
                <w:b/>
              </w:rPr>
              <w:t>Problems with proposed solution</w:t>
            </w:r>
          </w:p>
        </w:tc>
        <w:tc>
          <w:tcPr>
            <w:tcW w:w="3896" w:type="pct"/>
            <w:shd w:val="clear" w:color="auto" w:fill="auto"/>
          </w:tcPr>
          <w:p w:rsidR="004F20AF" w:rsidRPr="00843721" w:rsidRDefault="004F20AF" w:rsidP="00B210D4">
            <w:pPr>
              <w:pStyle w:val="TableBodyText"/>
              <w:keepNext w:val="0"/>
              <w:keepLines w:val="0"/>
              <w:jc w:val="left"/>
            </w:pPr>
            <w:r w:rsidRPr="00843721">
              <w:t>The ALP structure is not suitable for trading in multiple states in Australia.</w:t>
            </w:r>
          </w:p>
          <w:p w:rsidR="00DD671C" w:rsidRDefault="004F20AF" w:rsidP="00B210D4">
            <w:pPr>
              <w:pStyle w:val="TableBodyText"/>
              <w:keepNext w:val="0"/>
              <w:keepLines w:val="0"/>
              <w:jc w:val="left"/>
            </w:pPr>
            <w:r w:rsidRPr="00843721">
              <w:t>The legal structure is inconsistent with the necessary management structure.</w:t>
            </w:r>
          </w:p>
          <w:p w:rsidR="004F20AF" w:rsidRPr="00843721" w:rsidRDefault="004F20AF" w:rsidP="00B210D4">
            <w:pPr>
              <w:pStyle w:val="TableBodyText"/>
              <w:keepNext w:val="0"/>
              <w:keepLines w:val="0"/>
              <w:jc w:val="left"/>
            </w:pPr>
            <w:proofErr w:type="spellStart"/>
            <w:r w:rsidRPr="00843721">
              <w:t>ALPs</w:t>
            </w:r>
            <w:proofErr w:type="spellEnd"/>
            <w:r w:rsidRPr="00843721">
              <w:t xml:space="preserve"> are not widely used by Australian businesses, hence commercially unattractive.</w:t>
            </w:r>
          </w:p>
          <w:p w:rsidR="004F20AF" w:rsidRPr="00843721" w:rsidRDefault="004F20AF" w:rsidP="00B72EBD">
            <w:pPr>
              <w:pStyle w:val="TableBodyText"/>
              <w:keepNext w:val="0"/>
              <w:keepLines w:val="0"/>
              <w:spacing w:after="80"/>
              <w:jc w:val="left"/>
            </w:pPr>
            <w:r w:rsidRPr="00843721">
              <w:t xml:space="preserve">Substantial Australian stamp duty costs on winding up </w:t>
            </w:r>
            <w:proofErr w:type="spellStart"/>
            <w:r w:rsidRPr="00843721">
              <w:t>Aus</w:t>
            </w:r>
            <w:proofErr w:type="spellEnd"/>
            <w:r w:rsidRPr="00843721">
              <w:t xml:space="preserve"> Co.</w:t>
            </w:r>
          </w:p>
        </w:tc>
      </w:tr>
      <w:tr w:rsidR="004F20AF" w:rsidTr="00B210D4">
        <w:trPr>
          <w:cantSplit/>
        </w:trPr>
        <w:tc>
          <w:tcPr>
            <w:tcW w:w="1104" w:type="pct"/>
            <w:tcBorders>
              <w:bottom w:val="single" w:sz="6" w:space="0" w:color="auto"/>
            </w:tcBorders>
            <w:shd w:val="clear" w:color="auto" w:fill="auto"/>
          </w:tcPr>
          <w:p w:rsidR="004F20AF" w:rsidRPr="00843721" w:rsidRDefault="004F20AF" w:rsidP="00B210D4">
            <w:pPr>
              <w:pStyle w:val="TableBodyText"/>
              <w:keepNext w:val="0"/>
              <w:keepLines w:val="0"/>
              <w:tabs>
                <w:tab w:val="left" w:pos="918"/>
              </w:tabs>
              <w:jc w:val="left"/>
              <w:rPr>
                <w:b/>
              </w:rPr>
            </w:pPr>
            <w:r w:rsidRPr="00843721">
              <w:rPr>
                <w:b/>
              </w:rPr>
              <w:t>Ultimate structure adopted</w:t>
            </w:r>
          </w:p>
        </w:tc>
        <w:tc>
          <w:tcPr>
            <w:tcW w:w="3896" w:type="pct"/>
            <w:tcBorders>
              <w:bottom w:val="single" w:sz="6" w:space="0" w:color="auto"/>
            </w:tcBorders>
            <w:shd w:val="clear" w:color="auto" w:fill="auto"/>
          </w:tcPr>
          <w:p w:rsidR="004F20AF" w:rsidRPr="00843721" w:rsidRDefault="004F20AF" w:rsidP="00B210D4">
            <w:pPr>
              <w:pStyle w:val="TableBodyText"/>
              <w:keepNext w:val="0"/>
              <w:keepLines w:val="0"/>
              <w:jc w:val="left"/>
            </w:pPr>
            <w:r w:rsidRPr="00843721">
              <w:t xml:space="preserve">NZ Co establishes a new Australian holding company to purchase </w:t>
            </w:r>
            <w:proofErr w:type="spellStart"/>
            <w:r w:rsidRPr="00843721">
              <w:t>Aus</w:t>
            </w:r>
            <w:proofErr w:type="spellEnd"/>
            <w:r w:rsidRPr="00843721">
              <w:t xml:space="preserve"> Co which borrows the maximum amount permissible under the Australian thin capitalisation rules.</w:t>
            </w:r>
          </w:p>
          <w:p w:rsidR="004F20AF" w:rsidRPr="00843721" w:rsidRDefault="004F20AF" w:rsidP="00B210D4">
            <w:pPr>
              <w:pStyle w:val="TableBodyText"/>
              <w:keepNext w:val="0"/>
              <w:keepLines w:val="0"/>
              <w:jc w:val="left"/>
            </w:pPr>
            <w:r w:rsidRPr="00843721">
              <w:t xml:space="preserve">Some of </w:t>
            </w:r>
            <w:proofErr w:type="spellStart"/>
            <w:r w:rsidRPr="00843721">
              <w:t>Aus</w:t>
            </w:r>
            <w:proofErr w:type="spellEnd"/>
            <w:r w:rsidRPr="00843721">
              <w:t xml:space="preserve"> </w:t>
            </w:r>
            <w:proofErr w:type="spellStart"/>
            <w:r w:rsidRPr="00843721">
              <w:t>Co’s</w:t>
            </w:r>
            <w:proofErr w:type="spellEnd"/>
            <w:r w:rsidRPr="00843721">
              <w:t xml:space="preserve"> functions are transferred to NZ Co to enable transfer pricing of stock to maximise profits in NZ</w:t>
            </w:r>
            <w:r>
              <w:t xml:space="preserve"> and </w:t>
            </w:r>
            <w:r w:rsidRPr="00843721">
              <w:t xml:space="preserve">minimise profits in Australia; </w:t>
            </w:r>
            <w:r w:rsidR="00777B51">
              <w:t>resulting</w:t>
            </w:r>
            <w:r w:rsidRPr="00843721">
              <w:t xml:space="preserve"> in duplication of some facilities and functions. </w:t>
            </w:r>
          </w:p>
          <w:p w:rsidR="004F20AF" w:rsidRPr="00843721" w:rsidRDefault="004F20AF" w:rsidP="00B210D4">
            <w:pPr>
              <w:pStyle w:val="TableBodyText"/>
              <w:keepNext w:val="0"/>
              <w:keepLines w:val="0"/>
              <w:jc w:val="left"/>
            </w:pPr>
            <w:r w:rsidRPr="00843721">
              <w:t>NZ Co loses some key staff who are unwilling to relocate to New Zealand.</w:t>
            </w:r>
          </w:p>
          <w:p w:rsidR="004F20AF" w:rsidRPr="00843721" w:rsidRDefault="004F20AF" w:rsidP="00777B51">
            <w:pPr>
              <w:pStyle w:val="TableBodyText"/>
              <w:keepNext w:val="0"/>
              <w:keepLines w:val="0"/>
              <w:spacing w:after="80"/>
              <w:jc w:val="left"/>
            </w:pPr>
            <w:r w:rsidRPr="00843721">
              <w:t xml:space="preserve">However, the tax advantage of avoiding double tax outweighs the commercial inefficiency from duplication of operations and loss of experienced </w:t>
            </w:r>
            <w:r w:rsidR="00777B51">
              <w:t>staff</w:t>
            </w:r>
            <w:r w:rsidRPr="00843721">
              <w:t>.</w:t>
            </w:r>
          </w:p>
        </w:tc>
      </w:tr>
      <w:tr w:rsidR="0032735C" w:rsidTr="0032735C">
        <w:trPr>
          <w:cantSplit/>
        </w:trPr>
        <w:tc>
          <w:tcPr>
            <w:tcW w:w="5000" w:type="pct"/>
            <w:gridSpan w:val="2"/>
            <w:tcBorders>
              <w:bottom w:val="single" w:sz="6" w:space="0" w:color="auto"/>
            </w:tcBorders>
            <w:shd w:val="clear" w:color="auto" w:fill="E7ECCE"/>
          </w:tcPr>
          <w:p w:rsidR="0032735C" w:rsidRPr="002E2513" w:rsidRDefault="0032735C" w:rsidP="00B210D4">
            <w:pPr>
              <w:pStyle w:val="TableBodyText"/>
              <w:keepNext w:val="0"/>
              <w:keepLines w:val="0"/>
              <w:spacing w:before="120" w:after="120"/>
              <w:jc w:val="left"/>
              <w:rPr>
                <w:i/>
              </w:rPr>
            </w:pPr>
            <w:r w:rsidRPr="002E2513">
              <w:rPr>
                <w:i/>
              </w:rPr>
              <w:t>Case 2</w:t>
            </w:r>
            <w:r>
              <w:rPr>
                <w:i/>
              </w:rPr>
              <w:t xml:space="preserve">: </w:t>
            </w:r>
            <w:r w:rsidRPr="002E2513">
              <w:rPr>
                <w:i/>
              </w:rPr>
              <w:t>Supplying and servicing products across the Tasman</w:t>
            </w:r>
          </w:p>
        </w:tc>
      </w:tr>
      <w:tr w:rsidR="004F20AF" w:rsidTr="00D67247">
        <w:trPr>
          <w:cantSplit/>
        </w:trPr>
        <w:tc>
          <w:tcPr>
            <w:tcW w:w="1104" w:type="pct"/>
            <w:shd w:val="clear" w:color="auto" w:fill="auto"/>
          </w:tcPr>
          <w:p w:rsidR="004F20AF" w:rsidRPr="00843721" w:rsidRDefault="004F20AF" w:rsidP="00B210D4">
            <w:pPr>
              <w:pStyle w:val="TableBodyText"/>
              <w:keepNext w:val="0"/>
              <w:keepLines w:val="0"/>
              <w:tabs>
                <w:tab w:val="left" w:pos="918"/>
              </w:tabs>
              <w:spacing w:before="80"/>
              <w:jc w:val="left"/>
              <w:rPr>
                <w:b/>
              </w:rPr>
            </w:pPr>
            <w:r w:rsidRPr="00843721">
              <w:rPr>
                <w:b/>
              </w:rPr>
              <w:t>Facts</w:t>
            </w:r>
          </w:p>
        </w:tc>
        <w:tc>
          <w:tcPr>
            <w:tcW w:w="3896" w:type="pct"/>
            <w:shd w:val="clear" w:color="auto" w:fill="auto"/>
          </w:tcPr>
          <w:p w:rsidR="004F20AF" w:rsidRPr="00843721" w:rsidRDefault="004F20AF" w:rsidP="00364B32">
            <w:pPr>
              <w:pStyle w:val="TableBodyText"/>
              <w:keepNext w:val="0"/>
              <w:keepLines w:val="0"/>
              <w:spacing w:before="80" w:after="200"/>
              <w:jc w:val="left"/>
            </w:pPr>
            <w:proofErr w:type="spellStart"/>
            <w:r w:rsidRPr="00843721">
              <w:t>Aus</w:t>
            </w:r>
            <w:proofErr w:type="spellEnd"/>
            <w:r w:rsidRPr="00843721">
              <w:t xml:space="preserve"> Co is a mid-sized (total assets $</w:t>
            </w:r>
            <w:proofErr w:type="spellStart"/>
            <w:r w:rsidRPr="00843721">
              <w:t>500m</w:t>
            </w:r>
            <w:proofErr w:type="spellEnd"/>
            <w:r w:rsidRPr="00843721">
              <w:t xml:space="preserve">) entity that supplies heavy equipment. Many of its customers have NZ operations. Sales to NZ increase rapidly, with Australia-based staff travelling to NZ to meet customers, negotiate contracts and provide follow up. The operations continue on this basis for </w:t>
            </w:r>
            <w:r w:rsidR="00364B32">
              <w:t>four</w:t>
            </w:r>
            <w:r w:rsidRPr="00843721">
              <w:t xml:space="preserve"> years. No NZ tax has been paid because </w:t>
            </w:r>
            <w:proofErr w:type="spellStart"/>
            <w:r w:rsidRPr="00843721">
              <w:t>Aus</w:t>
            </w:r>
            <w:proofErr w:type="spellEnd"/>
            <w:r w:rsidRPr="00843721">
              <w:t xml:space="preserve"> Co is thought to have no NZ tax presence.</w:t>
            </w:r>
          </w:p>
        </w:tc>
      </w:tr>
      <w:tr w:rsidR="00D67247" w:rsidTr="00D67247">
        <w:trPr>
          <w:cantSplit/>
        </w:trPr>
        <w:tc>
          <w:tcPr>
            <w:tcW w:w="5000" w:type="pct"/>
            <w:gridSpan w:val="2"/>
            <w:tcBorders>
              <w:bottom w:val="single" w:sz="4" w:space="0" w:color="auto"/>
            </w:tcBorders>
            <w:shd w:val="clear" w:color="auto" w:fill="auto"/>
          </w:tcPr>
          <w:p w:rsidR="00D67247" w:rsidRPr="00843721" w:rsidRDefault="00D67247" w:rsidP="00D67247">
            <w:pPr>
              <w:pStyle w:val="Continued"/>
            </w:pPr>
            <w:r>
              <w:t>(Continued next page)</w:t>
            </w:r>
          </w:p>
        </w:tc>
      </w:tr>
    </w:tbl>
    <w:p w:rsidR="0032735C" w:rsidRDefault="0032735C"/>
    <w:p w:rsidR="00D67247" w:rsidRDefault="00D67247" w:rsidP="00D67247">
      <w:pPr>
        <w:pStyle w:val="TableTitle"/>
        <w:ind w:left="1418" w:hanging="1418"/>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t>1</w:t>
      </w:r>
      <w:proofErr w:type="spellEnd"/>
      <w:r>
        <w:tab/>
      </w:r>
      <w:r w:rsidRPr="00D67247">
        <w:rPr>
          <w:b w:val="0"/>
          <w:sz w:val="18"/>
          <w:szCs w:val="18"/>
        </w:rPr>
        <w:t>(continued)</w:t>
      </w:r>
    </w:p>
    <w:tbl>
      <w:tblPr>
        <w:tblW w:w="5000" w:type="pct"/>
        <w:tblCellMar>
          <w:left w:w="0" w:type="dxa"/>
          <w:right w:w="0" w:type="dxa"/>
        </w:tblCellMar>
        <w:tblLook w:val="0000" w:firstRow="0" w:lastRow="0" w:firstColumn="0" w:lastColumn="0" w:noHBand="0" w:noVBand="0"/>
      </w:tblPr>
      <w:tblGrid>
        <w:gridCol w:w="1941"/>
        <w:gridCol w:w="6848"/>
      </w:tblGrid>
      <w:tr w:rsidR="00D67247" w:rsidTr="00D67247">
        <w:trPr>
          <w:cantSplit/>
        </w:trPr>
        <w:tc>
          <w:tcPr>
            <w:tcW w:w="5000" w:type="pct"/>
            <w:gridSpan w:val="2"/>
            <w:tcBorders>
              <w:top w:val="single" w:sz="4" w:space="0" w:color="auto"/>
              <w:bottom w:val="single" w:sz="6" w:space="0" w:color="auto"/>
            </w:tcBorders>
            <w:shd w:val="clear" w:color="auto" w:fill="E7ECCE"/>
          </w:tcPr>
          <w:p w:rsidR="00D67247" w:rsidRPr="002E2513" w:rsidRDefault="00D67247" w:rsidP="00D67247">
            <w:pPr>
              <w:pStyle w:val="TableBodyText"/>
              <w:keepNext w:val="0"/>
              <w:keepLines w:val="0"/>
              <w:spacing w:before="120" w:after="120"/>
              <w:jc w:val="left"/>
              <w:rPr>
                <w:i/>
              </w:rPr>
            </w:pPr>
            <w:r w:rsidRPr="002E2513">
              <w:rPr>
                <w:i/>
              </w:rPr>
              <w:t>Case 2</w:t>
            </w:r>
            <w:r>
              <w:rPr>
                <w:i/>
              </w:rPr>
              <w:t xml:space="preserve">: </w:t>
            </w:r>
            <w:r w:rsidRPr="002E2513">
              <w:rPr>
                <w:i/>
              </w:rPr>
              <w:t>Supplying and servicing products across the Tasman</w:t>
            </w:r>
          </w:p>
        </w:tc>
      </w:tr>
      <w:tr w:rsidR="004F20AF" w:rsidRPr="00172496" w:rsidTr="00D67247">
        <w:trPr>
          <w:cantSplit/>
        </w:trPr>
        <w:tc>
          <w:tcPr>
            <w:tcW w:w="1104" w:type="pct"/>
            <w:shd w:val="clear" w:color="auto" w:fill="auto"/>
          </w:tcPr>
          <w:p w:rsidR="004F20AF" w:rsidRPr="00843721" w:rsidRDefault="004F20AF" w:rsidP="00E154D1">
            <w:pPr>
              <w:pStyle w:val="TableBodyText"/>
              <w:keepNext w:val="0"/>
              <w:keepLines w:val="0"/>
              <w:tabs>
                <w:tab w:val="left" w:pos="918"/>
              </w:tabs>
              <w:spacing w:before="80"/>
              <w:jc w:val="left"/>
              <w:rPr>
                <w:b/>
              </w:rPr>
            </w:pPr>
            <w:r w:rsidRPr="00843721">
              <w:rPr>
                <w:b/>
              </w:rPr>
              <w:t>Preferred structure</w:t>
            </w:r>
          </w:p>
        </w:tc>
        <w:tc>
          <w:tcPr>
            <w:tcW w:w="3896" w:type="pct"/>
            <w:shd w:val="clear" w:color="auto" w:fill="auto"/>
          </w:tcPr>
          <w:p w:rsidR="004F20AF" w:rsidRPr="00843721" w:rsidRDefault="004F20AF" w:rsidP="00E154D1">
            <w:pPr>
              <w:pStyle w:val="TableBodyText"/>
              <w:keepNext w:val="0"/>
              <w:keepLines w:val="0"/>
              <w:spacing w:before="80" w:after="200"/>
              <w:jc w:val="left"/>
            </w:pPr>
            <w:r w:rsidRPr="00843721">
              <w:t>Continue with current structure but without the tax complications.</w:t>
            </w:r>
          </w:p>
        </w:tc>
      </w:tr>
      <w:tr w:rsidR="004F20AF" w:rsidTr="00D67247">
        <w:trPr>
          <w:cantSplit/>
        </w:trPr>
        <w:tc>
          <w:tcPr>
            <w:tcW w:w="1104" w:type="pct"/>
            <w:shd w:val="clear" w:color="auto" w:fill="auto"/>
          </w:tcPr>
          <w:p w:rsidR="004F20AF" w:rsidRPr="00843721" w:rsidRDefault="004F20AF" w:rsidP="00B210D4">
            <w:pPr>
              <w:pStyle w:val="TableBodyText"/>
              <w:keepNext w:val="0"/>
              <w:keepLines w:val="0"/>
              <w:tabs>
                <w:tab w:val="left" w:pos="918"/>
              </w:tabs>
              <w:spacing w:after="200"/>
              <w:jc w:val="left"/>
              <w:rPr>
                <w:b/>
              </w:rPr>
            </w:pPr>
            <w:r w:rsidRPr="00843721">
              <w:rPr>
                <w:b/>
              </w:rPr>
              <w:t>Problems with preferred structure</w:t>
            </w:r>
          </w:p>
        </w:tc>
        <w:tc>
          <w:tcPr>
            <w:tcW w:w="3896" w:type="pct"/>
            <w:shd w:val="clear" w:color="auto" w:fill="auto"/>
          </w:tcPr>
          <w:p w:rsidR="004F20AF" w:rsidRPr="00843721" w:rsidRDefault="004F20AF" w:rsidP="00B210D4">
            <w:pPr>
              <w:pStyle w:val="TableBodyText"/>
              <w:keepNext w:val="0"/>
              <w:keepLines w:val="0"/>
              <w:jc w:val="left"/>
            </w:pPr>
            <w:r w:rsidRPr="00843721">
              <w:t xml:space="preserve">NZ’s Inland Revenue Department investigates </w:t>
            </w:r>
            <w:proofErr w:type="spellStart"/>
            <w:r w:rsidRPr="00843721">
              <w:t>Aus</w:t>
            </w:r>
            <w:proofErr w:type="spellEnd"/>
            <w:r w:rsidRPr="00843721">
              <w:t xml:space="preserve"> Co and concludes that it has a ‘permanent establishment’ in NZ because executives negotiate contracts in NZ, and operate out of an office of one of </w:t>
            </w:r>
            <w:proofErr w:type="spellStart"/>
            <w:r w:rsidRPr="00843721">
              <w:t>Aus</w:t>
            </w:r>
            <w:proofErr w:type="spellEnd"/>
            <w:r w:rsidRPr="00843721">
              <w:t xml:space="preserve"> </w:t>
            </w:r>
            <w:proofErr w:type="spellStart"/>
            <w:r w:rsidRPr="00843721">
              <w:t>Co’s</w:t>
            </w:r>
            <w:proofErr w:type="spellEnd"/>
            <w:r w:rsidRPr="00843721">
              <w:t xml:space="preserve"> major customers.</w:t>
            </w:r>
            <w:r w:rsidR="000C3A89">
              <w:t xml:space="preserve"> </w:t>
            </w:r>
            <w:proofErr w:type="spellStart"/>
            <w:r w:rsidRPr="00843721">
              <w:t>Aus</w:t>
            </w:r>
            <w:proofErr w:type="spellEnd"/>
            <w:r w:rsidRPr="00843721">
              <w:t xml:space="preserve"> Co is assessed for NZ tax for the last </w:t>
            </w:r>
            <w:r w:rsidR="005E12AF">
              <w:t>four</w:t>
            </w:r>
            <w:r w:rsidRPr="00843721">
              <w:t xml:space="preserve"> years. The implications are:</w:t>
            </w:r>
          </w:p>
          <w:p w:rsidR="004F20AF" w:rsidRPr="00843721" w:rsidRDefault="004F20AF" w:rsidP="00B210D4">
            <w:pPr>
              <w:pStyle w:val="TableBodyText"/>
              <w:keepNext w:val="0"/>
              <w:keepLines w:val="0"/>
              <w:numPr>
                <w:ilvl w:val="0"/>
                <w:numId w:val="45"/>
              </w:numPr>
              <w:ind w:left="285" w:hanging="284"/>
              <w:jc w:val="left"/>
            </w:pPr>
            <w:r>
              <w:t>significant NZ tax payable.</w:t>
            </w:r>
            <w:r w:rsidRPr="00843721">
              <w:t xml:space="preserve"> Although this can be claimed as a credit against</w:t>
            </w:r>
            <w:r w:rsidR="000C3A89">
              <w:t xml:space="preserve"> </w:t>
            </w:r>
            <w:r w:rsidRPr="00843721">
              <w:t xml:space="preserve">Australian tax, the NZ tax does not earn franking credits, resulting in </w:t>
            </w:r>
            <w:proofErr w:type="spellStart"/>
            <w:r w:rsidRPr="00843721">
              <w:t>Aus</w:t>
            </w:r>
            <w:proofErr w:type="spellEnd"/>
            <w:r w:rsidRPr="00843721">
              <w:t xml:space="preserve"> Co overdrawing its franking account </w:t>
            </w:r>
          </w:p>
          <w:p w:rsidR="004F20AF" w:rsidRPr="00843721" w:rsidRDefault="004F20AF" w:rsidP="00B210D4">
            <w:pPr>
              <w:pStyle w:val="TableBodyText"/>
              <w:keepNext w:val="0"/>
              <w:keepLines w:val="0"/>
              <w:numPr>
                <w:ilvl w:val="0"/>
                <w:numId w:val="45"/>
              </w:numPr>
              <w:ind w:left="285" w:hanging="284"/>
              <w:jc w:val="left"/>
            </w:pPr>
            <w:proofErr w:type="spellStart"/>
            <w:r w:rsidRPr="00843721">
              <w:t>Aus</w:t>
            </w:r>
            <w:proofErr w:type="spellEnd"/>
            <w:r w:rsidRPr="00843721">
              <w:t xml:space="preserve"> Co faces large retrospective tax bill </w:t>
            </w:r>
          </w:p>
          <w:p w:rsidR="004F20AF" w:rsidRPr="00843721" w:rsidRDefault="004F20AF" w:rsidP="00B72EBD">
            <w:pPr>
              <w:pStyle w:val="TableBodyText"/>
              <w:keepNext w:val="0"/>
              <w:keepLines w:val="0"/>
              <w:numPr>
                <w:ilvl w:val="0"/>
                <w:numId w:val="45"/>
              </w:numPr>
              <w:spacing w:after="80"/>
              <w:ind w:left="284" w:hanging="284"/>
              <w:jc w:val="left"/>
            </w:pPr>
            <w:r w:rsidRPr="00843721">
              <w:t>the costs of attempts to persuade Inland Revenue to withdraw its position amount to $</w:t>
            </w:r>
            <w:proofErr w:type="spellStart"/>
            <w:r w:rsidRPr="00843721">
              <w:t>500k</w:t>
            </w:r>
            <w:proofErr w:type="spellEnd"/>
            <w:r w:rsidRPr="00843721">
              <w:t>.</w:t>
            </w:r>
          </w:p>
        </w:tc>
      </w:tr>
      <w:tr w:rsidR="004F20AF" w:rsidRPr="00172496" w:rsidTr="00D67247">
        <w:trPr>
          <w:cantSplit/>
        </w:trPr>
        <w:tc>
          <w:tcPr>
            <w:tcW w:w="1104" w:type="pct"/>
            <w:tcBorders>
              <w:bottom w:val="single" w:sz="6" w:space="0" w:color="auto"/>
            </w:tcBorders>
            <w:shd w:val="clear" w:color="auto" w:fill="auto"/>
          </w:tcPr>
          <w:p w:rsidR="004F20AF" w:rsidRPr="00843721" w:rsidRDefault="004F20AF" w:rsidP="00B210D4">
            <w:pPr>
              <w:pStyle w:val="TableBodyText"/>
              <w:keepNext w:val="0"/>
              <w:keepLines w:val="0"/>
              <w:tabs>
                <w:tab w:val="left" w:pos="918"/>
              </w:tabs>
              <w:jc w:val="left"/>
              <w:rPr>
                <w:b/>
              </w:rPr>
            </w:pPr>
            <w:r w:rsidRPr="00843721">
              <w:rPr>
                <w:b/>
              </w:rPr>
              <w:t>Ultimate structure adopted</w:t>
            </w:r>
          </w:p>
        </w:tc>
        <w:tc>
          <w:tcPr>
            <w:tcW w:w="3896" w:type="pct"/>
            <w:tcBorders>
              <w:bottom w:val="single" w:sz="6" w:space="0" w:color="auto"/>
            </w:tcBorders>
            <w:shd w:val="clear" w:color="auto" w:fill="auto"/>
          </w:tcPr>
          <w:p w:rsidR="004F20AF" w:rsidRPr="00843721" w:rsidRDefault="004F20AF" w:rsidP="00B72EBD">
            <w:pPr>
              <w:pStyle w:val="TableBodyText"/>
              <w:keepNext w:val="0"/>
              <w:keepLines w:val="0"/>
              <w:spacing w:before="80" w:after="80"/>
              <w:ind w:right="0"/>
              <w:jc w:val="left"/>
            </w:pPr>
            <w:proofErr w:type="spellStart"/>
            <w:r w:rsidRPr="00843721">
              <w:t>Aus</w:t>
            </w:r>
            <w:proofErr w:type="spellEnd"/>
            <w:r w:rsidRPr="00843721">
              <w:t xml:space="preserve"> Co concludes that it cannot justify operating in New Zealand if it is to suffer double tax resulting in a 39% reduction in return relative to a situation with mutual recognition. It withdraws from the New Zealand market.</w:t>
            </w:r>
          </w:p>
        </w:tc>
      </w:tr>
      <w:tr w:rsidR="0032735C" w:rsidRPr="002E2513" w:rsidTr="00D67247">
        <w:trPr>
          <w:cantSplit/>
        </w:trPr>
        <w:tc>
          <w:tcPr>
            <w:tcW w:w="5000" w:type="pct"/>
            <w:gridSpan w:val="2"/>
            <w:tcBorders>
              <w:top w:val="single" w:sz="6" w:space="0" w:color="auto"/>
              <w:bottom w:val="single" w:sz="6" w:space="0" w:color="auto"/>
            </w:tcBorders>
            <w:shd w:val="clear" w:color="auto" w:fill="E7ECCE"/>
          </w:tcPr>
          <w:p w:rsidR="0032735C" w:rsidRPr="0044572B" w:rsidRDefault="0032735C" w:rsidP="00B210D4">
            <w:pPr>
              <w:pStyle w:val="TableBodyText"/>
              <w:keepNext w:val="0"/>
              <w:keepLines w:val="0"/>
              <w:spacing w:before="120" w:after="120"/>
              <w:jc w:val="left"/>
              <w:rPr>
                <w:i/>
              </w:rPr>
            </w:pPr>
            <w:r w:rsidRPr="0044572B">
              <w:rPr>
                <w:i/>
              </w:rPr>
              <w:t xml:space="preserve">Case 3: A trans-Tasman integrated </w:t>
            </w:r>
            <w:proofErr w:type="spellStart"/>
            <w:r w:rsidRPr="0044572B">
              <w:rPr>
                <w:i/>
              </w:rPr>
              <w:t>SME</w:t>
            </w:r>
            <w:proofErr w:type="spellEnd"/>
            <w:r w:rsidRPr="0044572B">
              <w:rPr>
                <w:i/>
              </w:rPr>
              <w:t xml:space="preserve"> consultancy firm</w:t>
            </w:r>
          </w:p>
        </w:tc>
      </w:tr>
      <w:tr w:rsidR="004F20AF" w:rsidTr="00D67247">
        <w:trPr>
          <w:cantSplit/>
        </w:trPr>
        <w:tc>
          <w:tcPr>
            <w:tcW w:w="1104" w:type="pct"/>
            <w:tcBorders>
              <w:top w:val="single" w:sz="6" w:space="0" w:color="auto"/>
            </w:tcBorders>
            <w:shd w:val="clear" w:color="auto" w:fill="auto"/>
          </w:tcPr>
          <w:p w:rsidR="004F20AF" w:rsidRPr="00843721" w:rsidRDefault="004F20AF" w:rsidP="00B210D4">
            <w:pPr>
              <w:pStyle w:val="TableBodyText"/>
              <w:keepNext w:val="0"/>
              <w:keepLines w:val="0"/>
              <w:tabs>
                <w:tab w:val="left" w:pos="918"/>
              </w:tabs>
              <w:spacing w:before="80"/>
              <w:jc w:val="left"/>
              <w:rPr>
                <w:b/>
              </w:rPr>
            </w:pPr>
            <w:r w:rsidRPr="00843721">
              <w:rPr>
                <w:b/>
              </w:rPr>
              <w:t>Facts</w:t>
            </w:r>
          </w:p>
        </w:tc>
        <w:tc>
          <w:tcPr>
            <w:tcW w:w="3896" w:type="pct"/>
            <w:tcBorders>
              <w:top w:val="single" w:sz="6" w:space="0" w:color="auto"/>
            </w:tcBorders>
            <w:shd w:val="clear" w:color="auto" w:fill="auto"/>
          </w:tcPr>
          <w:p w:rsidR="004F20AF" w:rsidRPr="00843721" w:rsidRDefault="004F20AF" w:rsidP="00B72EBD">
            <w:pPr>
              <w:pStyle w:val="TableBodyText"/>
              <w:keepNext w:val="0"/>
              <w:keepLines w:val="0"/>
              <w:spacing w:before="80" w:after="80"/>
              <w:ind w:right="0"/>
              <w:jc w:val="left"/>
            </w:pPr>
            <w:r w:rsidRPr="00843721">
              <w:t>A consultancy firm delivers advice to clients on both sides of the Tasman. Roug</w:t>
            </w:r>
            <w:r>
              <w:t>hly half of the consultants who</w:t>
            </w:r>
            <w:r w:rsidRPr="00843721">
              <w:t xml:space="preserve"> ‘own’ the business live in Australia, the other half in NZ.</w:t>
            </w:r>
          </w:p>
        </w:tc>
      </w:tr>
      <w:tr w:rsidR="004F20AF" w:rsidRPr="00172496" w:rsidTr="00D67247">
        <w:trPr>
          <w:cantSplit/>
        </w:trPr>
        <w:tc>
          <w:tcPr>
            <w:tcW w:w="1104" w:type="pct"/>
            <w:shd w:val="clear" w:color="auto" w:fill="auto"/>
          </w:tcPr>
          <w:p w:rsidR="004F20AF" w:rsidRPr="00843721" w:rsidRDefault="004F20AF" w:rsidP="00B210D4">
            <w:pPr>
              <w:pStyle w:val="TableBodyText"/>
              <w:keepNext w:val="0"/>
              <w:keepLines w:val="0"/>
              <w:tabs>
                <w:tab w:val="left" w:pos="918"/>
              </w:tabs>
              <w:jc w:val="left"/>
              <w:rPr>
                <w:b/>
              </w:rPr>
            </w:pPr>
            <w:r w:rsidRPr="00843721">
              <w:rPr>
                <w:b/>
              </w:rPr>
              <w:t>Preferred structure</w:t>
            </w:r>
          </w:p>
        </w:tc>
        <w:tc>
          <w:tcPr>
            <w:tcW w:w="3896" w:type="pct"/>
            <w:shd w:val="clear" w:color="auto" w:fill="auto"/>
          </w:tcPr>
          <w:p w:rsidR="004F20AF" w:rsidRPr="00843721" w:rsidRDefault="004F20AF" w:rsidP="00B210D4">
            <w:pPr>
              <w:pStyle w:val="TableBodyText"/>
              <w:keepNext w:val="0"/>
              <w:keepLines w:val="0"/>
              <w:spacing w:after="200"/>
              <w:jc w:val="left"/>
            </w:pPr>
            <w:r>
              <w:t>It is c</w:t>
            </w:r>
            <w:r w:rsidRPr="00843721">
              <w:t>ommercially desirable that the consultants have an equal equity share in the firm and be remunerated from long-term profits.</w:t>
            </w:r>
          </w:p>
        </w:tc>
      </w:tr>
      <w:tr w:rsidR="004F20AF" w:rsidTr="00D67247">
        <w:trPr>
          <w:cantSplit/>
        </w:trPr>
        <w:tc>
          <w:tcPr>
            <w:tcW w:w="1104" w:type="pct"/>
            <w:shd w:val="clear" w:color="auto" w:fill="auto"/>
          </w:tcPr>
          <w:p w:rsidR="004F20AF" w:rsidRPr="00843721" w:rsidRDefault="004F20AF" w:rsidP="00B210D4">
            <w:pPr>
              <w:pStyle w:val="TableBodyText"/>
              <w:keepNext w:val="0"/>
              <w:keepLines w:val="0"/>
              <w:tabs>
                <w:tab w:val="left" w:pos="918"/>
              </w:tabs>
              <w:jc w:val="left"/>
              <w:rPr>
                <w:b/>
              </w:rPr>
            </w:pPr>
            <w:r w:rsidRPr="00843721">
              <w:rPr>
                <w:b/>
              </w:rPr>
              <w:t>Problems with preferred structure</w:t>
            </w:r>
          </w:p>
        </w:tc>
        <w:tc>
          <w:tcPr>
            <w:tcW w:w="3896" w:type="pct"/>
            <w:shd w:val="clear" w:color="auto" w:fill="auto"/>
          </w:tcPr>
          <w:p w:rsidR="004F20AF" w:rsidRPr="00843721" w:rsidRDefault="004F20AF" w:rsidP="00B210D4">
            <w:pPr>
              <w:pStyle w:val="TableBodyText"/>
              <w:keepNext w:val="0"/>
              <w:keepLines w:val="0"/>
              <w:jc w:val="left"/>
            </w:pPr>
            <w:r w:rsidRPr="00843721">
              <w:t>The business grew out of a New Zealand operation and is established in the form of a New Zealand company.</w:t>
            </w:r>
            <w:r w:rsidR="000C3A89">
              <w:t xml:space="preserve"> </w:t>
            </w:r>
            <w:r w:rsidRPr="00843721">
              <w:t>The consultants</w:t>
            </w:r>
            <w:r>
              <w:t xml:space="preserve"> who own the company</w:t>
            </w:r>
            <w:r w:rsidRPr="00843721">
              <w:t xml:space="preserve"> are shareholders and share in profits</w:t>
            </w:r>
            <w:r>
              <w:t>. New Zealand-based owners</w:t>
            </w:r>
            <w:r w:rsidRPr="00843721">
              <w:t xml:space="preserve"> </w:t>
            </w:r>
            <w:r>
              <w:t>are</w:t>
            </w:r>
            <w:r w:rsidRPr="00843721">
              <w:t xml:space="preserve"> remunerated by way of imputed dividends while Australian consultants receive unfranked dividends.</w:t>
            </w:r>
          </w:p>
          <w:p w:rsidR="004F20AF" w:rsidRPr="00843721" w:rsidRDefault="004F20AF" w:rsidP="00B210D4">
            <w:pPr>
              <w:pStyle w:val="TableBodyText"/>
              <w:keepNext w:val="0"/>
              <w:keepLines w:val="0"/>
              <w:spacing w:after="200"/>
              <w:jc w:val="left"/>
            </w:pPr>
            <w:r w:rsidRPr="00843721">
              <w:t>While the consultants accept the tax consequences of where they live (different tax rates on the same income levels), double taxation on one side of the Tasm</w:t>
            </w:r>
            <w:r>
              <w:t>an</w:t>
            </w:r>
            <w:r w:rsidRPr="00843721">
              <w:t xml:space="preserve"> result</w:t>
            </w:r>
            <w:r>
              <w:t>s</w:t>
            </w:r>
            <w:r w:rsidRPr="00843721">
              <w:t xml:space="preserve"> in </w:t>
            </w:r>
            <w:r>
              <w:t xml:space="preserve">significant income differences, despite </w:t>
            </w:r>
            <w:r w:rsidRPr="00843721">
              <w:t xml:space="preserve">similar contributions to </w:t>
            </w:r>
            <w:r>
              <w:t xml:space="preserve">the </w:t>
            </w:r>
            <w:r w:rsidRPr="00843721">
              <w:t>profit</w:t>
            </w:r>
            <w:r>
              <w:t>.</w:t>
            </w:r>
            <w:r w:rsidRPr="00843721">
              <w:t xml:space="preserve"> </w:t>
            </w:r>
          </w:p>
        </w:tc>
      </w:tr>
      <w:tr w:rsidR="004F20AF" w:rsidRPr="00172496" w:rsidTr="00D67247">
        <w:trPr>
          <w:cantSplit/>
        </w:trPr>
        <w:tc>
          <w:tcPr>
            <w:tcW w:w="1104" w:type="pct"/>
            <w:shd w:val="clear" w:color="auto" w:fill="auto"/>
          </w:tcPr>
          <w:p w:rsidR="004F20AF" w:rsidRPr="00843721" w:rsidRDefault="004F20AF" w:rsidP="00B210D4">
            <w:pPr>
              <w:pStyle w:val="TableBodyText"/>
              <w:keepNext w:val="0"/>
              <w:keepLines w:val="0"/>
              <w:tabs>
                <w:tab w:val="left" w:pos="918"/>
              </w:tabs>
              <w:jc w:val="left"/>
              <w:rPr>
                <w:b/>
              </w:rPr>
            </w:pPr>
            <w:r w:rsidRPr="00843721">
              <w:rPr>
                <w:b/>
              </w:rPr>
              <w:t>Potential solution</w:t>
            </w:r>
          </w:p>
        </w:tc>
        <w:tc>
          <w:tcPr>
            <w:tcW w:w="3896" w:type="pct"/>
            <w:shd w:val="clear" w:color="auto" w:fill="auto"/>
          </w:tcPr>
          <w:p w:rsidR="004F20AF" w:rsidRPr="00843721" w:rsidRDefault="004F20AF" w:rsidP="00B210D4">
            <w:pPr>
              <w:pStyle w:val="TableBodyText"/>
              <w:keepNext w:val="0"/>
              <w:keepLines w:val="0"/>
              <w:ind w:left="0"/>
              <w:jc w:val="left"/>
            </w:pPr>
            <w:r w:rsidRPr="00843721">
              <w:t>The options for this firm are:</w:t>
            </w:r>
          </w:p>
          <w:p w:rsidR="004F20AF" w:rsidRPr="00843721" w:rsidRDefault="004F20AF" w:rsidP="00B210D4">
            <w:pPr>
              <w:pStyle w:val="TableBullet"/>
              <w:keepNext w:val="0"/>
              <w:keepLines w:val="0"/>
            </w:pPr>
            <w:r w:rsidRPr="00843721">
              <w:t>Cease using the corporate form — use partnership, limited partnerships etc.</w:t>
            </w:r>
          </w:p>
          <w:p w:rsidR="004F20AF" w:rsidRPr="00843721" w:rsidRDefault="004F20AF" w:rsidP="005E12AF">
            <w:pPr>
              <w:pStyle w:val="TableBullet"/>
              <w:keepNext w:val="0"/>
              <w:keepLines w:val="0"/>
            </w:pPr>
            <w:r w:rsidRPr="00843721">
              <w:t>Break up the firm and operate separately. Use contractual agreements to try to retain the trans-Tasman service that clients value.</w:t>
            </w:r>
          </w:p>
        </w:tc>
      </w:tr>
      <w:tr w:rsidR="004F20AF" w:rsidRPr="00172496" w:rsidTr="00D67247">
        <w:trPr>
          <w:cantSplit/>
        </w:trPr>
        <w:tc>
          <w:tcPr>
            <w:tcW w:w="1104" w:type="pct"/>
            <w:shd w:val="clear" w:color="auto" w:fill="auto"/>
          </w:tcPr>
          <w:p w:rsidR="004F20AF" w:rsidRPr="00843721" w:rsidRDefault="004F20AF" w:rsidP="00B210D4">
            <w:pPr>
              <w:pStyle w:val="TableBodyText"/>
              <w:keepNext w:val="0"/>
              <w:keepLines w:val="0"/>
              <w:tabs>
                <w:tab w:val="left" w:pos="918"/>
              </w:tabs>
              <w:jc w:val="left"/>
              <w:rPr>
                <w:b/>
              </w:rPr>
            </w:pPr>
            <w:r w:rsidRPr="00843721">
              <w:rPr>
                <w:b/>
              </w:rPr>
              <w:t>Problems with proposed solution</w:t>
            </w:r>
          </w:p>
        </w:tc>
        <w:tc>
          <w:tcPr>
            <w:tcW w:w="3896" w:type="pct"/>
            <w:shd w:val="clear" w:color="auto" w:fill="auto"/>
          </w:tcPr>
          <w:p w:rsidR="004F20AF" w:rsidRPr="00843721" w:rsidRDefault="004F20AF" w:rsidP="005E12AF">
            <w:pPr>
              <w:pStyle w:val="TableBodyText"/>
              <w:keepNext w:val="0"/>
              <w:keepLines w:val="0"/>
              <w:spacing w:after="200"/>
              <w:ind w:left="0"/>
              <w:jc w:val="left"/>
            </w:pPr>
            <w:r w:rsidRPr="00843721">
              <w:t>The problem is that the corporate form is simpler and has many commercial advantages especially for a firm</w:t>
            </w:r>
            <w:r w:rsidR="005E12AF">
              <w:t xml:space="preserve"> focusing on long-term growth. The tax system is effectively restricting the choices available to business.</w:t>
            </w:r>
            <w:r w:rsidR="000C3A89">
              <w:t xml:space="preserve"> </w:t>
            </w:r>
          </w:p>
        </w:tc>
      </w:tr>
      <w:tr w:rsidR="004F20AF" w:rsidRPr="00172496" w:rsidTr="00D67247">
        <w:trPr>
          <w:cantSplit/>
        </w:trPr>
        <w:tc>
          <w:tcPr>
            <w:tcW w:w="1104" w:type="pct"/>
            <w:tcBorders>
              <w:bottom w:val="single" w:sz="6" w:space="0" w:color="auto"/>
            </w:tcBorders>
            <w:shd w:val="clear" w:color="auto" w:fill="auto"/>
          </w:tcPr>
          <w:p w:rsidR="004F20AF" w:rsidRPr="00843721" w:rsidRDefault="004F20AF" w:rsidP="00B210D4">
            <w:pPr>
              <w:pStyle w:val="TableBodyText"/>
              <w:keepNext w:val="0"/>
              <w:keepLines w:val="0"/>
              <w:tabs>
                <w:tab w:val="left" w:pos="918"/>
              </w:tabs>
              <w:jc w:val="left"/>
              <w:rPr>
                <w:b/>
              </w:rPr>
            </w:pPr>
            <w:r w:rsidRPr="00843721">
              <w:rPr>
                <w:b/>
              </w:rPr>
              <w:t>Ultimate structure adopted</w:t>
            </w:r>
          </w:p>
        </w:tc>
        <w:tc>
          <w:tcPr>
            <w:tcW w:w="3896" w:type="pct"/>
            <w:tcBorders>
              <w:bottom w:val="single" w:sz="6" w:space="0" w:color="auto"/>
            </w:tcBorders>
            <w:shd w:val="clear" w:color="auto" w:fill="auto"/>
          </w:tcPr>
          <w:p w:rsidR="004F20AF" w:rsidRPr="00843721" w:rsidRDefault="004F20AF" w:rsidP="00B210D4">
            <w:pPr>
              <w:pStyle w:val="TableBodyText"/>
              <w:keepNext w:val="0"/>
              <w:keepLines w:val="0"/>
              <w:jc w:val="left"/>
            </w:pPr>
            <w:r w:rsidRPr="00843721">
              <w:t>Not yet resolved.</w:t>
            </w:r>
          </w:p>
        </w:tc>
      </w:tr>
    </w:tbl>
    <w:p w:rsidR="001578D2" w:rsidRDefault="006D064B" w:rsidP="001578D2">
      <w:pPr>
        <w:pStyle w:val="Source"/>
      </w:pPr>
      <w:r>
        <w:rPr>
          <w:i/>
        </w:rPr>
        <w:t>Source</w:t>
      </w:r>
      <w:r w:rsidR="00696A2F">
        <w:rPr>
          <w:i/>
        </w:rPr>
        <w:t>s</w:t>
      </w:r>
      <w:r>
        <w:t xml:space="preserve">: </w:t>
      </w:r>
      <w:r w:rsidRPr="00656B9E">
        <w:t>Cases 1 and 2, Australia New</w:t>
      </w:r>
      <w:r>
        <w:t xml:space="preserve"> Zealand Leadership Forum (sub. </w:t>
      </w:r>
      <w:r w:rsidR="004F20AF">
        <w:t>58</w:t>
      </w:r>
      <w:r w:rsidR="00D5382C">
        <w:t>); Case 3, Robin Oliver (sub. </w:t>
      </w:r>
      <w:proofErr w:type="spellStart"/>
      <w:r w:rsidRPr="00656B9E">
        <w:t>DR130</w:t>
      </w:r>
      <w:proofErr w:type="spellEnd"/>
      <w:r w:rsidRPr="00656B9E">
        <w:t>)</w:t>
      </w:r>
      <w:r>
        <w:t>.</w:t>
      </w:r>
    </w:p>
    <w:p w:rsidR="006D064B" w:rsidRDefault="001578D2" w:rsidP="006D064B">
      <w:pPr>
        <w:pStyle w:val="Heading2"/>
        <w:rPr>
          <w:rFonts w:cs="Arial"/>
        </w:rPr>
      </w:pPr>
      <w:r w:rsidRPr="00D05623">
        <w:lastRenderedPageBreak/>
        <w:t xml:space="preserve"> </w:t>
      </w:r>
      <w:r w:rsidR="006D064B" w:rsidRPr="00D05623">
        <w:rPr>
          <w:rFonts w:cs="Arial"/>
        </w:rPr>
        <w:fldChar w:fldCharType="begin"/>
      </w:r>
      <w:r w:rsidR="006D064B" w:rsidRPr="00D05623">
        <w:rPr>
          <w:rFonts w:cs="Arial"/>
        </w:rPr>
        <w:instrText xml:space="preserve"> COMMENTS  \* MERGEFORMAT </w:instrText>
      </w:r>
      <w:r w:rsidR="006D064B" w:rsidRPr="00D05623">
        <w:rPr>
          <w:rFonts w:cs="Arial"/>
        </w:rPr>
        <w:fldChar w:fldCharType="separate"/>
      </w:r>
      <w:proofErr w:type="spellStart"/>
      <w:r w:rsidR="006D064B">
        <w:rPr>
          <w:rFonts w:cs="Arial"/>
        </w:rPr>
        <w:t>F.</w:t>
      </w:r>
      <w:r w:rsidR="006D064B" w:rsidRPr="00D05623">
        <w:rPr>
          <w:rFonts w:cs="Arial"/>
        </w:rPr>
        <w:fldChar w:fldCharType="end"/>
      </w:r>
      <w:r w:rsidR="00656527">
        <w:rPr>
          <w:rFonts w:cs="Arial"/>
        </w:rPr>
        <w:t>3</w:t>
      </w:r>
      <w:proofErr w:type="spellEnd"/>
      <w:r w:rsidR="006D064B" w:rsidRPr="00D05623">
        <w:rPr>
          <w:rFonts w:cs="Arial"/>
        </w:rPr>
        <w:tab/>
      </w:r>
      <w:r w:rsidR="00824CFC">
        <w:rPr>
          <w:rFonts w:cs="Arial"/>
        </w:rPr>
        <w:t xml:space="preserve">Benefits and costs of </w:t>
      </w:r>
      <w:proofErr w:type="spellStart"/>
      <w:r w:rsidR="00824CFC">
        <w:rPr>
          <w:rFonts w:cs="Arial"/>
        </w:rPr>
        <w:t>MRIC</w:t>
      </w:r>
      <w:proofErr w:type="spellEnd"/>
    </w:p>
    <w:p w:rsidR="006D064B" w:rsidRDefault="006D064B" w:rsidP="006D064B">
      <w:pPr>
        <w:pStyle w:val="BodyText"/>
        <w:rPr>
          <w:lang w:val="en-NZ" w:eastAsia="en-US"/>
        </w:rPr>
      </w:pPr>
      <w:r w:rsidRPr="00D05623">
        <w:rPr>
          <w:lang w:val="en-NZ" w:eastAsia="en-US"/>
        </w:rPr>
        <w:t>A possible solution to the capital market inefficiencies outlined above would be for Australia and New Zealand to extend their dividend imputation regimes across the Tasman</w:t>
      </w:r>
      <w:r w:rsidR="009A17D6">
        <w:rPr>
          <w:lang w:val="en-NZ" w:eastAsia="en-US"/>
        </w:rPr>
        <w:t xml:space="preserve"> (</w:t>
      </w:r>
      <w:r w:rsidR="000E2CC1">
        <w:rPr>
          <w:lang w:val="en-NZ" w:eastAsia="en-US"/>
        </w:rPr>
        <w:t>that is,</w:t>
      </w:r>
      <w:r w:rsidR="009A17D6">
        <w:rPr>
          <w:lang w:val="en-NZ" w:eastAsia="en-US"/>
        </w:rPr>
        <w:t xml:space="preserve"> to adopt </w:t>
      </w:r>
      <w:proofErr w:type="spellStart"/>
      <w:r w:rsidR="009A17D6">
        <w:rPr>
          <w:lang w:val="en-NZ" w:eastAsia="en-US"/>
        </w:rPr>
        <w:t>MRIC</w:t>
      </w:r>
      <w:proofErr w:type="spellEnd"/>
      <w:r w:rsidR="009A17D6">
        <w:rPr>
          <w:lang w:val="en-NZ" w:eastAsia="en-US"/>
        </w:rPr>
        <w:t>)</w:t>
      </w:r>
      <w:r w:rsidRPr="00D05623">
        <w:rPr>
          <w:lang w:val="en-NZ" w:eastAsia="en-US"/>
        </w:rPr>
        <w:t xml:space="preserve">. Each country would recognise the imputation credits attached to the dividends distributed by companies in one country to shareholders in the other. As a result, dividends in the hands of </w:t>
      </w:r>
      <w:r w:rsidR="000E2CC1">
        <w:rPr>
          <w:lang w:val="en-NZ" w:eastAsia="en-US"/>
        </w:rPr>
        <w:t xml:space="preserve">a </w:t>
      </w:r>
      <w:r w:rsidRPr="00D05623">
        <w:rPr>
          <w:lang w:val="en-NZ" w:eastAsia="en-US"/>
        </w:rPr>
        <w:t>shareholder would be taxed on the amount of company income (pre company tax) underlying the dividend, at the shareholder’s tax rate</w:t>
      </w:r>
      <w:r w:rsidR="008B525E">
        <w:rPr>
          <w:lang w:val="en-NZ" w:eastAsia="en-US"/>
        </w:rPr>
        <w:t>.</w:t>
      </w:r>
      <w:r w:rsidRPr="00D05623">
        <w:rPr>
          <w:lang w:val="en-NZ" w:eastAsia="en-US"/>
        </w:rPr>
        <w:t xml:space="preserve"> </w:t>
      </w:r>
      <w:r w:rsidR="00B920BF">
        <w:rPr>
          <w:lang w:val="en-NZ" w:eastAsia="en-US"/>
        </w:rPr>
        <w:t>The shareholder</w:t>
      </w:r>
      <w:r w:rsidRPr="00D05623">
        <w:rPr>
          <w:lang w:val="en-NZ" w:eastAsia="en-US"/>
        </w:rPr>
        <w:t xml:space="preserve"> </w:t>
      </w:r>
      <w:r w:rsidR="008B525E">
        <w:rPr>
          <w:lang w:val="en-NZ" w:eastAsia="en-US"/>
        </w:rPr>
        <w:t>would</w:t>
      </w:r>
      <w:r w:rsidRPr="00D05623">
        <w:rPr>
          <w:lang w:val="en-NZ" w:eastAsia="en-US"/>
        </w:rPr>
        <w:t xml:space="preserve"> claim a tax credit for the company tax already paid at the company level (to the other government). The result would be a single layer of tax, at the shareholder's personal (or institutional) rate, irrespective of whether dividends were received from a domestic company or from one across the Tasman</w:t>
      </w:r>
      <w:r w:rsidR="004D43AD">
        <w:rPr>
          <w:lang w:val="en-NZ" w:eastAsia="en-US"/>
        </w:rPr>
        <w:t>.</w:t>
      </w:r>
    </w:p>
    <w:p w:rsidR="006D064B" w:rsidRPr="00AA010D" w:rsidRDefault="00824CFC" w:rsidP="00AA010D">
      <w:pPr>
        <w:pStyle w:val="Heading3"/>
      </w:pPr>
      <w:r w:rsidRPr="00AA010D">
        <w:t>Effects on tax revenue</w:t>
      </w:r>
    </w:p>
    <w:p w:rsidR="00D67247" w:rsidRDefault="006D064B" w:rsidP="006D064B">
      <w:pPr>
        <w:pStyle w:val="BodyText"/>
        <w:rPr>
          <w:rFonts w:cs="Arial"/>
          <w:lang w:eastAsia="en-NZ"/>
        </w:rPr>
      </w:pPr>
      <w:r w:rsidRPr="00D05623">
        <w:rPr>
          <w:lang w:val="en-NZ" w:eastAsia="en-US"/>
        </w:rPr>
        <w:t xml:space="preserve">An obvious consequence of adopting </w:t>
      </w:r>
      <w:proofErr w:type="spellStart"/>
      <w:r w:rsidRPr="00D05623">
        <w:rPr>
          <w:lang w:val="en-NZ" w:eastAsia="en-US"/>
        </w:rPr>
        <w:t>MRIC</w:t>
      </w:r>
      <w:proofErr w:type="spellEnd"/>
      <w:r w:rsidRPr="00D05623">
        <w:rPr>
          <w:lang w:val="en-NZ" w:eastAsia="en-US"/>
        </w:rPr>
        <w:t xml:space="preserve"> would be </w:t>
      </w:r>
      <w:r w:rsidR="00595616">
        <w:rPr>
          <w:lang w:val="en-NZ" w:eastAsia="en-US"/>
        </w:rPr>
        <w:t xml:space="preserve">a reduction in </w:t>
      </w:r>
      <w:r w:rsidRPr="00D05623">
        <w:rPr>
          <w:lang w:val="en-NZ" w:eastAsia="en-US"/>
        </w:rPr>
        <w:t>tax revenue for both governments</w:t>
      </w:r>
      <w:r w:rsidR="00595616">
        <w:rPr>
          <w:lang w:val="en-NZ" w:eastAsia="en-US"/>
        </w:rPr>
        <w:t>,</w:t>
      </w:r>
      <w:r w:rsidR="009A17D6">
        <w:rPr>
          <w:lang w:val="en-NZ" w:eastAsia="en-US"/>
        </w:rPr>
        <w:t xml:space="preserve"> as a result of each government recognising the company tax paid to the other as a tax credit</w:t>
      </w:r>
      <w:r w:rsidRPr="00D05623">
        <w:rPr>
          <w:lang w:val="en-NZ" w:eastAsia="en-US"/>
        </w:rPr>
        <w:t>.</w:t>
      </w:r>
      <w:r w:rsidR="00FE03F4" w:rsidDel="009A17D6">
        <w:rPr>
          <w:lang w:val="en-NZ" w:eastAsia="en-US"/>
        </w:rPr>
        <w:t xml:space="preserve"> </w:t>
      </w:r>
      <w:r w:rsidR="009A17D6">
        <w:rPr>
          <w:lang w:val="en-NZ" w:eastAsia="en-US"/>
        </w:rPr>
        <w:t xml:space="preserve">The extent to which </w:t>
      </w:r>
      <w:r w:rsidR="00FE03F4">
        <w:rPr>
          <w:lang w:val="en-NZ" w:eastAsia="en-US"/>
        </w:rPr>
        <w:t xml:space="preserve">tax payable by shareholders would reduce would depend on their income tax rate compared with the company rate that had been applied to the income from which dividends had been paid </w:t>
      </w:r>
      <w:r w:rsidRPr="00D05623">
        <w:rPr>
          <w:lang w:val="en-NZ" w:eastAsia="en-US"/>
        </w:rPr>
        <w:t>(</w:t>
      </w:r>
      <w:r w:rsidR="00FE03F4">
        <w:rPr>
          <w:lang w:val="en-NZ" w:eastAsia="en-US"/>
        </w:rPr>
        <w:t>b</w:t>
      </w:r>
      <w:r w:rsidRPr="00D05623">
        <w:rPr>
          <w:lang w:val="en-NZ" w:eastAsia="en-US"/>
        </w:rPr>
        <w:t xml:space="preserve">ox </w:t>
      </w:r>
      <w:proofErr w:type="spellStart"/>
      <w:r w:rsidR="00793E48">
        <w:rPr>
          <w:lang w:val="en-NZ" w:eastAsia="en-US"/>
        </w:rPr>
        <w:t>F</w:t>
      </w:r>
      <w:r w:rsidR="004D43AD">
        <w:rPr>
          <w:lang w:val="en-NZ" w:eastAsia="en-US"/>
        </w:rPr>
        <w:t>.</w:t>
      </w:r>
      <w:r w:rsidR="00793E48">
        <w:rPr>
          <w:lang w:val="en-NZ" w:eastAsia="en-US"/>
        </w:rPr>
        <w:t>5</w:t>
      </w:r>
      <w:proofErr w:type="spellEnd"/>
      <w:r w:rsidRPr="00D05623">
        <w:rPr>
          <w:lang w:val="en-NZ" w:eastAsia="en-US"/>
        </w:rPr>
        <w:t>).</w:t>
      </w:r>
      <w:r w:rsidR="00D67247" w:rsidRPr="00D67247">
        <w:rPr>
          <w:rFonts w:cs="Arial"/>
          <w:lang w:eastAsia="en-NZ"/>
        </w:rPr>
        <w:t xml:space="preserve"> </w:t>
      </w:r>
    </w:p>
    <w:p w:rsidR="006D064B" w:rsidRDefault="00D67247" w:rsidP="006D064B">
      <w:pPr>
        <w:pStyle w:val="BodyText"/>
        <w:rPr>
          <w:rFonts w:cs="Arial"/>
          <w:lang w:eastAsia="en-NZ"/>
        </w:rPr>
      </w:pPr>
      <w:r>
        <w:rPr>
          <w:rFonts w:cs="Arial"/>
          <w:lang w:eastAsia="en-NZ"/>
        </w:rPr>
        <w:t>Appendix </w:t>
      </w:r>
      <w:proofErr w:type="spellStart"/>
      <w:r w:rsidR="00911ECB">
        <w:rPr>
          <w:rFonts w:cs="Arial"/>
          <w:lang w:eastAsia="en-NZ"/>
        </w:rPr>
        <w:t>F.2</w:t>
      </w:r>
      <w:proofErr w:type="spellEnd"/>
      <w:r>
        <w:rPr>
          <w:rFonts w:cs="Arial"/>
          <w:lang w:eastAsia="en-NZ"/>
        </w:rPr>
        <w:t xml:space="preserve"> provides a range of ‘first round’ estimates of the </w:t>
      </w:r>
      <w:r w:rsidR="00B920BF">
        <w:rPr>
          <w:rFonts w:cs="Arial"/>
          <w:lang w:eastAsia="en-NZ"/>
        </w:rPr>
        <w:t xml:space="preserve">potential </w:t>
      </w:r>
      <w:r>
        <w:rPr>
          <w:rFonts w:cs="Arial"/>
          <w:lang w:eastAsia="en-NZ"/>
        </w:rPr>
        <w:t xml:space="preserve">annual tax revenue reductions for each government. The extent of these depends on factors including the source of the data used to estimate company earnings, the extent to which earnings are distributed as dividends, the eligibility of shareholders to claim imputation credits, and the tax rates of recipient shareholders. As such, a range of figures </w:t>
      </w:r>
      <w:r w:rsidR="00B920BF">
        <w:rPr>
          <w:rFonts w:cs="Arial"/>
          <w:lang w:eastAsia="en-NZ"/>
        </w:rPr>
        <w:t>is</w:t>
      </w:r>
      <w:r>
        <w:rPr>
          <w:rFonts w:cs="Arial"/>
          <w:lang w:eastAsia="en-NZ"/>
        </w:rPr>
        <w:t xml:space="preserve"> presented based on different assumptions. A selection of those estimates are summarised below in table </w:t>
      </w:r>
      <w:proofErr w:type="spellStart"/>
      <w:r>
        <w:rPr>
          <w:rFonts w:cs="Arial"/>
          <w:lang w:eastAsia="en-NZ"/>
        </w:rPr>
        <w:t>F.2</w:t>
      </w:r>
      <w:proofErr w:type="spellEnd"/>
      <w:r>
        <w:rPr>
          <w:rFonts w:cs="Arial"/>
          <w:lang w:eastAsia="en-NZ"/>
        </w:rPr>
        <w:t>.</w:t>
      </w:r>
    </w:p>
    <w:p w:rsidR="00D67247" w:rsidRDefault="00D67247" w:rsidP="00D67247">
      <w:pPr>
        <w:pStyle w:val="BodyText"/>
      </w:pPr>
      <w:proofErr w:type="spellStart"/>
      <w:r>
        <w:t>MRIC</w:t>
      </w:r>
      <w:proofErr w:type="spellEnd"/>
      <w:r>
        <w:t xml:space="preserve"> could be expected to lead to an increase in the average rate of dividend distribution by trans-Tasman companies. The effect of this on government revenues would depend on the tax rates of recipient shareholders relative to the company rate at which the underlying income had been taxed (currently 28 </w:t>
      </w:r>
      <w:proofErr w:type="spellStart"/>
      <w:r>
        <w:t>percent</w:t>
      </w:r>
      <w:proofErr w:type="spellEnd"/>
      <w:r>
        <w:t xml:space="preserve"> in New Zealand and 30 </w:t>
      </w:r>
      <w:proofErr w:type="spellStart"/>
      <w:r>
        <w:t>percent</w:t>
      </w:r>
      <w:proofErr w:type="spellEnd"/>
      <w:r>
        <w:t xml:space="preserve"> in Australia). For example, to the extent that the shareholders receiving the additional dividends were on the top marginal tax rates (45 </w:t>
      </w:r>
      <w:proofErr w:type="spellStart"/>
      <w:r>
        <w:t>percent</w:t>
      </w:r>
      <w:proofErr w:type="spellEnd"/>
      <w:r>
        <w:t xml:space="preserve"> in Australia, ignoring the Medicare levy, 33 </w:t>
      </w:r>
      <w:proofErr w:type="spellStart"/>
      <w:r>
        <w:t>percent</w:t>
      </w:r>
      <w:proofErr w:type="spellEnd"/>
      <w:r>
        <w:t xml:space="preserve"> in New Zealand, ignoring the </w:t>
      </w:r>
      <w:proofErr w:type="spellStart"/>
      <w:r>
        <w:t>ACC</w:t>
      </w:r>
      <w:proofErr w:type="spellEnd"/>
      <w:r>
        <w:t xml:space="preserve"> levy), they would pay </w:t>
      </w:r>
      <w:r w:rsidR="00B920BF">
        <w:t xml:space="preserve">some </w:t>
      </w:r>
      <w:r>
        <w:t>additional tax</w:t>
      </w:r>
      <w:r w:rsidR="00B920BF">
        <w:t xml:space="preserve"> compared to none if no additional dividends were paid</w:t>
      </w:r>
      <w:r>
        <w:t xml:space="preserve">. But to the extent the shareholders receiving the additional dividends are on lower tax rates, additional </w:t>
      </w:r>
      <w:r>
        <w:lastRenderedPageBreak/>
        <w:t xml:space="preserve">distributions </w:t>
      </w:r>
      <w:r w:rsidR="00B920BF">
        <w:t>c</w:t>
      </w:r>
      <w:r>
        <w:t xml:space="preserve">ould result in </w:t>
      </w:r>
      <w:r w:rsidR="00B920BF">
        <w:t xml:space="preserve">less government revenue as the result of the shareholders </w:t>
      </w:r>
      <w:r w:rsidR="008C466B">
        <w:t>becoming</w:t>
      </w:r>
      <w:r w:rsidR="00B920BF">
        <w:t xml:space="preserve"> </w:t>
      </w:r>
      <w:proofErr w:type="spellStart"/>
      <w:r w:rsidR="00B920BF">
        <w:t>eligigle</w:t>
      </w:r>
      <w:proofErr w:type="spellEnd"/>
      <w:r w:rsidR="00B920BF">
        <w:t xml:space="preserve"> for tax refunds.</w:t>
      </w:r>
    </w:p>
    <w:p w:rsidR="00365530" w:rsidRPr="00A912CB" w:rsidRDefault="00365530" w:rsidP="00365530">
      <w:pPr>
        <w:keepNext/>
        <w:spacing w:before="360" w:after="0" w:line="80" w:lineRule="exact"/>
        <w:rPr>
          <w:rFonts w:ascii="Arial" w:hAnsi="Arial"/>
          <w:color w:val="1C1C1C"/>
          <w:sz w:val="24"/>
          <w:szCs w:val="20"/>
          <w:lang w:val="en-AU" w:eastAsia="en-AU"/>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65530" w:rsidRPr="00AA06E7" w:rsidTr="001D1932">
        <w:tc>
          <w:tcPr>
            <w:tcW w:w="8771" w:type="dxa"/>
            <w:tcBorders>
              <w:top w:val="nil"/>
              <w:left w:val="nil"/>
              <w:bottom w:val="nil"/>
              <w:right w:val="nil"/>
            </w:tcBorders>
            <w:shd w:val="clear" w:color="auto" w:fill="D9EAF0"/>
          </w:tcPr>
          <w:p w:rsidR="00365530" w:rsidRPr="005A1E2F" w:rsidRDefault="00365530" w:rsidP="00AA06E7">
            <w:pPr>
              <w:pStyle w:val="BoxTitle"/>
              <w:rPr>
                <w:b w:val="0"/>
              </w:rPr>
            </w:pPr>
            <w:r w:rsidRPr="005A1E2F">
              <w:rPr>
                <w:b w:val="0"/>
              </w:rPr>
              <w:t xml:space="preserve">Box </w:t>
            </w:r>
            <w:r w:rsidRPr="005A1E2F">
              <w:rPr>
                <w:b w:val="0"/>
              </w:rPr>
              <w:fldChar w:fldCharType="begin"/>
            </w:r>
            <w:r w:rsidRPr="005A1E2F">
              <w:rPr>
                <w:b w:val="0"/>
              </w:rPr>
              <w:instrText xml:space="preserve"> COMMENTS  \* MERGEFORMAT </w:instrText>
            </w:r>
            <w:r w:rsidRPr="005A1E2F">
              <w:rPr>
                <w:b w:val="0"/>
              </w:rPr>
              <w:fldChar w:fldCharType="separate"/>
            </w:r>
            <w:proofErr w:type="spellStart"/>
            <w:r w:rsidRPr="005A1E2F">
              <w:rPr>
                <w:b w:val="0"/>
              </w:rPr>
              <w:t>F.</w:t>
            </w:r>
            <w:r w:rsidRPr="005A1E2F">
              <w:rPr>
                <w:b w:val="0"/>
              </w:rPr>
              <w:fldChar w:fldCharType="end"/>
            </w:r>
            <w:r w:rsidR="00AA06E7">
              <w:rPr>
                <w:b w:val="0"/>
              </w:rPr>
              <w:t>5</w:t>
            </w:r>
            <w:proofErr w:type="spellEnd"/>
            <w:r w:rsidR="00AA06E7">
              <w:rPr>
                <w:b w:val="0"/>
              </w:rPr>
              <w:tab/>
            </w:r>
            <w:proofErr w:type="spellStart"/>
            <w:r w:rsidR="00AA06E7" w:rsidRPr="00AA06E7">
              <w:t>MRIC</w:t>
            </w:r>
            <w:proofErr w:type="spellEnd"/>
            <w:r w:rsidR="00AA06E7" w:rsidRPr="00AA06E7">
              <w:t xml:space="preserve"> —</w:t>
            </w:r>
            <w:r w:rsidRPr="00AA06E7">
              <w:t xml:space="preserve"> what tax does the shareholder save and the government forego?</w:t>
            </w:r>
          </w:p>
        </w:tc>
      </w:tr>
      <w:tr w:rsidR="00365530" w:rsidRPr="00A912CB" w:rsidTr="001D1932">
        <w:trPr>
          <w:cantSplit/>
        </w:trPr>
        <w:tc>
          <w:tcPr>
            <w:tcW w:w="8771" w:type="dxa"/>
            <w:tcBorders>
              <w:top w:val="nil"/>
              <w:left w:val="nil"/>
              <w:bottom w:val="nil"/>
              <w:right w:val="nil"/>
            </w:tcBorders>
            <w:shd w:val="clear" w:color="auto" w:fill="D9EAF0"/>
          </w:tcPr>
          <w:p w:rsidR="00365530" w:rsidRPr="00FE03F4" w:rsidRDefault="00365530" w:rsidP="005A1E2F">
            <w:pPr>
              <w:pStyle w:val="Box"/>
              <w:spacing w:after="240"/>
            </w:pPr>
            <w:r w:rsidRPr="00FE03F4">
              <w:t>Suppose the share of profits of a company in New Zealand owned by an Australian investor is $100 and this is fully distributed.</w:t>
            </w:r>
            <w:r w:rsidR="000C3A89">
              <w:t xml:space="preserve"> </w:t>
            </w:r>
            <w:r w:rsidRPr="00FE03F4">
              <w:t>New Zealand company tax on the $100 of profit is $28, and gives rise to an imputation credit of $28.</w:t>
            </w:r>
            <w:r w:rsidR="000C3A89">
              <w:t xml:space="preserve"> </w:t>
            </w:r>
            <w:r w:rsidRPr="00FE03F4">
              <w:t>What is the fiscal cost to Australia if it recognises this credit? </w:t>
            </w:r>
            <w:r w:rsidR="00540AC8">
              <w:t>C</w:t>
            </w:r>
            <w:r w:rsidRPr="00FE03F4">
              <w:t>onsider two cases: in case 1, the investo</w:t>
            </w:r>
            <w:r w:rsidR="00AA06E7">
              <w:t>r has a marginal tax rate of 45</w:t>
            </w:r>
            <w:r w:rsidRPr="00FE03F4">
              <w:t xml:space="preserve">% (the top </w:t>
            </w:r>
            <w:r w:rsidR="00540AC8">
              <w:t xml:space="preserve">personal </w:t>
            </w:r>
            <w:r w:rsidRPr="00FE03F4">
              <w:t>marginal tax rate in Australia) and, in case 2, a marginal tax rate of 15% (the tax rate applicable to superannuation funds).</w:t>
            </w:r>
          </w:p>
          <w:tbl>
            <w:tblPr>
              <w:tblStyle w:val="TableGrid"/>
              <w:tblW w:w="8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4"/>
              <w:gridCol w:w="2939"/>
              <w:gridCol w:w="2961"/>
            </w:tblGrid>
            <w:tr w:rsidR="00365530" w:rsidRPr="00FE03F4" w:rsidTr="00AA06E7">
              <w:tc>
                <w:tcPr>
                  <w:tcW w:w="2594" w:type="dxa"/>
                  <w:tcBorders>
                    <w:top w:val="single" w:sz="4" w:space="0" w:color="auto"/>
                    <w:bottom w:val="single" w:sz="4" w:space="0" w:color="auto"/>
                  </w:tcBorders>
                </w:tcPr>
                <w:p w:rsidR="00365530" w:rsidRPr="00FE03F4" w:rsidRDefault="00365530" w:rsidP="00AA06E7">
                  <w:pPr>
                    <w:pStyle w:val="TableBodyText"/>
                    <w:jc w:val="left"/>
                  </w:pPr>
                </w:p>
              </w:tc>
              <w:tc>
                <w:tcPr>
                  <w:tcW w:w="2939" w:type="dxa"/>
                  <w:tcBorders>
                    <w:top w:val="single" w:sz="4" w:space="0" w:color="auto"/>
                    <w:bottom w:val="single" w:sz="4" w:space="0" w:color="auto"/>
                  </w:tcBorders>
                </w:tcPr>
                <w:p w:rsidR="00365530" w:rsidRPr="005A1E2F" w:rsidRDefault="00365530" w:rsidP="00AA06E7">
                  <w:pPr>
                    <w:pStyle w:val="TableColumnHeading"/>
                  </w:pPr>
                  <w:r w:rsidRPr="005A1E2F">
                    <w:t xml:space="preserve">Case 1 </w:t>
                  </w:r>
                  <w:r w:rsidR="00AA06E7">
                    <w:br/>
                  </w:r>
                  <w:r w:rsidRPr="005A1E2F">
                    <w:t>(shareholder tax rate = 45%)</w:t>
                  </w:r>
                </w:p>
              </w:tc>
              <w:tc>
                <w:tcPr>
                  <w:tcW w:w="2961" w:type="dxa"/>
                  <w:tcBorders>
                    <w:top w:val="single" w:sz="4" w:space="0" w:color="auto"/>
                    <w:bottom w:val="single" w:sz="4" w:space="0" w:color="auto"/>
                  </w:tcBorders>
                </w:tcPr>
                <w:p w:rsidR="00365530" w:rsidRPr="005A1E2F" w:rsidRDefault="00365530" w:rsidP="00AA06E7">
                  <w:pPr>
                    <w:pStyle w:val="TableColumnHeading"/>
                  </w:pPr>
                  <w:r w:rsidRPr="005A1E2F">
                    <w:t xml:space="preserve">Case 2 </w:t>
                  </w:r>
                  <w:r w:rsidR="00AA06E7">
                    <w:br/>
                  </w:r>
                  <w:r w:rsidRPr="005A1E2F">
                    <w:t>(shareholder tax rate = 15%)</w:t>
                  </w:r>
                </w:p>
              </w:tc>
            </w:tr>
            <w:tr w:rsidR="00365530" w:rsidRPr="00FE03F4" w:rsidTr="00AA06E7">
              <w:tc>
                <w:tcPr>
                  <w:tcW w:w="2594" w:type="dxa"/>
                  <w:tcBorders>
                    <w:top w:val="single" w:sz="4" w:space="0" w:color="auto"/>
                  </w:tcBorders>
                </w:tcPr>
                <w:p w:rsidR="00365530" w:rsidRPr="000844D5" w:rsidRDefault="00365530" w:rsidP="00AA06E7">
                  <w:pPr>
                    <w:pStyle w:val="TableBodyText"/>
                    <w:spacing w:before="80"/>
                    <w:jc w:val="left"/>
                  </w:pPr>
                  <w:r w:rsidRPr="00F230AC">
                    <w:t>Australian tax collected without imputation credits</w:t>
                  </w:r>
                </w:p>
              </w:tc>
              <w:tc>
                <w:tcPr>
                  <w:tcW w:w="2939" w:type="dxa"/>
                  <w:tcBorders>
                    <w:top w:val="single" w:sz="4" w:space="0" w:color="auto"/>
                  </w:tcBorders>
                </w:tcPr>
                <w:p w:rsidR="00365530" w:rsidRPr="00FE03F4" w:rsidRDefault="00365530" w:rsidP="00AA06E7">
                  <w:pPr>
                    <w:pStyle w:val="TableBodyText"/>
                    <w:spacing w:before="80"/>
                  </w:pPr>
                  <w:r w:rsidRPr="00267C1D">
                    <w:t>0.45*$72 = $32.40</w:t>
                  </w:r>
                </w:p>
              </w:tc>
              <w:tc>
                <w:tcPr>
                  <w:tcW w:w="2961" w:type="dxa"/>
                  <w:tcBorders>
                    <w:top w:val="single" w:sz="4" w:space="0" w:color="auto"/>
                  </w:tcBorders>
                </w:tcPr>
                <w:p w:rsidR="00365530" w:rsidRPr="00FE03F4" w:rsidRDefault="00365530" w:rsidP="00AA06E7">
                  <w:pPr>
                    <w:pStyle w:val="TableBodyText"/>
                    <w:spacing w:before="80"/>
                  </w:pPr>
                  <w:r w:rsidRPr="00267C1D">
                    <w:t>0.15*$72 = $10.8</w:t>
                  </w:r>
                </w:p>
              </w:tc>
            </w:tr>
            <w:tr w:rsidR="00365530" w:rsidRPr="00FE03F4" w:rsidTr="00AA06E7">
              <w:tc>
                <w:tcPr>
                  <w:tcW w:w="2594" w:type="dxa"/>
                </w:tcPr>
                <w:p w:rsidR="00365530" w:rsidRPr="00267C1D" w:rsidRDefault="00365530" w:rsidP="00AA06E7">
                  <w:pPr>
                    <w:pStyle w:val="TableBodyText"/>
                    <w:jc w:val="left"/>
                  </w:pPr>
                  <w:r w:rsidRPr="00267C1D">
                    <w:t>Australian tax collected with recognition of imputation credits</w:t>
                  </w:r>
                </w:p>
              </w:tc>
              <w:tc>
                <w:tcPr>
                  <w:tcW w:w="2939" w:type="dxa"/>
                </w:tcPr>
                <w:p w:rsidR="00365530" w:rsidRPr="00FE03F4" w:rsidRDefault="00365530" w:rsidP="00AA06E7">
                  <w:pPr>
                    <w:pStyle w:val="TableBodyText"/>
                  </w:pPr>
                  <w:r w:rsidRPr="00267C1D">
                    <w:t>0.45*$100 - $28 = $17</w:t>
                  </w:r>
                </w:p>
              </w:tc>
              <w:tc>
                <w:tcPr>
                  <w:tcW w:w="2961" w:type="dxa"/>
                </w:tcPr>
                <w:p w:rsidR="00365530" w:rsidRPr="00FE03F4" w:rsidRDefault="00365530" w:rsidP="00AA06E7">
                  <w:pPr>
                    <w:pStyle w:val="TableBodyText"/>
                  </w:pPr>
                  <w:r w:rsidRPr="00267C1D">
                    <w:t>0.15*$100 - $28 = -$13 (refund)</w:t>
                  </w:r>
                </w:p>
              </w:tc>
            </w:tr>
            <w:tr w:rsidR="00365530" w:rsidRPr="00FE03F4" w:rsidTr="00AA06E7">
              <w:tc>
                <w:tcPr>
                  <w:tcW w:w="2594" w:type="dxa"/>
                </w:tcPr>
                <w:p w:rsidR="00365530" w:rsidRPr="00267C1D" w:rsidRDefault="00365530" w:rsidP="00AA06E7">
                  <w:pPr>
                    <w:pStyle w:val="TableBodyText"/>
                    <w:jc w:val="left"/>
                  </w:pPr>
                  <w:r w:rsidRPr="00267C1D">
                    <w:t>Fiscal cost to Australia</w:t>
                  </w:r>
                </w:p>
              </w:tc>
              <w:tc>
                <w:tcPr>
                  <w:tcW w:w="2939" w:type="dxa"/>
                </w:tcPr>
                <w:p w:rsidR="00365530" w:rsidRPr="00FE03F4" w:rsidRDefault="00365530" w:rsidP="00AA06E7">
                  <w:pPr>
                    <w:pStyle w:val="TableBodyText"/>
                  </w:pPr>
                  <w:r w:rsidRPr="00267C1D">
                    <w:t>$(32.40 – 17) = $15.40</w:t>
                  </w:r>
                </w:p>
              </w:tc>
              <w:tc>
                <w:tcPr>
                  <w:tcW w:w="2961" w:type="dxa"/>
                </w:tcPr>
                <w:p w:rsidR="00365530" w:rsidRPr="00FE03F4" w:rsidRDefault="00AA06E7" w:rsidP="00AA06E7">
                  <w:pPr>
                    <w:pStyle w:val="TableBodyText"/>
                  </w:pPr>
                  <w:r w:rsidRPr="00AA06E7">
                    <w:t>$(10.8 – (-13)) = $23.8</w:t>
                  </w:r>
                </w:p>
              </w:tc>
            </w:tr>
            <w:tr w:rsidR="00365530" w:rsidRPr="00FE03F4" w:rsidTr="00AA06E7">
              <w:tc>
                <w:tcPr>
                  <w:tcW w:w="2594" w:type="dxa"/>
                  <w:tcBorders>
                    <w:bottom w:val="single" w:sz="4" w:space="0" w:color="auto"/>
                  </w:tcBorders>
                </w:tcPr>
                <w:p w:rsidR="00365530" w:rsidRPr="00267C1D" w:rsidRDefault="00365530" w:rsidP="00AA06E7">
                  <w:pPr>
                    <w:pStyle w:val="TableBodyText"/>
                    <w:spacing w:after="80"/>
                    <w:jc w:val="left"/>
                  </w:pPr>
                  <w:r w:rsidRPr="00267C1D">
                    <w:t xml:space="preserve">Fiscal cost as </w:t>
                  </w:r>
                  <w:proofErr w:type="spellStart"/>
                  <w:r w:rsidRPr="00267C1D">
                    <w:t>percent</w:t>
                  </w:r>
                  <w:proofErr w:type="spellEnd"/>
                  <w:r w:rsidRPr="00267C1D">
                    <w:t xml:space="preserve"> of imputation credit</w:t>
                  </w:r>
                </w:p>
              </w:tc>
              <w:tc>
                <w:tcPr>
                  <w:tcW w:w="2939" w:type="dxa"/>
                  <w:tcBorders>
                    <w:bottom w:val="single" w:sz="4" w:space="0" w:color="auto"/>
                  </w:tcBorders>
                </w:tcPr>
                <w:p w:rsidR="00365530" w:rsidRPr="00FE03F4" w:rsidRDefault="00365530" w:rsidP="00AA06E7">
                  <w:pPr>
                    <w:pStyle w:val="TableBodyText"/>
                    <w:spacing w:after="80"/>
                  </w:pPr>
                  <w:r w:rsidRPr="00FE03F4">
                    <w:t>(15.40/28)*100 = 55%</w:t>
                  </w:r>
                </w:p>
              </w:tc>
              <w:tc>
                <w:tcPr>
                  <w:tcW w:w="2961" w:type="dxa"/>
                  <w:tcBorders>
                    <w:bottom w:val="single" w:sz="4" w:space="0" w:color="auto"/>
                  </w:tcBorders>
                </w:tcPr>
                <w:p w:rsidR="00365530" w:rsidRPr="00FE03F4" w:rsidRDefault="00365530" w:rsidP="00AA06E7">
                  <w:pPr>
                    <w:pStyle w:val="TableBodyText"/>
                    <w:spacing w:after="80"/>
                  </w:pPr>
                  <w:r w:rsidRPr="00267C1D">
                    <w:t>(23.8/28)*100 = 85%</w:t>
                  </w:r>
                </w:p>
              </w:tc>
            </w:tr>
          </w:tbl>
          <w:p w:rsidR="00365530" w:rsidRPr="00952689" w:rsidRDefault="00365530" w:rsidP="00AA06E7">
            <w:pPr>
              <w:pStyle w:val="Box"/>
              <w:spacing w:before="240"/>
            </w:pPr>
            <w:r>
              <w:t>T</w:t>
            </w:r>
            <w:r w:rsidRPr="00FE03F4">
              <w:t>he fiscal cost is 55</w:t>
            </w:r>
            <w:r w:rsidR="00AA06E7">
              <w:t> </w:t>
            </w:r>
            <w:proofErr w:type="spellStart"/>
            <w:r w:rsidRPr="00FE03F4">
              <w:t>percent</w:t>
            </w:r>
            <w:proofErr w:type="spellEnd"/>
            <w:r w:rsidRPr="00FE03F4">
              <w:t xml:space="preserve"> of the imputation credit in case 1 and 85</w:t>
            </w:r>
            <w:r w:rsidR="00AA06E7">
              <w:t> </w:t>
            </w:r>
            <w:proofErr w:type="spellStart"/>
            <w:r>
              <w:t>percent</w:t>
            </w:r>
            <w:proofErr w:type="spellEnd"/>
            <w:r>
              <w:t xml:space="preserve"> </w:t>
            </w:r>
            <w:r w:rsidRPr="00FE03F4">
              <w:t>in case 2.</w:t>
            </w:r>
            <w:r w:rsidR="00AA06E7">
              <w:t xml:space="preserve"> </w:t>
            </w:r>
            <w:r w:rsidRPr="00FE03F4">
              <w:t>The reason why the tax saving to the shareholder, and fiscal cost to the government, is less than the amount of the imputation credit is because the investor’s income is grossed up to include the whole of his/her share of the company’s pre-N</w:t>
            </w:r>
            <w:r w:rsidR="00D55CB6">
              <w:t>ew </w:t>
            </w:r>
            <w:r w:rsidRPr="00FE03F4">
              <w:t>Z</w:t>
            </w:r>
            <w:r w:rsidR="00D55CB6">
              <w:t>ealand</w:t>
            </w:r>
            <w:r w:rsidRPr="00FE03F4">
              <w:t>-company-tax profit. In effect, some of the credit is used up in paying the tax on the additional income that is attributed to the investor.</w:t>
            </w:r>
          </w:p>
        </w:tc>
      </w:tr>
      <w:tr w:rsidR="00365530" w:rsidRPr="00A912CB" w:rsidTr="001D1932">
        <w:trPr>
          <w:cantSplit/>
        </w:trPr>
        <w:tc>
          <w:tcPr>
            <w:tcW w:w="8771" w:type="dxa"/>
            <w:tcBorders>
              <w:top w:val="nil"/>
              <w:left w:val="nil"/>
              <w:bottom w:val="nil"/>
              <w:right w:val="nil"/>
            </w:tcBorders>
            <w:shd w:val="clear" w:color="auto" w:fill="D9EAF0"/>
          </w:tcPr>
          <w:p w:rsidR="00365530" w:rsidRPr="00A912CB" w:rsidRDefault="00365530" w:rsidP="001D1932">
            <w:pPr>
              <w:keepNext/>
              <w:spacing w:after="0" w:line="120" w:lineRule="exact"/>
              <w:jc w:val="both"/>
              <w:rPr>
                <w:rFonts w:ascii="Arial" w:hAnsi="Arial"/>
                <w:color w:val="1C1C1C"/>
                <w:szCs w:val="20"/>
                <w:lang w:val="en-AU" w:eastAsia="en-AU"/>
              </w:rPr>
            </w:pPr>
          </w:p>
        </w:tc>
      </w:tr>
      <w:tr w:rsidR="00365530" w:rsidRPr="00AA010D" w:rsidTr="001D1932">
        <w:tc>
          <w:tcPr>
            <w:tcW w:w="8771" w:type="dxa"/>
            <w:tcBorders>
              <w:top w:val="nil"/>
              <w:left w:val="nil"/>
              <w:bottom w:val="nil"/>
              <w:right w:val="nil"/>
            </w:tcBorders>
          </w:tcPr>
          <w:p w:rsidR="00365530" w:rsidRPr="00AA010D" w:rsidRDefault="00365530" w:rsidP="001D1932">
            <w:pPr>
              <w:spacing w:before="60" w:after="60" w:line="80" w:lineRule="exact"/>
              <w:jc w:val="both"/>
              <w:rPr>
                <w:rFonts w:ascii="Arial" w:hAnsi="Arial"/>
                <w:b/>
                <w:sz w:val="14"/>
                <w:szCs w:val="20"/>
                <w:lang w:val="en-AU" w:eastAsia="en-AU"/>
              </w:rPr>
            </w:pPr>
          </w:p>
        </w:tc>
      </w:tr>
    </w:tbl>
    <w:p w:rsidR="004D43AD" w:rsidRPr="004D43AD" w:rsidRDefault="004D43AD" w:rsidP="004D43AD">
      <w:pPr>
        <w:keepNext/>
        <w:keepLines/>
        <w:spacing w:before="360" w:after="80" w:line="280" w:lineRule="exact"/>
        <w:ind w:left="1474" w:hanging="1474"/>
        <w:rPr>
          <w:rFonts w:ascii="Arial" w:hAnsi="Arial"/>
          <w:b/>
          <w:sz w:val="24"/>
        </w:rPr>
      </w:pPr>
      <w:r w:rsidRPr="004D43AD">
        <w:rPr>
          <w:rFonts w:ascii="Arial" w:hAnsi="Arial"/>
          <w:sz w:val="24"/>
        </w:rPr>
        <w:t xml:space="preserve">Table </w:t>
      </w:r>
      <w:proofErr w:type="spellStart"/>
      <w:r w:rsidR="00E5415C">
        <w:rPr>
          <w:rFonts w:ascii="Arial" w:hAnsi="Arial"/>
          <w:sz w:val="24"/>
        </w:rPr>
        <w:t>F.</w:t>
      </w:r>
      <w:r w:rsidRPr="004D43AD">
        <w:rPr>
          <w:rFonts w:ascii="Arial" w:hAnsi="Arial"/>
          <w:sz w:val="24"/>
        </w:rPr>
        <w:t>2</w:t>
      </w:r>
      <w:proofErr w:type="spellEnd"/>
      <w:r w:rsidRPr="004D43AD">
        <w:rPr>
          <w:rFonts w:ascii="Arial" w:hAnsi="Arial"/>
          <w:b/>
          <w:sz w:val="24"/>
        </w:rPr>
        <w:tab/>
        <w:t xml:space="preserve">Indicative first-round fiscal costs of </w:t>
      </w:r>
      <w:proofErr w:type="spellStart"/>
      <w:r w:rsidRPr="004D43AD">
        <w:rPr>
          <w:rFonts w:ascii="Arial" w:hAnsi="Arial"/>
          <w:b/>
          <w:sz w:val="24"/>
        </w:rPr>
        <w:t>MRIC</w:t>
      </w:r>
      <w:proofErr w:type="spellEnd"/>
    </w:p>
    <w:tbl>
      <w:tblPr>
        <w:tblW w:w="4989" w:type="pct"/>
        <w:tblCellMar>
          <w:left w:w="0" w:type="dxa"/>
          <w:right w:w="0" w:type="dxa"/>
        </w:tblCellMar>
        <w:tblLook w:val="04A0" w:firstRow="1" w:lastRow="0" w:firstColumn="1" w:lastColumn="0" w:noHBand="0" w:noVBand="1"/>
      </w:tblPr>
      <w:tblGrid>
        <w:gridCol w:w="2708"/>
        <w:gridCol w:w="1465"/>
        <w:gridCol w:w="1470"/>
        <w:gridCol w:w="1682"/>
        <w:gridCol w:w="1445"/>
      </w:tblGrid>
      <w:tr w:rsidR="004D43AD" w:rsidRPr="004D43AD" w:rsidTr="00F33FBD">
        <w:tc>
          <w:tcPr>
            <w:tcW w:w="1544" w:type="pct"/>
            <w:tcBorders>
              <w:top w:val="single" w:sz="6" w:space="0" w:color="auto"/>
              <w:left w:val="nil"/>
              <w:bottom w:val="nil"/>
              <w:right w:val="nil"/>
            </w:tcBorders>
            <w:shd w:val="clear" w:color="auto" w:fill="E7ECCE"/>
          </w:tcPr>
          <w:p w:rsidR="004D43AD" w:rsidRPr="004D43AD" w:rsidRDefault="004D43AD" w:rsidP="004D43AD">
            <w:pPr>
              <w:keepNext/>
              <w:keepLines/>
              <w:spacing w:before="120" w:after="0" w:line="220" w:lineRule="atLeast"/>
              <w:ind w:left="6" w:right="113"/>
              <w:rPr>
                <w:rFonts w:ascii="Arial" w:hAnsi="Arial" w:cs="Arial"/>
                <w:i/>
                <w:color w:val="1C1C1C"/>
                <w:sz w:val="20"/>
                <w:szCs w:val="20"/>
                <w:lang w:eastAsia="en-NZ"/>
              </w:rPr>
            </w:pPr>
          </w:p>
        </w:tc>
        <w:tc>
          <w:tcPr>
            <w:tcW w:w="1673" w:type="pct"/>
            <w:gridSpan w:val="2"/>
            <w:tcBorders>
              <w:top w:val="single" w:sz="6" w:space="0" w:color="auto"/>
              <w:left w:val="nil"/>
              <w:bottom w:val="nil"/>
              <w:right w:val="nil"/>
            </w:tcBorders>
            <w:shd w:val="clear" w:color="auto" w:fill="E7ECCE"/>
            <w:hideMark/>
          </w:tcPr>
          <w:p w:rsidR="004D43AD" w:rsidRPr="004D43AD" w:rsidRDefault="004D43AD" w:rsidP="00AA010D">
            <w:pPr>
              <w:keepNext/>
              <w:keepLines/>
              <w:spacing w:before="120" w:after="0" w:line="220" w:lineRule="atLeast"/>
              <w:ind w:left="6" w:right="113"/>
              <w:jc w:val="center"/>
              <w:rPr>
                <w:rFonts w:ascii="Arial" w:hAnsi="Arial" w:cs="Arial"/>
                <w:i/>
                <w:color w:val="1C1C1C"/>
                <w:sz w:val="20"/>
                <w:szCs w:val="20"/>
                <w:lang w:eastAsia="en-NZ"/>
              </w:rPr>
            </w:pPr>
            <w:r w:rsidRPr="004D43AD">
              <w:rPr>
                <w:rFonts w:ascii="Arial" w:hAnsi="Arial" w:cs="Arial"/>
                <w:i/>
                <w:color w:val="1C1C1C"/>
                <w:sz w:val="20"/>
                <w:szCs w:val="20"/>
                <w:lang w:eastAsia="en-NZ"/>
              </w:rPr>
              <w:t>Australia</w:t>
            </w:r>
          </w:p>
        </w:tc>
        <w:tc>
          <w:tcPr>
            <w:tcW w:w="1783" w:type="pct"/>
            <w:gridSpan w:val="2"/>
            <w:tcBorders>
              <w:top w:val="single" w:sz="6" w:space="0" w:color="auto"/>
              <w:left w:val="nil"/>
              <w:bottom w:val="nil"/>
              <w:right w:val="nil"/>
            </w:tcBorders>
            <w:shd w:val="clear" w:color="auto" w:fill="E7ECCE"/>
            <w:hideMark/>
          </w:tcPr>
          <w:p w:rsidR="004D43AD" w:rsidRPr="004D43AD" w:rsidRDefault="004D43AD" w:rsidP="00AA010D">
            <w:pPr>
              <w:keepNext/>
              <w:keepLines/>
              <w:spacing w:before="120" w:after="0" w:line="220" w:lineRule="atLeast"/>
              <w:ind w:left="6" w:right="28"/>
              <w:jc w:val="center"/>
              <w:rPr>
                <w:rFonts w:ascii="Arial" w:hAnsi="Arial" w:cs="Arial"/>
                <w:i/>
                <w:color w:val="1C1C1C"/>
                <w:sz w:val="20"/>
                <w:szCs w:val="20"/>
                <w:lang w:eastAsia="en-NZ"/>
              </w:rPr>
            </w:pPr>
            <w:r w:rsidRPr="004D43AD">
              <w:rPr>
                <w:rFonts w:ascii="Arial" w:hAnsi="Arial" w:cs="Arial"/>
                <w:i/>
                <w:color w:val="1C1C1C"/>
                <w:sz w:val="20"/>
                <w:szCs w:val="20"/>
                <w:lang w:eastAsia="en-NZ"/>
              </w:rPr>
              <w:t>New Zealand</w:t>
            </w:r>
          </w:p>
        </w:tc>
      </w:tr>
      <w:tr w:rsidR="004D43AD" w:rsidRPr="004D43AD" w:rsidTr="00F33FBD">
        <w:tc>
          <w:tcPr>
            <w:tcW w:w="1544" w:type="pct"/>
            <w:tcBorders>
              <w:top w:val="nil"/>
              <w:left w:val="nil"/>
              <w:bottom w:val="single" w:sz="6" w:space="0" w:color="auto"/>
              <w:right w:val="nil"/>
            </w:tcBorders>
            <w:shd w:val="clear" w:color="auto" w:fill="E7ECCE"/>
          </w:tcPr>
          <w:p w:rsidR="004D43AD" w:rsidRPr="004D43AD" w:rsidRDefault="004D43AD" w:rsidP="004D43AD">
            <w:pPr>
              <w:keepNext/>
              <w:keepLines/>
              <w:spacing w:before="120" w:after="0" w:line="220" w:lineRule="atLeast"/>
              <w:ind w:left="6" w:right="113"/>
              <w:rPr>
                <w:rFonts w:ascii="Arial" w:hAnsi="Arial" w:cs="Arial"/>
                <w:i/>
                <w:color w:val="1C1C1C"/>
                <w:sz w:val="20"/>
                <w:szCs w:val="20"/>
                <w:lang w:eastAsia="en-NZ"/>
              </w:rPr>
            </w:pPr>
          </w:p>
        </w:tc>
        <w:tc>
          <w:tcPr>
            <w:tcW w:w="835" w:type="pct"/>
            <w:tcBorders>
              <w:top w:val="nil"/>
              <w:left w:val="nil"/>
              <w:bottom w:val="single" w:sz="6" w:space="0" w:color="auto"/>
              <w:right w:val="nil"/>
            </w:tcBorders>
            <w:shd w:val="clear" w:color="auto" w:fill="E7ECCE"/>
            <w:hideMark/>
          </w:tcPr>
          <w:p w:rsidR="004D43AD" w:rsidRPr="004D43AD" w:rsidRDefault="004D43AD" w:rsidP="004D43AD">
            <w:pPr>
              <w:keepNext/>
              <w:keepLines/>
              <w:spacing w:before="120" w:after="0" w:line="220" w:lineRule="atLeast"/>
              <w:ind w:left="6" w:right="113"/>
              <w:jc w:val="right"/>
              <w:rPr>
                <w:rFonts w:ascii="Arial" w:hAnsi="Arial" w:cs="Arial"/>
                <w:i/>
                <w:color w:val="1C1C1C"/>
                <w:sz w:val="20"/>
                <w:szCs w:val="20"/>
                <w:lang w:eastAsia="en-NZ"/>
              </w:rPr>
            </w:pPr>
            <w:r w:rsidRPr="004D43AD">
              <w:rPr>
                <w:rFonts w:ascii="Arial" w:hAnsi="Arial" w:cs="Arial"/>
                <w:i/>
                <w:color w:val="1C1C1C"/>
                <w:sz w:val="20"/>
                <w:szCs w:val="20"/>
                <w:lang w:eastAsia="en-NZ"/>
              </w:rPr>
              <w:t>ABS data</w:t>
            </w:r>
          </w:p>
        </w:tc>
        <w:tc>
          <w:tcPr>
            <w:tcW w:w="838" w:type="pct"/>
            <w:tcBorders>
              <w:top w:val="nil"/>
              <w:left w:val="nil"/>
              <w:bottom w:val="single" w:sz="6" w:space="0" w:color="auto"/>
              <w:right w:val="nil"/>
            </w:tcBorders>
            <w:shd w:val="clear" w:color="auto" w:fill="E7ECCE"/>
            <w:hideMark/>
          </w:tcPr>
          <w:p w:rsidR="004D43AD" w:rsidRPr="004D43AD" w:rsidRDefault="004D43AD" w:rsidP="004D43AD">
            <w:pPr>
              <w:keepNext/>
              <w:keepLines/>
              <w:spacing w:before="120" w:after="0" w:line="220" w:lineRule="atLeast"/>
              <w:ind w:left="6" w:right="113"/>
              <w:jc w:val="right"/>
              <w:rPr>
                <w:rFonts w:ascii="Arial" w:hAnsi="Arial" w:cs="Arial"/>
                <w:i/>
                <w:color w:val="1C1C1C"/>
                <w:sz w:val="20"/>
                <w:szCs w:val="20"/>
                <w:lang w:eastAsia="en-NZ"/>
              </w:rPr>
            </w:pPr>
            <w:proofErr w:type="spellStart"/>
            <w:r w:rsidRPr="004D43AD">
              <w:rPr>
                <w:rFonts w:ascii="Arial" w:hAnsi="Arial" w:cs="Arial"/>
                <w:i/>
                <w:color w:val="1C1C1C"/>
                <w:sz w:val="20"/>
                <w:szCs w:val="20"/>
                <w:lang w:eastAsia="en-NZ"/>
              </w:rPr>
              <w:t>SNZ</w:t>
            </w:r>
            <w:proofErr w:type="spellEnd"/>
            <w:r w:rsidRPr="004D43AD">
              <w:rPr>
                <w:rFonts w:ascii="Arial" w:hAnsi="Arial" w:cs="Arial"/>
                <w:i/>
                <w:color w:val="1C1C1C"/>
                <w:sz w:val="20"/>
                <w:szCs w:val="20"/>
                <w:lang w:eastAsia="en-NZ"/>
              </w:rPr>
              <w:t xml:space="preserve"> data</w:t>
            </w:r>
          </w:p>
        </w:tc>
        <w:tc>
          <w:tcPr>
            <w:tcW w:w="959" w:type="pct"/>
            <w:tcBorders>
              <w:top w:val="nil"/>
              <w:left w:val="nil"/>
              <w:bottom w:val="single" w:sz="6" w:space="0" w:color="auto"/>
              <w:right w:val="nil"/>
            </w:tcBorders>
            <w:shd w:val="clear" w:color="auto" w:fill="E7ECCE"/>
            <w:hideMark/>
          </w:tcPr>
          <w:p w:rsidR="004D43AD" w:rsidRPr="004D43AD" w:rsidRDefault="004D43AD" w:rsidP="004D43AD">
            <w:pPr>
              <w:keepNext/>
              <w:keepLines/>
              <w:spacing w:before="120" w:after="0" w:line="220" w:lineRule="atLeast"/>
              <w:ind w:left="6" w:right="28"/>
              <w:jc w:val="right"/>
              <w:rPr>
                <w:rFonts w:ascii="Arial" w:hAnsi="Arial" w:cs="Arial"/>
                <w:i/>
                <w:color w:val="1C1C1C"/>
                <w:sz w:val="20"/>
                <w:szCs w:val="20"/>
                <w:lang w:eastAsia="en-NZ"/>
              </w:rPr>
            </w:pPr>
            <w:r w:rsidRPr="004D43AD">
              <w:rPr>
                <w:rFonts w:ascii="Arial" w:hAnsi="Arial" w:cs="Arial"/>
                <w:i/>
                <w:color w:val="1C1C1C"/>
                <w:sz w:val="20"/>
                <w:szCs w:val="20"/>
                <w:lang w:eastAsia="en-NZ"/>
              </w:rPr>
              <w:t>ABS data</w:t>
            </w:r>
          </w:p>
        </w:tc>
        <w:tc>
          <w:tcPr>
            <w:tcW w:w="824" w:type="pct"/>
            <w:tcBorders>
              <w:top w:val="nil"/>
              <w:left w:val="nil"/>
              <w:bottom w:val="single" w:sz="6" w:space="0" w:color="auto"/>
              <w:right w:val="nil"/>
            </w:tcBorders>
            <w:shd w:val="clear" w:color="auto" w:fill="E7ECCE"/>
            <w:hideMark/>
          </w:tcPr>
          <w:p w:rsidR="004D43AD" w:rsidRPr="004D43AD" w:rsidRDefault="004D43AD" w:rsidP="004D43AD">
            <w:pPr>
              <w:keepNext/>
              <w:keepLines/>
              <w:spacing w:before="120" w:after="0" w:line="220" w:lineRule="atLeast"/>
              <w:ind w:left="6" w:right="28"/>
              <w:jc w:val="right"/>
              <w:rPr>
                <w:rFonts w:ascii="Arial" w:hAnsi="Arial" w:cs="Arial"/>
                <w:i/>
                <w:color w:val="1C1C1C"/>
                <w:sz w:val="20"/>
                <w:szCs w:val="20"/>
                <w:lang w:eastAsia="en-NZ"/>
              </w:rPr>
            </w:pPr>
            <w:proofErr w:type="spellStart"/>
            <w:r w:rsidRPr="004D43AD">
              <w:rPr>
                <w:rFonts w:ascii="Arial" w:hAnsi="Arial" w:cs="Arial"/>
                <w:i/>
                <w:color w:val="1C1C1C"/>
                <w:sz w:val="20"/>
                <w:szCs w:val="20"/>
                <w:lang w:eastAsia="en-NZ"/>
              </w:rPr>
              <w:t>SNZ</w:t>
            </w:r>
            <w:proofErr w:type="spellEnd"/>
            <w:r w:rsidRPr="004D43AD">
              <w:rPr>
                <w:rFonts w:ascii="Arial" w:hAnsi="Arial" w:cs="Arial"/>
                <w:i/>
                <w:color w:val="1C1C1C"/>
                <w:sz w:val="20"/>
                <w:szCs w:val="20"/>
                <w:lang w:eastAsia="en-NZ"/>
              </w:rPr>
              <w:t xml:space="preserve"> data</w:t>
            </w:r>
          </w:p>
        </w:tc>
      </w:tr>
      <w:tr w:rsidR="00AA010D" w:rsidRPr="004D43AD" w:rsidTr="00DD671C">
        <w:tc>
          <w:tcPr>
            <w:tcW w:w="1544" w:type="pct"/>
            <w:tcBorders>
              <w:top w:val="single" w:sz="6" w:space="0" w:color="auto"/>
              <w:left w:val="nil"/>
              <w:bottom w:val="nil"/>
              <w:right w:val="nil"/>
            </w:tcBorders>
            <w:hideMark/>
          </w:tcPr>
          <w:p w:rsidR="00AA010D" w:rsidRPr="004D43AD" w:rsidRDefault="00AA010D" w:rsidP="00F33FBD">
            <w:pPr>
              <w:keepNext/>
              <w:keepLines/>
              <w:spacing w:beforeLines="40" w:before="96" w:after="80" w:line="220" w:lineRule="atLeast"/>
              <w:ind w:left="6" w:right="113"/>
              <w:rPr>
                <w:rFonts w:ascii="Arial" w:hAnsi="Arial" w:cs="Arial"/>
                <w:color w:val="1C1C1C"/>
                <w:sz w:val="20"/>
                <w:szCs w:val="20"/>
                <w:lang w:eastAsia="en-NZ"/>
              </w:rPr>
            </w:pPr>
            <w:r w:rsidRPr="004D43AD">
              <w:rPr>
                <w:rFonts w:ascii="Arial" w:hAnsi="Arial" w:cs="Arial"/>
                <w:color w:val="1C1C1C"/>
                <w:sz w:val="20"/>
                <w:szCs w:val="20"/>
                <w:lang w:eastAsia="en-NZ"/>
              </w:rPr>
              <w:t>Low estimate</w:t>
            </w:r>
            <w:r w:rsidR="00F33FBD">
              <w:rPr>
                <w:rFonts w:ascii="Arial" w:hAnsi="Arial" w:cs="Arial"/>
                <w:color w:val="1C1C1C"/>
                <w:sz w:val="20"/>
                <w:szCs w:val="20"/>
                <w:lang w:eastAsia="en-NZ"/>
              </w:rPr>
              <w:br/>
            </w:r>
            <w:r w:rsidRPr="004D43AD">
              <w:rPr>
                <w:rFonts w:ascii="Arial" w:hAnsi="Arial" w:cs="Arial"/>
                <w:color w:val="1C1C1C"/>
                <w:sz w:val="20"/>
                <w:szCs w:val="20"/>
                <w:lang w:eastAsia="en-NZ"/>
              </w:rPr>
              <w:t>(Assuming 25% dividend distribution ratio, top marginal tax rate taxpayers)</w:t>
            </w:r>
          </w:p>
        </w:tc>
        <w:tc>
          <w:tcPr>
            <w:tcW w:w="835" w:type="pct"/>
            <w:tcBorders>
              <w:top w:val="single" w:sz="6" w:space="0" w:color="auto"/>
              <w:left w:val="nil"/>
              <w:bottom w:val="nil"/>
              <w:right w:val="nil"/>
            </w:tcBorders>
          </w:tcPr>
          <w:p w:rsidR="00AA010D" w:rsidRPr="004D43AD" w:rsidRDefault="00AA010D" w:rsidP="00AA010D">
            <w:pPr>
              <w:keepNext/>
              <w:keepLines/>
              <w:spacing w:beforeLines="40" w:before="96" w:after="40" w:line="220" w:lineRule="atLeast"/>
              <w:ind w:left="6" w:right="113"/>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sidR="009C153B">
              <w:rPr>
                <w:rFonts w:ascii="Arial" w:hAnsi="Arial" w:cs="Arial"/>
                <w:color w:val="1C1C1C"/>
                <w:sz w:val="20"/>
                <w:szCs w:val="20"/>
                <w:lang w:eastAsia="en-NZ"/>
              </w:rPr>
              <w:t>$</w:t>
            </w:r>
            <w:r w:rsidRPr="004D43AD">
              <w:rPr>
                <w:rFonts w:ascii="Arial" w:hAnsi="Arial" w:cs="Arial"/>
                <w:color w:val="1C1C1C"/>
                <w:sz w:val="20"/>
                <w:szCs w:val="20"/>
                <w:lang w:eastAsia="en-NZ"/>
              </w:rPr>
              <w:t>190m</w:t>
            </w:r>
            <w:proofErr w:type="spellEnd"/>
            <w:r w:rsidRPr="004D43AD">
              <w:rPr>
                <w:rFonts w:ascii="Arial" w:hAnsi="Arial" w:cs="Arial"/>
                <w:color w:val="1C1C1C"/>
                <w:sz w:val="20"/>
                <w:szCs w:val="20"/>
                <w:lang w:eastAsia="en-NZ"/>
              </w:rPr>
              <w:t xml:space="preserve"> </w:t>
            </w:r>
          </w:p>
        </w:tc>
        <w:tc>
          <w:tcPr>
            <w:tcW w:w="838" w:type="pct"/>
            <w:tcBorders>
              <w:top w:val="single" w:sz="6" w:space="0" w:color="auto"/>
              <w:left w:val="nil"/>
              <w:bottom w:val="nil"/>
              <w:right w:val="nil"/>
            </w:tcBorders>
          </w:tcPr>
          <w:p w:rsidR="00AA010D" w:rsidRPr="004D43AD" w:rsidRDefault="009C153B" w:rsidP="00AA010D">
            <w:pPr>
              <w:keepNext/>
              <w:keepLines/>
              <w:spacing w:beforeLines="40" w:before="96" w:after="40" w:line="220" w:lineRule="atLeast"/>
              <w:ind w:left="6" w:right="113"/>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Pr>
                <w:rFonts w:ascii="Arial" w:hAnsi="Arial" w:cs="Arial"/>
                <w:color w:val="1C1C1C"/>
                <w:sz w:val="20"/>
                <w:szCs w:val="20"/>
                <w:lang w:eastAsia="en-NZ"/>
              </w:rPr>
              <w:t>$</w:t>
            </w:r>
            <w:r w:rsidR="00AA010D" w:rsidRPr="004D43AD">
              <w:rPr>
                <w:rFonts w:ascii="Arial" w:hAnsi="Arial" w:cs="Arial"/>
                <w:color w:val="1C1C1C"/>
                <w:sz w:val="20"/>
                <w:szCs w:val="20"/>
                <w:lang w:eastAsia="en-NZ"/>
              </w:rPr>
              <w:t>275m</w:t>
            </w:r>
            <w:proofErr w:type="spellEnd"/>
          </w:p>
        </w:tc>
        <w:tc>
          <w:tcPr>
            <w:tcW w:w="959" w:type="pct"/>
            <w:tcBorders>
              <w:top w:val="single" w:sz="6" w:space="0" w:color="auto"/>
              <w:left w:val="nil"/>
              <w:bottom w:val="nil"/>
              <w:right w:val="nil"/>
            </w:tcBorders>
          </w:tcPr>
          <w:p w:rsidR="00AA010D" w:rsidRPr="004D43AD" w:rsidRDefault="009C153B" w:rsidP="00AA010D">
            <w:pPr>
              <w:keepNext/>
              <w:keepLines/>
              <w:spacing w:beforeLines="40" w:before="96" w:after="40" w:line="220" w:lineRule="atLeast"/>
              <w:ind w:left="6" w:right="28"/>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Pr>
                <w:rFonts w:ascii="Arial" w:hAnsi="Arial" w:cs="Arial"/>
                <w:color w:val="1C1C1C"/>
                <w:sz w:val="20"/>
                <w:szCs w:val="20"/>
                <w:lang w:eastAsia="en-NZ"/>
              </w:rPr>
              <w:t>$</w:t>
            </w:r>
            <w:r w:rsidR="00AA010D" w:rsidRPr="004D43AD">
              <w:rPr>
                <w:rFonts w:ascii="Arial" w:hAnsi="Arial" w:cs="Arial"/>
                <w:color w:val="1C1C1C"/>
                <w:sz w:val="20"/>
                <w:szCs w:val="20"/>
                <w:lang w:eastAsia="en-NZ"/>
              </w:rPr>
              <w:t>135m</w:t>
            </w:r>
            <w:proofErr w:type="spellEnd"/>
          </w:p>
        </w:tc>
        <w:tc>
          <w:tcPr>
            <w:tcW w:w="824" w:type="pct"/>
            <w:tcBorders>
              <w:top w:val="single" w:sz="6" w:space="0" w:color="auto"/>
              <w:left w:val="nil"/>
              <w:bottom w:val="nil"/>
              <w:right w:val="nil"/>
            </w:tcBorders>
          </w:tcPr>
          <w:p w:rsidR="00AA010D" w:rsidRPr="004D43AD" w:rsidRDefault="009C153B" w:rsidP="00AA010D">
            <w:pPr>
              <w:keepNext/>
              <w:keepLines/>
              <w:spacing w:beforeLines="40" w:before="96" w:after="40" w:line="220" w:lineRule="atLeast"/>
              <w:ind w:left="6" w:right="28"/>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Pr>
                <w:rFonts w:ascii="Arial" w:hAnsi="Arial" w:cs="Arial"/>
                <w:color w:val="1C1C1C"/>
                <w:sz w:val="20"/>
                <w:szCs w:val="20"/>
                <w:lang w:eastAsia="en-NZ"/>
              </w:rPr>
              <w:t>$</w:t>
            </w:r>
            <w:r w:rsidR="00AA010D" w:rsidRPr="004D43AD">
              <w:rPr>
                <w:rFonts w:ascii="Arial" w:hAnsi="Arial" w:cs="Arial"/>
                <w:color w:val="1C1C1C"/>
                <w:sz w:val="20"/>
                <w:szCs w:val="20"/>
                <w:lang w:eastAsia="en-NZ"/>
              </w:rPr>
              <w:t>100m</w:t>
            </w:r>
            <w:proofErr w:type="spellEnd"/>
          </w:p>
        </w:tc>
      </w:tr>
      <w:tr w:rsidR="00AA010D" w:rsidRPr="004D43AD" w:rsidTr="00DD671C">
        <w:tc>
          <w:tcPr>
            <w:tcW w:w="1544" w:type="pct"/>
            <w:tcBorders>
              <w:top w:val="nil"/>
              <w:left w:val="nil"/>
              <w:bottom w:val="single" w:sz="6" w:space="0" w:color="auto"/>
              <w:right w:val="nil"/>
            </w:tcBorders>
            <w:hideMark/>
          </w:tcPr>
          <w:p w:rsidR="00AA010D" w:rsidRPr="004D43AD" w:rsidRDefault="00AA010D" w:rsidP="00F33FBD">
            <w:pPr>
              <w:keepNext/>
              <w:keepLines/>
              <w:spacing w:before="80" w:after="80" w:line="220" w:lineRule="atLeast"/>
              <w:ind w:left="6" w:right="113"/>
              <w:rPr>
                <w:rFonts w:ascii="Arial" w:hAnsi="Arial" w:cs="Arial"/>
                <w:color w:val="1C1C1C"/>
                <w:sz w:val="20"/>
                <w:szCs w:val="20"/>
                <w:lang w:eastAsia="en-NZ"/>
              </w:rPr>
            </w:pPr>
            <w:r w:rsidRPr="004D43AD">
              <w:rPr>
                <w:rFonts w:ascii="Arial" w:hAnsi="Arial" w:cs="Arial"/>
                <w:color w:val="1C1C1C"/>
                <w:sz w:val="20"/>
                <w:szCs w:val="20"/>
                <w:lang w:eastAsia="en-NZ"/>
              </w:rPr>
              <w:t>High estimate</w:t>
            </w:r>
            <w:r w:rsidR="00F33FBD">
              <w:rPr>
                <w:rFonts w:ascii="Arial" w:hAnsi="Arial" w:cs="Arial"/>
                <w:color w:val="1C1C1C"/>
                <w:sz w:val="20"/>
                <w:szCs w:val="20"/>
                <w:lang w:eastAsia="en-NZ"/>
              </w:rPr>
              <w:br/>
            </w:r>
            <w:r w:rsidRPr="004D43AD">
              <w:rPr>
                <w:rFonts w:ascii="Arial" w:hAnsi="Arial" w:cs="Arial"/>
                <w:color w:val="1C1C1C"/>
                <w:sz w:val="20"/>
                <w:szCs w:val="20"/>
                <w:lang w:eastAsia="en-NZ"/>
              </w:rPr>
              <w:t>(Assuming 75% dividend distribution ratio, superannuation saving vehicle tax rate)</w:t>
            </w:r>
            <w:r w:rsidRPr="00DD671C">
              <w:rPr>
                <w:rStyle w:val="NoteLabel"/>
              </w:rPr>
              <w:t>a</w:t>
            </w:r>
          </w:p>
        </w:tc>
        <w:tc>
          <w:tcPr>
            <w:tcW w:w="835" w:type="pct"/>
            <w:tcBorders>
              <w:top w:val="nil"/>
              <w:left w:val="nil"/>
              <w:bottom w:val="single" w:sz="6" w:space="0" w:color="auto"/>
              <w:right w:val="nil"/>
            </w:tcBorders>
            <w:hideMark/>
          </w:tcPr>
          <w:p w:rsidR="00AA010D" w:rsidRPr="004D43AD" w:rsidRDefault="009C153B" w:rsidP="00DD671C">
            <w:pPr>
              <w:keepNext/>
              <w:keepLines/>
              <w:spacing w:before="40" w:after="40" w:line="220" w:lineRule="atLeast"/>
              <w:ind w:left="6" w:right="113"/>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Pr>
                <w:rFonts w:ascii="Arial" w:hAnsi="Arial" w:cs="Arial"/>
                <w:color w:val="1C1C1C"/>
                <w:sz w:val="20"/>
                <w:szCs w:val="20"/>
                <w:lang w:eastAsia="en-NZ"/>
              </w:rPr>
              <w:t>$</w:t>
            </w:r>
            <w:r w:rsidR="00AA010D" w:rsidRPr="004D43AD">
              <w:rPr>
                <w:rFonts w:ascii="Arial" w:hAnsi="Arial" w:cs="Arial"/>
                <w:color w:val="1C1C1C"/>
                <w:sz w:val="20"/>
                <w:szCs w:val="20"/>
                <w:lang w:eastAsia="en-NZ"/>
              </w:rPr>
              <w:t>750m</w:t>
            </w:r>
            <w:proofErr w:type="spellEnd"/>
          </w:p>
        </w:tc>
        <w:tc>
          <w:tcPr>
            <w:tcW w:w="838" w:type="pct"/>
            <w:tcBorders>
              <w:top w:val="nil"/>
              <w:left w:val="nil"/>
              <w:bottom w:val="single" w:sz="6" w:space="0" w:color="auto"/>
              <w:right w:val="nil"/>
            </w:tcBorders>
            <w:hideMark/>
          </w:tcPr>
          <w:p w:rsidR="00AA010D" w:rsidRPr="004D43AD" w:rsidRDefault="009C153B" w:rsidP="00DD671C">
            <w:pPr>
              <w:keepNext/>
              <w:keepLines/>
              <w:spacing w:before="40" w:after="40" w:line="220" w:lineRule="atLeast"/>
              <w:ind w:left="6" w:right="113"/>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Pr>
                <w:rFonts w:ascii="Arial" w:hAnsi="Arial" w:cs="Arial"/>
                <w:color w:val="1C1C1C"/>
                <w:sz w:val="20"/>
                <w:szCs w:val="20"/>
                <w:lang w:eastAsia="en-NZ"/>
              </w:rPr>
              <w:t>$</w:t>
            </w:r>
            <w:r w:rsidR="00AA010D" w:rsidRPr="004D43AD">
              <w:rPr>
                <w:rFonts w:ascii="Arial" w:hAnsi="Arial" w:cs="Arial"/>
                <w:color w:val="1C1C1C"/>
                <w:sz w:val="20"/>
                <w:szCs w:val="20"/>
                <w:lang w:eastAsia="en-NZ"/>
              </w:rPr>
              <w:t>1015m</w:t>
            </w:r>
            <w:proofErr w:type="spellEnd"/>
          </w:p>
        </w:tc>
        <w:tc>
          <w:tcPr>
            <w:tcW w:w="959" w:type="pct"/>
            <w:tcBorders>
              <w:top w:val="nil"/>
              <w:left w:val="nil"/>
              <w:bottom w:val="single" w:sz="6" w:space="0" w:color="auto"/>
              <w:right w:val="nil"/>
            </w:tcBorders>
            <w:hideMark/>
          </w:tcPr>
          <w:p w:rsidR="00AA010D" w:rsidRPr="004D43AD" w:rsidRDefault="009C153B" w:rsidP="00DD671C">
            <w:pPr>
              <w:keepNext/>
              <w:keepLines/>
              <w:spacing w:before="40" w:after="40" w:line="220" w:lineRule="atLeast"/>
              <w:ind w:left="6" w:right="28"/>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Pr>
                <w:rFonts w:ascii="Arial" w:hAnsi="Arial" w:cs="Arial"/>
                <w:color w:val="1C1C1C"/>
                <w:sz w:val="20"/>
                <w:szCs w:val="20"/>
                <w:lang w:eastAsia="en-NZ"/>
              </w:rPr>
              <w:t>$</w:t>
            </w:r>
            <w:r w:rsidR="00AA010D" w:rsidRPr="004D43AD">
              <w:rPr>
                <w:rFonts w:ascii="Arial" w:hAnsi="Arial" w:cs="Arial"/>
                <w:color w:val="1C1C1C"/>
                <w:sz w:val="20"/>
                <w:szCs w:val="20"/>
                <w:lang w:eastAsia="en-NZ"/>
              </w:rPr>
              <w:t>220m</w:t>
            </w:r>
            <w:proofErr w:type="spellEnd"/>
          </w:p>
        </w:tc>
        <w:tc>
          <w:tcPr>
            <w:tcW w:w="824" w:type="pct"/>
            <w:tcBorders>
              <w:top w:val="nil"/>
              <w:left w:val="nil"/>
              <w:bottom w:val="single" w:sz="6" w:space="0" w:color="auto"/>
              <w:right w:val="nil"/>
            </w:tcBorders>
            <w:hideMark/>
          </w:tcPr>
          <w:p w:rsidR="00AA010D" w:rsidRPr="004D43AD" w:rsidRDefault="009C153B" w:rsidP="00DD671C">
            <w:pPr>
              <w:keepNext/>
              <w:keepLines/>
              <w:spacing w:before="40" w:after="40" w:line="220" w:lineRule="atLeast"/>
              <w:ind w:left="6" w:right="28"/>
              <w:jc w:val="right"/>
              <w:rPr>
                <w:rFonts w:ascii="Arial" w:hAnsi="Arial" w:cs="Arial"/>
                <w:color w:val="1C1C1C"/>
                <w:sz w:val="20"/>
                <w:szCs w:val="20"/>
                <w:lang w:eastAsia="en-NZ"/>
              </w:rPr>
            </w:pPr>
            <w:proofErr w:type="spellStart"/>
            <w:r w:rsidRPr="004D43AD">
              <w:rPr>
                <w:rFonts w:ascii="Arial" w:hAnsi="Arial" w:cs="Arial"/>
                <w:color w:val="1C1C1C"/>
                <w:sz w:val="20"/>
                <w:szCs w:val="20"/>
                <w:lang w:eastAsia="en-NZ"/>
              </w:rPr>
              <w:t>NZ</w:t>
            </w:r>
            <w:r>
              <w:rPr>
                <w:rFonts w:ascii="Arial" w:hAnsi="Arial" w:cs="Arial"/>
                <w:color w:val="1C1C1C"/>
                <w:sz w:val="20"/>
                <w:szCs w:val="20"/>
                <w:lang w:eastAsia="en-NZ"/>
              </w:rPr>
              <w:t>$</w:t>
            </w:r>
            <w:r w:rsidR="00AA010D" w:rsidRPr="004D43AD">
              <w:rPr>
                <w:rFonts w:ascii="Arial" w:hAnsi="Arial" w:cs="Arial"/>
                <w:color w:val="1C1C1C"/>
                <w:sz w:val="20"/>
                <w:szCs w:val="20"/>
                <w:lang w:eastAsia="en-NZ"/>
              </w:rPr>
              <w:t>160m</w:t>
            </w:r>
            <w:proofErr w:type="spellEnd"/>
          </w:p>
        </w:tc>
      </w:tr>
    </w:tbl>
    <w:p w:rsidR="004D43AD" w:rsidRPr="004D43AD" w:rsidRDefault="004D43AD" w:rsidP="00637106">
      <w:pPr>
        <w:pStyle w:val="Note"/>
        <w:spacing w:before="60"/>
      </w:pPr>
      <w:r w:rsidRPr="00DD671C">
        <w:rPr>
          <w:rStyle w:val="NoteLabel"/>
        </w:rPr>
        <w:t>a</w:t>
      </w:r>
      <w:r w:rsidRPr="004D43AD">
        <w:rPr>
          <w:b/>
          <w:vertAlign w:val="superscript"/>
        </w:rPr>
        <w:t xml:space="preserve"> </w:t>
      </w:r>
      <w:r w:rsidRPr="004D43AD">
        <w:t>Superannuation funds in Australia and portfolio investment entity funds in New Zealand</w:t>
      </w:r>
      <w:r w:rsidR="00DD671C">
        <w:t>.</w:t>
      </w:r>
    </w:p>
    <w:p w:rsidR="00824CFC" w:rsidRDefault="00824CFC" w:rsidP="00637106">
      <w:pPr>
        <w:pStyle w:val="Source"/>
        <w:spacing w:before="60"/>
      </w:pPr>
      <w:r>
        <w:rPr>
          <w:i/>
        </w:rPr>
        <w:t>Source</w:t>
      </w:r>
      <w:r>
        <w:t xml:space="preserve">: New Zealand Inland Revenue Department (see </w:t>
      </w:r>
      <w:r w:rsidR="00DD671C">
        <w:t>a</w:t>
      </w:r>
      <w:r>
        <w:t xml:space="preserve">ppendix </w:t>
      </w:r>
      <w:proofErr w:type="spellStart"/>
      <w:r w:rsidR="00911ECB">
        <w:t>F.2</w:t>
      </w:r>
      <w:proofErr w:type="spellEnd"/>
      <w:r>
        <w:t>).</w:t>
      </w:r>
    </w:p>
    <w:p w:rsidR="005C3856" w:rsidRDefault="005D282E" w:rsidP="00716C07">
      <w:pPr>
        <w:pStyle w:val="BodyText"/>
      </w:pPr>
      <w:r>
        <w:lastRenderedPageBreak/>
        <w:t xml:space="preserve">The amounts involved in the latter case would be greater in Australia than in New Zealand </w:t>
      </w:r>
      <w:r w:rsidR="005C3856">
        <w:t xml:space="preserve">because </w:t>
      </w:r>
      <w:r>
        <w:t>Australia</w:t>
      </w:r>
      <w:r w:rsidR="005C3856">
        <w:t>n</w:t>
      </w:r>
      <w:r>
        <w:t xml:space="preserve"> super</w:t>
      </w:r>
      <w:r w:rsidR="00716C07">
        <w:t>annuation funds are taxed at 15 </w:t>
      </w:r>
      <w:proofErr w:type="spellStart"/>
      <w:r>
        <w:t>percent</w:t>
      </w:r>
      <w:proofErr w:type="spellEnd"/>
      <w:r>
        <w:t xml:space="preserve">, and also </w:t>
      </w:r>
      <w:r w:rsidR="005C3856">
        <w:t xml:space="preserve">receive </w:t>
      </w:r>
      <w:r>
        <w:t>tax refunds where imputation credits result in a negative shareholder tax liability.</w:t>
      </w:r>
      <w:r w:rsidR="000C3A89">
        <w:t xml:space="preserve"> </w:t>
      </w:r>
      <w:r>
        <w:t>In New Zealand</w:t>
      </w:r>
      <w:r w:rsidR="008B2C6A">
        <w:t>,</w:t>
      </w:r>
      <w:r>
        <w:t xml:space="preserve"> in the same situation</w:t>
      </w:r>
      <w:r w:rsidR="008B2C6A">
        <w:t>,</w:t>
      </w:r>
      <w:r>
        <w:t xml:space="preserve"> a taxpayer can carry forward imputation credits, as a credit against future years’ tax liabilities, but is not eligible for a refund.</w:t>
      </w:r>
    </w:p>
    <w:p w:rsidR="006D064B" w:rsidRDefault="005D282E" w:rsidP="00716C07">
      <w:pPr>
        <w:pStyle w:val="BodyText"/>
      </w:pPr>
      <w:r>
        <w:t xml:space="preserve">Another </w:t>
      </w:r>
      <w:r w:rsidR="00297048">
        <w:t xml:space="preserve">consideration is that </w:t>
      </w:r>
      <w:r w:rsidR="006D064B">
        <w:t>Australia has a capital gains tax whereas New Zealand does not. This means that, for Australia, a change in tax revenue resulting from a change in company distribution policies could have an offset in the amount of revenue raised from the capital gains tax. All other things equal, increased distributions would result in less appreciation in share prices and hence smaller capital gains tax receipts when shares are sold (the capital gains tax being applied on realisation rather than on an accruals basis).</w:t>
      </w:r>
    </w:p>
    <w:p w:rsidR="006D064B" w:rsidRDefault="006D064B" w:rsidP="00716C07">
      <w:pPr>
        <w:pStyle w:val="BodyText"/>
      </w:pPr>
      <w:r>
        <w:t xml:space="preserve">Further, </w:t>
      </w:r>
      <w:proofErr w:type="spellStart"/>
      <w:r w:rsidR="00297048">
        <w:t>MRIC</w:t>
      </w:r>
      <w:proofErr w:type="spellEnd"/>
      <w:r w:rsidR="00297048">
        <w:t xml:space="preserve"> </w:t>
      </w:r>
      <w:r>
        <w:t xml:space="preserve">would result in some </w:t>
      </w:r>
      <w:r w:rsidR="00297048">
        <w:t>wider</w:t>
      </w:r>
      <w:r w:rsidR="000C3A89">
        <w:t xml:space="preserve"> </w:t>
      </w:r>
      <w:r w:rsidR="00297048">
        <w:t xml:space="preserve">economic adjustments that would have </w:t>
      </w:r>
      <w:r w:rsidR="008B2C6A">
        <w:t xml:space="preserve">additional </w:t>
      </w:r>
      <w:r w:rsidR="00297048">
        <w:t>tax</w:t>
      </w:r>
      <w:r w:rsidR="008B2C6A">
        <w:t>-</w:t>
      </w:r>
      <w:r w:rsidR="00297048">
        <w:t xml:space="preserve">revenue implications. </w:t>
      </w:r>
      <w:r w:rsidR="008B2C6A">
        <w:t>As discussed, i</w:t>
      </w:r>
      <w:r w:rsidR="00297048">
        <w:t xml:space="preserve">ncreased post-tax rates of return on trans-Tasman investment </w:t>
      </w:r>
      <w:r w:rsidR="008B2C6A">
        <w:t xml:space="preserve">would </w:t>
      </w:r>
      <w:r w:rsidR="001854E3">
        <w:t xml:space="preserve">be expected (and indeed are intended) to </w:t>
      </w:r>
      <w:r w:rsidR="00297048">
        <w:t xml:space="preserve">result in reallocation </w:t>
      </w:r>
      <w:r>
        <w:t>of investment between the two countries, and between them and third countries</w:t>
      </w:r>
      <w:r w:rsidR="001854E3">
        <w:t xml:space="preserve">. This reallocation is necessarily </w:t>
      </w:r>
      <w:r>
        <w:t xml:space="preserve">associated </w:t>
      </w:r>
      <w:r w:rsidR="001854E3">
        <w:t xml:space="preserve">with </w:t>
      </w:r>
      <w:r>
        <w:t>movements in company income and hence corporate tax revenues</w:t>
      </w:r>
      <w:r w:rsidR="00297048">
        <w:t>.</w:t>
      </w:r>
      <w:r>
        <w:t xml:space="preserve"> </w:t>
      </w:r>
      <w:r w:rsidR="001854E3">
        <w:t>S</w:t>
      </w:r>
      <w:r>
        <w:t>hifts of investment would shift company income and hence company tax revenue from the country recognising credits to the country whose credits were recognised</w:t>
      </w:r>
      <w:r w:rsidR="00297048">
        <w:t xml:space="preserve"> (as outlined in </w:t>
      </w:r>
      <w:r w:rsidR="002963F1">
        <w:t xml:space="preserve">figure </w:t>
      </w:r>
      <w:proofErr w:type="spellStart"/>
      <w:r w:rsidR="002963F1">
        <w:t>F.</w:t>
      </w:r>
      <w:r w:rsidR="00297048">
        <w:t>2</w:t>
      </w:r>
      <w:proofErr w:type="spellEnd"/>
      <w:r w:rsidR="0033041E">
        <w:t xml:space="preserve"> in</w:t>
      </w:r>
      <w:r w:rsidR="00297048">
        <w:t xml:space="preserve"> box </w:t>
      </w:r>
      <w:proofErr w:type="spellStart"/>
      <w:r w:rsidR="00297048">
        <w:t>F</w:t>
      </w:r>
      <w:r w:rsidR="002A472B">
        <w:t>.</w:t>
      </w:r>
      <w:r w:rsidR="00297048">
        <w:t>3</w:t>
      </w:r>
      <w:proofErr w:type="spellEnd"/>
      <w:r w:rsidR="00297048">
        <w:t>)</w:t>
      </w:r>
      <w:r>
        <w:t>.</w:t>
      </w:r>
      <w:r w:rsidR="000C3A89">
        <w:t xml:space="preserve"> </w:t>
      </w:r>
      <w:r w:rsidR="00297048">
        <w:t xml:space="preserve">They </w:t>
      </w:r>
      <w:r w:rsidR="001854E3">
        <w:t>w</w:t>
      </w:r>
      <w:r w:rsidR="00297048">
        <w:t xml:space="preserve">ould also be expected to result in </w:t>
      </w:r>
      <w:r w:rsidR="001854E3">
        <w:t xml:space="preserve">adjustments </w:t>
      </w:r>
      <w:r w:rsidR="00297048">
        <w:t xml:space="preserve">in rates of return to capital and labour in each country (as outlined in box </w:t>
      </w:r>
      <w:proofErr w:type="spellStart"/>
      <w:r w:rsidR="00297048">
        <w:t>F</w:t>
      </w:r>
      <w:r w:rsidR="00513038">
        <w:t>.</w:t>
      </w:r>
      <w:r w:rsidR="00297048">
        <w:t>6</w:t>
      </w:r>
      <w:proofErr w:type="spellEnd"/>
      <w:r w:rsidR="00297048">
        <w:t>), with consequential effects on tax</w:t>
      </w:r>
      <w:r w:rsidR="008B2C6A">
        <w:t>es paid</w:t>
      </w:r>
      <w:r w:rsidR="00297048">
        <w:t xml:space="preserve"> both </w:t>
      </w:r>
      <w:r w:rsidR="008B2C6A">
        <w:t xml:space="preserve">by </w:t>
      </w:r>
      <w:r w:rsidR="00297048">
        <w:t>households (employees and shareholders) and companies.</w:t>
      </w:r>
      <w:r w:rsidR="000C3A89">
        <w:t xml:space="preserve"> </w:t>
      </w:r>
    </w:p>
    <w:p w:rsidR="004D43AD" w:rsidRDefault="006D064B" w:rsidP="006D064B">
      <w:pPr>
        <w:pStyle w:val="BodyText"/>
      </w:pPr>
      <w:r w:rsidRPr="000D5C4B">
        <w:t xml:space="preserve">Given the multiple interactions involved, economic modelling is required to gauge the </w:t>
      </w:r>
      <w:r w:rsidR="00297048">
        <w:t xml:space="preserve">tax revenue </w:t>
      </w:r>
      <w:r w:rsidRPr="000D5C4B">
        <w:t>effects</w:t>
      </w:r>
      <w:r w:rsidR="00297048">
        <w:t xml:space="preserve"> overall.</w:t>
      </w:r>
      <w:r w:rsidR="000C3A89">
        <w:t xml:space="preserve"> </w:t>
      </w:r>
      <w:r w:rsidR="004D43AD" w:rsidRPr="00AE538D">
        <w:t xml:space="preserve">Two </w:t>
      </w:r>
      <w:r w:rsidR="001854E3">
        <w:t xml:space="preserve">general equilibrium modelling exercises </w:t>
      </w:r>
      <w:r w:rsidR="004D43AD" w:rsidRPr="00AE538D">
        <w:t xml:space="preserve">were available to the Commissions, one </w:t>
      </w:r>
      <w:r w:rsidR="001854E3">
        <w:t xml:space="preserve">using CIE-G cubed </w:t>
      </w:r>
      <w:r w:rsidR="004D43AD" w:rsidRPr="00AE538D">
        <w:t>prepared by the Centre for International Economics (CIE) for the Australia New Zealand Leadership Forum (sub. 58) and the other purpose-built by the Australian Commission (supplementary paper G).</w:t>
      </w:r>
    </w:p>
    <w:p w:rsidR="006D064B" w:rsidRDefault="00297048" w:rsidP="006D064B">
      <w:pPr>
        <w:pStyle w:val="BodyText"/>
      </w:pPr>
      <w:r>
        <w:t xml:space="preserve">Model </w:t>
      </w:r>
      <w:r w:rsidR="006D064B" w:rsidRPr="000D5C4B">
        <w:t xml:space="preserve">estimates of the possible ‘all-up’ fiscal costs of </w:t>
      </w:r>
      <w:proofErr w:type="spellStart"/>
      <w:r w:rsidR="006D064B" w:rsidRPr="000D5C4B">
        <w:t>MRIC</w:t>
      </w:r>
      <w:proofErr w:type="spellEnd"/>
      <w:r w:rsidR="006D064B" w:rsidRPr="000D5C4B">
        <w:t xml:space="preserve"> (combined first and second</w:t>
      </w:r>
      <w:r w:rsidR="00412D10">
        <w:t>-</w:t>
      </w:r>
      <w:r w:rsidR="006D064B" w:rsidRPr="000D5C4B">
        <w:t xml:space="preserve">round effects for each government) are presented in </w:t>
      </w:r>
      <w:r w:rsidR="00D62E2D">
        <w:t xml:space="preserve">table </w:t>
      </w:r>
      <w:proofErr w:type="spellStart"/>
      <w:r w:rsidR="00D62E2D">
        <w:t>F.3</w:t>
      </w:r>
      <w:proofErr w:type="spellEnd"/>
      <w:r>
        <w:t>.</w:t>
      </w:r>
      <w:r w:rsidR="001C0B02">
        <w:t xml:space="preserve"> The ranges reflect variations in the dividend distribution ratio and other parameters</w:t>
      </w:r>
      <w:r>
        <w:t>.</w:t>
      </w:r>
    </w:p>
    <w:p w:rsidR="00297048" w:rsidRPr="00B210D4" w:rsidRDefault="00D62E2D" w:rsidP="00B210D4">
      <w:pPr>
        <w:pStyle w:val="TableTitle"/>
        <w:rPr>
          <w:b w:val="0"/>
          <w:szCs w:val="24"/>
          <w:lang w:val="en-AU" w:eastAsia="en-AU"/>
        </w:rPr>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sidR="001854E3">
        <w:rPr>
          <w:b w:val="0"/>
        </w:rPr>
        <w:t>3</w:t>
      </w:r>
      <w:proofErr w:type="spellEnd"/>
      <w:r w:rsidR="00297048" w:rsidRPr="00B210D4">
        <w:rPr>
          <w:b w:val="0"/>
        </w:rPr>
        <w:tab/>
      </w:r>
      <w:r w:rsidR="00297048" w:rsidRPr="00B210D4">
        <w:t xml:space="preserve">Modelling results: impact </w:t>
      </w:r>
      <w:r w:rsidR="00793E48" w:rsidRPr="00B210D4">
        <w:t xml:space="preserve">of </w:t>
      </w:r>
      <w:proofErr w:type="spellStart"/>
      <w:r w:rsidR="00793E48" w:rsidRPr="00B210D4">
        <w:t>MRIC</w:t>
      </w:r>
      <w:proofErr w:type="spellEnd"/>
      <w:r w:rsidR="00793E48" w:rsidRPr="00B210D4">
        <w:t xml:space="preserve"> </w:t>
      </w:r>
      <w:r w:rsidR="00B210D4" w:rsidRPr="00B210D4">
        <w:t xml:space="preserve">on </w:t>
      </w:r>
      <w:r w:rsidR="000C1B7D">
        <w:t xml:space="preserve">annual </w:t>
      </w:r>
      <w:r w:rsidR="00B210D4" w:rsidRPr="00B210D4">
        <w:t>tax revenue</w:t>
      </w:r>
    </w:p>
    <w:p w:rsidR="00297048" w:rsidRPr="00B210D4" w:rsidRDefault="001C0B02" w:rsidP="00B210D4">
      <w:pPr>
        <w:pStyle w:val="Subtitle"/>
        <w:rPr>
          <w:szCs w:val="24"/>
          <w:lang w:val="en-AU" w:eastAsia="en-AU"/>
        </w:rPr>
      </w:pPr>
      <w:r w:rsidRPr="001C0B02">
        <w:rPr>
          <w:sz w:val="24"/>
        </w:rPr>
        <w:t>2012</w:t>
      </w:r>
      <w:r>
        <w:rPr>
          <w:b/>
          <w:sz w:val="24"/>
        </w:rPr>
        <w:t xml:space="preserve"> </w:t>
      </w:r>
      <w:proofErr w:type="spellStart"/>
      <w:r w:rsidR="008A51CD" w:rsidRPr="008A51CD">
        <w:rPr>
          <w:sz w:val="24"/>
        </w:rPr>
        <w:t>NZ</w:t>
      </w:r>
      <w:r w:rsidR="00297048" w:rsidRPr="00297048">
        <w:rPr>
          <w:sz w:val="24"/>
        </w:rPr>
        <w:t>$m</w:t>
      </w:r>
      <w:proofErr w:type="spellEnd"/>
    </w:p>
    <w:tbl>
      <w:tblPr>
        <w:tblW w:w="4854" w:type="pct"/>
        <w:tblCellMar>
          <w:left w:w="0" w:type="dxa"/>
          <w:right w:w="0" w:type="dxa"/>
        </w:tblCellMar>
        <w:tblLook w:val="04A0" w:firstRow="1" w:lastRow="0" w:firstColumn="1" w:lastColumn="0" w:noHBand="0" w:noVBand="1"/>
      </w:tblPr>
      <w:tblGrid>
        <w:gridCol w:w="2694"/>
        <w:gridCol w:w="1572"/>
        <w:gridCol w:w="2068"/>
        <w:gridCol w:w="2198"/>
      </w:tblGrid>
      <w:tr w:rsidR="00297048" w:rsidRPr="00297048" w:rsidTr="00F33FBD">
        <w:tc>
          <w:tcPr>
            <w:tcW w:w="1579" w:type="pct"/>
            <w:tcBorders>
              <w:top w:val="single" w:sz="6" w:space="0" w:color="auto"/>
              <w:left w:val="nil"/>
              <w:bottom w:val="single" w:sz="6" w:space="0" w:color="auto"/>
              <w:right w:val="nil"/>
            </w:tcBorders>
            <w:shd w:val="clear" w:color="auto" w:fill="E7ECCE"/>
          </w:tcPr>
          <w:p w:rsidR="00297048" w:rsidRPr="00297048" w:rsidRDefault="00297048" w:rsidP="00B210D4">
            <w:pPr>
              <w:pStyle w:val="TableColumnHeading"/>
              <w:jc w:val="left"/>
            </w:pPr>
          </w:p>
        </w:tc>
        <w:tc>
          <w:tcPr>
            <w:tcW w:w="921" w:type="pct"/>
            <w:tcBorders>
              <w:top w:val="single" w:sz="6" w:space="0" w:color="auto"/>
              <w:left w:val="nil"/>
              <w:bottom w:val="single" w:sz="6" w:space="0" w:color="auto"/>
              <w:right w:val="nil"/>
            </w:tcBorders>
            <w:shd w:val="clear" w:color="auto" w:fill="E7ECCE"/>
            <w:hideMark/>
          </w:tcPr>
          <w:p w:rsidR="00297048" w:rsidRPr="00297048" w:rsidRDefault="00297048" w:rsidP="00B210D4">
            <w:pPr>
              <w:pStyle w:val="TableColumnHeading"/>
            </w:pPr>
            <w:r w:rsidRPr="00297048">
              <w:t>Trans-Tasman</w:t>
            </w:r>
          </w:p>
        </w:tc>
        <w:tc>
          <w:tcPr>
            <w:tcW w:w="1212" w:type="pct"/>
            <w:tcBorders>
              <w:top w:val="single" w:sz="6" w:space="0" w:color="auto"/>
              <w:left w:val="nil"/>
              <w:bottom w:val="single" w:sz="6" w:space="0" w:color="auto"/>
              <w:right w:val="nil"/>
            </w:tcBorders>
            <w:shd w:val="clear" w:color="auto" w:fill="E7ECCE"/>
            <w:hideMark/>
          </w:tcPr>
          <w:p w:rsidR="00297048" w:rsidRPr="00297048" w:rsidRDefault="00297048" w:rsidP="00B210D4">
            <w:pPr>
              <w:pStyle w:val="TableColumnHeading"/>
            </w:pPr>
            <w:r w:rsidRPr="00297048">
              <w:t>Australia</w:t>
            </w:r>
          </w:p>
        </w:tc>
        <w:tc>
          <w:tcPr>
            <w:tcW w:w="1288" w:type="pct"/>
            <w:tcBorders>
              <w:top w:val="single" w:sz="6" w:space="0" w:color="auto"/>
              <w:left w:val="nil"/>
              <w:bottom w:val="single" w:sz="6" w:space="0" w:color="auto"/>
              <w:right w:val="nil"/>
            </w:tcBorders>
            <w:shd w:val="clear" w:color="auto" w:fill="E7ECCE"/>
            <w:hideMark/>
          </w:tcPr>
          <w:p w:rsidR="00297048" w:rsidRPr="00297048" w:rsidRDefault="00297048" w:rsidP="00B210D4">
            <w:pPr>
              <w:pStyle w:val="TableColumnHeading"/>
            </w:pPr>
            <w:r w:rsidRPr="00297048">
              <w:t>New Zealand</w:t>
            </w:r>
          </w:p>
        </w:tc>
      </w:tr>
      <w:tr w:rsidR="00297048" w:rsidRPr="00297048" w:rsidTr="00B210D4">
        <w:tc>
          <w:tcPr>
            <w:tcW w:w="1579" w:type="pct"/>
            <w:tcBorders>
              <w:top w:val="single" w:sz="6" w:space="0" w:color="auto"/>
              <w:left w:val="nil"/>
              <w:bottom w:val="nil"/>
              <w:right w:val="nil"/>
            </w:tcBorders>
            <w:hideMark/>
          </w:tcPr>
          <w:p w:rsidR="00297048" w:rsidRPr="00297048" w:rsidRDefault="00297048" w:rsidP="00B210D4">
            <w:pPr>
              <w:pStyle w:val="TableUnitsRow"/>
              <w:jc w:val="left"/>
            </w:pPr>
            <w:r w:rsidRPr="00297048">
              <w:t>CIE model</w:t>
            </w:r>
            <w:r w:rsidR="00B210D4" w:rsidRPr="00F33FBD">
              <w:rPr>
                <w:rStyle w:val="NoteLabel"/>
              </w:rPr>
              <w:t>a</w:t>
            </w:r>
          </w:p>
        </w:tc>
        <w:tc>
          <w:tcPr>
            <w:tcW w:w="3421" w:type="pct"/>
            <w:gridSpan w:val="3"/>
            <w:tcBorders>
              <w:top w:val="single" w:sz="6" w:space="0" w:color="auto"/>
              <w:left w:val="nil"/>
              <w:bottom w:val="nil"/>
              <w:right w:val="nil"/>
            </w:tcBorders>
          </w:tcPr>
          <w:p w:rsidR="00297048" w:rsidRPr="00297048" w:rsidRDefault="00297048" w:rsidP="00B210D4">
            <w:pPr>
              <w:pStyle w:val="TableUnitsRow"/>
              <w:rPr>
                <w:i/>
              </w:rPr>
            </w:pPr>
          </w:p>
        </w:tc>
      </w:tr>
      <w:tr w:rsidR="00297048" w:rsidRPr="00297048" w:rsidTr="00B210D4">
        <w:tc>
          <w:tcPr>
            <w:tcW w:w="1579" w:type="pct"/>
            <w:hideMark/>
          </w:tcPr>
          <w:p w:rsidR="00297048" w:rsidRPr="00297048" w:rsidRDefault="00297048" w:rsidP="00B210D4">
            <w:pPr>
              <w:pStyle w:val="TableBodyText"/>
              <w:ind w:left="284"/>
              <w:jc w:val="left"/>
            </w:pPr>
            <w:r w:rsidRPr="00297048">
              <w:t>First round</w:t>
            </w:r>
          </w:p>
        </w:tc>
        <w:tc>
          <w:tcPr>
            <w:tcW w:w="921" w:type="pct"/>
            <w:hideMark/>
          </w:tcPr>
          <w:p w:rsidR="00297048" w:rsidRPr="00297048" w:rsidRDefault="00A2640F" w:rsidP="00B210D4">
            <w:pPr>
              <w:pStyle w:val="TableBodyText"/>
            </w:pPr>
            <w:r>
              <w:t>-325 to -975</w:t>
            </w:r>
          </w:p>
        </w:tc>
        <w:tc>
          <w:tcPr>
            <w:tcW w:w="1212" w:type="pct"/>
            <w:hideMark/>
          </w:tcPr>
          <w:p w:rsidR="00297048" w:rsidRPr="00297048" w:rsidRDefault="00297048" w:rsidP="00B210D4">
            <w:pPr>
              <w:pStyle w:val="TableBodyText"/>
            </w:pPr>
            <w:r w:rsidRPr="00297048">
              <w:t>-2</w:t>
            </w:r>
            <w:r w:rsidR="00A2640F">
              <w:t>47</w:t>
            </w:r>
            <w:r w:rsidRPr="00297048">
              <w:t xml:space="preserve"> to -</w:t>
            </w:r>
            <w:r w:rsidR="00A2640F">
              <w:t>741</w:t>
            </w:r>
          </w:p>
        </w:tc>
        <w:tc>
          <w:tcPr>
            <w:tcW w:w="1288" w:type="pct"/>
            <w:hideMark/>
          </w:tcPr>
          <w:p w:rsidR="00297048" w:rsidRPr="00297048" w:rsidRDefault="00297048" w:rsidP="00B210D4">
            <w:pPr>
              <w:pStyle w:val="TableBodyText"/>
            </w:pPr>
            <w:r w:rsidRPr="00297048">
              <w:t>-64 to -257</w:t>
            </w:r>
          </w:p>
        </w:tc>
      </w:tr>
      <w:tr w:rsidR="00297048" w:rsidRPr="00297048" w:rsidTr="00B210D4">
        <w:tc>
          <w:tcPr>
            <w:tcW w:w="1579" w:type="pct"/>
            <w:hideMark/>
          </w:tcPr>
          <w:p w:rsidR="00297048" w:rsidRPr="00297048" w:rsidRDefault="00297048" w:rsidP="00B210D4">
            <w:pPr>
              <w:pStyle w:val="TableBodyText"/>
              <w:ind w:left="284"/>
              <w:jc w:val="left"/>
            </w:pPr>
            <w:r w:rsidRPr="00297048">
              <w:t xml:space="preserve">Long run equilibrium </w:t>
            </w:r>
          </w:p>
        </w:tc>
        <w:tc>
          <w:tcPr>
            <w:tcW w:w="921" w:type="pct"/>
            <w:hideMark/>
          </w:tcPr>
          <w:p w:rsidR="00297048" w:rsidRPr="00297048" w:rsidRDefault="001854E3" w:rsidP="001854E3">
            <w:pPr>
              <w:pStyle w:val="TableBodyText"/>
              <w:ind w:right="0"/>
            </w:pPr>
            <w:r>
              <w:t xml:space="preserve">Not </w:t>
            </w:r>
            <w:proofErr w:type="spellStart"/>
            <w:r>
              <w:t>reported</w:t>
            </w:r>
            <w:r w:rsidR="00B210D4">
              <w:rPr>
                <w:b/>
                <w:sz w:val="24"/>
                <w:szCs w:val="24"/>
                <w:vertAlign w:val="superscript"/>
              </w:rPr>
              <w:t>b</w:t>
            </w:r>
            <w:proofErr w:type="spellEnd"/>
          </w:p>
        </w:tc>
        <w:tc>
          <w:tcPr>
            <w:tcW w:w="1212" w:type="pct"/>
            <w:hideMark/>
          </w:tcPr>
          <w:p w:rsidR="00297048" w:rsidRPr="00297048" w:rsidRDefault="001854E3" w:rsidP="001854E3">
            <w:pPr>
              <w:pStyle w:val="TableBodyText"/>
              <w:ind w:right="0"/>
            </w:pPr>
            <w:r>
              <w:t xml:space="preserve">Not </w:t>
            </w:r>
            <w:proofErr w:type="spellStart"/>
            <w:r>
              <w:t>reported</w:t>
            </w:r>
            <w:r w:rsidR="00B210D4">
              <w:rPr>
                <w:rFonts w:ascii="Arial Bold" w:hAnsi="Arial Bold"/>
                <w:sz w:val="24"/>
                <w:vertAlign w:val="superscript"/>
              </w:rPr>
              <w:t>b</w:t>
            </w:r>
            <w:proofErr w:type="spellEnd"/>
          </w:p>
        </w:tc>
        <w:tc>
          <w:tcPr>
            <w:tcW w:w="1288" w:type="pct"/>
            <w:hideMark/>
          </w:tcPr>
          <w:p w:rsidR="00297048" w:rsidRPr="00297048" w:rsidRDefault="001854E3" w:rsidP="001854E3">
            <w:pPr>
              <w:pStyle w:val="TableBodyText"/>
              <w:ind w:right="0"/>
            </w:pPr>
            <w:r>
              <w:t xml:space="preserve">Not </w:t>
            </w:r>
            <w:proofErr w:type="spellStart"/>
            <w:r>
              <w:t>reported</w:t>
            </w:r>
            <w:r w:rsidR="00B210D4">
              <w:rPr>
                <w:rFonts w:ascii="Arial Bold" w:hAnsi="Arial Bold"/>
                <w:sz w:val="24"/>
                <w:vertAlign w:val="superscript"/>
              </w:rPr>
              <w:t>b</w:t>
            </w:r>
            <w:proofErr w:type="spellEnd"/>
          </w:p>
        </w:tc>
      </w:tr>
      <w:tr w:rsidR="00297048" w:rsidRPr="00297048" w:rsidTr="00B210D4">
        <w:tc>
          <w:tcPr>
            <w:tcW w:w="1579" w:type="pct"/>
            <w:hideMark/>
          </w:tcPr>
          <w:p w:rsidR="00297048" w:rsidRPr="008A51CD" w:rsidRDefault="00297048" w:rsidP="001854E3">
            <w:pPr>
              <w:pStyle w:val="TableUnitsRow"/>
              <w:jc w:val="left"/>
              <w:rPr>
                <w:rFonts w:ascii="Arial Bold" w:hAnsi="Arial Bold"/>
                <w:vertAlign w:val="superscript"/>
              </w:rPr>
            </w:pPr>
            <w:proofErr w:type="spellStart"/>
            <w:r w:rsidRPr="00297048">
              <w:t>SMRIC</w:t>
            </w:r>
            <w:proofErr w:type="spellEnd"/>
            <w:r w:rsidRPr="00297048">
              <w:t xml:space="preserve"> </w:t>
            </w:r>
            <w:proofErr w:type="spellStart"/>
            <w:r w:rsidRPr="00297048">
              <w:t>model</w:t>
            </w:r>
            <w:r w:rsidR="00B210D4" w:rsidRPr="004D43AD">
              <w:rPr>
                <w:rFonts w:ascii="Arial Bold" w:hAnsi="Arial Bold"/>
                <w:sz w:val="24"/>
                <w:szCs w:val="24"/>
                <w:vertAlign w:val="superscript"/>
              </w:rPr>
              <w:t>c</w:t>
            </w:r>
            <w:proofErr w:type="spellEnd"/>
          </w:p>
        </w:tc>
        <w:tc>
          <w:tcPr>
            <w:tcW w:w="3421" w:type="pct"/>
            <w:gridSpan w:val="3"/>
          </w:tcPr>
          <w:p w:rsidR="00297048" w:rsidRPr="00297048" w:rsidRDefault="00297048" w:rsidP="00B210D4">
            <w:pPr>
              <w:pStyle w:val="TableUnitsRow"/>
              <w:rPr>
                <w:i/>
              </w:rPr>
            </w:pPr>
          </w:p>
        </w:tc>
      </w:tr>
      <w:tr w:rsidR="00297048" w:rsidRPr="00297048" w:rsidTr="00B210D4">
        <w:tc>
          <w:tcPr>
            <w:tcW w:w="1579" w:type="pct"/>
            <w:hideMark/>
          </w:tcPr>
          <w:p w:rsidR="00297048" w:rsidRPr="00297048" w:rsidRDefault="00297048" w:rsidP="00B210D4">
            <w:pPr>
              <w:pStyle w:val="TableBodyText"/>
              <w:ind w:left="284"/>
              <w:jc w:val="left"/>
            </w:pPr>
            <w:r w:rsidRPr="00297048">
              <w:t>First round</w:t>
            </w:r>
          </w:p>
        </w:tc>
        <w:tc>
          <w:tcPr>
            <w:tcW w:w="921" w:type="pct"/>
            <w:hideMark/>
          </w:tcPr>
          <w:p w:rsidR="00297048" w:rsidRPr="00297048" w:rsidRDefault="00D16F98" w:rsidP="00B210D4">
            <w:pPr>
              <w:pStyle w:val="TableBodyText"/>
            </w:pPr>
            <w:r>
              <w:rPr>
                <w:rFonts w:cs="Arial"/>
              </w:rPr>
              <w:t xml:space="preserve"> </w:t>
            </w:r>
            <w:r w:rsidR="00447329" w:rsidRPr="00813859">
              <w:rPr>
                <w:rFonts w:cs="Arial"/>
              </w:rPr>
              <w:t xml:space="preserve">-254 to </w:t>
            </w:r>
            <w:r w:rsidR="00297048" w:rsidRPr="00813859">
              <w:rPr>
                <w:rFonts w:cs="Arial"/>
              </w:rPr>
              <w:t>-</w:t>
            </w:r>
            <w:r w:rsidR="00447329" w:rsidRPr="00813859">
              <w:rPr>
                <w:rFonts w:cs="Arial"/>
              </w:rPr>
              <w:t>1260</w:t>
            </w:r>
          </w:p>
        </w:tc>
        <w:tc>
          <w:tcPr>
            <w:tcW w:w="1212" w:type="pct"/>
            <w:hideMark/>
          </w:tcPr>
          <w:p w:rsidR="00297048" w:rsidRPr="00297048" w:rsidRDefault="00813859" w:rsidP="00B210D4">
            <w:pPr>
              <w:pStyle w:val="TableBodyText"/>
            </w:pPr>
            <w:r>
              <w:t>-194 to -782</w:t>
            </w:r>
          </w:p>
        </w:tc>
        <w:tc>
          <w:tcPr>
            <w:tcW w:w="1288" w:type="pct"/>
            <w:hideMark/>
          </w:tcPr>
          <w:p w:rsidR="00297048" w:rsidRPr="00297048" w:rsidRDefault="00813859" w:rsidP="00B210D4">
            <w:pPr>
              <w:pStyle w:val="TableBodyText"/>
            </w:pPr>
            <w:r>
              <w:t xml:space="preserve">-62 to </w:t>
            </w:r>
            <w:r w:rsidR="00297048" w:rsidRPr="00297048">
              <w:t>-</w:t>
            </w:r>
            <w:r>
              <w:t>477</w:t>
            </w:r>
          </w:p>
        </w:tc>
      </w:tr>
      <w:tr w:rsidR="00297048" w:rsidRPr="00297048" w:rsidTr="004D43AD">
        <w:trPr>
          <w:trHeight w:val="207"/>
        </w:trPr>
        <w:tc>
          <w:tcPr>
            <w:tcW w:w="1579" w:type="pct"/>
            <w:tcBorders>
              <w:top w:val="nil"/>
              <w:left w:val="nil"/>
              <w:bottom w:val="single" w:sz="6" w:space="0" w:color="auto"/>
              <w:right w:val="nil"/>
            </w:tcBorders>
            <w:hideMark/>
          </w:tcPr>
          <w:p w:rsidR="00297048" w:rsidRPr="00297048" w:rsidRDefault="00297048" w:rsidP="00B210D4">
            <w:pPr>
              <w:pStyle w:val="TableBodyText"/>
              <w:spacing w:after="80"/>
              <w:ind w:left="284"/>
              <w:jc w:val="left"/>
            </w:pPr>
            <w:r w:rsidRPr="00297048">
              <w:t xml:space="preserve">Long run equilibrium </w:t>
            </w:r>
          </w:p>
        </w:tc>
        <w:tc>
          <w:tcPr>
            <w:tcW w:w="921" w:type="pct"/>
            <w:tcBorders>
              <w:top w:val="nil"/>
              <w:left w:val="nil"/>
              <w:bottom w:val="single" w:sz="6" w:space="0" w:color="auto"/>
              <w:right w:val="nil"/>
            </w:tcBorders>
            <w:hideMark/>
          </w:tcPr>
          <w:p w:rsidR="00297048" w:rsidRPr="00297048" w:rsidRDefault="00297048" w:rsidP="00B210D4">
            <w:pPr>
              <w:pStyle w:val="TableBodyText"/>
              <w:spacing w:after="80"/>
            </w:pPr>
            <w:r>
              <w:t>-38</w:t>
            </w:r>
            <w:r w:rsidR="00EA2879">
              <w:t>6</w:t>
            </w:r>
            <w:r>
              <w:t xml:space="preserve"> to </w:t>
            </w:r>
            <w:r w:rsidRPr="00297048">
              <w:t>-1</w:t>
            </w:r>
            <w:r w:rsidR="00B210D4">
              <w:t> </w:t>
            </w:r>
            <w:r w:rsidR="00EA2879">
              <w:t>805</w:t>
            </w:r>
            <w:r w:rsidRPr="00297048">
              <w:t xml:space="preserve"> </w:t>
            </w:r>
          </w:p>
        </w:tc>
        <w:tc>
          <w:tcPr>
            <w:tcW w:w="1212" w:type="pct"/>
            <w:tcBorders>
              <w:top w:val="nil"/>
              <w:left w:val="nil"/>
              <w:bottom w:val="single" w:sz="6" w:space="0" w:color="auto"/>
              <w:right w:val="nil"/>
            </w:tcBorders>
            <w:hideMark/>
          </w:tcPr>
          <w:p w:rsidR="00297048" w:rsidRPr="00297048" w:rsidRDefault="00297048" w:rsidP="00B210D4">
            <w:pPr>
              <w:pStyle w:val="TableBodyText"/>
              <w:spacing w:after="80"/>
            </w:pPr>
            <w:r>
              <w:t xml:space="preserve">- </w:t>
            </w:r>
            <w:r w:rsidR="00EA2879">
              <w:t>222</w:t>
            </w:r>
            <w:r>
              <w:t xml:space="preserve"> to </w:t>
            </w:r>
            <w:r w:rsidRPr="00297048">
              <w:t>-1</w:t>
            </w:r>
            <w:r w:rsidR="00EA2879">
              <w:t>626</w:t>
            </w:r>
            <w:r w:rsidRPr="00297048">
              <w:t xml:space="preserve"> </w:t>
            </w:r>
          </w:p>
        </w:tc>
        <w:tc>
          <w:tcPr>
            <w:tcW w:w="1288" w:type="pct"/>
            <w:tcBorders>
              <w:top w:val="nil"/>
              <w:left w:val="nil"/>
              <w:bottom w:val="single" w:sz="6" w:space="0" w:color="auto"/>
              <w:right w:val="nil"/>
            </w:tcBorders>
            <w:hideMark/>
          </w:tcPr>
          <w:p w:rsidR="00297048" w:rsidRPr="00297048" w:rsidRDefault="00297048" w:rsidP="00B210D4">
            <w:pPr>
              <w:pStyle w:val="TableBodyText"/>
              <w:spacing w:after="80"/>
            </w:pPr>
            <w:r>
              <w:t>+1</w:t>
            </w:r>
            <w:r w:rsidR="006F2CF4">
              <w:t>6</w:t>
            </w:r>
            <w:r>
              <w:t xml:space="preserve">8 to </w:t>
            </w:r>
            <w:r w:rsidRPr="00297048">
              <w:t>-</w:t>
            </w:r>
            <w:r w:rsidR="006F2CF4">
              <w:t>859</w:t>
            </w:r>
          </w:p>
        </w:tc>
      </w:tr>
    </w:tbl>
    <w:p w:rsidR="006F2CF4" w:rsidRPr="00297048" w:rsidRDefault="00297048" w:rsidP="006F2CF4">
      <w:pPr>
        <w:keepLines/>
        <w:spacing w:before="80" w:after="0" w:line="220" w:lineRule="exact"/>
        <w:jc w:val="both"/>
        <w:rPr>
          <w:rFonts w:ascii="Arial" w:eastAsiaTheme="majorEastAsia" w:hAnsi="Arial"/>
          <w:color w:val="1C1C1C"/>
          <w:sz w:val="18"/>
          <w:szCs w:val="20"/>
          <w:lang w:val="en-AU" w:eastAsia="en-AU"/>
        </w:rPr>
      </w:pPr>
      <w:r w:rsidRPr="00B210D4">
        <w:rPr>
          <w:rStyle w:val="NoteLabel"/>
          <w:color w:val="1C1C1C"/>
          <w:szCs w:val="20"/>
          <w:lang w:val="en-AU" w:eastAsia="en-AU"/>
        </w:rPr>
        <w:t>a</w:t>
      </w:r>
      <w:r w:rsidR="00B210D4">
        <w:rPr>
          <w:rFonts w:ascii="Arial" w:hAnsi="Arial"/>
          <w:color w:val="1C1C1C"/>
          <w:sz w:val="18"/>
          <w:szCs w:val="20"/>
          <w:lang w:val="en-AU" w:eastAsia="en-AU"/>
        </w:rPr>
        <w:t> </w:t>
      </w:r>
      <w:r w:rsidR="006F2CF4" w:rsidRPr="006F2CF4">
        <w:rPr>
          <w:rFonts w:ascii="Arial" w:hAnsi="Arial"/>
          <w:b/>
          <w:color w:val="1C1C1C"/>
          <w:sz w:val="18"/>
          <w:szCs w:val="20"/>
          <w:lang w:val="en-AU" w:eastAsia="en-AU"/>
        </w:rPr>
        <w:t>CIE</w:t>
      </w:r>
      <w:r w:rsidR="006F2CF4">
        <w:rPr>
          <w:rFonts w:ascii="Arial" w:hAnsi="Arial"/>
          <w:color w:val="1C1C1C"/>
          <w:sz w:val="18"/>
          <w:szCs w:val="20"/>
          <w:lang w:val="en-AU" w:eastAsia="en-AU"/>
        </w:rPr>
        <w:t xml:space="preserve"> is the Centre for International Economics.</w:t>
      </w:r>
      <w:r w:rsidR="00D16F98">
        <w:rPr>
          <w:rFonts w:ascii="Arial" w:hAnsi="Arial"/>
          <w:color w:val="1C1C1C"/>
          <w:sz w:val="18"/>
          <w:szCs w:val="20"/>
          <w:lang w:val="en-AU" w:eastAsia="en-AU"/>
        </w:rPr>
        <w:t xml:space="preserve"> </w:t>
      </w:r>
      <w:r w:rsidR="006F2CF4">
        <w:rPr>
          <w:rFonts w:ascii="Arial" w:hAnsi="Arial"/>
          <w:color w:val="1C1C1C"/>
          <w:sz w:val="18"/>
          <w:szCs w:val="20"/>
          <w:lang w:val="en-AU" w:eastAsia="en-AU"/>
        </w:rPr>
        <w:t>The Australia-New Zealand Leadership Forum commissioned CIE and the NZ Institute of Ec</w:t>
      </w:r>
      <w:r w:rsidR="00B210D4">
        <w:rPr>
          <w:rFonts w:ascii="Arial" w:hAnsi="Arial"/>
          <w:color w:val="1C1C1C"/>
          <w:sz w:val="18"/>
          <w:szCs w:val="20"/>
          <w:lang w:val="en-AU" w:eastAsia="en-AU"/>
        </w:rPr>
        <w:t xml:space="preserve">onomic Research to model </w:t>
      </w:r>
      <w:proofErr w:type="spellStart"/>
      <w:r w:rsidR="00B210D4">
        <w:rPr>
          <w:rFonts w:ascii="Arial" w:hAnsi="Arial"/>
          <w:color w:val="1C1C1C"/>
          <w:sz w:val="18"/>
          <w:szCs w:val="20"/>
          <w:lang w:val="en-AU" w:eastAsia="en-AU"/>
        </w:rPr>
        <w:t>MRIC</w:t>
      </w:r>
      <w:proofErr w:type="spellEnd"/>
      <w:r w:rsidR="00B210D4">
        <w:rPr>
          <w:rFonts w:ascii="Arial" w:hAnsi="Arial"/>
          <w:color w:val="1C1C1C"/>
          <w:sz w:val="18"/>
          <w:szCs w:val="20"/>
          <w:lang w:val="en-AU" w:eastAsia="en-AU"/>
        </w:rPr>
        <w:t xml:space="preserve"> (sub. </w:t>
      </w:r>
      <w:r w:rsidR="006F2CF4">
        <w:rPr>
          <w:rFonts w:ascii="Arial" w:hAnsi="Arial"/>
          <w:color w:val="1C1C1C"/>
          <w:sz w:val="18"/>
          <w:szCs w:val="20"/>
          <w:lang w:val="en-AU" w:eastAsia="en-AU"/>
        </w:rPr>
        <w:t>58).</w:t>
      </w:r>
      <w:r w:rsidR="00B210D4">
        <w:rPr>
          <w:rFonts w:ascii="Arial" w:hAnsi="Arial"/>
          <w:color w:val="1C1C1C"/>
          <w:sz w:val="18"/>
          <w:szCs w:val="20"/>
          <w:lang w:val="en-AU" w:eastAsia="en-AU"/>
        </w:rPr>
        <w:t xml:space="preserve"> </w:t>
      </w:r>
      <w:r w:rsidRPr="00B210D4">
        <w:rPr>
          <w:rStyle w:val="NoteLabel"/>
        </w:rPr>
        <w:t>b</w:t>
      </w:r>
      <w:r w:rsidR="00B210D4">
        <w:rPr>
          <w:rFonts w:ascii="Arial" w:hAnsi="Arial"/>
          <w:color w:val="1C1C1C"/>
          <w:sz w:val="18"/>
          <w:szCs w:val="20"/>
          <w:lang w:val="en-AU" w:eastAsia="en-AU"/>
        </w:rPr>
        <w:t> </w:t>
      </w:r>
      <w:r w:rsidR="00162687">
        <w:rPr>
          <w:rFonts w:ascii="Arial" w:hAnsi="Arial"/>
          <w:color w:val="1C1C1C"/>
          <w:sz w:val="18"/>
          <w:szCs w:val="20"/>
          <w:lang w:val="en-AU" w:eastAsia="en-AU"/>
        </w:rPr>
        <w:t xml:space="preserve">In the </w:t>
      </w:r>
      <w:r w:rsidR="006F2CF4">
        <w:rPr>
          <w:rFonts w:ascii="Arial" w:hAnsi="Arial"/>
          <w:color w:val="1C1C1C"/>
          <w:sz w:val="18"/>
          <w:szCs w:val="20"/>
          <w:lang w:val="en-AU" w:eastAsia="en-AU"/>
        </w:rPr>
        <w:t>CIE</w:t>
      </w:r>
      <w:r w:rsidR="00162687">
        <w:rPr>
          <w:rFonts w:ascii="Arial" w:hAnsi="Arial"/>
          <w:color w:val="1C1C1C"/>
          <w:sz w:val="18"/>
          <w:szCs w:val="20"/>
          <w:lang w:val="en-AU" w:eastAsia="en-AU"/>
        </w:rPr>
        <w:t xml:space="preserve"> model, r</w:t>
      </w:r>
      <w:r w:rsidRPr="00297048">
        <w:rPr>
          <w:rFonts w:ascii="Arial" w:hAnsi="Arial"/>
          <w:color w:val="1C1C1C"/>
          <w:sz w:val="18"/>
          <w:szCs w:val="20"/>
          <w:lang w:val="en-AU" w:eastAsia="en-AU"/>
        </w:rPr>
        <w:t xml:space="preserve">evenue </w:t>
      </w:r>
      <w:r w:rsidR="00162687">
        <w:rPr>
          <w:rFonts w:ascii="Arial" w:hAnsi="Arial"/>
          <w:color w:val="1C1C1C"/>
          <w:sz w:val="18"/>
          <w:szCs w:val="20"/>
          <w:lang w:val="en-AU" w:eastAsia="en-AU"/>
        </w:rPr>
        <w:t xml:space="preserve">forgone is </w:t>
      </w:r>
      <w:r w:rsidRPr="00297048">
        <w:rPr>
          <w:rFonts w:ascii="Arial" w:hAnsi="Arial"/>
          <w:color w:val="1C1C1C"/>
          <w:sz w:val="18"/>
          <w:szCs w:val="20"/>
          <w:lang w:val="en-AU" w:eastAsia="en-AU"/>
        </w:rPr>
        <w:t xml:space="preserve">recovered through </w:t>
      </w:r>
      <w:r w:rsidR="001854E3">
        <w:rPr>
          <w:rFonts w:ascii="Arial" w:hAnsi="Arial"/>
          <w:color w:val="1C1C1C"/>
          <w:sz w:val="18"/>
          <w:szCs w:val="20"/>
          <w:lang w:val="en-AU" w:eastAsia="en-AU"/>
        </w:rPr>
        <w:t xml:space="preserve">increases in </w:t>
      </w:r>
      <w:r w:rsidRPr="00297048">
        <w:rPr>
          <w:rFonts w:ascii="Arial" w:hAnsi="Arial"/>
          <w:color w:val="1C1C1C"/>
          <w:sz w:val="18"/>
          <w:szCs w:val="20"/>
          <w:lang w:val="en-AU" w:eastAsia="en-AU"/>
        </w:rPr>
        <w:t>alternative broad-based tax instruments (lump sum tax and GST)</w:t>
      </w:r>
      <w:r w:rsidR="00B210D4">
        <w:rPr>
          <w:rFonts w:ascii="Arial" w:hAnsi="Arial"/>
          <w:color w:val="1C1C1C"/>
          <w:sz w:val="18"/>
          <w:szCs w:val="20"/>
          <w:lang w:val="en-AU" w:eastAsia="en-AU"/>
        </w:rPr>
        <w:t>.</w:t>
      </w:r>
      <w:r w:rsidR="003C3184">
        <w:rPr>
          <w:rFonts w:ascii="Arial" w:hAnsi="Arial"/>
          <w:color w:val="1C1C1C"/>
          <w:sz w:val="18"/>
          <w:szCs w:val="20"/>
          <w:lang w:val="en-AU" w:eastAsia="en-AU"/>
        </w:rPr>
        <w:t xml:space="preserve"> </w:t>
      </w:r>
      <w:r w:rsidR="001854E3">
        <w:rPr>
          <w:rFonts w:ascii="Arial" w:hAnsi="Arial"/>
          <w:color w:val="1C1C1C"/>
          <w:sz w:val="18"/>
          <w:szCs w:val="20"/>
          <w:lang w:val="en-AU" w:eastAsia="en-AU"/>
        </w:rPr>
        <w:t>The amounts of revenue involved are not reported.</w:t>
      </w:r>
      <w:r w:rsidR="00B210D4">
        <w:rPr>
          <w:rFonts w:ascii="Arial" w:hAnsi="Arial"/>
          <w:color w:val="1C1C1C"/>
          <w:sz w:val="18"/>
          <w:szCs w:val="20"/>
          <w:lang w:val="en-AU" w:eastAsia="en-AU"/>
        </w:rPr>
        <w:t xml:space="preserve"> </w:t>
      </w:r>
      <w:r w:rsidR="0036156D" w:rsidRPr="00B210D4">
        <w:rPr>
          <w:rStyle w:val="NoteLabel"/>
        </w:rPr>
        <w:t>c</w:t>
      </w:r>
      <w:r w:rsidR="00B210D4">
        <w:rPr>
          <w:rFonts w:ascii="Arial" w:hAnsi="Arial"/>
          <w:b/>
          <w:color w:val="1C1C1C"/>
          <w:sz w:val="18"/>
          <w:szCs w:val="20"/>
          <w:lang w:val="en-AU" w:eastAsia="en-AU"/>
        </w:rPr>
        <w:t> </w:t>
      </w:r>
      <w:proofErr w:type="spellStart"/>
      <w:r w:rsidR="006F2CF4">
        <w:rPr>
          <w:rFonts w:ascii="Arial" w:hAnsi="Arial"/>
          <w:b/>
          <w:color w:val="1C1C1C"/>
          <w:sz w:val="18"/>
          <w:szCs w:val="20"/>
          <w:lang w:val="en-AU" w:eastAsia="en-AU"/>
        </w:rPr>
        <w:t>SMRIC</w:t>
      </w:r>
      <w:proofErr w:type="spellEnd"/>
      <w:r w:rsidR="006F2CF4">
        <w:rPr>
          <w:rFonts w:ascii="Arial" w:hAnsi="Arial"/>
          <w:b/>
          <w:color w:val="1C1C1C"/>
          <w:sz w:val="18"/>
          <w:szCs w:val="20"/>
          <w:lang w:val="en-AU" w:eastAsia="en-AU"/>
        </w:rPr>
        <w:t xml:space="preserve"> </w:t>
      </w:r>
      <w:r w:rsidR="006F2CF4">
        <w:rPr>
          <w:rFonts w:ascii="Arial" w:hAnsi="Arial"/>
          <w:color w:val="1C1C1C"/>
          <w:sz w:val="18"/>
          <w:szCs w:val="20"/>
          <w:lang w:val="en-AU" w:eastAsia="en-AU"/>
        </w:rPr>
        <w:t xml:space="preserve">is the Australian Commission’s purpose-built model to explore </w:t>
      </w:r>
      <w:proofErr w:type="spellStart"/>
      <w:r w:rsidR="006F2CF4">
        <w:rPr>
          <w:rFonts w:ascii="Arial" w:hAnsi="Arial"/>
          <w:color w:val="1C1C1C"/>
          <w:sz w:val="18"/>
          <w:szCs w:val="20"/>
          <w:lang w:val="en-AU" w:eastAsia="en-AU"/>
        </w:rPr>
        <w:t>MRIC</w:t>
      </w:r>
      <w:proofErr w:type="spellEnd"/>
      <w:r w:rsidR="006F2CF4">
        <w:rPr>
          <w:rFonts w:ascii="Arial" w:hAnsi="Arial"/>
          <w:color w:val="1C1C1C"/>
          <w:sz w:val="18"/>
          <w:szCs w:val="20"/>
          <w:lang w:val="en-AU" w:eastAsia="en-AU"/>
        </w:rPr>
        <w:t xml:space="preserve">. </w:t>
      </w:r>
      <w:r w:rsidR="001C0B02">
        <w:rPr>
          <w:rFonts w:ascii="Arial" w:hAnsi="Arial"/>
          <w:color w:val="1C1C1C"/>
          <w:sz w:val="18"/>
          <w:szCs w:val="20"/>
          <w:lang w:val="en-AU" w:eastAsia="en-AU"/>
        </w:rPr>
        <w:t xml:space="preserve">A detailed account of </w:t>
      </w:r>
      <w:proofErr w:type="spellStart"/>
      <w:r w:rsidR="001C0B02">
        <w:rPr>
          <w:rFonts w:ascii="Arial" w:hAnsi="Arial"/>
          <w:color w:val="1C1C1C"/>
          <w:sz w:val="18"/>
          <w:szCs w:val="20"/>
          <w:lang w:val="en-AU" w:eastAsia="en-AU"/>
        </w:rPr>
        <w:t>SMRIC</w:t>
      </w:r>
      <w:proofErr w:type="spellEnd"/>
      <w:r w:rsidR="001C0B02">
        <w:rPr>
          <w:rFonts w:ascii="Arial" w:hAnsi="Arial"/>
          <w:color w:val="1C1C1C"/>
          <w:sz w:val="18"/>
          <w:szCs w:val="20"/>
          <w:lang w:val="en-AU" w:eastAsia="en-AU"/>
        </w:rPr>
        <w:t xml:space="preserve"> is available in </w:t>
      </w:r>
      <w:r w:rsidR="00C925CC">
        <w:rPr>
          <w:rFonts w:ascii="Arial" w:hAnsi="Arial"/>
          <w:color w:val="1C1C1C"/>
          <w:sz w:val="18"/>
          <w:szCs w:val="20"/>
          <w:lang w:val="en-AU" w:eastAsia="en-AU"/>
        </w:rPr>
        <w:t>s</w:t>
      </w:r>
      <w:r w:rsidR="001C0B02">
        <w:rPr>
          <w:rFonts w:ascii="Arial" w:hAnsi="Arial"/>
          <w:color w:val="1C1C1C"/>
          <w:sz w:val="18"/>
          <w:szCs w:val="20"/>
          <w:lang w:val="en-AU" w:eastAsia="en-AU"/>
        </w:rPr>
        <w:t xml:space="preserve">upplementary </w:t>
      </w:r>
      <w:r w:rsidR="00C925CC">
        <w:rPr>
          <w:rFonts w:ascii="Arial" w:hAnsi="Arial"/>
          <w:color w:val="1C1C1C"/>
          <w:sz w:val="18"/>
          <w:szCs w:val="20"/>
          <w:lang w:val="en-AU" w:eastAsia="en-AU"/>
        </w:rPr>
        <w:t>p</w:t>
      </w:r>
      <w:r w:rsidR="001C0B02">
        <w:rPr>
          <w:rFonts w:ascii="Arial" w:hAnsi="Arial"/>
          <w:color w:val="1C1C1C"/>
          <w:sz w:val="18"/>
          <w:szCs w:val="20"/>
          <w:lang w:val="en-AU" w:eastAsia="en-AU"/>
        </w:rPr>
        <w:t xml:space="preserve">aper G. </w:t>
      </w:r>
      <w:proofErr w:type="spellStart"/>
      <w:r w:rsidR="006F2CF4">
        <w:rPr>
          <w:rFonts w:ascii="Arial" w:hAnsi="Arial"/>
          <w:color w:val="1C1C1C"/>
          <w:sz w:val="18"/>
          <w:szCs w:val="20"/>
          <w:lang w:val="en-AU" w:eastAsia="en-AU"/>
        </w:rPr>
        <w:t>SMRIC</w:t>
      </w:r>
      <w:proofErr w:type="spellEnd"/>
      <w:r w:rsidR="006F2CF4">
        <w:rPr>
          <w:rFonts w:ascii="Arial" w:hAnsi="Arial"/>
          <w:color w:val="1C1C1C"/>
          <w:sz w:val="18"/>
          <w:szCs w:val="20"/>
          <w:lang w:val="en-AU" w:eastAsia="en-AU"/>
        </w:rPr>
        <w:t xml:space="preserve"> uses US$ as its base currency. </w:t>
      </w:r>
      <w:r w:rsidR="006F2CF4" w:rsidRPr="00297048">
        <w:rPr>
          <w:rFonts w:ascii="Arial" w:hAnsi="Arial"/>
          <w:color w:val="1C1C1C"/>
          <w:sz w:val="18"/>
          <w:szCs w:val="20"/>
          <w:lang w:val="en-AU" w:eastAsia="en-AU"/>
        </w:rPr>
        <w:t xml:space="preserve">Figures </w:t>
      </w:r>
      <w:r w:rsidR="006F2CF4">
        <w:rPr>
          <w:rFonts w:ascii="Arial" w:hAnsi="Arial"/>
          <w:color w:val="1C1C1C"/>
          <w:sz w:val="18"/>
          <w:szCs w:val="20"/>
          <w:lang w:val="en-AU" w:eastAsia="en-AU"/>
        </w:rPr>
        <w:t xml:space="preserve">here are </w:t>
      </w:r>
      <w:r w:rsidR="006F2CF4" w:rsidRPr="00297048">
        <w:rPr>
          <w:rFonts w:ascii="Arial" w:hAnsi="Arial"/>
          <w:color w:val="1C1C1C"/>
          <w:sz w:val="18"/>
          <w:szCs w:val="20"/>
          <w:lang w:val="en-AU" w:eastAsia="en-AU"/>
        </w:rPr>
        <w:t xml:space="preserve">adjusted to </w:t>
      </w:r>
      <w:r w:rsidR="006F2CF4">
        <w:rPr>
          <w:rFonts w:ascii="Arial" w:hAnsi="Arial"/>
          <w:color w:val="1C1C1C"/>
          <w:sz w:val="18"/>
          <w:szCs w:val="20"/>
          <w:lang w:val="en-AU" w:eastAsia="en-AU"/>
        </w:rPr>
        <w:t>NZ</w:t>
      </w:r>
      <w:r w:rsidR="006F2CF4" w:rsidRPr="00297048">
        <w:rPr>
          <w:rFonts w:ascii="Arial" w:hAnsi="Arial"/>
          <w:color w:val="1C1C1C"/>
          <w:sz w:val="18"/>
          <w:szCs w:val="20"/>
          <w:lang w:val="en-AU" w:eastAsia="en-AU"/>
        </w:rPr>
        <w:t xml:space="preserve"> dollars based on the 27 November 2012 US</w:t>
      </w:r>
      <w:r w:rsidR="00815FA1" w:rsidRPr="00297048">
        <w:rPr>
          <w:rFonts w:ascii="Arial" w:hAnsi="Arial"/>
          <w:color w:val="1C1C1C"/>
          <w:sz w:val="18"/>
          <w:szCs w:val="20"/>
          <w:lang w:val="en-AU" w:eastAsia="en-AU"/>
        </w:rPr>
        <w:t>$</w:t>
      </w:r>
      <w:r w:rsidR="006F2CF4" w:rsidRPr="00297048">
        <w:rPr>
          <w:rFonts w:ascii="Arial" w:hAnsi="Arial"/>
          <w:color w:val="1C1C1C"/>
          <w:sz w:val="18"/>
          <w:szCs w:val="20"/>
          <w:lang w:val="en-AU" w:eastAsia="en-AU"/>
        </w:rPr>
        <w:t>/NZ</w:t>
      </w:r>
      <w:r w:rsidR="00815FA1" w:rsidRPr="00297048">
        <w:rPr>
          <w:rFonts w:ascii="Arial" w:hAnsi="Arial"/>
          <w:color w:val="1C1C1C"/>
          <w:sz w:val="18"/>
          <w:szCs w:val="20"/>
          <w:lang w:val="en-AU" w:eastAsia="en-AU"/>
        </w:rPr>
        <w:t>$</w:t>
      </w:r>
      <w:r w:rsidR="006F2CF4" w:rsidRPr="00297048">
        <w:rPr>
          <w:rFonts w:ascii="Arial" w:hAnsi="Arial"/>
          <w:color w:val="1C1C1C"/>
          <w:sz w:val="18"/>
          <w:szCs w:val="20"/>
          <w:lang w:val="en-AU" w:eastAsia="en-AU"/>
        </w:rPr>
        <w:t xml:space="preserve"> exchange rate of 0.8231</w:t>
      </w:r>
      <w:r w:rsidR="006F2CF4">
        <w:rPr>
          <w:rFonts w:ascii="Arial" w:hAnsi="Arial"/>
          <w:color w:val="1C1C1C"/>
          <w:sz w:val="18"/>
          <w:szCs w:val="20"/>
          <w:lang w:val="en-AU" w:eastAsia="en-AU"/>
        </w:rPr>
        <w:t>.</w:t>
      </w:r>
    </w:p>
    <w:p w:rsidR="00297048" w:rsidRPr="00632492" w:rsidRDefault="00297048" w:rsidP="00297048">
      <w:pPr>
        <w:spacing w:before="120"/>
        <w:rPr>
          <w:rFonts w:ascii="Arial" w:hAnsi="Arial"/>
          <w:color w:val="1C1C1C"/>
          <w:sz w:val="18"/>
          <w:lang w:val="en-AU" w:eastAsia="en-AU"/>
        </w:rPr>
      </w:pPr>
      <w:r w:rsidRPr="00632492">
        <w:rPr>
          <w:rFonts w:ascii="Arial" w:hAnsi="Arial"/>
          <w:i/>
          <w:color w:val="1C1C1C"/>
          <w:sz w:val="18"/>
          <w:lang w:val="en-AU" w:eastAsia="en-AU"/>
        </w:rPr>
        <w:t>Source</w:t>
      </w:r>
      <w:r w:rsidR="00F33FBD" w:rsidRPr="00632492">
        <w:rPr>
          <w:rFonts w:ascii="Arial" w:hAnsi="Arial"/>
          <w:i/>
          <w:color w:val="1C1C1C"/>
          <w:sz w:val="18"/>
          <w:lang w:val="en-AU" w:eastAsia="en-AU"/>
        </w:rPr>
        <w:t>s</w:t>
      </w:r>
      <w:r w:rsidRPr="00632492">
        <w:rPr>
          <w:rFonts w:ascii="Arial" w:hAnsi="Arial"/>
          <w:i/>
          <w:color w:val="1C1C1C"/>
          <w:sz w:val="18"/>
          <w:lang w:val="en-AU" w:eastAsia="en-AU"/>
        </w:rPr>
        <w:t xml:space="preserve">: </w:t>
      </w:r>
      <w:r w:rsidRPr="00632492">
        <w:rPr>
          <w:rFonts w:ascii="Arial" w:hAnsi="Arial"/>
          <w:color w:val="1C1C1C"/>
          <w:sz w:val="18"/>
          <w:lang w:val="en-AU" w:eastAsia="en-AU"/>
        </w:rPr>
        <w:t>Australia New Zealand Leadership Forum sub.</w:t>
      </w:r>
      <w:r w:rsidR="00B210D4" w:rsidRPr="00632492">
        <w:rPr>
          <w:rFonts w:ascii="Arial" w:hAnsi="Arial"/>
          <w:color w:val="1C1C1C"/>
          <w:sz w:val="18"/>
          <w:lang w:val="en-AU" w:eastAsia="en-AU"/>
        </w:rPr>
        <w:t> </w:t>
      </w:r>
      <w:r w:rsidRPr="00632492">
        <w:rPr>
          <w:rFonts w:ascii="Arial" w:hAnsi="Arial"/>
          <w:color w:val="1C1C1C"/>
          <w:sz w:val="18"/>
          <w:lang w:val="en-AU" w:eastAsia="en-AU"/>
        </w:rPr>
        <w:t>58</w:t>
      </w:r>
      <w:r w:rsidR="005609E2" w:rsidRPr="00632492">
        <w:rPr>
          <w:rFonts w:ascii="Arial" w:hAnsi="Arial"/>
          <w:color w:val="1C1C1C"/>
          <w:sz w:val="18"/>
          <w:lang w:val="en-AU" w:eastAsia="en-AU"/>
        </w:rPr>
        <w:t xml:space="preserve"> (CIE model)</w:t>
      </w:r>
      <w:r w:rsidR="00F33FBD" w:rsidRPr="00632492">
        <w:rPr>
          <w:rFonts w:ascii="Arial" w:hAnsi="Arial"/>
          <w:color w:val="1C1C1C"/>
          <w:sz w:val="18"/>
          <w:lang w:val="en-AU" w:eastAsia="en-AU"/>
        </w:rPr>
        <w:t xml:space="preserve">; </w:t>
      </w:r>
      <w:r w:rsidRPr="00632492">
        <w:rPr>
          <w:rFonts w:ascii="Arial" w:hAnsi="Arial"/>
          <w:color w:val="1C1C1C"/>
          <w:sz w:val="18"/>
          <w:lang w:val="en-AU" w:eastAsia="en-AU"/>
        </w:rPr>
        <w:t>Australian Commission estimates</w:t>
      </w:r>
      <w:r w:rsidR="005609E2" w:rsidRPr="00632492">
        <w:rPr>
          <w:rFonts w:ascii="Arial" w:hAnsi="Arial"/>
          <w:color w:val="1C1C1C"/>
          <w:sz w:val="18"/>
          <w:lang w:val="en-AU" w:eastAsia="en-AU"/>
        </w:rPr>
        <w:t xml:space="preserve"> (</w:t>
      </w:r>
      <w:proofErr w:type="spellStart"/>
      <w:r w:rsidR="005609E2" w:rsidRPr="00632492">
        <w:rPr>
          <w:rFonts w:ascii="Arial" w:hAnsi="Arial"/>
          <w:color w:val="1C1C1C"/>
          <w:sz w:val="18"/>
          <w:lang w:val="en-AU" w:eastAsia="en-AU"/>
        </w:rPr>
        <w:t>SMRIC</w:t>
      </w:r>
      <w:proofErr w:type="spellEnd"/>
      <w:r w:rsidR="005609E2" w:rsidRPr="00632492">
        <w:rPr>
          <w:rFonts w:ascii="Arial" w:hAnsi="Arial"/>
          <w:color w:val="1C1C1C"/>
          <w:sz w:val="18"/>
          <w:lang w:val="en-AU" w:eastAsia="en-AU"/>
        </w:rPr>
        <w:t xml:space="preserve"> model).</w:t>
      </w:r>
    </w:p>
    <w:p w:rsidR="006D064B" w:rsidRDefault="006D064B" w:rsidP="006D064B">
      <w:pPr>
        <w:pStyle w:val="Heading3"/>
        <w:rPr>
          <w:rFonts w:cs="Arial"/>
        </w:rPr>
      </w:pPr>
      <w:r w:rsidRPr="003738BC">
        <w:rPr>
          <w:rFonts w:cs="Arial"/>
        </w:rPr>
        <w:t>In</w:t>
      </w:r>
      <w:r w:rsidR="00162687">
        <w:rPr>
          <w:rFonts w:cs="Arial"/>
        </w:rPr>
        <w:t xml:space="preserve">ter-country transfers of income arising from </w:t>
      </w:r>
      <w:proofErr w:type="spellStart"/>
      <w:r w:rsidR="00162687">
        <w:rPr>
          <w:rFonts w:cs="Arial"/>
        </w:rPr>
        <w:t>MRIC</w:t>
      </w:r>
      <w:proofErr w:type="spellEnd"/>
    </w:p>
    <w:p w:rsidR="00A51389" w:rsidRPr="00364524" w:rsidRDefault="00A51389" w:rsidP="00A51389">
      <w:pPr>
        <w:pStyle w:val="BodyText"/>
        <w:rPr>
          <w:color w:val="000000" w:themeColor="text1"/>
        </w:rPr>
      </w:pPr>
      <w:r w:rsidRPr="00364524">
        <w:rPr>
          <w:color w:val="000000" w:themeColor="text1"/>
        </w:rPr>
        <w:t xml:space="preserve">The introduction of </w:t>
      </w:r>
      <w:proofErr w:type="spellStart"/>
      <w:r w:rsidRPr="00364524">
        <w:rPr>
          <w:color w:val="000000" w:themeColor="text1"/>
        </w:rPr>
        <w:t>MRIC</w:t>
      </w:r>
      <w:proofErr w:type="spellEnd"/>
      <w:r w:rsidRPr="00364524">
        <w:rPr>
          <w:color w:val="000000" w:themeColor="text1"/>
        </w:rPr>
        <w:t xml:space="preserve"> would result in inter-country income transfers. For firms that cannot access global equity markets, a</w:t>
      </w:r>
      <w:r w:rsidR="00716C07">
        <w:rPr>
          <w:color w:val="000000" w:themeColor="text1"/>
        </w:rPr>
        <w:t>dditional equity from the trans-</w:t>
      </w:r>
      <w:r w:rsidRPr="00364524">
        <w:rPr>
          <w:color w:val="000000" w:themeColor="text1"/>
        </w:rPr>
        <w:t xml:space="preserve">Tasman partner would tend to drive down their cost of capital, and thus encourage additional investment. This reallocation of capital to higher valued uses across the Tasman would generate efficiency gains. The changes in relative prices that induce this shift would have a series </w:t>
      </w:r>
      <w:r w:rsidR="00B210D4">
        <w:rPr>
          <w:color w:val="000000" w:themeColor="text1"/>
        </w:rPr>
        <w:t>of distributional consequences.</w:t>
      </w:r>
    </w:p>
    <w:p w:rsidR="00A51389" w:rsidRPr="00364524" w:rsidRDefault="00B210D4" w:rsidP="00CA1EA4">
      <w:pPr>
        <w:pStyle w:val="BodyText"/>
        <w:keepNext/>
      </w:pPr>
      <w:r>
        <w:t>In the destination economy</w:t>
      </w:r>
      <w:r w:rsidR="0033041E">
        <w:t>, these would be</w:t>
      </w:r>
      <w:r>
        <w:t>:</w:t>
      </w:r>
    </w:p>
    <w:p w:rsidR="00A51389" w:rsidRPr="00364524" w:rsidRDefault="00A51389" w:rsidP="00B210D4">
      <w:pPr>
        <w:pStyle w:val="ListBullet"/>
      </w:pPr>
      <w:r w:rsidRPr="00364524">
        <w:t>increased returns to complementary factors as the increase in the capital stock increases their productivity, mirrored by a reduction in returns to capital (both domestic and foreign owned)</w:t>
      </w:r>
    </w:p>
    <w:p w:rsidR="00A51389" w:rsidRPr="00364524" w:rsidRDefault="00A51389" w:rsidP="00B210D4">
      <w:pPr>
        <w:pStyle w:val="ListBullet"/>
      </w:pPr>
      <w:r w:rsidRPr="00364524">
        <w:t>an increase in company and income tax revenue from the increased output and income</w:t>
      </w:r>
      <w:r w:rsidR="00A652DE">
        <w:t>.</w:t>
      </w:r>
      <w:r w:rsidRPr="00364524">
        <w:t xml:space="preserve"> </w:t>
      </w:r>
    </w:p>
    <w:p w:rsidR="00A51389" w:rsidRPr="00364524" w:rsidRDefault="00A51389" w:rsidP="00C925CC">
      <w:pPr>
        <w:pStyle w:val="ListBullet"/>
        <w:numPr>
          <w:ilvl w:val="0"/>
          <w:numId w:val="0"/>
        </w:numPr>
      </w:pPr>
      <w:r w:rsidRPr="00364524">
        <w:t>In the source (capital-owning) economy</w:t>
      </w:r>
      <w:r w:rsidR="00A652DE">
        <w:t>, these would be</w:t>
      </w:r>
      <w:r w:rsidRPr="00364524">
        <w:t>:</w:t>
      </w:r>
    </w:p>
    <w:p w:rsidR="00A51389" w:rsidRPr="00364524" w:rsidRDefault="00A51389" w:rsidP="00B210D4">
      <w:pPr>
        <w:pStyle w:val="ListBullet"/>
      </w:pPr>
      <w:r w:rsidRPr="00364524">
        <w:rPr>
          <w:color w:val="000000" w:themeColor="text1"/>
        </w:rPr>
        <w:t xml:space="preserve">decreased returns to complementary factors as their productivity decreases with reduced capital </w:t>
      </w:r>
    </w:p>
    <w:p w:rsidR="00A51389" w:rsidRPr="00364524" w:rsidRDefault="00A51389" w:rsidP="00B210D4">
      <w:pPr>
        <w:pStyle w:val="ListBullet"/>
      </w:pPr>
      <w:r w:rsidRPr="00364524">
        <w:t>a decrease in company and income tax revenues as output and income falls and imputation credits are recognised.</w:t>
      </w:r>
    </w:p>
    <w:p w:rsidR="006D064B" w:rsidRDefault="00A51389" w:rsidP="00A51389">
      <w:pPr>
        <w:pStyle w:val="BodyText"/>
        <w:rPr>
          <w:lang w:val="en-NZ" w:eastAsia="en-US"/>
        </w:rPr>
      </w:pPr>
      <w:r w:rsidRPr="00364524">
        <w:t xml:space="preserve">These effects are examined in more detail in box </w:t>
      </w:r>
      <w:proofErr w:type="spellStart"/>
      <w:r w:rsidRPr="00364524">
        <w:t>F.6</w:t>
      </w:r>
      <w:proofErr w:type="spellEnd"/>
      <w:r w:rsidRPr="00364524">
        <w:t>.</w:t>
      </w:r>
    </w:p>
    <w:p w:rsidR="006D064B" w:rsidRDefault="006D064B" w:rsidP="006D064B">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D064B" w:rsidTr="00497EB5">
        <w:tc>
          <w:tcPr>
            <w:tcW w:w="8771" w:type="dxa"/>
            <w:tcBorders>
              <w:top w:val="nil"/>
              <w:left w:val="nil"/>
              <w:bottom w:val="nil"/>
              <w:right w:val="nil"/>
            </w:tcBorders>
            <w:shd w:val="clear" w:color="auto" w:fill="D9EAF0"/>
          </w:tcPr>
          <w:p w:rsidR="006D064B" w:rsidRDefault="006D064B" w:rsidP="00D466E6">
            <w:pPr>
              <w:pStyle w:val="BoxTitle"/>
            </w:pPr>
            <w:bookmarkStart w:id="5" w:name="_Ref341807134"/>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sidR="00793E48">
              <w:rPr>
                <w:b w:val="0"/>
              </w:rPr>
              <w:t>6</w:t>
            </w:r>
            <w:bookmarkEnd w:id="5"/>
            <w:proofErr w:type="spellEnd"/>
            <w:r>
              <w:tab/>
            </w:r>
            <w:r w:rsidR="00D466E6">
              <w:t>I</w:t>
            </w:r>
            <w:r w:rsidRPr="000D5C4B">
              <w:t xml:space="preserve">nter-country distributional effects of </w:t>
            </w:r>
            <w:proofErr w:type="spellStart"/>
            <w:r w:rsidRPr="000D5C4B">
              <w:t>MRIC</w:t>
            </w:r>
            <w:proofErr w:type="spellEnd"/>
          </w:p>
        </w:tc>
      </w:tr>
      <w:tr w:rsidR="006D064B" w:rsidTr="00497EB5">
        <w:tc>
          <w:tcPr>
            <w:tcW w:w="8771" w:type="dxa"/>
            <w:tcBorders>
              <w:top w:val="nil"/>
              <w:left w:val="nil"/>
              <w:bottom w:val="nil"/>
              <w:right w:val="nil"/>
            </w:tcBorders>
            <w:shd w:val="clear" w:color="auto" w:fill="D9EAF0"/>
          </w:tcPr>
          <w:p w:rsidR="006D064B" w:rsidRDefault="006D064B" w:rsidP="00497EB5">
            <w:pPr>
              <w:pStyle w:val="Box"/>
            </w:pPr>
            <w:r>
              <w:t xml:space="preserve">If </w:t>
            </w:r>
            <w:proofErr w:type="spellStart"/>
            <w:r>
              <w:t>MRIC</w:t>
            </w:r>
            <w:proofErr w:type="spellEnd"/>
            <w:r>
              <w:t xml:space="preserve"> w</w:t>
            </w:r>
            <w:r w:rsidR="00D466E6">
              <w:t xml:space="preserve">ere </w:t>
            </w:r>
            <w:r>
              <w:t>to result in a sizeable net shift of capital from one trans-Tasman partner to the other, th</w:t>
            </w:r>
            <w:r w:rsidR="00D466E6">
              <w:t xml:space="preserve">is could </w:t>
            </w:r>
            <w:r>
              <w:t>in turn result in a shift in incomes between owners of capital in one country and labour in the other</w:t>
            </w:r>
            <w:r w:rsidR="00D466E6">
              <w:t>. This</w:t>
            </w:r>
            <w:r>
              <w:t xml:space="preserve"> transfer of income between the two countries</w:t>
            </w:r>
            <w:r w:rsidR="00D466E6">
              <w:t xml:space="preserve"> would be in addition to the transfer arising from the shift in the company tax base described in </w:t>
            </w:r>
            <w:r w:rsidR="008C330A">
              <w:t>b</w:t>
            </w:r>
            <w:r w:rsidR="008568A0">
              <w:t xml:space="preserve">ox </w:t>
            </w:r>
            <w:proofErr w:type="spellStart"/>
            <w:r w:rsidR="008568A0">
              <w:t>F.</w:t>
            </w:r>
            <w:r w:rsidR="008568A0" w:rsidRPr="008568A0">
              <w:rPr>
                <w:noProof/>
              </w:rPr>
              <w:t>3</w:t>
            </w:r>
            <w:proofErr w:type="spellEnd"/>
            <w:r w:rsidR="007E2AC2">
              <w:t>.</w:t>
            </w:r>
            <w:r>
              <w:t xml:space="preserve"> </w:t>
            </w:r>
            <w:r w:rsidR="002963F1">
              <w:t xml:space="preserve">Figure </w:t>
            </w:r>
            <w:proofErr w:type="spellStart"/>
            <w:r w:rsidR="002963F1">
              <w:t>F.</w:t>
            </w:r>
            <w:r>
              <w:t>3A</w:t>
            </w:r>
            <w:proofErr w:type="spellEnd"/>
            <w:r w:rsidR="00686B21">
              <w:t xml:space="preserve"> (</w:t>
            </w:r>
            <w:r w:rsidR="007E2AC2">
              <w:t xml:space="preserve">below), </w:t>
            </w:r>
            <w:r>
              <w:t xml:space="preserve">which essentially replicates </w:t>
            </w:r>
            <w:r w:rsidR="002963F1">
              <w:t xml:space="preserve">figure </w:t>
            </w:r>
            <w:proofErr w:type="spellStart"/>
            <w:r w:rsidR="002963F1">
              <w:t>F.</w:t>
            </w:r>
            <w:r>
              <w:t>2B</w:t>
            </w:r>
            <w:proofErr w:type="spellEnd"/>
            <w:r>
              <w:t xml:space="preserve"> </w:t>
            </w:r>
            <w:r w:rsidR="00D466E6">
              <w:t xml:space="preserve">in </w:t>
            </w:r>
            <w:r w:rsidR="008C330A">
              <w:t>b</w:t>
            </w:r>
            <w:r w:rsidR="008568A0">
              <w:t xml:space="preserve">ox </w:t>
            </w:r>
            <w:proofErr w:type="spellStart"/>
            <w:r w:rsidR="008568A0">
              <w:t>F.</w:t>
            </w:r>
            <w:r w:rsidR="008568A0" w:rsidRPr="008568A0">
              <w:rPr>
                <w:noProof/>
              </w:rPr>
              <w:t>3</w:t>
            </w:r>
            <w:proofErr w:type="spellEnd"/>
            <w:r w:rsidR="00686B21">
              <w:t>)</w:t>
            </w:r>
            <w:r w:rsidR="007E2AC2">
              <w:t>,</w:t>
            </w:r>
            <w:r>
              <w:t xml:space="preserve"> show</w:t>
            </w:r>
            <w:r w:rsidR="007E2AC2">
              <w:t>s</w:t>
            </w:r>
            <w:r>
              <w:t xml:space="preserve"> this effect in the case of New Zealand recognising Australian imputation credits. </w:t>
            </w:r>
            <w:r w:rsidR="00D466E6">
              <w:t>T</w:t>
            </w:r>
            <w:r>
              <w:t xml:space="preserve">he corresponding analysis of the effects of recognition by Australia of New Zealand’s imputation credits is not shown. The </w:t>
            </w:r>
            <w:r w:rsidR="00D466E6">
              <w:t xml:space="preserve">effects of </w:t>
            </w:r>
            <w:proofErr w:type="spellStart"/>
            <w:r>
              <w:t>MRIC</w:t>
            </w:r>
            <w:proofErr w:type="spellEnd"/>
            <w:r>
              <w:t xml:space="preserve">, </w:t>
            </w:r>
            <w:r w:rsidR="00A652DE">
              <w:t>that is</w:t>
            </w:r>
            <w:r>
              <w:t xml:space="preserve"> of mutual recognition, would be the net </w:t>
            </w:r>
            <w:r w:rsidR="00D466E6">
              <w:t xml:space="preserve">result </w:t>
            </w:r>
            <w:r>
              <w:t xml:space="preserve">of </w:t>
            </w:r>
            <w:r w:rsidR="00C044F1">
              <w:t xml:space="preserve">combining </w:t>
            </w:r>
            <w:r>
              <w:t>the two</w:t>
            </w:r>
            <w:r w:rsidR="00D466E6">
              <w:t xml:space="preserve"> </w:t>
            </w:r>
            <w:r w:rsidR="007E2AC2">
              <w:t>cases</w:t>
            </w:r>
            <w:r>
              <w:t>.</w:t>
            </w:r>
          </w:p>
          <w:p w:rsidR="006D064B" w:rsidRDefault="007E2AC2" w:rsidP="00497EB5">
            <w:pPr>
              <w:pStyle w:val="Box"/>
            </w:pPr>
            <w:r>
              <w:t>I</w:t>
            </w:r>
            <w:r w:rsidR="006D064B">
              <w:t xml:space="preserve">n </w:t>
            </w:r>
            <w:r w:rsidR="002963F1">
              <w:t xml:space="preserve">figure </w:t>
            </w:r>
            <w:proofErr w:type="spellStart"/>
            <w:r w:rsidR="002963F1">
              <w:t>F.</w:t>
            </w:r>
            <w:r w:rsidR="006D064B">
              <w:t>3A</w:t>
            </w:r>
            <w:proofErr w:type="spellEnd"/>
            <w:r w:rsidR="006D064B">
              <w:t xml:space="preserve">, New Zealand recognition of Australian imputation credits induces a shift of New Zealand capital to Australia (from </w:t>
            </w:r>
            <w:proofErr w:type="spellStart"/>
            <w:r w:rsidR="006D064B">
              <w:t>O</w:t>
            </w:r>
            <w:r w:rsidR="006D064B" w:rsidRPr="000D5C4B">
              <w:rPr>
                <w:vertAlign w:val="subscript"/>
              </w:rPr>
              <w:t>AU</w:t>
            </w:r>
            <w:r w:rsidR="006D064B">
              <w:t>X</w:t>
            </w:r>
            <w:proofErr w:type="spellEnd"/>
            <w:r w:rsidR="006D064B">
              <w:t xml:space="preserve"> to </w:t>
            </w:r>
            <w:proofErr w:type="spellStart"/>
            <w:r w:rsidR="006D064B">
              <w:t>O</w:t>
            </w:r>
            <w:r w:rsidR="006D064B" w:rsidRPr="000D5C4B">
              <w:rPr>
                <w:vertAlign w:val="subscript"/>
              </w:rPr>
              <w:t>AU</w:t>
            </w:r>
            <w:r w:rsidR="006D064B">
              <w:t>Y</w:t>
            </w:r>
            <w:proofErr w:type="spellEnd"/>
            <w:r w:rsidR="006D064B">
              <w:t>). Th</w:t>
            </w:r>
            <w:r w:rsidR="00D466E6">
              <w:t xml:space="preserve">is </w:t>
            </w:r>
            <w:r w:rsidR="006D064B">
              <w:t xml:space="preserve">increase in the amount of New Zealand capital in Australia </w:t>
            </w:r>
            <w:r w:rsidR="00D466E6">
              <w:t xml:space="preserve">drives down </w:t>
            </w:r>
            <w:r w:rsidR="00BE3D76">
              <w:t>its</w:t>
            </w:r>
            <w:r w:rsidR="000C3A89">
              <w:t xml:space="preserve"> </w:t>
            </w:r>
            <w:r w:rsidR="00E133D1">
              <w:t xml:space="preserve">pre-tax </w:t>
            </w:r>
            <w:r w:rsidR="006D064B">
              <w:t xml:space="preserve">rate of return to capital in Australia (on the vertical axis from </w:t>
            </w:r>
            <w:proofErr w:type="spellStart"/>
            <w:r w:rsidR="00BE3D76">
              <w:t>O</w:t>
            </w:r>
            <w:r w:rsidR="00BE3D76" w:rsidRPr="000D5C4B">
              <w:rPr>
                <w:vertAlign w:val="subscript"/>
              </w:rPr>
              <w:t>AU</w:t>
            </w:r>
            <w:r w:rsidR="00BE3D76">
              <w:t>K</w:t>
            </w:r>
            <w:proofErr w:type="spellEnd"/>
            <w:r w:rsidR="00BE3D76">
              <w:t xml:space="preserve"> to </w:t>
            </w:r>
            <w:proofErr w:type="spellStart"/>
            <w:r w:rsidR="00BE3D76">
              <w:t>O</w:t>
            </w:r>
            <w:r w:rsidR="00BE3D76" w:rsidRPr="000D5C4B">
              <w:rPr>
                <w:vertAlign w:val="subscript"/>
              </w:rPr>
              <w:t>AU</w:t>
            </w:r>
            <w:r w:rsidR="00BE3D76">
              <w:t>L</w:t>
            </w:r>
            <w:proofErr w:type="spellEnd"/>
            <w:r w:rsidR="006D064B">
              <w:t xml:space="preserve">). The counterpart to this </w:t>
            </w:r>
            <w:r>
              <w:t xml:space="preserve">fall in the rate of return to capital is an </w:t>
            </w:r>
            <w:r w:rsidR="006D064B">
              <w:t xml:space="preserve">expansion of </w:t>
            </w:r>
            <w:r>
              <w:t xml:space="preserve">Australian </w:t>
            </w:r>
            <w:r w:rsidR="006D064B">
              <w:t>labour income. With more capital, there is an increase in the demand for labour, causing wages to be bid up.</w:t>
            </w:r>
            <w:r w:rsidR="00E133D1">
              <w:t xml:space="preserve"> While the pre-tax return on New Zealand capital in Australia is driven down, it is still profitable for New Zealand firms to invest because </w:t>
            </w:r>
            <w:r>
              <w:t xml:space="preserve">their shareholders can </w:t>
            </w:r>
            <w:r w:rsidR="00E133D1">
              <w:t>now claim imputation credits for Australian company tax.</w:t>
            </w:r>
          </w:p>
          <w:p w:rsidR="006D064B" w:rsidRDefault="006D064B" w:rsidP="00497EB5">
            <w:pPr>
              <w:pStyle w:val="Box"/>
            </w:pPr>
            <w:r>
              <w:t xml:space="preserve">These shifts in factor returns result in a transfer of income — in effect a partial shifting of the incidence of the tax benefit from </w:t>
            </w:r>
            <w:proofErr w:type="spellStart"/>
            <w:r>
              <w:t>MRIC</w:t>
            </w:r>
            <w:proofErr w:type="spellEnd"/>
            <w:r>
              <w:t xml:space="preserve"> — from shareholders in New Zealand to labour in Australia. This transfer is represented in </w:t>
            </w:r>
            <w:r w:rsidR="002963F1">
              <w:t xml:space="preserve">figure </w:t>
            </w:r>
            <w:proofErr w:type="spellStart"/>
            <w:r w:rsidR="002963F1">
              <w:t>F.</w:t>
            </w:r>
            <w:r>
              <w:t>3A</w:t>
            </w:r>
            <w:proofErr w:type="spellEnd"/>
            <w:r>
              <w:t xml:space="preserve"> by the highlighted areas </w:t>
            </w:r>
            <w:proofErr w:type="spellStart"/>
            <w:r w:rsidR="009B3810">
              <w:t>MNIF</w:t>
            </w:r>
            <w:proofErr w:type="spellEnd"/>
            <w:r w:rsidR="009B3810">
              <w:t xml:space="preserve">, </w:t>
            </w:r>
            <w:r>
              <w:t xml:space="preserve">reflecting the </w:t>
            </w:r>
            <w:r w:rsidR="009B3810">
              <w:t xml:space="preserve">reduced capital income from the fall in its rate of return, and </w:t>
            </w:r>
            <w:proofErr w:type="spellStart"/>
            <w:r w:rsidR="009B3810">
              <w:t>KLGE</w:t>
            </w:r>
            <w:proofErr w:type="spellEnd"/>
            <w:r w:rsidR="009B3810">
              <w:t xml:space="preserve">, representing the </w:t>
            </w:r>
            <w:r>
              <w:t>increase in labour income</w:t>
            </w:r>
            <w:r w:rsidR="009B3810">
              <w:t>.</w:t>
            </w:r>
            <w:r>
              <w:t xml:space="preserve"> </w:t>
            </w:r>
          </w:p>
          <w:p w:rsidR="006D064B" w:rsidRDefault="006D064B" w:rsidP="00D67247">
            <w:pPr>
              <w:pStyle w:val="Box"/>
              <w:tabs>
                <w:tab w:val="left" w:pos="1396"/>
              </w:tabs>
            </w:pPr>
            <w:r>
              <w:t xml:space="preserve">Figure </w:t>
            </w:r>
            <w:proofErr w:type="spellStart"/>
            <w:r w:rsidR="002963F1">
              <w:t>F.</w:t>
            </w:r>
            <w:r>
              <w:t>3</w:t>
            </w:r>
            <w:proofErr w:type="spellEnd"/>
            <w:r>
              <w:tab/>
            </w:r>
            <w:proofErr w:type="spellStart"/>
            <w:r w:rsidRPr="000D5C4B">
              <w:rPr>
                <w:b/>
              </w:rPr>
              <w:t>MRIC</w:t>
            </w:r>
            <w:proofErr w:type="spellEnd"/>
            <w:r w:rsidRPr="000D5C4B">
              <w:rPr>
                <w:b/>
              </w:rPr>
              <w:t xml:space="preserve"> transfers</w:t>
            </w:r>
            <w:r w:rsidR="0076702B">
              <w:rPr>
                <w:b/>
              </w:rPr>
              <w:t>, New Zealand recognises Australian credits</w:t>
            </w:r>
          </w:p>
          <w:p w:rsidR="006D064B" w:rsidRPr="006178EF" w:rsidRDefault="006D064B" w:rsidP="006178EF">
            <w:pPr>
              <w:pStyle w:val="Box"/>
              <w:ind w:right="-138"/>
            </w:pPr>
            <w:r w:rsidRPr="00B618DA">
              <w:rPr>
                <w:rFonts w:cs="Arial"/>
              </w:rPr>
              <w:object w:dxaOrig="10439" w:dyaOrig="4163" w14:anchorId="172E14CF">
                <v:shape id="_x0000_i1026" type="#_x0000_t75" style="width:425.95pt;height:169pt" o:ole="">
                  <v:imagedata r:id="rId14" o:title=""/>
                </v:shape>
                <o:OLEObject Type="Embed" ProgID="Visio.Drawing.11" ShapeID="_x0000_i1026" DrawAspect="Content" ObjectID="_1416659328" r:id="rId15"/>
              </w:object>
            </w:r>
          </w:p>
        </w:tc>
      </w:tr>
      <w:tr w:rsidR="00D67247" w:rsidTr="00497EB5">
        <w:tc>
          <w:tcPr>
            <w:tcW w:w="8771" w:type="dxa"/>
            <w:tcBorders>
              <w:top w:val="nil"/>
              <w:left w:val="nil"/>
              <w:bottom w:val="nil"/>
              <w:right w:val="nil"/>
            </w:tcBorders>
            <w:shd w:val="clear" w:color="auto" w:fill="D9EAF0"/>
          </w:tcPr>
          <w:p w:rsidR="00D67247" w:rsidRDefault="006178EF" w:rsidP="006178EF">
            <w:pPr>
              <w:pStyle w:val="Continued"/>
            </w:pPr>
            <w:r>
              <w:t>(Continued next page)</w:t>
            </w:r>
          </w:p>
        </w:tc>
      </w:tr>
      <w:tr w:rsidR="006D064B" w:rsidTr="00497EB5">
        <w:trPr>
          <w:cantSplit/>
        </w:trPr>
        <w:tc>
          <w:tcPr>
            <w:tcW w:w="8771" w:type="dxa"/>
            <w:tcBorders>
              <w:top w:val="nil"/>
              <w:left w:val="nil"/>
              <w:bottom w:val="nil"/>
              <w:right w:val="nil"/>
            </w:tcBorders>
            <w:shd w:val="clear" w:color="auto" w:fill="D9EAF0"/>
          </w:tcPr>
          <w:p w:rsidR="006D064B" w:rsidRDefault="006D064B" w:rsidP="00497EB5">
            <w:pPr>
              <w:pStyle w:val="Box"/>
              <w:spacing w:before="0" w:line="120" w:lineRule="exact"/>
            </w:pPr>
          </w:p>
        </w:tc>
      </w:tr>
      <w:tr w:rsidR="006D064B" w:rsidRPr="00D67247" w:rsidTr="00497EB5">
        <w:tc>
          <w:tcPr>
            <w:tcW w:w="8771" w:type="dxa"/>
            <w:tcBorders>
              <w:top w:val="nil"/>
              <w:left w:val="nil"/>
              <w:bottom w:val="nil"/>
              <w:right w:val="nil"/>
            </w:tcBorders>
          </w:tcPr>
          <w:p w:rsidR="006D064B" w:rsidRPr="00D67247" w:rsidRDefault="006D064B" w:rsidP="00497EB5">
            <w:pPr>
              <w:pStyle w:val="Box"/>
              <w:keepNext w:val="0"/>
              <w:spacing w:before="60" w:after="60" w:line="80" w:lineRule="exact"/>
              <w:rPr>
                <w:b/>
                <w:color w:val="auto"/>
                <w:sz w:val="14"/>
              </w:rPr>
            </w:pPr>
          </w:p>
        </w:tc>
      </w:tr>
    </w:tbl>
    <w:p w:rsidR="00D67247" w:rsidRDefault="00D6724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67247" w:rsidTr="00D67247">
        <w:tc>
          <w:tcPr>
            <w:tcW w:w="8771" w:type="dxa"/>
            <w:tcBorders>
              <w:top w:val="nil"/>
              <w:left w:val="nil"/>
              <w:bottom w:val="nil"/>
              <w:right w:val="nil"/>
            </w:tcBorders>
            <w:shd w:val="clear" w:color="auto" w:fill="D9EAF0"/>
          </w:tcPr>
          <w:p w:rsidR="00D67247" w:rsidRDefault="00D67247" w:rsidP="00D67247">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Pr>
                <w:b w:val="0"/>
              </w:rPr>
              <w:t>6</w:t>
            </w:r>
            <w:proofErr w:type="spellEnd"/>
            <w:r>
              <w:tab/>
            </w:r>
            <w:r w:rsidRPr="00D67247">
              <w:rPr>
                <w:b w:val="0"/>
                <w:sz w:val="18"/>
                <w:szCs w:val="18"/>
              </w:rPr>
              <w:t>(continued)</w:t>
            </w:r>
          </w:p>
        </w:tc>
      </w:tr>
      <w:tr w:rsidR="00D67247" w:rsidTr="00D67247">
        <w:trPr>
          <w:cantSplit/>
        </w:trPr>
        <w:tc>
          <w:tcPr>
            <w:tcW w:w="8771" w:type="dxa"/>
            <w:tcBorders>
              <w:top w:val="nil"/>
              <w:left w:val="nil"/>
              <w:bottom w:val="nil"/>
              <w:right w:val="nil"/>
            </w:tcBorders>
            <w:shd w:val="clear" w:color="auto" w:fill="D9EAF0"/>
          </w:tcPr>
          <w:p w:rsidR="006178EF" w:rsidRDefault="006178EF" w:rsidP="006178EF">
            <w:pPr>
              <w:pStyle w:val="Box"/>
              <w:rPr>
                <w:rFonts w:cs="Arial"/>
              </w:rPr>
            </w:pPr>
            <w:r>
              <w:rPr>
                <w:rFonts w:cs="Arial"/>
              </w:rPr>
              <w:t xml:space="preserve">Figure </w:t>
            </w:r>
            <w:proofErr w:type="spellStart"/>
            <w:r>
              <w:rPr>
                <w:rFonts w:cs="Arial"/>
              </w:rPr>
              <w:t>F.</w:t>
            </w:r>
            <w:r w:rsidRPr="000D5C4B">
              <w:rPr>
                <w:rFonts w:cs="Arial"/>
              </w:rPr>
              <w:t>3B</w:t>
            </w:r>
            <w:proofErr w:type="spellEnd"/>
            <w:r w:rsidRPr="000D5C4B">
              <w:rPr>
                <w:rFonts w:cs="Arial"/>
              </w:rPr>
              <w:t xml:space="preserve"> brings together the</w:t>
            </w:r>
            <w:r>
              <w:rPr>
                <w:rFonts w:cs="Arial"/>
              </w:rPr>
              <w:t xml:space="preserve">se inter-country transfers of income from capital owned </w:t>
            </w:r>
            <w:r w:rsidR="002F05C4">
              <w:rPr>
                <w:rFonts w:cs="Arial"/>
              </w:rPr>
              <w:t>by residents of</w:t>
            </w:r>
            <w:r>
              <w:rPr>
                <w:rFonts w:cs="Arial"/>
              </w:rPr>
              <w:t xml:space="preserve"> one country to labour in the other with the </w:t>
            </w:r>
            <w:r w:rsidRPr="000D5C4B">
              <w:rPr>
                <w:rFonts w:cs="Arial"/>
              </w:rPr>
              <w:t>preceding analys</w:t>
            </w:r>
            <w:r>
              <w:rPr>
                <w:rFonts w:cs="Arial"/>
              </w:rPr>
              <w:t>is</w:t>
            </w:r>
            <w:r w:rsidRPr="000D5C4B">
              <w:rPr>
                <w:rFonts w:cs="Arial"/>
              </w:rPr>
              <w:t xml:space="preserve"> of </w:t>
            </w:r>
            <w:proofErr w:type="spellStart"/>
            <w:r w:rsidRPr="000D5C4B">
              <w:rPr>
                <w:rFonts w:cs="Arial"/>
              </w:rPr>
              <w:t>allocative</w:t>
            </w:r>
            <w:proofErr w:type="spellEnd"/>
            <w:r w:rsidRPr="000D5C4B">
              <w:rPr>
                <w:rFonts w:cs="Arial"/>
              </w:rPr>
              <w:t xml:space="preserve"> efficiency and the</w:t>
            </w:r>
            <w:r>
              <w:rPr>
                <w:rFonts w:cs="Arial"/>
              </w:rPr>
              <w:t xml:space="preserve"> </w:t>
            </w:r>
            <w:r w:rsidRPr="000D5C4B">
              <w:rPr>
                <w:rFonts w:cs="Arial"/>
              </w:rPr>
              <w:t xml:space="preserve">associated shifting of the corporate tax base (in </w:t>
            </w:r>
            <w:r w:rsidR="008C330A">
              <w:rPr>
                <w:rFonts w:cs="Arial"/>
              </w:rPr>
              <w:t>b</w:t>
            </w:r>
            <w:r w:rsidR="008568A0">
              <w:t xml:space="preserve">ox </w:t>
            </w:r>
            <w:proofErr w:type="spellStart"/>
            <w:r w:rsidR="008568A0">
              <w:t>F.</w:t>
            </w:r>
            <w:r w:rsidR="008568A0" w:rsidRPr="008568A0">
              <w:rPr>
                <w:noProof/>
              </w:rPr>
              <w:t>3</w:t>
            </w:r>
            <w:proofErr w:type="spellEnd"/>
            <w:r w:rsidRPr="00B210D4">
              <w:rPr>
                <w:rFonts w:cs="Arial"/>
              </w:rPr>
              <w:t>)</w:t>
            </w:r>
            <w:r>
              <w:rPr>
                <w:rFonts w:cs="Arial"/>
              </w:rPr>
              <w:t>.</w:t>
            </w:r>
            <w:r w:rsidRPr="000D5C4B">
              <w:rPr>
                <w:rFonts w:cs="Arial"/>
              </w:rPr>
              <w:t xml:space="preserve"> </w:t>
            </w:r>
            <w:r>
              <w:rPr>
                <w:rFonts w:cs="Arial"/>
              </w:rPr>
              <w:t>A</w:t>
            </w:r>
            <w:r w:rsidRPr="000D5C4B">
              <w:rPr>
                <w:rFonts w:cs="Arial"/>
              </w:rPr>
              <w:t xml:space="preserve">s a result of New Zealand recognising Australian imputation credits, Australia would derive two elements of additional income: a gain in company tax revenue (area </w:t>
            </w:r>
            <w:proofErr w:type="spellStart"/>
            <w:r w:rsidRPr="000D5C4B">
              <w:rPr>
                <w:rFonts w:cs="Arial"/>
              </w:rPr>
              <w:t>HJIG</w:t>
            </w:r>
            <w:proofErr w:type="spellEnd"/>
            <w:r w:rsidRPr="000D5C4B">
              <w:rPr>
                <w:rFonts w:cs="Arial"/>
              </w:rPr>
              <w:t xml:space="preserve">) and a gain in labour income (area </w:t>
            </w:r>
            <w:proofErr w:type="spellStart"/>
            <w:r w:rsidRPr="000D5C4B">
              <w:rPr>
                <w:rFonts w:cs="Arial"/>
              </w:rPr>
              <w:t>KLGE</w:t>
            </w:r>
            <w:proofErr w:type="spellEnd"/>
            <w:r w:rsidRPr="000D5C4B">
              <w:rPr>
                <w:rFonts w:cs="Arial"/>
              </w:rPr>
              <w:t xml:space="preserve">). Together these comprise the area outlined in orange. Meanwhile, New Zealand would lose income represented by areas </w:t>
            </w:r>
            <w:proofErr w:type="spellStart"/>
            <w:r w:rsidRPr="000D5C4B">
              <w:rPr>
                <w:rFonts w:cs="Arial"/>
              </w:rPr>
              <w:t>GFI</w:t>
            </w:r>
            <w:proofErr w:type="spellEnd"/>
            <w:r>
              <w:rPr>
                <w:rFonts w:cs="Arial"/>
              </w:rPr>
              <w:t xml:space="preserve"> (the additional company tax now going to Australia, less the efficiency gain) and </w:t>
            </w:r>
            <w:proofErr w:type="spellStart"/>
            <w:r>
              <w:rPr>
                <w:rFonts w:cs="Arial"/>
              </w:rPr>
              <w:t>MNIF</w:t>
            </w:r>
            <w:proofErr w:type="spellEnd"/>
            <w:r>
              <w:rPr>
                <w:rFonts w:cs="Arial"/>
              </w:rPr>
              <w:t xml:space="preserve"> (New Zealand’s reduced capital income from the </w:t>
            </w:r>
            <w:r w:rsidRPr="000D5C4B">
              <w:rPr>
                <w:rFonts w:cs="Arial"/>
              </w:rPr>
              <w:t>lower rate of return on its capital invested in Australia</w:t>
            </w:r>
            <w:r>
              <w:rPr>
                <w:rFonts w:cs="Arial"/>
              </w:rPr>
              <w:t>)</w:t>
            </w:r>
            <w:r w:rsidRPr="000D5C4B">
              <w:rPr>
                <w:rFonts w:cs="Arial"/>
              </w:rPr>
              <w:t xml:space="preserve">. Taken together these areas comprise the area outlined in green. Subtracting New Zealand’s loss of income from Australia’s gain leaves the gain in </w:t>
            </w:r>
            <w:proofErr w:type="spellStart"/>
            <w:r w:rsidRPr="000D5C4B">
              <w:rPr>
                <w:rFonts w:cs="Arial"/>
              </w:rPr>
              <w:t>allocative</w:t>
            </w:r>
            <w:proofErr w:type="spellEnd"/>
            <w:r w:rsidRPr="000D5C4B">
              <w:rPr>
                <w:rFonts w:cs="Arial"/>
              </w:rPr>
              <w:t xml:space="preserve"> efficiency represented by triangle </w:t>
            </w:r>
            <w:proofErr w:type="spellStart"/>
            <w:r w:rsidRPr="000D5C4B">
              <w:rPr>
                <w:rFonts w:cs="Arial"/>
              </w:rPr>
              <w:t>EFG</w:t>
            </w:r>
            <w:proofErr w:type="spellEnd"/>
            <w:r w:rsidRPr="000D5C4B">
              <w:rPr>
                <w:rFonts w:cs="Arial"/>
              </w:rPr>
              <w:t>.</w:t>
            </w:r>
          </w:p>
          <w:p w:rsidR="00D67247" w:rsidRDefault="006178EF" w:rsidP="004410BF">
            <w:pPr>
              <w:pStyle w:val="Box"/>
            </w:pPr>
            <w:r w:rsidRPr="000D5C4B">
              <w:rPr>
                <w:rFonts w:cs="Arial"/>
              </w:rPr>
              <w:t xml:space="preserve">From this analysis, it </w:t>
            </w:r>
            <w:r w:rsidR="004410BF">
              <w:rPr>
                <w:rFonts w:cs="Arial"/>
              </w:rPr>
              <w:t>is</w:t>
            </w:r>
            <w:r w:rsidRPr="000D5C4B">
              <w:rPr>
                <w:rFonts w:cs="Arial"/>
              </w:rPr>
              <w:t xml:space="preserve"> further evident that it would not be in either country's interest unilaterally to recognise the imputation credits of the other. </w:t>
            </w:r>
            <w:r>
              <w:rPr>
                <w:rFonts w:cs="Arial"/>
              </w:rPr>
              <w:t xml:space="preserve">It is also evident that any significant imbalance in the size of the trans-Tasman flows of capital induced by </w:t>
            </w:r>
            <w:proofErr w:type="spellStart"/>
            <w:r>
              <w:rPr>
                <w:rFonts w:cs="Arial"/>
              </w:rPr>
              <w:t>MRIC</w:t>
            </w:r>
            <w:proofErr w:type="spellEnd"/>
            <w:r>
              <w:rPr>
                <w:rFonts w:cs="Arial"/>
              </w:rPr>
              <w:t xml:space="preserve"> could leave the country experiencing the larger outflow worse off — despite the overall efficiency gains.</w:t>
            </w:r>
          </w:p>
        </w:tc>
      </w:tr>
      <w:tr w:rsidR="00D67247" w:rsidTr="00D67247">
        <w:trPr>
          <w:cantSplit/>
        </w:trPr>
        <w:tc>
          <w:tcPr>
            <w:tcW w:w="8771" w:type="dxa"/>
            <w:tcBorders>
              <w:top w:val="nil"/>
              <w:left w:val="nil"/>
              <w:bottom w:val="nil"/>
              <w:right w:val="nil"/>
            </w:tcBorders>
            <w:shd w:val="clear" w:color="auto" w:fill="D9EAF0"/>
          </w:tcPr>
          <w:p w:rsidR="00D67247" w:rsidRDefault="00D67247">
            <w:pPr>
              <w:pStyle w:val="BoxSource"/>
            </w:pPr>
            <w:r>
              <w:rPr>
                <w:i/>
              </w:rPr>
              <w:t>Source</w:t>
            </w:r>
            <w:r w:rsidRPr="00167F06">
              <w:t xml:space="preserve">: </w:t>
            </w:r>
            <w:r w:rsidR="006178EF" w:rsidRPr="00A51389">
              <w:t xml:space="preserve">Benge and Slack </w:t>
            </w:r>
            <w:r w:rsidR="006178EF">
              <w:t>(</w:t>
            </w:r>
            <w:r w:rsidR="006178EF" w:rsidRPr="00A51389">
              <w:t>2012</w:t>
            </w:r>
            <w:r w:rsidR="006178EF">
              <w:rPr>
                <w:rFonts w:cs="Arial"/>
              </w:rPr>
              <w:t>).</w:t>
            </w:r>
          </w:p>
        </w:tc>
      </w:tr>
      <w:tr w:rsidR="00D67247" w:rsidTr="00D67247">
        <w:trPr>
          <w:cantSplit/>
        </w:trPr>
        <w:tc>
          <w:tcPr>
            <w:tcW w:w="8771" w:type="dxa"/>
            <w:tcBorders>
              <w:top w:val="nil"/>
              <w:left w:val="nil"/>
              <w:bottom w:val="nil"/>
              <w:right w:val="nil"/>
            </w:tcBorders>
            <w:shd w:val="clear" w:color="auto" w:fill="D9EAF0"/>
          </w:tcPr>
          <w:p w:rsidR="00D67247" w:rsidRDefault="00D67247">
            <w:pPr>
              <w:pStyle w:val="Box"/>
              <w:spacing w:before="0" w:line="120" w:lineRule="exact"/>
            </w:pPr>
          </w:p>
        </w:tc>
      </w:tr>
      <w:tr w:rsidR="00D67247" w:rsidRPr="00D67247" w:rsidTr="00D67247">
        <w:tc>
          <w:tcPr>
            <w:tcW w:w="8771" w:type="dxa"/>
            <w:tcBorders>
              <w:top w:val="nil"/>
              <w:left w:val="nil"/>
              <w:bottom w:val="nil"/>
              <w:right w:val="nil"/>
            </w:tcBorders>
          </w:tcPr>
          <w:p w:rsidR="00D67247" w:rsidRPr="00D67247" w:rsidRDefault="00D67247">
            <w:pPr>
              <w:pStyle w:val="Box"/>
              <w:keepNext w:val="0"/>
              <w:spacing w:before="60" w:after="60" w:line="80" w:lineRule="exact"/>
              <w:rPr>
                <w:b/>
                <w:color w:val="auto"/>
                <w:sz w:val="14"/>
              </w:rPr>
            </w:pPr>
          </w:p>
        </w:tc>
      </w:tr>
    </w:tbl>
    <w:p w:rsidR="00BB0335" w:rsidRDefault="006D064B" w:rsidP="00BB0335">
      <w:pPr>
        <w:pStyle w:val="BodyText"/>
      </w:pPr>
      <w:r w:rsidRPr="000D5C4B">
        <w:t>Again, however, there is an important caveat to this analysis. To the extent the two economies are integrated with global capital markets, shifts of trans-Tasman capital mostly would displace, and be back-filled by, global capital, resulting in a smaller or inconsequential change in each economy’s capital stock. In that case, there would be correspondingly less change in the corporate tax bases</w:t>
      </w:r>
      <w:r w:rsidR="00A623C1">
        <w:t>,</w:t>
      </w:r>
      <w:r w:rsidRPr="000D5C4B">
        <w:t xml:space="preserve"> </w:t>
      </w:r>
      <w:r w:rsidR="00A623C1">
        <w:t>smaller changes</w:t>
      </w:r>
      <w:r w:rsidRPr="000D5C4B">
        <w:t xml:space="preserve"> in relative returns to capital and labour and hence less by way of inter-country transfer. This is a direct counterpart to the discussion in section </w:t>
      </w:r>
      <w:proofErr w:type="spellStart"/>
      <w:r w:rsidR="007964A3">
        <w:t>F</w:t>
      </w:r>
      <w:r w:rsidRPr="000D5C4B">
        <w:t>.2</w:t>
      </w:r>
      <w:proofErr w:type="spellEnd"/>
      <w:r w:rsidRPr="000D5C4B">
        <w:t xml:space="preserve"> of how, for firms with access to global capital, adoption of </w:t>
      </w:r>
      <w:proofErr w:type="spellStart"/>
      <w:r w:rsidRPr="000D5C4B">
        <w:t>MRIC</w:t>
      </w:r>
      <w:proofErr w:type="spellEnd"/>
      <w:r w:rsidRPr="000D5C4B">
        <w:t xml:space="preserve"> would be unlikely to result in</w:t>
      </w:r>
      <w:r>
        <w:t xml:space="preserve"> </w:t>
      </w:r>
      <w:r w:rsidR="00A623C1">
        <w:t xml:space="preserve">a net </w:t>
      </w:r>
      <w:r w:rsidRPr="000D5C4B">
        <w:t>reallocation of capital between the two economies.</w:t>
      </w:r>
    </w:p>
    <w:p w:rsidR="00D13632" w:rsidRPr="003738BC" w:rsidRDefault="00D13632" w:rsidP="00D13632">
      <w:pPr>
        <w:pStyle w:val="Heading3"/>
        <w:rPr>
          <w:rFonts w:cs="Arial"/>
        </w:rPr>
      </w:pPr>
      <w:r w:rsidRPr="003738BC">
        <w:rPr>
          <w:rFonts w:cs="Arial"/>
        </w:rPr>
        <w:t>Investment diversion — a potential co</w:t>
      </w:r>
      <w:r>
        <w:rPr>
          <w:rFonts w:cs="Arial"/>
        </w:rPr>
        <w:t>st</w:t>
      </w:r>
      <w:r w:rsidRPr="003738BC">
        <w:rPr>
          <w:rFonts w:cs="Arial"/>
        </w:rPr>
        <w:t>?</w:t>
      </w:r>
    </w:p>
    <w:p w:rsidR="00F473D6" w:rsidRDefault="00D13632" w:rsidP="00D13632">
      <w:pPr>
        <w:pStyle w:val="BodyText"/>
        <w:rPr>
          <w:lang w:val="en-NZ" w:eastAsia="en-US"/>
        </w:rPr>
      </w:pPr>
      <w:r>
        <w:rPr>
          <w:lang w:val="en-NZ" w:eastAsia="en-US"/>
        </w:rPr>
        <w:t>In g</w:t>
      </w:r>
      <w:r w:rsidRPr="000D5C4B">
        <w:rPr>
          <w:lang w:val="en-NZ" w:eastAsia="en-US"/>
        </w:rPr>
        <w:t>eneral</w:t>
      </w:r>
      <w:r w:rsidR="004410BF">
        <w:rPr>
          <w:lang w:val="en-NZ" w:eastAsia="en-US"/>
        </w:rPr>
        <w:t>,</w:t>
      </w:r>
      <w:r>
        <w:rPr>
          <w:lang w:val="en-NZ" w:eastAsia="en-US"/>
        </w:rPr>
        <w:t xml:space="preserve"> </w:t>
      </w:r>
      <w:r w:rsidRPr="000D5C4B">
        <w:rPr>
          <w:lang w:val="en-NZ" w:eastAsia="en-US"/>
        </w:rPr>
        <w:t>arrangements</w:t>
      </w:r>
      <w:r>
        <w:rPr>
          <w:lang w:val="en-NZ" w:eastAsia="en-US"/>
        </w:rPr>
        <w:t xml:space="preserve"> </w:t>
      </w:r>
      <w:r w:rsidRPr="000D5C4B">
        <w:rPr>
          <w:lang w:val="en-NZ" w:eastAsia="en-US"/>
        </w:rPr>
        <w:t xml:space="preserve">that </w:t>
      </w:r>
      <w:r>
        <w:rPr>
          <w:lang w:val="en-NZ" w:eastAsia="en-US"/>
        </w:rPr>
        <w:t xml:space="preserve">remove barriers to </w:t>
      </w:r>
      <w:r w:rsidRPr="000D5C4B">
        <w:rPr>
          <w:lang w:val="en-NZ" w:eastAsia="en-US"/>
        </w:rPr>
        <w:t>flows of capital between countries are welfare enhancing</w:t>
      </w:r>
      <w:r>
        <w:rPr>
          <w:lang w:val="en-NZ" w:eastAsia="en-US"/>
        </w:rPr>
        <w:t xml:space="preserve">. But as </w:t>
      </w:r>
      <w:proofErr w:type="spellStart"/>
      <w:r>
        <w:rPr>
          <w:lang w:val="en-NZ" w:eastAsia="en-US"/>
        </w:rPr>
        <w:t>MRIC</w:t>
      </w:r>
      <w:proofErr w:type="spellEnd"/>
      <w:r>
        <w:rPr>
          <w:lang w:val="en-NZ" w:eastAsia="en-US"/>
        </w:rPr>
        <w:t xml:space="preserve"> would be a bilateral arrangement confined to Australia and New Zealand, there is a question about whether </w:t>
      </w:r>
      <w:r w:rsidR="00E00BB9">
        <w:rPr>
          <w:lang w:val="en-NZ" w:eastAsia="en-US"/>
        </w:rPr>
        <w:t>i</w:t>
      </w:r>
      <w:r>
        <w:rPr>
          <w:lang w:val="en-NZ" w:eastAsia="en-US"/>
        </w:rPr>
        <w:t xml:space="preserve">t could result in </w:t>
      </w:r>
      <w:r w:rsidR="00F473D6">
        <w:rPr>
          <w:lang w:val="en-NZ" w:eastAsia="en-US"/>
        </w:rPr>
        <w:t>inefficient diversion of capital invested in the rest of the world into the trans-Tasman partner (analogous to the costs that can arise from trade diversion under preferential trade agreements).</w:t>
      </w:r>
    </w:p>
    <w:p w:rsidR="00E81A2A" w:rsidRDefault="00F473D6" w:rsidP="00D13632">
      <w:pPr>
        <w:pStyle w:val="BodyText"/>
        <w:rPr>
          <w:lang w:val="en-NZ" w:eastAsia="en-US"/>
        </w:rPr>
      </w:pPr>
      <w:r>
        <w:rPr>
          <w:lang w:val="en-NZ" w:eastAsia="en-US"/>
        </w:rPr>
        <w:t xml:space="preserve">As discussed in </w:t>
      </w:r>
      <w:r w:rsidR="006178EF">
        <w:rPr>
          <w:lang w:val="en-NZ" w:eastAsia="en-US"/>
        </w:rPr>
        <w:t>s</w:t>
      </w:r>
      <w:r>
        <w:rPr>
          <w:lang w:val="en-NZ" w:eastAsia="en-US"/>
        </w:rPr>
        <w:t xml:space="preserve">upplementary </w:t>
      </w:r>
      <w:r w:rsidR="006178EF">
        <w:rPr>
          <w:lang w:val="en-NZ" w:eastAsia="en-US"/>
        </w:rPr>
        <w:t>p</w:t>
      </w:r>
      <w:r>
        <w:rPr>
          <w:lang w:val="en-NZ" w:eastAsia="en-US"/>
        </w:rPr>
        <w:t>aper C (</w:t>
      </w:r>
      <w:r w:rsidR="00D13632">
        <w:rPr>
          <w:lang w:val="en-NZ" w:eastAsia="en-US"/>
        </w:rPr>
        <w:t>b</w:t>
      </w:r>
      <w:r w:rsidR="00D13632" w:rsidRPr="000D5C4B">
        <w:rPr>
          <w:lang w:val="en-NZ" w:eastAsia="en-US"/>
        </w:rPr>
        <w:t xml:space="preserve">ox </w:t>
      </w:r>
      <w:proofErr w:type="spellStart"/>
      <w:r w:rsidR="00D13632" w:rsidRPr="000D5C4B">
        <w:rPr>
          <w:lang w:val="en-NZ" w:eastAsia="en-US"/>
        </w:rPr>
        <w:t>C.6</w:t>
      </w:r>
      <w:proofErr w:type="spellEnd"/>
      <w:r w:rsidR="00D13632" w:rsidRPr="000D5C4B">
        <w:rPr>
          <w:lang w:val="en-NZ" w:eastAsia="en-US"/>
        </w:rPr>
        <w:t>)</w:t>
      </w:r>
      <w:r>
        <w:rPr>
          <w:lang w:val="en-NZ" w:eastAsia="en-US"/>
        </w:rPr>
        <w:t xml:space="preserve">, </w:t>
      </w:r>
      <w:r w:rsidR="00E81A2A">
        <w:rPr>
          <w:lang w:val="en-NZ" w:eastAsia="en-US"/>
        </w:rPr>
        <w:t>preferential liberalisation of barriers to investment</w:t>
      </w:r>
      <w:r w:rsidR="006E40F4">
        <w:rPr>
          <w:lang w:val="en-NZ" w:eastAsia="en-US"/>
        </w:rPr>
        <w:t xml:space="preserve"> can result in inefficient investment diversion when the </w:t>
      </w:r>
      <w:r w:rsidR="006E40F4">
        <w:rPr>
          <w:lang w:val="en-NZ" w:eastAsia="en-US"/>
        </w:rPr>
        <w:lastRenderedPageBreak/>
        <w:t xml:space="preserve">barriers </w:t>
      </w:r>
      <w:r w:rsidR="008457E0">
        <w:rPr>
          <w:lang w:val="en-NZ" w:eastAsia="en-US"/>
        </w:rPr>
        <w:t xml:space="preserve">that </w:t>
      </w:r>
      <w:r w:rsidR="006E40F4">
        <w:rPr>
          <w:lang w:val="en-NZ" w:eastAsia="en-US"/>
        </w:rPr>
        <w:t xml:space="preserve">are </w:t>
      </w:r>
      <w:r w:rsidR="008457E0">
        <w:rPr>
          <w:lang w:val="en-NZ" w:eastAsia="en-US"/>
        </w:rPr>
        <w:t>being removed preferentially</w:t>
      </w:r>
      <w:r w:rsidR="006E40F4">
        <w:rPr>
          <w:lang w:val="en-NZ" w:eastAsia="en-US"/>
        </w:rPr>
        <w:t xml:space="preserve"> </w:t>
      </w:r>
      <w:r w:rsidR="00E00BB9">
        <w:rPr>
          <w:lang w:val="en-NZ" w:eastAsia="en-US"/>
        </w:rPr>
        <w:t xml:space="preserve">are </w:t>
      </w:r>
      <w:r w:rsidR="006E40F4">
        <w:rPr>
          <w:lang w:val="en-NZ" w:eastAsia="en-US"/>
        </w:rPr>
        <w:t>of a sort that create economic rents</w:t>
      </w:r>
      <w:r w:rsidR="008457E0">
        <w:rPr>
          <w:lang w:val="en-NZ" w:eastAsia="en-US"/>
        </w:rPr>
        <w:t>.</w:t>
      </w:r>
      <w:r w:rsidR="00D16F98">
        <w:rPr>
          <w:lang w:val="en-NZ" w:eastAsia="en-US"/>
        </w:rPr>
        <w:t xml:space="preserve"> </w:t>
      </w:r>
      <w:proofErr w:type="spellStart"/>
      <w:r w:rsidR="006E40F4">
        <w:rPr>
          <w:lang w:val="en-NZ" w:eastAsia="en-US"/>
        </w:rPr>
        <w:t>MRIC</w:t>
      </w:r>
      <w:proofErr w:type="spellEnd"/>
      <w:r w:rsidR="006E40F4">
        <w:rPr>
          <w:lang w:val="en-NZ" w:eastAsia="en-US"/>
        </w:rPr>
        <w:t xml:space="preserve"> </w:t>
      </w:r>
      <w:r w:rsidR="008457E0">
        <w:rPr>
          <w:lang w:val="en-NZ" w:eastAsia="en-US"/>
        </w:rPr>
        <w:t xml:space="preserve">does not </w:t>
      </w:r>
      <w:r w:rsidR="006E40F4">
        <w:rPr>
          <w:lang w:val="en-NZ" w:eastAsia="en-US"/>
        </w:rPr>
        <w:t>fall into th</w:t>
      </w:r>
      <w:r w:rsidR="008457E0">
        <w:rPr>
          <w:lang w:val="en-NZ" w:eastAsia="en-US"/>
        </w:rPr>
        <w:t>is</w:t>
      </w:r>
      <w:r w:rsidR="00D16F98">
        <w:rPr>
          <w:lang w:val="en-NZ" w:eastAsia="en-US"/>
        </w:rPr>
        <w:t xml:space="preserve"> category.</w:t>
      </w:r>
    </w:p>
    <w:p w:rsidR="00B33F6C" w:rsidRDefault="00E00BB9" w:rsidP="00F1792E">
      <w:pPr>
        <w:pStyle w:val="BodyText"/>
        <w:rPr>
          <w:lang w:val="en-NZ" w:eastAsia="en-US"/>
        </w:rPr>
      </w:pPr>
      <w:r>
        <w:rPr>
          <w:lang w:val="en-NZ" w:eastAsia="en-US"/>
        </w:rPr>
        <w:t xml:space="preserve">That said, </w:t>
      </w:r>
      <w:proofErr w:type="spellStart"/>
      <w:r w:rsidR="008457E0">
        <w:rPr>
          <w:lang w:val="en-NZ" w:eastAsia="en-US"/>
        </w:rPr>
        <w:t>MRIC</w:t>
      </w:r>
      <w:proofErr w:type="spellEnd"/>
      <w:r w:rsidR="008457E0">
        <w:rPr>
          <w:lang w:val="en-NZ" w:eastAsia="en-US"/>
        </w:rPr>
        <w:t xml:space="preserve"> would indeed </w:t>
      </w:r>
      <w:r>
        <w:rPr>
          <w:lang w:val="en-NZ" w:eastAsia="en-US"/>
        </w:rPr>
        <w:t xml:space="preserve">be </w:t>
      </w:r>
      <w:r w:rsidR="008457E0">
        <w:rPr>
          <w:lang w:val="en-NZ" w:eastAsia="en-US"/>
        </w:rPr>
        <w:t>likely to induce some Australian investment in third countries to shift to New Zealand</w:t>
      </w:r>
      <w:r>
        <w:rPr>
          <w:lang w:val="en-NZ" w:eastAsia="en-US"/>
        </w:rPr>
        <w:t xml:space="preserve">, </w:t>
      </w:r>
      <w:r w:rsidR="008457E0">
        <w:rPr>
          <w:lang w:val="en-NZ" w:eastAsia="en-US"/>
        </w:rPr>
        <w:t>and some New Zealand investment in third countries to shift to Australia</w:t>
      </w:r>
      <w:r>
        <w:rPr>
          <w:lang w:val="en-NZ" w:eastAsia="en-US"/>
        </w:rPr>
        <w:t>.</w:t>
      </w:r>
      <w:r w:rsidR="008457E0">
        <w:rPr>
          <w:lang w:val="en-NZ" w:eastAsia="en-US"/>
        </w:rPr>
        <w:t xml:space="preserve"> This </w:t>
      </w:r>
      <w:r>
        <w:rPr>
          <w:lang w:val="en-NZ" w:eastAsia="en-US"/>
        </w:rPr>
        <w:t xml:space="preserve">would </w:t>
      </w:r>
      <w:r w:rsidR="008457E0">
        <w:rPr>
          <w:lang w:val="en-NZ" w:eastAsia="en-US"/>
        </w:rPr>
        <w:t xml:space="preserve">happen because the capital owners would earn a higher rate of return from the relocated investment </w:t>
      </w:r>
      <w:r>
        <w:rPr>
          <w:lang w:val="en-NZ" w:eastAsia="en-US"/>
        </w:rPr>
        <w:t xml:space="preserve">given </w:t>
      </w:r>
      <w:r w:rsidR="008457E0">
        <w:rPr>
          <w:lang w:val="en-NZ" w:eastAsia="en-US"/>
        </w:rPr>
        <w:t xml:space="preserve">that company tax paid in the trans-Tasman partner country </w:t>
      </w:r>
      <w:r>
        <w:rPr>
          <w:lang w:val="en-NZ" w:eastAsia="en-US"/>
        </w:rPr>
        <w:t xml:space="preserve">would be </w:t>
      </w:r>
      <w:r w:rsidR="008457E0">
        <w:rPr>
          <w:lang w:val="en-NZ" w:eastAsia="en-US"/>
        </w:rPr>
        <w:t>available as a tax credit.</w:t>
      </w:r>
      <w:r w:rsidR="00D16F98">
        <w:rPr>
          <w:lang w:val="en-NZ" w:eastAsia="en-US"/>
        </w:rPr>
        <w:t xml:space="preserve"> </w:t>
      </w:r>
      <w:r>
        <w:rPr>
          <w:lang w:val="en-NZ" w:eastAsia="en-US"/>
        </w:rPr>
        <w:t>But i</w:t>
      </w:r>
      <w:r w:rsidR="008457E0">
        <w:rPr>
          <w:lang w:val="en-NZ" w:eastAsia="en-US"/>
        </w:rPr>
        <w:t xml:space="preserve">t </w:t>
      </w:r>
      <w:r>
        <w:rPr>
          <w:lang w:val="en-NZ" w:eastAsia="en-US"/>
        </w:rPr>
        <w:t xml:space="preserve">would </w:t>
      </w:r>
      <w:r w:rsidR="008457E0">
        <w:rPr>
          <w:lang w:val="en-NZ" w:eastAsia="en-US"/>
        </w:rPr>
        <w:t xml:space="preserve">also increase the income of </w:t>
      </w:r>
      <w:r w:rsidR="008457E0" w:rsidRPr="0026621E">
        <w:rPr>
          <w:i/>
          <w:lang w:val="en-NZ" w:eastAsia="en-US"/>
        </w:rPr>
        <w:t>Australasia</w:t>
      </w:r>
      <w:r w:rsidR="008457E0">
        <w:rPr>
          <w:lang w:val="en-NZ" w:eastAsia="en-US"/>
        </w:rPr>
        <w:t xml:space="preserve"> because tax paid </w:t>
      </w:r>
      <w:r>
        <w:rPr>
          <w:lang w:val="en-NZ" w:eastAsia="en-US"/>
        </w:rPr>
        <w:t xml:space="preserve">in Australasia </w:t>
      </w:r>
      <w:r w:rsidR="008457E0">
        <w:rPr>
          <w:lang w:val="en-NZ" w:eastAsia="en-US"/>
        </w:rPr>
        <w:t xml:space="preserve">is part </w:t>
      </w:r>
      <w:r>
        <w:rPr>
          <w:lang w:val="en-NZ" w:eastAsia="en-US"/>
        </w:rPr>
        <w:t xml:space="preserve">of </w:t>
      </w:r>
      <w:r w:rsidR="008457E0">
        <w:rPr>
          <w:lang w:val="en-NZ" w:eastAsia="en-US"/>
        </w:rPr>
        <w:t>its overall income, unlike tax paid in third countries</w:t>
      </w:r>
      <w:r w:rsidR="00A41489">
        <w:rPr>
          <w:lang w:val="en-NZ" w:eastAsia="en-US"/>
        </w:rPr>
        <w:t>.</w:t>
      </w:r>
    </w:p>
    <w:p w:rsidR="00D13632" w:rsidRDefault="00A41489" w:rsidP="00F1792E">
      <w:pPr>
        <w:pStyle w:val="BodyText"/>
      </w:pPr>
      <w:r>
        <w:rPr>
          <w:lang w:val="en-NZ" w:eastAsia="en-US"/>
        </w:rPr>
        <w:t>However, a</w:t>
      </w:r>
      <w:r w:rsidR="00D13632" w:rsidRPr="000D5C4B">
        <w:rPr>
          <w:lang w:val="en-NZ" w:eastAsia="en-US"/>
        </w:rPr>
        <w:t xml:space="preserve">s with </w:t>
      </w:r>
      <w:proofErr w:type="spellStart"/>
      <w:r w:rsidR="00CC54C1">
        <w:rPr>
          <w:lang w:val="en-NZ" w:eastAsia="en-US"/>
        </w:rPr>
        <w:t>MRIC</w:t>
      </w:r>
      <w:proofErr w:type="spellEnd"/>
      <w:r w:rsidR="00CC54C1">
        <w:rPr>
          <w:lang w:val="en-NZ" w:eastAsia="en-US"/>
        </w:rPr>
        <w:t xml:space="preserve">-induced </w:t>
      </w:r>
      <w:r w:rsidR="00D13632" w:rsidRPr="000D5C4B">
        <w:rPr>
          <w:lang w:val="en-NZ" w:eastAsia="en-US"/>
        </w:rPr>
        <w:t>trans-Tasman shifts of investment</w:t>
      </w:r>
      <w:r w:rsidR="00CC54C1">
        <w:rPr>
          <w:lang w:val="en-NZ" w:eastAsia="en-US"/>
        </w:rPr>
        <w:t xml:space="preserve">, and </w:t>
      </w:r>
      <w:r>
        <w:rPr>
          <w:lang w:val="en-NZ" w:eastAsia="en-US"/>
        </w:rPr>
        <w:t xml:space="preserve">the associated </w:t>
      </w:r>
      <w:r w:rsidR="00CC54C1">
        <w:rPr>
          <w:lang w:val="en-NZ" w:eastAsia="en-US"/>
        </w:rPr>
        <w:t xml:space="preserve">company income and tax on that income, </w:t>
      </w:r>
      <w:r w:rsidR="00D13632" w:rsidRPr="000D5C4B">
        <w:rPr>
          <w:lang w:val="en-NZ" w:eastAsia="en-US"/>
        </w:rPr>
        <w:t xml:space="preserve">the gain </w:t>
      </w:r>
      <w:r w:rsidR="00CC54C1">
        <w:rPr>
          <w:lang w:val="en-NZ" w:eastAsia="en-US"/>
        </w:rPr>
        <w:t xml:space="preserve">from capital being diverted from the rest of the world </w:t>
      </w:r>
      <w:r w:rsidR="00D13632" w:rsidRPr="000D5C4B">
        <w:rPr>
          <w:lang w:val="en-NZ" w:eastAsia="en-US"/>
        </w:rPr>
        <w:t>would accrue to the country whose imputation credits were being recognised and at the expense of the country recognising them.</w:t>
      </w:r>
      <w:r w:rsidR="00D16F98">
        <w:rPr>
          <w:lang w:val="en-NZ" w:eastAsia="en-US"/>
        </w:rPr>
        <w:t xml:space="preserve"> </w:t>
      </w:r>
      <w:r w:rsidR="00CC54C1">
        <w:rPr>
          <w:lang w:val="en-NZ" w:eastAsia="en-US"/>
        </w:rPr>
        <w:t>Th</w:t>
      </w:r>
      <w:r w:rsidR="0026621E">
        <w:rPr>
          <w:lang w:val="en-NZ" w:eastAsia="en-US"/>
        </w:rPr>
        <w:t>is</w:t>
      </w:r>
      <w:r w:rsidR="00CC54C1">
        <w:rPr>
          <w:lang w:val="en-NZ" w:eastAsia="en-US"/>
        </w:rPr>
        <w:t xml:space="preserve"> is another element of the </w:t>
      </w:r>
      <w:r w:rsidR="00F1792E">
        <w:rPr>
          <w:lang w:val="en-NZ" w:eastAsia="en-US"/>
        </w:rPr>
        <w:t xml:space="preserve">potential for </w:t>
      </w:r>
      <w:proofErr w:type="spellStart"/>
      <w:r w:rsidR="00F1792E">
        <w:rPr>
          <w:lang w:val="en-NZ" w:eastAsia="en-US"/>
        </w:rPr>
        <w:t>MRIC</w:t>
      </w:r>
      <w:proofErr w:type="spellEnd"/>
      <w:r w:rsidR="00F1792E">
        <w:rPr>
          <w:lang w:val="en-NZ" w:eastAsia="en-US"/>
        </w:rPr>
        <w:t xml:space="preserve"> to result in an </w:t>
      </w:r>
      <w:r w:rsidR="00CC54C1">
        <w:rPr>
          <w:lang w:val="en-NZ" w:eastAsia="en-US"/>
        </w:rPr>
        <w:t>inter-country transfer</w:t>
      </w:r>
      <w:r w:rsidR="00F1792E">
        <w:rPr>
          <w:lang w:val="en-NZ" w:eastAsia="en-US"/>
        </w:rPr>
        <w:t xml:space="preserve"> of income.</w:t>
      </w:r>
    </w:p>
    <w:p w:rsidR="006D064B" w:rsidRPr="000D5C4B" w:rsidRDefault="006B34FA" w:rsidP="006D064B">
      <w:pPr>
        <w:pStyle w:val="Heading3"/>
      </w:pPr>
      <w:r>
        <w:t>Effects</w:t>
      </w:r>
      <w:r w:rsidR="00793E48">
        <w:t xml:space="preserve"> of </w:t>
      </w:r>
      <w:proofErr w:type="spellStart"/>
      <w:r w:rsidR="00793E48">
        <w:t>MRIC</w:t>
      </w:r>
      <w:proofErr w:type="spellEnd"/>
      <w:r w:rsidR="00793E48">
        <w:t xml:space="preserve"> on GDP and national income </w:t>
      </w:r>
    </w:p>
    <w:p w:rsidR="00BB0335" w:rsidRDefault="001854E3" w:rsidP="00716C07">
      <w:pPr>
        <w:pStyle w:val="BodyText"/>
      </w:pPr>
      <w:r>
        <w:t>R</w:t>
      </w:r>
      <w:r w:rsidR="006D064B">
        <w:t xml:space="preserve">esults from the </w:t>
      </w:r>
      <w:r w:rsidR="00793E48">
        <w:t xml:space="preserve">quantitative </w:t>
      </w:r>
      <w:r w:rsidR="006D064B">
        <w:t>model</w:t>
      </w:r>
      <w:r w:rsidR="00B145CD">
        <w:t xml:space="preserve">s </w:t>
      </w:r>
      <w:r w:rsidR="00793E48">
        <w:t xml:space="preserve">on </w:t>
      </w:r>
      <w:r w:rsidR="006D064B">
        <w:t xml:space="preserve">the effects of </w:t>
      </w:r>
      <w:proofErr w:type="spellStart"/>
      <w:r w:rsidR="006D064B">
        <w:t>MRIC</w:t>
      </w:r>
      <w:proofErr w:type="spellEnd"/>
      <w:r w:rsidR="006D064B">
        <w:t xml:space="preserve"> on</w:t>
      </w:r>
      <w:r w:rsidR="00793E48">
        <w:t xml:space="preserve"> the output (</w:t>
      </w:r>
      <w:r w:rsidR="006D064B">
        <w:t>GDP</w:t>
      </w:r>
      <w:r w:rsidR="00793E48">
        <w:t>) and income</w:t>
      </w:r>
      <w:r w:rsidR="000C3A89">
        <w:t xml:space="preserve"> </w:t>
      </w:r>
      <w:r w:rsidR="00793E48">
        <w:t>(</w:t>
      </w:r>
      <w:proofErr w:type="spellStart"/>
      <w:r w:rsidR="00793E48">
        <w:t>GNI</w:t>
      </w:r>
      <w:proofErr w:type="spellEnd"/>
      <w:r w:rsidR="00793E48">
        <w:t xml:space="preserve">) of </w:t>
      </w:r>
      <w:r w:rsidR="006D064B">
        <w:t>each country,</w:t>
      </w:r>
      <w:r w:rsidR="004466C6">
        <w:t xml:space="preserve"> </w:t>
      </w:r>
      <w:r w:rsidR="006D064B">
        <w:t xml:space="preserve">and the two countries combined, are shown in table </w:t>
      </w:r>
      <w:proofErr w:type="spellStart"/>
      <w:r w:rsidR="00716C07">
        <w:t>F.</w:t>
      </w:r>
      <w:r w:rsidR="00DB5896">
        <w:t>4</w:t>
      </w:r>
      <w:proofErr w:type="spellEnd"/>
      <w:r w:rsidR="00B145CD">
        <w:t>.</w:t>
      </w:r>
      <w:r w:rsidR="003C3184">
        <w:t xml:space="preserve"> </w:t>
      </w:r>
      <w:r w:rsidR="009F7FCF">
        <w:t>The CIE reported results for one set of parameters (sub.</w:t>
      </w:r>
      <w:r w:rsidR="00563F24">
        <w:t xml:space="preserve"> </w:t>
      </w:r>
      <w:r w:rsidR="009F7FCF">
        <w:t xml:space="preserve">58). The </w:t>
      </w:r>
      <w:proofErr w:type="spellStart"/>
      <w:r w:rsidR="009F7FCF">
        <w:t>SMRIC</w:t>
      </w:r>
      <w:proofErr w:type="spellEnd"/>
      <w:r w:rsidR="009F7FCF">
        <w:t xml:space="preserve"> </w:t>
      </w:r>
      <w:r w:rsidR="003C3184">
        <w:t xml:space="preserve">GDP </w:t>
      </w:r>
      <w:r w:rsidR="009F7FCF">
        <w:t xml:space="preserve">and </w:t>
      </w:r>
      <w:proofErr w:type="spellStart"/>
      <w:r w:rsidR="009F7FCF">
        <w:t>GNI</w:t>
      </w:r>
      <w:proofErr w:type="spellEnd"/>
      <w:r w:rsidR="009F7FCF">
        <w:t xml:space="preserve"> results shown here are for one illustrative parameter set, discussed further in supplementary paper G. Supplementary paper G presents ranges of results based on combining a large number of different parameter values.</w:t>
      </w:r>
      <w:r w:rsidR="00BB0335">
        <w:br w:type="page"/>
      </w:r>
    </w:p>
    <w:p w:rsidR="00DB5896" w:rsidRPr="00716C07" w:rsidRDefault="00D62E2D" w:rsidP="00716C07">
      <w:pPr>
        <w:pStyle w:val="TableTitle"/>
        <w:rPr>
          <w:b w:val="0"/>
        </w:rPr>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sidR="006178EF">
        <w:rPr>
          <w:b w:val="0"/>
        </w:rPr>
        <w:t>4</w:t>
      </w:r>
      <w:proofErr w:type="spellEnd"/>
      <w:r w:rsidR="006950AD" w:rsidRPr="00716C07">
        <w:rPr>
          <w:b w:val="0"/>
        </w:rPr>
        <w:tab/>
      </w:r>
      <w:r w:rsidR="009F7FCF" w:rsidRPr="003C3184">
        <w:t xml:space="preserve">Illustrative </w:t>
      </w:r>
      <w:r w:rsidR="006950AD" w:rsidRPr="00716C07">
        <w:t>estimates of country outcomes</w:t>
      </w:r>
    </w:p>
    <w:p w:rsidR="00DB5896" w:rsidRPr="00716C07" w:rsidRDefault="0004702D" w:rsidP="00716C07">
      <w:pPr>
        <w:pStyle w:val="Subtitle"/>
      </w:pPr>
      <w:r w:rsidRPr="0004702D">
        <w:rPr>
          <w:sz w:val="24"/>
        </w:rPr>
        <w:t>2010</w:t>
      </w:r>
      <w:r>
        <w:rPr>
          <w:b/>
          <w:sz w:val="24"/>
        </w:rPr>
        <w:t xml:space="preserve"> </w:t>
      </w:r>
      <w:proofErr w:type="spellStart"/>
      <w:r w:rsidR="00DB5896" w:rsidRPr="00DB5896">
        <w:rPr>
          <w:sz w:val="24"/>
        </w:rPr>
        <w:t>US$m</w:t>
      </w:r>
      <w:proofErr w:type="spellEnd"/>
      <w:r w:rsidR="009F7FCF">
        <w:rPr>
          <w:sz w:val="24"/>
        </w:rPr>
        <w:t xml:space="preserve"> per annum</w:t>
      </w:r>
    </w:p>
    <w:tbl>
      <w:tblPr>
        <w:tblW w:w="5000" w:type="pct"/>
        <w:tblCellMar>
          <w:left w:w="0" w:type="dxa"/>
          <w:right w:w="0" w:type="dxa"/>
        </w:tblCellMar>
        <w:tblLook w:val="04A0" w:firstRow="1" w:lastRow="0" w:firstColumn="1" w:lastColumn="0" w:noHBand="0" w:noVBand="1"/>
      </w:tblPr>
      <w:tblGrid>
        <w:gridCol w:w="3827"/>
        <w:gridCol w:w="1654"/>
        <w:gridCol w:w="1654"/>
        <w:gridCol w:w="1654"/>
      </w:tblGrid>
      <w:tr w:rsidR="00DB5896" w:rsidRPr="00DB5896" w:rsidTr="006178EF">
        <w:tc>
          <w:tcPr>
            <w:tcW w:w="2177" w:type="pct"/>
            <w:tcBorders>
              <w:top w:val="single" w:sz="6" w:space="0" w:color="auto"/>
              <w:left w:val="nil"/>
              <w:bottom w:val="single" w:sz="6" w:space="0" w:color="auto"/>
              <w:right w:val="nil"/>
            </w:tcBorders>
            <w:shd w:val="clear" w:color="auto" w:fill="E7ECCE"/>
          </w:tcPr>
          <w:p w:rsidR="00DB5896" w:rsidRPr="00DB5896" w:rsidRDefault="00DB5896" w:rsidP="009A6EDC">
            <w:pPr>
              <w:pStyle w:val="TableColumnHeading"/>
              <w:jc w:val="left"/>
            </w:pPr>
          </w:p>
        </w:tc>
        <w:tc>
          <w:tcPr>
            <w:tcW w:w="941" w:type="pct"/>
            <w:tcBorders>
              <w:top w:val="single" w:sz="6" w:space="0" w:color="auto"/>
              <w:left w:val="nil"/>
              <w:bottom w:val="single" w:sz="6" w:space="0" w:color="auto"/>
              <w:right w:val="nil"/>
            </w:tcBorders>
            <w:shd w:val="clear" w:color="auto" w:fill="E7ECCE"/>
            <w:hideMark/>
          </w:tcPr>
          <w:p w:rsidR="00DB5896" w:rsidRPr="00DB5896" w:rsidRDefault="00DB5896" w:rsidP="00716C07">
            <w:pPr>
              <w:pStyle w:val="TableColumnHeading"/>
            </w:pPr>
            <w:r w:rsidRPr="00DB5896">
              <w:t>Trans-Tasman</w:t>
            </w:r>
          </w:p>
        </w:tc>
        <w:tc>
          <w:tcPr>
            <w:tcW w:w="941" w:type="pct"/>
            <w:tcBorders>
              <w:top w:val="single" w:sz="6" w:space="0" w:color="auto"/>
              <w:left w:val="nil"/>
              <w:bottom w:val="single" w:sz="6" w:space="0" w:color="auto"/>
              <w:right w:val="nil"/>
            </w:tcBorders>
            <w:shd w:val="clear" w:color="auto" w:fill="E7ECCE"/>
            <w:hideMark/>
          </w:tcPr>
          <w:p w:rsidR="00DB5896" w:rsidRPr="00DB5896" w:rsidRDefault="00DB5896" w:rsidP="00716C07">
            <w:pPr>
              <w:pStyle w:val="TableColumnHeading"/>
            </w:pPr>
            <w:r w:rsidRPr="00DB5896">
              <w:t>Australia</w:t>
            </w:r>
          </w:p>
        </w:tc>
        <w:tc>
          <w:tcPr>
            <w:tcW w:w="942" w:type="pct"/>
            <w:tcBorders>
              <w:top w:val="single" w:sz="6" w:space="0" w:color="auto"/>
              <w:left w:val="nil"/>
              <w:bottom w:val="single" w:sz="6" w:space="0" w:color="auto"/>
              <w:right w:val="nil"/>
            </w:tcBorders>
            <w:shd w:val="clear" w:color="auto" w:fill="E7ECCE"/>
            <w:hideMark/>
          </w:tcPr>
          <w:p w:rsidR="00DB5896" w:rsidRPr="00DB5896" w:rsidRDefault="00DB5896" w:rsidP="00716C07">
            <w:pPr>
              <w:pStyle w:val="TableColumnHeading"/>
            </w:pPr>
            <w:r w:rsidRPr="00DB5896">
              <w:t>New Zealand</w:t>
            </w:r>
          </w:p>
        </w:tc>
      </w:tr>
      <w:tr w:rsidR="00DB5896" w:rsidRPr="00DB5896" w:rsidTr="009A6EDC">
        <w:tc>
          <w:tcPr>
            <w:tcW w:w="2177" w:type="pct"/>
            <w:tcBorders>
              <w:top w:val="single" w:sz="6" w:space="0" w:color="auto"/>
              <w:left w:val="nil"/>
              <w:bottom w:val="nil"/>
              <w:right w:val="nil"/>
            </w:tcBorders>
            <w:hideMark/>
          </w:tcPr>
          <w:p w:rsidR="00DB5896" w:rsidRPr="00DB5896" w:rsidRDefault="00DB5896" w:rsidP="006178EF">
            <w:pPr>
              <w:pStyle w:val="TableUnitsRow"/>
              <w:spacing w:after="40"/>
              <w:jc w:val="left"/>
            </w:pPr>
            <w:r w:rsidRPr="00DB5896">
              <w:t>CIE model</w:t>
            </w:r>
          </w:p>
        </w:tc>
        <w:tc>
          <w:tcPr>
            <w:tcW w:w="2823" w:type="pct"/>
            <w:gridSpan w:val="3"/>
            <w:tcBorders>
              <w:top w:val="single" w:sz="6" w:space="0" w:color="auto"/>
              <w:left w:val="nil"/>
              <w:bottom w:val="nil"/>
              <w:right w:val="nil"/>
            </w:tcBorders>
          </w:tcPr>
          <w:p w:rsidR="00DB5896" w:rsidRPr="00DB5896" w:rsidRDefault="00DB5896" w:rsidP="006178EF">
            <w:pPr>
              <w:pStyle w:val="TableUnitsRow"/>
              <w:spacing w:after="40"/>
              <w:jc w:val="left"/>
              <w:rPr>
                <w:i/>
              </w:rPr>
            </w:pPr>
          </w:p>
        </w:tc>
      </w:tr>
      <w:tr w:rsidR="00DB5896" w:rsidRPr="00B33F6C" w:rsidTr="009A6EDC">
        <w:tc>
          <w:tcPr>
            <w:tcW w:w="2177" w:type="pct"/>
            <w:hideMark/>
          </w:tcPr>
          <w:p w:rsidR="0038162A" w:rsidRPr="00B33F6C" w:rsidRDefault="0038162A" w:rsidP="009A6EDC">
            <w:pPr>
              <w:pStyle w:val="TableBodyText"/>
              <w:ind w:left="284"/>
              <w:jc w:val="left"/>
            </w:pPr>
            <w:r w:rsidRPr="00B33F6C">
              <w:t xml:space="preserve">Capital </w:t>
            </w:r>
            <w:r w:rsidR="00E023B3">
              <w:t>movement</w:t>
            </w:r>
            <w:r w:rsidR="00E023B3" w:rsidRPr="00AA010D">
              <w:rPr>
                <w:rStyle w:val="NoteLabel"/>
              </w:rPr>
              <w:t>a</w:t>
            </w:r>
          </w:p>
          <w:p w:rsidR="00DB5896" w:rsidRPr="00B33F6C" w:rsidRDefault="00DB5896" w:rsidP="009A6EDC">
            <w:pPr>
              <w:pStyle w:val="TableBodyText"/>
              <w:ind w:left="284"/>
              <w:jc w:val="left"/>
            </w:pPr>
            <w:r w:rsidRPr="00B33F6C">
              <w:t>Change in GDP</w:t>
            </w:r>
          </w:p>
          <w:p w:rsidR="00DB5896" w:rsidRPr="00B33F6C" w:rsidRDefault="00DB5896" w:rsidP="009F7FCF">
            <w:pPr>
              <w:pStyle w:val="TableBodyText"/>
              <w:ind w:left="284"/>
              <w:jc w:val="left"/>
            </w:pPr>
            <w:r w:rsidRPr="00B33F6C">
              <w:t xml:space="preserve">Change in </w:t>
            </w:r>
            <w:proofErr w:type="spellStart"/>
            <w:r w:rsidRPr="00B33F6C">
              <w:t>GNI</w:t>
            </w:r>
            <w:proofErr w:type="spellEnd"/>
            <w:r w:rsidR="009A6EDC">
              <w:br/>
            </w:r>
          </w:p>
        </w:tc>
        <w:tc>
          <w:tcPr>
            <w:tcW w:w="941" w:type="pct"/>
            <w:hideMark/>
          </w:tcPr>
          <w:p w:rsidR="0038162A" w:rsidRPr="00B33F6C" w:rsidRDefault="00813859" w:rsidP="00716C07">
            <w:pPr>
              <w:pStyle w:val="TableBodyText"/>
            </w:pPr>
            <w:proofErr w:type="spellStart"/>
            <w:r>
              <w:t>na</w:t>
            </w:r>
            <w:proofErr w:type="spellEnd"/>
          </w:p>
          <w:p w:rsidR="00DB5896" w:rsidRPr="00B33F6C" w:rsidRDefault="00DB5896" w:rsidP="00716C07">
            <w:pPr>
              <w:pStyle w:val="TableBodyText"/>
            </w:pPr>
            <w:r w:rsidRPr="00B33F6C">
              <w:t>206</w:t>
            </w:r>
          </w:p>
          <w:p w:rsidR="004466C6" w:rsidRDefault="009F7FCF" w:rsidP="00716C07">
            <w:pPr>
              <w:pStyle w:val="TableBodyText"/>
            </w:pPr>
            <w:r>
              <w:t>Not reported</w:t>
            </w:r>
          </w:p>
          <w:p w:rsidR="00DB5896" w:rsidRPr="00B33F6C" w:rsidRDefault="00DB5896" w:rsidP="009F7FCF">
            <w:pPr>
              <w:pStyle w:val="TableBodyText"/>
            </w:pPr>
          </w:p>
        </w:tc>
        <w:tc>
          <w:tcPr>
            <w:tcW w:w="941" w:type="pct"/>
            <w:hideMark/>
          </w:tcPr>
          <w:p w:rsidR="0038162A" w:rsidRPr="00B33F6C" w:rsidRDefault="00813859" w:rsidP="00716C07">
            <w:pPr>
              <w:pStyle w:val="TableBodyText"/>
            </w:pPr>
            <w:proofErr w:type="spellStart"/>
            <w:r>
              <w:t>na</w:t>
            </w:r>
            <w:proofErr w:type="spellEnd"/>
          </w:p>
          <w:p w:rsidR="00DB5896" w:rsidRPr="00B33F6C" w:rsidRDefault="00DB5896" w:rsidP="00716C07">
            <w:pPr>
              <w:pStyle w:val="TableBodyText"/>
            </w:pPr>
            <w:r w:rsidRPr="00B33F6C">
              <w:t>67</w:t>
            </w:r>
          </w:p>
          <w:p w:rsidR="004466C6" w:rsidRDefault="009F7FCF" w:rsidP="00716C07">
            <w:pPr>
              <w:pStyle w:val="TableBodyText"/>
            </w:pPr>
            <w:r>
              <w:t>Not reported</w:t>
            </w:r>
          </w:p>
          <w:p w:rsidR="00DB5896" w:rsidRPr="00B33F6C" w:rsidRDefault="00DB5896" w:rsidP="00716C07">
            <w:pPr>
              <w:pStyle w:val="TableBodyText"/>
            </w:pPr>
          </w:p>
        </w:tc>
        <w:tc>
          <w:tcPr>
            <w:tcW w:w="942" w:type="pct"/>
            <w:hideMark/>
          </w:tcPr>
          <w:p w:rsidR="0038162A" w:rsidRPr="00B33F6C" w:rsidRDefault="00813859" w:rsidP="00716C07">
            <w:pPr>
              <w:pStyle w:val="TableBodyText"/>
            </w:pPr>
            <w:proofErr w:type="spellStart"/>
            <w:r>
              <w:t>na</w:t>
            </w:r>
            <w:proofErr w:type="spellEnd"/>
          </w:p>
          <w:p w:rsidR="00DB5896" w:rsidRPr="00B33F6C" w:rsidRDefault="00DB5896" w:rsidP="00716C07">
            <w:pPr>
              <w:pStyle w:val="TableBodyText"/>
            </w:pPr>
            <w:r w:rsidRPr="00B33F6C">
              <w:t>139</w:t>
            </w:r>
          </w:p>
          <w:p w:rsidR="004466C6" w:rsidRDefault="009F7FCF" w:rsidP="00716C07">
            <w:pPr>
              <w:pStyle w:val="TableBodyText"/>
            </w:pPr>
            <w:r>
              <w:t>Not reported</w:t>
            </w:r>
          </w:p>
          <w:p w:rsidR="00DB5896" w:rsidRPr="00B33F6C" w:rsidRDefault="00DB5896" w:rsidP="009F7FCF">
            <w:pPr>
              <w:pStyle w:val="TableBodyText"/>
            </w:pPr>
          </w:p>
        </w:tc>
      </w:tr>
      <w:tr w:rsidR="00DB5896" w:rsidRPr="00DB5896" w:rsidTr="009A6EDC">
        <w:tc>
          <w:tcPr>
            <w:tcW w:w="2177" w:type="pct"/>
            <w:hideMark/>
          </w:tcPr>
          <w:p w:rsidR="00DB5896" w:rsidRPr="00DB5896" w:rsidRDefault="00DB5896" w:rsidP="006178EF">
            <w:pPr>
              <w:pStyle w:val="TableUnitsRow"/>
              <w:spacing w:after="40"/>
              <w:jc w:val="left"/>
            </w:pPr>
            <w:proofErr w:type="spellStart"/>
            <w:r w:rsidRPr="00DB5896">
              <w:t>SMRIC</w:t>
            </w:r>
            <w:proofErr w:type="spellEnd"/>
            <w:r w:rsidRPr="00DB5896">
              <w:t xml:space="preserve"> model</w:t>
            </w:r>
          </w:p>
        </w:tc>
        <w:tc>
          <w:tcPr>
            <w:tcW w:w="2823" w:type="pct"/>
            <w:gridSpan w:val="3"/>
          </w:tcPr>
          <w:p w:rsidR="00DB5896" w:rsidRPr="00DB5896" w:rsidRDefault="00DB5896" w:rsidP="006178EF">
            <w:pPr>
              <w:pStyle w:val="TableUnitsRow"/>
              <w:spacing w:after="40"/>
              <w:rPr>
                <w:i/>
              </w:rPr>
            </w:pPr>
          </w:p>
        </w:tc>
      </w:tr>
      <w:tr w:rsidR="00716C07" w:rsidRPr="00DB5896" w:rsidTr="009A6EDC">
        <w:trPr>
          <w:trHeight w:val="833"/>
        </w:trPr>
        <w:tc>
          <w:tcPr>
            <w:tcW w:w="2177" w:type="pct"/>
            <w:tcBorders>
              <w:bottom w:val="single" w:sz="4" w:space="0" w:color="auto"/>
            </w:tcBorders>
            <w:hideMark/>
          </w:tcPr>
          <w:p w:rsidR="00716C07" w:rsidRDefault="00716C07" w:rsidP="009A6EDC">
            <w:pPr>
              <w:pStyle w:val="TableBodyText"/>
              <w:ind w:left="284"/>
              <w:jc w:val="left"/>
            </w:pPr>
            <w:r>
              <w:t>Capital movement</w:t>
            </w:r>
            <w:r w:rsidR="004466C6" w:rsidRPr="00AA010D">
              <w:rPr>
                <w:rStyle w:val="NoteLabel"/>
              </w:rPr>
              <w:t>a</w:t>
            </w:r>
          </w:p>
          <w:p w:rsidR="00716C07" w:rsidRPr="00DB5896" w:rsidRDefault="00716C07" w:rsidP="009A6EDC">
            <w:pPr>
              <w:pStyle w:val="TableBodyText"/>
              <w:ind w:left="284"/>
              <w:jc w:val="left"/>
            </w:pPr>
            <w:r w:rsidRPr="00DB5896">
              <w:t>Change in GDP</w:t>
            </w:r>
          </w:p>
          <w:p w:rsidR="00716C07" w:rsidRPr="00DB5896" w:rsidRDefault="00716C07" w:rsidP="009A6EDC">
            <w:pPr>
              <w:pStyle w:val="TableBodyText"/>
              <w:spacing w:after="80"/>
              <w:ind w:left="284"/>
              <w:jc w:val="left"/>
            </w:pPr>
            <w:r w:rsidRPr="00DB5896">
              <w:t xml:space="preserve">Change in </w:t>
            </w:r>
            <w:proofErr w:type="spellStart"/>
            <w:r w:rsidRPr="00DB5896">
              <w:t>GNI</w:t>
            </w:r>
            <w:proofErr w:type="spellEnd"/>
          </w:p>
        </w:tc>
        <w:tc>
          <w:tcPr>
            <w:tcW w:w="941" w:type="pct"/>
            <w:tcBorders>
              <w:bottom w:val="single" w:sz="4" w:space="0" w:color="auto"/>
            </w:tcBorders>
            <w:hideMark/>
          </w:tcPr>
          <w:p w:rsidR="00716C07" w:rsidRDefault="00716C07" w:rsidP="009A6EDC">
            <w:pPr>
              <w:pStyle w:val="TableBodyText"/>
            </w:pPr>
            <w:r>
              <w:t>148</w:t>
            </w:r>
          </w:p>
          <w:p w:rsidR="00716C07" w:rsidRPr="00DB5896" w:rsidRDefault="00716C07" w:rsidP="009A6EDC">
            <w:pPr>
              <w:pStyle w:val="TableBodyText"/>
              <w:rPr>
                <w:rFonts w:ascii="Arial Bold" w:hAnsi="Arial Bold"/>
                <w:sz w:val="24"/>
                <w:vertAlign w:val="superscript"/>
              </w:rPr>
            </w:pPr>
            <w:r>
              <w:t>38</w:t>
            </w:r>
          </w:p>
          <w:p w:rsidR="00716C07" w:rsidRPr="00DB5896" w:rsidRDefault="00716C07" w:rsidP="009A6EDC">
            <w:pPr>
              <w:pStyle w:val="TableBodyText"/>
              <w:rPr>
                <w:rFonts w:ascii="Arial Bold" w:hAnsi="Arial Bold"/>
                <w:sz w:val="24"/>
                <w:vertAlign w:val="superscript"/>
              </w:rPr>
            </w:pPr>
            <w:r>
              <w:t>46</w:t>
            </w:r>
          </w:p>
        </w:tc>
        <w:tc>
          <w:tcPr>
            <w:tcW w:w="941" w:type="pct"/>
            <w:tcBorders>
              <w:bottom w:val="single" w:sz="4" w:space="0" w:color="auto"/>
            </w:tcBorders>
            <w:hideMark/>
          </w:tcPr>
          <w:p w:rsidR="00716C07" w:rsidRDefault="00716C07" w:rsidP="009A6EDC">
            <w:pPr>
              <w:pStyle w:val="TableBodyText"/>
            </w:pPr>
            <w:r>
              <w:t>-47</w:t>
            </w:r>
          </w:p>
          <w:p w:rsidR="00716C07" w:rsidRPr="00DB5896" w:rsidRDefault="00716C07" w:rsidP="009A6EDC">
            <w:pPr>
              <w:pStyle w:val="TableBodyText"/>
            </w:pPr>
            <w:r>
              <w:t>-33</w:t>
            </w:r>
          </w:p>
          <w:p w:rsidR="00716C07" w:rsidRPr="00DB5896" w:rsidRDefault="00716C07" w:rsidP="009A6EDC">
            <w:pPr>
              <w:pStyle w:val="TableBodyText"/>
            </w:pPr>
            <w:r>
              <w:t>-74</w:t>
            </w:r>
          </w:p>
        </w:tc>
        <w:tc>
          <w:tcPr>
            <w:tcW w:w="942" w:type="pct"/>
            <w:tcBorders>
              <w:bottom w:val="single" w:sz="4" w:space="0" w:color="auto"/>
            </w:tcBorders>
            <w:hideMark/>
          </w:tcPr>
          <w:p w:rsidR="00716C07" w:rsidRPr="00DB5896" w:rsidRDefault="00716C07" w:rsidP="009A6EDC">
            <w:pPr>
              <w:pStyle w:val="TableBodyText"/>
            </w:pPr>
            <w:r>
              <w:t>195</w:t>
            </w:r>
          </w:p>
          <w:p w:rsidR="00716C07" w:rsidRDefault="00716C07" w:rsidP="009A6EDC">
            <w:pPr>
              <w:pStyle w:val="TableBodyText"/>
            </w:pPr>
            <w:r>
              <w:t>71</w:t>
            </w:r>
          </w:p>
          <w:p w:rsidR="00716C07" w:rsidRPr="00DB5896" w:rsidRDefault="00716C07" w:rsidP="009A6EDC">
            <w:pPr>
              <w:pStyle w:val="TableBodyText"/>
            </w:pPr>
            <w:r>
              <w:t>120</w:t>
            </w:r>
          </w:p>
        </w:tc>
      </w:tr>
    </w:tbl>
    <w:p w:rsidR="004466C6" w:rsidRDefault="009A6EDC" w:rsidP="009A6EDC">
      <w:pPr>
        <w:pStyle w:val="Note"/>
      </w:pPr>
      <w:r w:rsidRPr="008E77FE">
        <w:rPr>
          <w:rStyle w:val="NoteLabel"/>
        </w:rPr>
        <w:t>a</w:t>
      </w:r>
      <w:r>
        <w:t> </w:t>
      </w:r>
      <w:r w:rsidRPr="009A6EDC">
        <w:t>Net change in capital stock</w:t>
      </w:r>
      <w:r>
        <w:t>.</w:t>
      </w:r>
    </w:p>
    <w:p w:rsidR="00DB5896" w:rsidRPr="009A6EDC" w:rsidRDefault="00DB5896" w:rsidP="009A6EDC">
      <w:pPr>
        <w:pStyle w:val="Source"/>
      </w:pPr>
      <w:r w:rsidRPr="00DB5896">
        <w:rPr>
          <w:i/>
        </w:rPr>
        <w:t>Source</w:t>
      </w:r>
      <w:r w:rsidR="00AA010D">
        <w:rPr>
          <w:i/>
        </w:rPr>
        <w:t>s</w:t>
      </w:r>
      <w:r w:rsidRPr="00DB5896">
        <w:rPr>
          <w:i/>
        </w:rPr>
        <w:t xml:space="preserve">: </w:t>
      </w:r>
      <w:r w:rsidRPr="009A6EDC">
        <w:t>Australia Ne</w:t>
      </w:r>
      <w:r w:rsidR="009A6EDC">
        <w:t xml:space="preserve">w Zealand Leadership Forum </w:t>
      </w:r>
      <w:r w:rsidR="00DD06D7">
        <w:t>(</w:t>
      </w:r>
      <w:r w:rsidR="009A6EDC">
        <w:t>sub. </w:t>
      </w:r>
      <w:r w:rsidRPr="009A6EDC">
        <w:t>58</w:t>
      </w:r>
      <w:r w:rsidR="00DD06D7">
        <w:t>)</w:t>
      </w:r>
      <w:r w:rsidR="006178EF">
        <w:t>;</w:t>
      </w:r>
      <w:r w:rsidRPr="009A6EDC">
        <w:t xml:space="preserve"> Australian Commission estimates</w:t>
      </w:r>
      <w:r w:rsidR="000C3A89" w:rsidRPr="009A6EDC">
        <w:t xml:space="preserve"> </w:t>
      </w:r>
      <w:r w:rsidR="00E443FB">
        <w:t>(</w:t>
      </w:r>
      <w:r w:rsidR="00DD06D7">
        <w:t>supplementary paper G).</w:t>
      </w:r>
    </w:p>
    <w:p w:rsidR="009169BC" w:rsidRDefault="0038162A" w:rsidP="006D064B">
      <w:pPr>
        <w:pStyle w:val="BodyText"/>
      </w:pPr>
      <w:r>
        <w:t xml:space="preserve">The </w:t>
      </w:r>
      <w:proofErr w:type="spellStart"/>
      <w:r w:rsidR="00E71A82">
        <w:t>SMRIC</w:t>
      </w:r>
      <w:proofErr w:type="spellEnd"/>
      <w:r w:rsidR="00E71A82">
        <w:t xml:space="preserve"> model </w:t>
      </w:r>
      <w:r w:rsidR="00561FF0">
        <w:t xml:space="preserve">was used to test a </w:t>
      </w:r>
      <w:r w:rsidR="00041954">
        <w:t xml:space="preserve">large </w:t>
      </w:r>
      <w:r w:rsidR="00135EE4">
        <w:t xml:space="preserve">number </w:t>
      </w:r>
      <w:r w:rsidR="00561FF0">
        <w:t>of</w:t>
      </w:r>
      <w:r w:rsidR="00A01A49">
        <w:t xml:space="preserve"> </w:t>
      </w:r>
      <w:r w:rsidR="00561FF0">
        <w:t xml:space="preserve">alternative </w:t>
      </w:r>
      <w:r w:rsidR="00A01A49">
        <w:t>scenario</w:t>
      </w:r>
      <w:r w:rsidR="00561FF0">
        <w:t xml:space="preserve">s, based on </w:t>
      </w:r>
      <w:r w:rsidR="00E71A82">
        <w:t xml:space="preserve">different combinations of assumed </w:t>
      </w:r>
      <w:r w:rsidR="00A01A49">
        <w:t xml:space="preserve">parameter values </w:t>
      </w:r>
      <w:r w:rsidR="009F7FCF">
        <w:t xml:space="preserve">within broad ranges regarded as feasible by participants at the Commissions’ workshop and in </w:t>
      </w:r>
      <w:r w:rsidR="006023E4">
        <w:t>relevant</w:t>
      </w:r>
      <w:r w:rsidR="009F7FCF">
        <w:t xml:space="preserve"> literature. This sensitivity testing (comprising around one million scenarios) was designed to account for the </w:t>
      </w:r>
      <w:r w:rsidR="00561FF0">
        <w:t>degree of uncertainty a</w:t>
      </w:r>
      <w:r w:rsidR="00A01A49">
        <w:t>bout key parameters,</w:t>
      </w:r>
      <w:r w:rsidR="000C3A89">
        <w:t xml:space="preserve"> </w:t>
      </w:r>
      <w:r w:rsidR="00561FF0">
        <w:t xml:space="preserve">notably </w:t>
      </w:r>
      <w:r w:rsidR="006D064B">
        <w:t>those capturing the responsiveness of trans-Tasman investment to change</w:t>
      </w:r>
      <w:r w:rsidR="00041954">
        <w:t>s</w:t>
      </w:r>
      <w:r w:rsidR="006D064B">
        <w:t xml:space="preserve"> in the cost of capital, </w:t>
      </w:r>
      <w:r w:rsidR="00041954">
        <w:t xml:space="preserve">and </w:t>
      </w:r>
      <w:r w:rsidR="006D064B">
        <w:t>the substitutability of global capital for local capital</w:t>
      </w:r>
      <w:r w:rsidR="001502CD">
        <w:t>.</w:t>
      </w:r>
    </w:p>
    <w:p w:rsidR="006D064B" w:rsidRPr="005A1536" w:rsidRDefault="00DD06D7" w:rsidP="006D064B">
      <w:pPr>
        <w:pStyle w:val="BodyText"/>
      </w:pPr>
      <w:r>
        <w:t>The simulation outcomes are summarised in figure</w:t>
      </w:r>
      <w:r w:rsidR="006D3774">
        <w:t>s 1</w:t>
      </w:r>
      <w:r w:rsidR="009F7FCF">
        <w:t xml:space="preserve"> </w:t>
      </w:r>
      <w:r w:rsidR="006D3774">
        <w:t xml:space="preserve">and 2 </w:t>
      </w:r>
      <w:r w:rsidR="009F7FCF">
        <w:t>in supplementary paper G</w:t>
      </w:r>
      <w:r w:rsidR="006D3774">
        <w:t>.</w:t>
      </w:r>
      <w:r w:rsidR="009F7FCF">
        <w:t xml:space="preserve"> </w:t>
      </w:r>
      <w:r w:rsidR="005A1536">
        <w:t>A</w:t>
      </w:r>
      <w:r w:rsidR="006D064B" w:rsidRPr="005A1536">
        <w:t xml:space="preserve"> majority of the parameter combinations result in GDP and </w:t>
      </w:r>
      <w:proofErr w:type="spellStart"/>
      <w:r w:rsidR="006D064B" w:rsidRPr="005A1536">
        <w:t>GNI</w:t>
      </w:r>
      <w:proofErr w:type="spellEnd"/>
      <w:r w:rsidR="006D064B" w:rsidRPr="005A1536">
        <w:t xml:space="preserve"> outcomes that are negative for Australia and positive for New Zealand.</w:t>
      </w:r>
    </w:p>
    <w:p w:rsidR="008647F4" w:rsidRDefault="006D064B" w:rsidP="006D064B">
      <w:pPr>
        <w:pStyle w:val="BodyText"/>
      </w:pPr>
      <w:r w:rsidRPr="00F91EF2">
        <w:t>Th</w:t>
      </w:r>
      <w:r w:rsidR="00513038">
        <w:t xml:space="preserve">ese </w:t>
      </w:r>
      <w:proofErr w:type="spellStart"/>
      <w:r w:rsidR="00513038">
        <w:t>SMRIC</w:t>
      </w:r>
      <w:proofErr w:type="spellEnd"/>
      <w:r w:rsidR="00513038">
        <w:t xml:space="preserve"> simulation results highlight that</w:t>
      </w:r>
      <w:r w:rsidRPr="00F91EF2">
        <w:t xml:space="preserve"> </w:t>
      </w:r>
      <w:r w:rsidR="00CE7C20">
        <w:t>initial imbalance</w:t>
      </w:r>
      <w:r w:rsidR="00513038">
        <w:t>s</w:t>
      </w:r>
      <w:r w:rsidR="00CE7C20">
        <w:t xml:space="preserve"> in the amounts of equity capital Australia and New Zealand have invested in the other</w:t>
      </w:r>
      <w:r w:rsidR="00513038">
        <w:t xml:space="preserve"> are a major driver of the respective gains and losses for each country</w:t>
      </w:r>
      <w:r w:rsidR="00CE7C20">
        <w:t>.</w:t>
      </w:r>
      <w:r w:rsidR="000C3A89">
        <w:t xml:space="preserve"> </w:t>
      </w:r>
      <w:r w:rsidRPr="005A1536">
        <w:t>With the existing Australian stock in New Zealand larger than New Zealand’s in Australia</w:t>
      </w:r>
      <w:r w:rsidR="005A1536" w:rsidRPr="005A1536">
        <w:t>,</w:t>
      </w:r>
      <w:r w:rsidR="005A1536">
        <w:t xml:space="preserve"> symmetric responses </w:t>
      </w:r>
      <w:r w:rsidRPr="005A1536">
        <w:t xml:space="preserve">generate </w:t>
      </w:r>
      <w:r w:rsidR="007E1E11">
        <w:t xml:space="preserve">correspondingly </w:t>
      </w:r>
      <w:r w:rsidRPr="005A1536">
        <w:t xml:space="preserve">larger shifts of </w:t>
      </w:r>
      <w:r w:rsidR="005A1536">
        <w:t xml:space="preserve">capital </w:t>
      </w:r>
      <w:r w:rsidRPr="005A1536">
        <w:t>from Australia to New Zealand</w:t>
      </w:r>
      <w:r w:rsidR="005A1536">
        <w:t xml:space="preserve"> than vice versa. Those in turn </w:t>
      </w:r>
      <w:r w:rsidR="00135EE4">
        <w:t xml:space="preserve">tend to </w:t>
      </w:r>
      <w:r w:rsidR="005A1536">
        <w:t xml:space="preserve">result in a net shift of the company tax base and </w:t>
      </w:r>
      <w:r w:rsidR="007E1E11">
        <w:t xml:space="preserve">of </w:t>
      </w:r>
      <w:r w:rsidR="005A1536">
        <w:t xml:space="preserve">factor incomes </w:t>
      </w:r>
      <w:r w:rsidR="007E1E11">
        <w:t>(from owners of capital in one country to labour in the other) from Australia to New Zealand.</w:t>
      </w:r>
      <w:r w:rsidR="00513038">
        <w:t xml:space="preserve"> Only where the responses to </w:t>
      </w:r>
      <w:proofErr w:type="spellStart"/>
      <w:r w:rsidR="00513038">
        <w:t>MRIC</w:t>
      </w:r>
      <w:proofErr w:type="spellEnd"/>
      <w:r w:rsidR="00513038">
        <w:t xml:space="preserve"> are markedly asymmetric – such that Australia’s capital response is much less sensitive than New Zealand’s to increased returns, or New Zealand’s capacity to absorb additional capital is limited – do both countr</w:t>
      </w:r>
      <w:r w:rsidR="006178EF">
        <w:t>ies share the efficiency gains.</w:t>
      </w:r>
    </w:p>
    <w:p w:rsidR="003B66F8" w:rsidRPr="003B66F8" w:rsidRDefault="003B66F8" w:rsidP="003B66F8">
      <w:pPr>
        <w:keepNext/>
        <w:spacing w:before="560" w:after="0" w:line="380" w:lineRule="exact"/>
        <w:outlineLvl w:val="2"/>
        <w:rPr>
          <w:rFonts w:ascii="Arial" w:hAnsi="Arial"/>
          <w:b/>
          <w:sz w:val="32"/>
        </w:rPr>
      </w:pPr>
      <w:r w:rsidRPr="003B66F8">
        <w:rPr>
          <w:rFonts w:ascii="Arial" w:hAnsi="Arial"/>
          <w:b/>
          <w:sz w:val="32"/>
        </w:rPr>
        <w:lastRenderedPageBreak/>
        <w:t>A possible approach to balancing the country outcomes</w:t>
      </w:r>
    </w:p>
    <w:p w:rsidR="0011557B" w:rsidRPr="0011557B" w:rsidRDefault="001502CD" w:rsidP="0043008E">
      <w:pPr>
        <w:pStyle w:val="BodyText"/>
      </w:pPr>
      <w:r>
        <w:t>As explained in chapter </w:t>
      </w:r>
      <w:r w:rsidR="0011557B" w:rsidRPr="0011557B">
        <w:t>2, in cases where a policy initiative would provide trans-Tasman net benefits but would likely involve a net cost for one country, the Commissions</w:t>
      </w:r>
      <w:r w:rsidR="0032735C">
        <w:t>’</w:t>
      </w:r>
      <w:r w:rsidR="0011557B" w:rsidRPr="0011557B">
        <w:t xml:space="preserve"> approach is not to recommend that initiative, but to report the finding for consideration by </w:t>
      </w:r>
      <w:r w:rsidR="000B5DA3">
        <w:t xml:space="preserve">the two </w:t>
      </w:r>
      <w:r w:rsidR="0011557B" w:rsidRPr="0011557B">
        <w:t>Governments.</w:t>
      </w:r>
      <w:r w:rsidR="000C3A89">
        <w:t xml:space="preserve"> </w:t>
      </w:r>
      <w:r w:rsidR="0011557B" w:rsidRPr="0011557B">
        <w:t xml:space="preserve">The modelling results outlined above indicate that in the case of </w:t>
      </w:r>
      <w:proofErr w:type="spellStart"/>
      <w:r w:rsidR="0011557B" w:rsidRPr="0011557B">
        <w:t>MRIC</w:t>
      </w:r>
      <w:proofErr w:type="spellEnd"/>
      <w:r w:rsidR="0011557B" w:rsidRPr="0011557B">
        <w:t xml:space="preserve">, </w:t>
      </w:r>
      <w:r w:rsidR="0011557B">
        <w:t xml:space="preserve">in the majority of the </w:t>
      </w:r>
      <w:r w:rsidR="0011557B" w:rsidRPr="0011557B">
        <w:t xml:space="preserve">scenarios modelled, there would be a net gain for New Zealand, a net loss for Australia, and a small net gain </w:t>
      </w:r>
      <w:r w:rsidR="0043008E">
        <w:t>for the two countries combined.</w:t>
      </w:r>
    </w:p>
    <w:p w:rsidR="0011557B" w:rsidRPr="003C2C7C" w:rsidRDefault="0011557B" w:rsidP="0043008E">
      <w:pPr>
        <w:pStyle w:val="BodyText"/>
      </w:pPr>
      <w:r w:rsidRPr="003C2C7C">
        <w:t>That result stems from inter-country transfer of income.</w:t>
      </w:r>
      <w:r w:rsidR="000C3A89" w:rsidRPr="003C2C7C">
        <w:t xml:space="preserve"> </w:t>
      </w:r>
      <w:r w:rsidRPr="003C2C7C">
        <w:t xml:space="preserve">As discussed, modelling can provide </w:t>
      </w:r>
      <w:r w:rsidR="003C2C7C" w:rsidRPr="003C2C7C">
        <w:t>insights into</w:t>
      </w:r>
      <w:r w:rsidRPr="003C2C7C">
        <w:t xml:space="preserve"> the relative orders of magnitude, and hence the net balance</w:t>
      </w:r>
      <w:r w:rsidR="003C2C7C" w:rsidRPr="003C2C7C">
        <w:t>,</w:t>
      </w:r>
      <w:r w:rsidRPr="003C2C7C">
        <w:t xml:space="preserve"> of these income transfers.</w:t>
      </w:r>
      <w:r w:rsidR="000C3A89" w:rsidRPr="003C2C7C">
        <w:t xml:space="preserve"> </w:t>
      </w:r>
      <w:r w:rsidRPr="003C2C7C">
        <w:t>However, the quantitative results are sensitive to the assumptions used, and span a wide range.</w:t>
      </w:r>
      <w:r w:rsidR="000C3A89" w:rsidRPr="003C2C7C">
        <w:t xml:space="preserve"> </w:t>
      </w:r>
      <w:r w:rsidRPr="003C2C7C">
        <w:t xml:space="preserve">Even </w:t>
      </w:r>
      <w:r w:rsidR="005233B4" w:rsidRPr="003C2C7C">
        <w:t>after</w:t>
      </w:r>
      <w:r w:rsidRPr="003C2C7C">
        <w:t xml:space="preserve"> adopti</w:t>
      </w:r>
      <w:r w:rsidR="003C2C7C" w:rsidRPr="003C2C7C">
        <w:t xml:space="preserve">ng </w:t>
      </w:r>
      <w:proofErr w:type="spellStart"/>
      <w:r w:rsidR="003C2C7C" w:rsidRPr="003C2C7C">
        <w:t>MRIC</w:t>
      </w:r>
      <w:proofErr w:type="spellEnd"/>
      <w:r w:rsidRPr="003C2C7C">
        <w:t xml:space="preserve">, it would be very difficult to isolate and quantify the </w:t>
      </w:r>
      <w:r w:rsidR="003C2C7C" w:rsidRPr="003C2C7C">
        <w:t xml:space="preserve">resulting </w:t>
      </w:r>
      <w:r w:rsidRPr="003C2C7C">
        <w:t xml:space="preserve">inter-country transfers of income with any confidence. This suggests that there probably is no feasible arrangement under which one country could compensate the other for </w:t>
      </w:r>
      <w:proofErr w:type="spellStart"/>
      <w:r w:rsidRPr="003C2C7C">
        <w:t>MRIC</w:t>
      </w:r>
      <w:proofErr w:type="spellEnd"/>
      <w:r w:rsidRPr="003C2C7C">
        <w:t>-induced inter-countr</w:t>
      </w:r>
      <w:r w:rsidR="0043008E">
        <w:t>y transfers of income, as such.</w:t>
      </w:r>
    </w:p>
    <w:p w:rsidR="00E77F40" w:rsidRPr="00E77F40" w:rsidRDefault="00E77F40" w:rsidP="00E77F40">
      <w:pPr>
        <w:pStyle w:val="BodyText"/>
        <w:rPr>
          <w:lang w:val="en-NZ"/>
        </w:rPr>
      </w:pPr>
      <w:r w:rsidRPr="00E77F40">
        <w:rPr>
          <w:lang w:val="en-NZ"/>
        </w:rPr>
        <w:t>Another option for evening up an imbalance in inter-country transfers of income could be for the two governments to share the fiscal cost of the additional credits that each recognised (</w:t>
      </w:r>
      <w:r w:rsidR="00A337FA">
        <w:rPr>
          <w:lang w:val="en-NZ"/>
        </w:rPr>
        <w:t>that is</w:t>
      </w:r>
      <w:r>
        <w:rPr>
          <w:lang w:val="en-NZ"/>
        </w:rPr>
        <w:t>,</w:t>
      </w:r>
      <w:r w:rsidRPr="00E77F40">
        <w:rPr>
          <w:lang w:val="en-NZ"/>
        </w:rPr>
        <w:t xml:space="preserve"> the fiscal cost to New Zealand of recognising Australian franking credits, and to Australia of recognising New Zealand imputation credits).</w:t>
      </w:r>
    </w:p>
    <w:p w:rsidR="00E77F40" w:rsidRDefault="00E77F40" w:rsidP="00AA010D">
      <w:pPr>
        <w:pStyle w:val="BodyText"/>
      </w:pPr>
      <w:r w:rsidRPr="00E77F40">
        <w:t xml:space="preserve">An approach based on sharing the fiscal costs would recognise that the underlying problem that </w:t>
      </w:r>
      <w:proofErr w:type="spellStart"/>
      <w:r w:rsidRPr="00E77F40">
        <w:t>MRIC</w:t>
      </w:r>
      <w:proofErr w:type="spellEnd"/>
      <w:r w:rsidRPr="00E77F40">
        <w:t xml:space="preserve"> is trying to resolve is essentially the same as that which arises wherever two countries claim taxing rights to a single pool of income. In this particular case, one country is taxing company income at source, and the other when it is distributed to shareholders resident in the other country. Sharing the fiscal costs </w:t>
      </w:r>
      <w:r>
        <w:t>c</w:t>
      </w:r>
      <w:r w:rsidRPr="00E77F40">
        <w:t xml:space="preserve">ould work in the same direction as compensating for imbalances in inter-country transfers of income </w:t>
      </w:r>
      <w:r>
        <w:t xml:space="preserve">to the extent that </w:t>
      </w:r>
      <w:r w:rsidRPr="00E77F40">
        <w:t>the main underlying influence on</w:t>
      </w:r>
      <w:r>
        <w:t xml:space="preserve"> </w:t>
      </w:r>
      <w:r w:rsidRPr="00E77F40">
        <w:t>inter-country income transfers (the respective sizes of the existing stocks of trans-Tasman equity investment) is also the principal driver of the revenue that would be forgone by each government.</w:t>
      </w:r>
    </w:p>
    <w:p w:rsidR="00007DBF" w:rsidRDefault="00007DBF" w:rsidP="00007DBF">
      <w:pPr>
        <w:pStyle w:val="Heading3"/>
      </w:pPr>
      <w:r>
        <w:t>Relationship to wider tax reforms</w:t>
      </w:r>
    </w:p>
    <w:p w:rsidR="006D064B" w:rsidRDefault="006D064B" w:rsidP="006D064B">
      <w:pPr>
        <w:pStyle w:val="BodyText"/>
        <w:rPr>
          <w:lang w:val="en-NZ" w:eastAsia="en-US"/>
        </w:rPr>
      </w:pPr>
      <w:r w:rsidRPr="001F40D5">
        <w:rPr>
          <w:lang w:val="en-NZ" w:eastAsia="en-US"/>
        </w:rPr>
        <w:t xml:space="preserve">Both Australia and New Zealand have reviewed their tax systems from time to time. </w:t>
      </w:r>
      <w:r w:rsidR="00A337FA">
        <w:rPr>
          <w:lang w:val="en-NZ" w:eastAsia="en-US"/>
        </w:rPr>
        <w:t>I</w:t>
      </w:r>
      <w:r w:rsidRPr="001F40D5">
        <w:rPr>
          <w:lang w:val="en-NZ" w:eastAsia="en-US"/>
        </w:rPr>
        <w:t>n Australia</w:t>
      </w:r>
      <w:r w:rsidR="00A337FA">
        <w:rPr>
          <w:lang w:val="en-NZ" w:eastAsia="en-US"/>
        </w:rPr>
        <w:t>,</w:t>
      </w:r>
      <w:r w:rsidRPr="001F40D5">
        <w:rPr>
          <w:lang w:val="en-NZ" w:eastAsia="en-US"/>
        </w:rPr>
        <w:t xml:space="preserve"> the Henry Review considered possible alternatives to traditional company tax, such as the allowance for corporate equity (ACE) approach</w:t>
      </w:r>
      <w:r w:rsidR="00C478EE">
        <w:rPr>
          <w:lang w:val="en-NZ" w:eastAsia="en-US"/>
        </w:rPr>
        <w:t xml:space="preserve"> </w:t>
      </w:r>
      <w:r w:rsidR="00C478EE">
        <w:rPr>
          <w:lang w:val="en-NZ" w:eastAsia="en-US"/>
        </w:rPr>
        <w:lastRenderedPageBreak/>
        <w:t>(</w:t>
      </w:r>
      <w:r w:rsidR="00C478EE">
        <w:t>Australia’s Future Tax System Panel 2010)</w:t>
      </w:r>
      <w:r w:rsidR="0084173A">
        <w:rPr>
          <w:lang w:val="en-NZ" w:eastAsia="en-US"/>
        </w:rPr>
        <w:t>.</w:t>
      </w:r>
      <w:r w:rsidRPr="001F40D5">
        <w:rPr>
          <w:lang w:val="en-NZ" w:eastAsia="en-US"/>
        </w:rPr>
        <w:t xml:space="preserve"> The Australian Treasurer's Business Tax Working Group </w:t>
      </w:r>
      <w:r w:rsidR="000B5DA3">
        <w:rPr>
          <w:lang w:val="en-NZ" w:eastAsia="en-US"/>
        </w:rPr>
        <w:t>(</w:t>
      </w:r>
      <w:proofErr w:type="spellStart"/>
      <w:r w:rsidR="000B5DA3">
        <w:rPr>
          <w:lang w:val="en-NZ" w:eastAsia="en-US"/>
        </w:rPr>
        <w:t>BTWG</w:t>
      </w:r>
      <w:proofErr w:type="spellEnd"/>
      <w:r w:rsidR="000B5DA3">
        <w:rPr>
          <w:lang w:val="en-NZ" w:eastAsia="en-US"/>
        </w:rPr>
        <w:t xml:space="preserve">) </w:t>
      </w:r>
      <w:r w:rsidRPr="001F40D5">
        <w:rPr>
          <w:lang w:val="en-NZ" w:eastAsia="en-US"/>
        </w:rPr>
        <w:t>has since considered the ACE approach and has proposed that it should not be pursued in the short- to medium-term, but that it may be worthy of further consideration and public debate in the longer term. It noted that ACE's interaction with the dividend imputation regime is one of the design issues that would need to be considered (Australian</w:t>
      </w:r>
      <w:r w:rsidR="005609E2">
        <w:rPr>
          <w:lang w:val="en-NZ" w:eastAsia="en-US"/>
        </w:rPr>
        <w:t xml:space="preserve"> </w:t>
      </w:r>
      <w:r w:rsidRPr="001F40D5" w:rsidDel="005609E2">
        <w:rPr>
          <w:lang w:val="en-NZ" w:eastAsia="en-US"/>
        </w:rPr>
        <w:t>Government</w:t>
      </w:r>
      <w:r w:rsidR="00EC5880">
        <w:rPr>
          <w:lang w:val="en-NZ" w:eastAsia="en-US"/>
        </w:rPr>
        <w:t xml:space="preserve"> </w:t>
      </w:r>
      <w:r w:rsidRPr="001F40D5">
        <w:rPr>
          <w:lang w:val="en-NZ" w:eastAsia="en-US"/>
        </w:rPr>
        <w:t>2012, p.</w:t>
      </w:r>
      <w:r w:rsidR="0043008E">
        <w:rPr>
          <w:lang w:val="en-NZ" w:eastAsia="en-US"/>
        </w:rPr>
        <w:t> </w:t>
      </w:r>
      <w:r w:rsidRPr="001F40D5">
        <w:rPr>
          <w:lang w:val="en-NZ" w:eastAsia="en-US"/>
        </w:rPr>
        <w:t>6).</w:t>
      </w:r>
    </w:p>
    <w:p w:rsidR="006D064B" w:rsidRDefault="006D064B" w:rsidP="006D064B">
      <w:pPr>
        <w:pStyle w:val="BodyText"/>
        <w:rPr>
          <w:lang w:val="en-NZ" w:eastAsia="en-US"/>
        </w:rPr>
      </w:pPr>
      <w:r w:rsidRPr="001F40D5">
        <w:rPr>
          <w:lang w:val="en-NZ" w:eastAsia="en-US"/>
        </w:rPr>
        <w:t xml:space="preserve">While the </w:t>
      </w:r>
      <w:proofErr w:type="spellStart"/>
      <w:r w:rsidRPr="001F40D5">
        <w:rPr>
          <w:lang w:val="en-NZ" w:eastAsia="en-US"/>
        </w:rPr>
        <w:t>BTWG</w:t>
      </w:r>
      <w:proofErr w:type="spellEnd"/>
      <w:r w:rsidRPr="001F40D5">
        <w:rPr>
          <w:lang w:val="en-NZ" w:eastAsia="en-US"/>
        </w:rPr>
        <w:t xml:space="preserve"> did not consider the imputation system, it did support the objective of reducing Australia's company tax rate. In this </w:t>
      </w:r>
      <w:r w:rsidR="00EC5880">
        <w:rPr>
          <w:lang w:val="en-NZ" w:eastAsia="en-US"/>
        </w:rPr>
        <w:t>regard</w:t>
      </w:r>
      <w:r w:rsidRPr="001F40D5">
        <w:rPr>
          <w:lang w:val="en-NZ" w:eastAsia="en-US"/>
        </w:rPr>
        <w:t xml:space="preserve">, </w:t>
      </w:r>
      <w:proofErr w:type="spellStart"/>
      <w:r w:rsidRPr="001F40D5">
        <w:rPr>
          <w:lang w:val="en-NZ" w:eastAsia="en-US"/>
        </w:rPr>
        <w:t>Gruen</w:t>
      </w:r>
      <w:proofErr w:type="spellEnd"/>
      <w:r w:rsidRPr="001F40D5">
        <w:rPr>
          <w:lang w:val="en-NZ" w:eastAsia="en-US"/>
        </w:rPr>
        <w:t xml:space="preserve"> (2006; 2012) suggests abolishing dividend imputation and using the revenue saved to reduce the company tax rate. Officer (</w:t>
      </w:r>
      <w:r w:rsidR="00DF4ACA">
        <w:t xml:space="preserve">pers. comm., 31 October </w:t>
      </w:r>
      <w:r w:rsidRPr="001F40D5">
        <w:rPr>
          <w:lang w:val="en-NZ" w:eastAsia="en-US"/>
        </w:rPr>
        <w:t>2012) and Swan (</w:t>
      </w:r>
      <w:r w:rsidR="00DF4ACA">
        <w:t xml:space="preserve">pers. comm., 31 October </w:t>
      </w:r>
      <w:r w:rsidRPr="001F40D5">
        <w:rPr>
          <w:lang w:val="en-NZ" w:eastAsia="en-US"/>
        </w:rPr>
        <w:t>2012), on the other hand, attach significant weight to the benefits of the imputation system, as summarised in the introductory section of this paper.</w:t>
      </w:r>
    </w:p>
    <w:p w:rsidR="006D064B" w:rsidRPr="001F40D5" w:rsidRDefault="006D064B" w:rsidP="006D064B">
      <w:pPr>
        <w:pStyle w:val="BodyText"/>
        <w:rPr>
          <w:lang w:val="en-NZ" w:eastAsia="en-US"/>
        </w:rPr>
      </w:pPr>
      <w:r w:rsidRPr="001F40D5">
        <w:rPr>
          <w:lang w:val="en-NZ" w:eastAsia="en-US"/>
        </w:rPr>
        <w:t xml:space="preserve">In New Zealand, the Tax Working Group commissioned in 2009 to review the New Zealand </w:t>
      </w:r>
      <w:r w:rsidR="00EC5880">
        <w:rPr>
          <w:lang w:val="en-NZ" w:eastAsia="en-US"/>
        </w:rPr>
        <w:t xml:space="preserve">tax system </w:t>
      </w:r>
      <w:r w:rsidRPr="001F40D5">
        <w:rPr>
          <w:lang w:val="en-NZ" w:eastAsia="en-US"/>
        </w:rPr>
        <w:t xml:space="preserve">considered whether New Zealand </w:t>
      </w:r>
      <w:r w:rsidR="00EC5880">
        <w:rPr>
          <w:lang w:val="en-NZ" w:eastAsia="en-US"/>
        </w:rPr>
        <w:t xml:space="preserve">should </w:t>
      </w:r>
      <w:r w:rsidRPr="001F40D5">
        <w:rPr>
          <w:lang w:val="en-NZ" w:eastAsia="en-US"/>
        </w:rPr>
        <w:t>retain its dividend imputation regime, and concluded that it should (</w:t>
      </w:r>
      <w:r w:rsidR="005609E2">
        <w:rPr>
          <w:lang w:val="en-NZ" w:eastAsia="en-US"/>
        </w:rPr>
        <w:t>Tax Working Group</w:t>
      </w:r>
      <w:r w:rsidRPr="001F40D5">
        <w:rPr>
          <w:lang w:val="en-NZ" w:eastAsia="en-US"/>
        </w:rPr>
        <w:t>, 2010).</w:t>
      </w:r>
    </w:p>
    <w:p w:rsidR="0043008E" w:rsidRPr="0043008E" w:rsidRDefault="006D064B" w:rsidP="0043008E">
      <w:pPr>
        <w:pStyle w:val="BodyText"/>
      </w:pPr>
      <w:r w:rsidRPr="001F40D5">
        <w:rPr>
          <w:lang w:val="en-NZ" w:eastAsia="en-US"/>
        </w:rPr>
        <w:t>It therefore appears likely that both Australia and New Zealand will each retain their dividend imputation regimes for at least the short</w:t>
      </w:r>
      <w:r w:rsidR="006565EB">
        <w:rPr>
          <w:lang w:val="en-NZ" w:eastAsia="en-US"/>
        </w:rPr>
        <w:t>-</w:t>
      </w:r>
      <w:r w:rsidRPr="001F40D5">
        <w:rPr>
          <w:lang w:val="en-NZ" w:eastAsia="en-US"/>
        </w:rPr>
        <w:t xml:space="preserve"> to medium</w:t>
      </w:r>
      <w:r w:rsidR="006565EB">
        <w:rPr>
          <w:lang w:val="en-NZ" w:eastAsia="en-US"/>
        </w:rPr>
        <w:t>-</w:t>
      </w:r>
      <w:r w:rsidRPr="001F40D5">
        <w:rPr>
          <w:lang w:val="en-NZ" w:eastAsia="en-US"/>
        </w:rPr>
        <w:t xml:space="preserve">term. </w:t>
      </w:r>
      <w:r w:rsidR="006565EB">
        <w:rPr>
          <w:lang w:val="en-NZ" w:eastAsia="en-US"/>
        </w:rPr>
        <w:t>But if</w:t>
      </w:r>
      <w:r w:rsidRPr="001F40D5">
        <w:rPr>
          <w:lang w:val="en-NZ" w:eastAsia="en-US"/>
        </w:rPr>
        <w:t xml:space="preserve"> </w:t>
      </w:r>
      <w:proofErr w:type="spellStart"/>
      <w:r w:rsidRPr="001F40D5">
        <w:rPr>
          <w:lang w:val="en-NZ" w:eastAsia="en-US"/>
        </w:rPr>
        <w:t>MRIC</w:t>
      </w:r>
      <w:proofErr w:type="spellEnd"/>
      <w:r w:rsidRPr="001F40D5">
        <w:rPr>
          <w:lang w:val="en-NZ" w:eastAsia="en-US"/>
        </w:rPr>
        <w:t xml:space="preserve"> were to proceed, and one or other Government subsequently decided to adopt a new regime for taxing companies which did not include dividend imputation, then the mutuality necessary for </w:t>
      </w:r>
      <w:proofErr w:type="spellStart"/>
      <w:r w:rsidRPr="001F40D5">
        <w:rPr>
          <w:lang w:val="en-NZ" w:eastAsia="en-US"/>
        </w:rPr>
        <w:t>MRIC</w:t>
      </w:r>
      <w:proofErr w:type="spellEnd"/>
      <w:r w:rsidRPr="001F40D5">
        <w:rPr>
          <w:lang w:val="en-NZ" w:eastAsia="en-US"/>
        </w:rPr>
        <w:t xml:space="preserve"> to operate would no longer exist</w:t>
      </w:r>
      <w:r w:rsidR="006565EB">
        <w:rPr>
          <w:lang w:val="en-NZ" w:eastAsia="en-US"/>
        </w:rPr>
        <w:t>.</w:t>
      </w:r>
      <w:r w:rsidR="0043008E" w:rsidRPr="0043008E">
        <w:br w:type="page"/>
      </w:r>
    </w:p>
    <w:p w:rsidR="00D16F98" w:rsidRDefault="00D16F98" w:rsidP="00D16F98">
      <w:pPr>
        <w:pStyle w:val="Heading2"/>
      </w:pPr>
      <w:r>
        <w:lastRenderedPageBreak/>
        <w:t xml:space="preserve">Appendix </w:t>
      </w:r>
      <w:proofErr w:type="spellStart"/>
      <w:r w:rsidR="00E60985">
        <w:t>F.1</w:t>
      </w:r>
      <w:proofErr w:type="spellEnd"/>
      <w:r>
        <w:t>: The triangular arrangement</w:t>
      </w:r>
    </w:p>
    <w:p w:rsidR="00D16F98" w:rsidRDefault="00D16F98" w:rsidP="00D16F98">
      <w:pPr>
        <w:pStyle w:val="BodyText"/>
      </w:pPr>
      <w:r>
        <w:t xml:space="preserve">In 2003 the Australian and New Zealand governments agreed to a reform that provides partial relief from trans-Tasman double taxation, but which is much more limited than </w:t>
      </w:r>
      <w:proofErr w:type="spellStart"/>
      <w:r>
        <w:t>MRIC</w:t>
      </w:r>
      <w:proofErr w:type="spellEnd"/>
      <w:r>
        <w:t xml:space="preserve">. It provides that if an Australian company with shareholders in New Zealand also earns income and pays tax in New Zealand, then the company is able to attach New Zealand imputation credits when it pays dividends. </w:t>
      </w:r>
      <w:r w:rsidR="007E46B6">
        <w:t>The arrangement works in a similar manner</w:t>
      </w:r>
      <w:r>
        <w:t xml:space="preserve"> for a New Zealand company that pays tax and has shareholders in Australia.</w:t>
      </w:r>
    </w:p>
    <w:p w:rsidR="00D16F98" w:rsidRDefault="00D16F98" w:rsidP="00D16F98">
      <w:pPr>
        <w:pStyle w:val="BodyText"/>
      </w:pPr>
      <w:r>
        <w:t>However, as the resulting imputation credits have to be allocated to all their shareholders on a pro rata basis (</w:t>
      </w:r>
      <w:r w:rsidR="00A5549B">
        <w:t>that is</w:t>
      </w:r>
      <w:r>
        <w:t xml:space="preserve">, ‘streaming’ is not allowed), and each country's credits can be used only to offset a domestic tax liability, a large proportion of such credits typically </w:t>
      </w:r>
      <w:r w:rsidR="00A5549B">
        <w:t>has</w:t>
      </w:r>
      <w:r>
        <w:t xml:space="preserve"> no value. For this reason, few companies make use of the triangular arrangement, instead preferring to distribute dividends un-imputed and to retain available credits in their imputation accounts.</w:t>
      </w:r>
    </w:p>
    <w:p w:rsidR="00D62E2D" w:rsidRDefault="00D16F98" w:rsidP="00CA1EA4">
      <w:pPr>
        <w:pStyle w:val="BodyText"/>
        <w:spacing w:after="120"/>
      </w:pPr>
      <w:r>
        <w:t>A worked example of the triangular arrangement follows. It is based on an Australian company that has two shareholders</w:t>
      </w:r>
      <w:r w:rsidR="00F91F9E">
        <w:t>:</w:t>
      </w:r>
      <w:r>
        <w:t xml:space="preserve"> </w:t>
      </w:r>
      <w:r w:rsidR="00F91F9E">
        <w:t>an</w:t>
      </w:r>
      <w:r>
        <w:t xml:space="preserve"> Australian </w:t>
      </w:r>
      <w:r w:rsidR="00F91F9E">
        <w:t>shareholder with</w:t>
      </w:r>
      <w:r>
        <w:t xml:space="preserve"> 60 </w:t>
      </w:r>
      <w:proofErr w:type="spellStart"/>
      <w:r>
        <w:t>percent</w:t>
      </w:r>
      <w:proofErr w:type="spellEnd"/>
      <w:r>
        <w:t xml:space="preserve"> and </w:t>
      </w:r>
      <w:r w:rsidR="00F91F9E">
        <w:t>a New Zealand shareholder</w:t>
      </w:r>
      <w:r>
        <w:t xml:space="preserve"> </w:t>
      </w:r>
      <w:r w:rsidR="00F91F9E">
        <w:t>with</w:t>
      </w:r>
      <w:r>
        <w:t xml:space="preserve"> 4</w:t>
      </w:r>
      <w:r w:rsidR="00CA1EA4">
        <w:t>0 </w:t>
      </w:r>
      <w:proofErr w:type="spellStart"/>
      <w:r w:rsidR="00CA1EA4">
        <w:t>percent</w:t>
      </w:r>
      <w:proofErr w:type="spellEnd"/>
      <w:r w:rsidR="00CA1EA4">
        <w:t>. The company earns $3</w:t>
      </w:r>
      <w:r>
        <w:t>00</w:t>
      </w:r>
      <w:r w:rsidR="00CA1EA4">
        <w:t>0 of income in Australia and $1</w:t>
      </w:r>
      <w:r>
        <w:t>000 of income in New Zealand (in the same unit of currency). The respective company tax rates are 30</w:t>
      </w:r>
      <w:r w:rsidR="00F91F9E">
        <w:t> </w:t>
      </w:r>
      <w:proofErr w:type="spellStart"/>
      <w:r w:rsidR="00F91F9E">
        <w:t>percent</w:t>
      </w:r>
      <w:proofErr w:type="spellEnd"/>
      <w:r>
        <w:t xml:space="preserve"> (Australia) and 28</w:t>
      </w:r>
      <w:r w:rsidR="00F91F9E">
        <w:t> </w:t>
      </w:r>
      <w:proofErr w:type="spellStart"/>
      <w:r w:rsidR="00F91F9E">
        <w:t>percent</w:t>
      </w:r>
      <w:proofErr w:type="spellEnd"/>
      <w:r>
        <w:t xml:space="preserve"> (New Zealand), resulting in tax payments of $900 in Australia and $280</w:t>
      </w:r>
      <w:r w:rsidR="00CA1EA4">
        <w:t xml:space="preserve"> in New Zealand, and leaving $2</w:t>
      </w:r>
      <w:r>
        <w:t>820 available fo</w:t>
      </w:r>
      <w:r w:rsidR="00CA1EA4">
        <w:t>r distribution as dividends ($1</w:t>
      </w:r>
      <w:r>
        <w:t>128 to the</w:t>
      </w:r>
      <w:r w:rsidR="00CA1EA4">
        <w:t xml:space="preserve"> New Zealand shareholder and $1</w:t>
      </w:r>
      <w:r>
        <w:t xml:space="preserve">692 to the Australian shareholder). These details are summarised </w:t>
      </w:r>
      <w:r w:rsidR="00AA010D">
        <w:t xml:space="preserve">in table </w:t>
      </w:r>
      <w:proofErr w:type="spellStart"/>
      <w:r w:rsidR="00AA010D">
        <w:t>F.</w:t>
      </w:r>
      <w:r w:rsidR="00112EF0">
        <w:t>5</w:t>
      </w:r>
      <w:proofErr w:type="spellEnd"/>
      <w:r w:rsidR="003F4CCD">
        <w:t>.</w:t>
      </w:r>
    </w:p>
    <w:p w:rsidR="00AA010D" w:rsidRDefault="00AA010D" w:rsidP="002D0ED6">
      <w:pPr>
        <w:pStyle w:val="TableTitle"/>
        <w:keepNext w:val="0"/>
        <w:keepLines w:val="0"/>
      </w:pPr>
      <w:r>
        <w:rPr>
          <w:b w:val="0"/>
        </w:rPr>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sidR="006178EF">
        <w:rPr>
          <w:b w:val="0"/>
        </w:rPr>
        <w:t>5</w:t>
      </w:r>
      <w:proofErr w:type="spellEnd"/>
      <w:r>
        <w:tab/>
      </w:r>
      <w:r w:rsidR="00112EF0">
        <w:t>The triangular arrangement – worked example assumptions</w:t>
      </w:r>
    </w:p>
    <w:tbl>
      <w:tblPr>
        <w:tblW w:w="5000" w:type="pct"/>
        <w:tblCellMar>
          <w:left w:w="0" w:type="dxa"/>
          <w:right w:w="0" w:type="dxa"/>
        </w:tblCellMar>
        <w:tblLook w:val="0000" w:firstRow="0" w:lastRow="0" w:firstColumn="0" w:lastColumn="0" w:noHBand="0" w:noVBand="0"/>
      </w:tblPr>
      <w:tblGrid>
        <w:gridCol w:w="5954"/>
        <w:gridCol w:w="2835"/>
      </w:tblGrid>
      <w:tr w:rsidR="00AA010D" w:rsidTr="003F4CCD">
        <w:tc>
          <w:tcPr>
            <w:tcW w:w="3387" w:type="pct"/>
            <w:tcBorders>
              <w:top w:val="single" w:sz="6" w:space="0" w:color="auto"/>
            </w:tcBorders>
          </w:tcPr>
          <w:p w:rsidR="00AA010D" w:rsidRPr="003F4CCD" w:rsidRDefault="00AA010D" w:rsidP="002D0ED6">
            <w:pPr>
              <w:pStyle w:val="TableUnitsRow"/>
              <w:keepNext w:val="0"/>
              <w:keepLines w:val="0"/>
              <w:spacing w:after="40"/>
              <w:jc w:val="left"/>
              <w:rPr>
                <w:b/>
              </w:rPr>
            </w:pPr>
            <w:r w:rsidRPr="003F4CCD">
              <w:rPr>
                <w:b/>
              </w:rPr>
              <w:t>Shareholdings</w:t>
            </w:r>
          </w:p>
        </w:tc>
        <w:tc>
          <w:tcPr>
            <w:tcW w:w="1613" w:type="pct"/>
            <w:tcBorders>
              <w:top w:val="single" w:sz="6" w:space="0" w:color="auto"/>
            </w:tcBorders>
          </w:tcPr>
          <w:p w:rsidR="00AA010D" w:rsidRDefault="00AA010D" w:rsidP="002D0ED6">
            <w:pPr>
              <w:pStyle w:val="TableUnitsRow"/>
              <w:keepNext w:val="0"/>
              <w:keepLines w:val="0"/>
              <w:spacing w:after="40"/>
              <w:ind w:right="28"/>
            </w:pPr>
          </w:p>
        </w:tc>
      </w:tr>
      <w:tr w:rsidR="00AA010D" w:rsidTr="003F4CCD">
        <w:tc>
          <w:tcPr>
            <w:tcW w:w="3387" w:type="pct"/>
          </w:tcPr>
          <w:p w:rsidR="00AA010D" w:rsidRDefault="00AA010D" w:rsidP="002D0ED6">
            <w:pPr>
              <w:pStyle w:val="TableBodyText"/>
              <w:keepNext w:val="0"/>
              <w:keepLines w:val="0"/>
              <w:ind w:left="170"/>
              <w:jc w:val="left"/>
            </w:pPr>
            <w:r>
              <w:t>Australian</w:t>
            </w:r>
          </w:p>
        </w:tc>
        <w:tc>
          <w:tcPr>
            <w:tcW w:w="1613" w:type="pct"/>
          </w:tcPr>
          <w:p w:rsidR="00AA010D" w:rsidRDefault="00AA010D" w:rsidP="002D0ED6">
            <w:pPr>
              <w:pStyle w:val="TableBodyText"/>
              <w:keepNext w:val="0"/>
              <w:keepLines w:val="0"/>
              <w:ind w:right="28"/>
            </w:pPr>
            <w:r w:rsidRPr="00AA010D">
              <w:t>60%</w:t>
            </w:r>
          </w:p>
        </w:tc>
      </w:tr>
      <w:tr w:rsidR="00AA010D" w:rsidTr="003F4CCD">
        <w:tc>
          <w:tcPr>
            <w:tcW w:w="3387" w:type="pct"/>
            <w:shd w:val="clear" w:color="auto" w:fill="auto"/>
          </w:tcPr>
          <w:p w:rsidR="00AA010D" w:rsidRDefault="00AA010D" w:rsidP="002D0ED6">
            <w:pPr>
              <w:pStyle w:val="TableBodyText"/>
              <w:keepNext w:val="0"/>
              <w:keepLines w:val="0"/>
              <w:ind w:left="170"/>
              <w:jc w:val="left"/>
            </w:pPr>
            <w:r>
              <w:t>New Zealand</w:t>
            </w:r>
          </w:p>
        </w:tc>
        <w:tc>
          <w:tcPr>
            <w:tcW w:w="1613" w:type="pct"/>
            <w:shd w:val="clear" w:color="auto" w:fill="auto"/>
          </w:tcPr>
          <w:p w:rsidR="00AA010D" w:rsidRDefault="00AA010D" w:rsidP="002D0ED6">
            <w:pPr>
              <w:pStyle w:val="TableBodyText"/>
              <w:keepNext w:val="0"/>
              <w:keepLines w:val="0"/>
              <w:ind w:right="28"/>
            </w:pPr>
            <w:r>
              <w:t>40%</w:t>
            </w:r>
          </w:p>
        </w:tc>
      </w:tr>
      <w:tr w:rsidR="00AA010D" w:rsidTr="003F4CCD">
        <w:tc>
          <w:tcPr>
            <w:tcW w:w="3387" w:type="pct"/>
            <w:shd w:val="clear" w:color="auto" w:fill="auto"/>
          </w:tcPr>
          <w:p w:rsidR="00AA010D" w:rsidRPr="003F4CCD" w:rsidRDefault="00AA010D" w:rsidP="002D0ED6">
            <w:pPr>
              <w:pStyle w:val="TableBodyText"/>
              <w:keepNext w:val="0"/>
              <w:keepLines w:val="0"/>
              <w:spacing w:before="40"/>
              <w:jc w:val="left"/>
              <w:rPr>
                <w:b/>
              </w:rPr>
            </w:pPr>
            <w:r w:rsidRPr="003F4CCD">
              <w:rPr>
                <w:b/>
              </w:rPr>
              <w:t>Company income, of which</w:t>
            </w:r>
          </w:p>
        </w:tc>
        <w:tc>
          <w:tcPr>
            <w:tcW w:w="1613" w:type="pct"/>
            <w:shd w:val="clear" w:color="auto" w:fill="auto"/>
          </w:tcPr>
          <w:p w:rsidR="00AA010D" w:rsidRDefault="00AA010D" w:rsidP="002D0ED6">
            <w:pPr>
              <w:pStyle w:val="TableBodyText"/>
              <w:keepNext w:val="0"/>
              <w:keepLines w:val="0"/>
              <w:spacing w:before="40"/>
              <w:ind w:right="28"/>
            </w:pPr>
            <w:r>
              <w:t>$4 000</w:t>
            </w:r>
          </w:p>
        </w:tc>
      </w:tr>
      <w:tr w:rsidR="00AA010D" w:rsidTr="003F4CCD">
        <w:tc>
          <w:tcPr>
            <w:tcW w:w="3387" w:type="pct"/>
            <w:shd w:val="clear" w:color="auto" w:fill="auto"/>
          </w:tcPr>
          <w:p w:rsidR="00AA010D" w:rsidRDefault="00AA010D" w:rsidP="002D0ED6">
            <w:pPr>
              <w:pStyle w:val="TableBodyText"/>
              <w:keepNext w:val="0"/>
              <w:keepLines w:val="0"/>
              <w:ind w:left="170"/>
              <w:jc w:val="left"/>
            </w:pPr>
            <w:r>
              <w:t>In Australia</w:t>
            </w:r>
          </w:p>
        </w:tc>
        <w:tc>
          <w:tcPr>
            <w:tcW w:w="1613" w:type="pct"/>
            <w:shd w:val="clear" w:color="auto" w:fill="auto"/>
          </w:tcPr>
          <w:p w:rsidR="00AA010D" w:rsidRDefault="00AA010D" w:rsidP="002D0ED6">
            <w:pPr>
              <w:pStyle w:val="TableBodyText"/>
              <w:keepNext w:val="0"/>
              <w:keepLines w:val="0"/>
              <w:ind w:right="28"/>
            </w:pPr>
            <w:r>
              <w:t>$3 000</w:t>
            </w:r>
          </w:p>
        </w:tc>
      </w:tr>
      <w:tr w:rsidR="00AA010D" w:rsidTr="003F4CCD">
        <w:tc>
          <w:tcPr>
            <w:tcW w:w="3387" w:type="pct"/>
            <w:shd w:val="clear" w:color="auto" w:fill="auto"/>
          </w:tcPr>
          <w:p w:rsidR="00AA010D" w:rsidRDefault="00AA010D" w:rsidP="002D0ED6">
            <w:pPr>
              <w:pStyle w:val="TableBodyText"/>
              <w:keepNext w:val="0"/>
              <w:keepLines w:val="0"/>
              <w:ind w:left="170"/>
              <w:jc w:val="left"/>
            </w:pPr>
            <w:r>
              <w:t>In New Zealand</w:t>
            </w:r>
          </w:p>
        </w:tc>
        <w:tc>
          <w:tcPr>
            <w:tcW w:w="1613" w:type="pct"/>
            <w:shd w:val="clear" w:color="auto" w:fill="auto"/>
          </w:tcPr>
          <w:p w:rsidR="00AA010D" w:rsidRDefault="00AA010D" w:rsidP="002D0ED6">
            <w:pPr>
              <w:pStyle w:val="TableBodyText"/>
              <w:keepNext w:val="0"/>
              <w:keepLines w:val="0"/>
              <w:ind w:right="28"/>
            </w:pPr>
            <w:r>
              <w:t>$1 000</w:t>
            </w:r>
          </w:p>
        </w:tc>
      </w:tr>
      <w:tr w:rsidR="00AA010D" w:rsidTr="003F4CCD">
        <w:tc>
          <w:tcPr>
            <w:tcW w:w="3387" w:type="pct"/>
            <w:shd w:val="clear" w:color="auto" w:fill="auto"/>
          </w:tcPr>
          <w:p w:rsidR="00AA010D" w:rsidRPr="003F4CCD" w:rsidRDefault="00AA010D" w:rsidP="002D0ED6">
            <w:pPr>
              <w:pStyle w:val="TableBodyText"/>
              <w:keepNext w:val="0"/>
              <w:keepLines w:val="0"/>
              <w:spacing w:before="40"/>
              <w:jc w:val="left"/>
              <w:rPr>
                <w:b/>
              </w:rPr>
            </w:pPr>
            <w:r w:rsidRPr="003F4CCD">
              <w:rPr>
                <w:b/>
              </w:rPr>
              <w:t>Company tax paid</w:t>
            </w:r>
          </w:p>
        </w:tc>
        <w:tc>
          <w:tcPr>
            <w:tcW w:w="1613" w:type="pct"/>
            <w:shd w:val="clear" w:color="auto" w:fill="auto"/>
          </w:tcPr>
          <w:p w:rsidR="00AA010D" w:rsidRDefault="003F4CCD" w:rsidP="002D0ED6">
            <w:pPr>
              <w:pStyle w:val="TableBodyText"/>
              <w:keepNext w:val="0"/>
              <w:keepLines w:val="0"/>
              <w:spacing w:before="40"/>
              <w:ind w:right="28"/>
            </w:pPr>
            <w:r>
              <w:t>$1 180</w:t>
            </w:r>
          </w:p>
        </w:tc>
      </w:tr>
      <w:tr w:rsidR="003F4CCD" w:rsidTr="003F4CCD">
        <w:tc>
          <w:tcPr>
            <w:tcW w:w="3387" w:type="pct"/>
            <w:shd w:val="clear" w:color="auto" w:fill="auto"/>
          </w:tcPr>
          <w:p w:rsidR="003F4CCD" w:rsidRDefault="003F4CCD" w:rsidP="002D0ED6">
            <w:pPr>
              <w:pStyle w:val="TableBodyText"/>
              <w:keepNext w:val="0"/>
              <w:keepLines w:val="0"/>
              <w:ind w:left="170"/>
              <w:jc w:val="left"/>
            </w:pPr>
            <w:r>
              <w:t>In Australia (30% rate)</w:t>
            </w:r>
          </w:p>
        </w:tc>
        <w:tc>
          <w:tcPr>
            <w:tcW w:w="1613" w:type="pct"/>
            <w:shd w:val="clear" w:color="auto" w:fill="auto"/>
          </w:tcPr>
          <w:p w:rsidR="003F4CCD" w:rsidRDefault="003F4CCD" w:rsidP="002D0ED6">
            <w:pPr>
              <w:pStyle w:val="TableBodyText"/>
              <w:keepNext w:val="0"/>
              <w:keepLines w:val="0"/>
              <w:ind w:right="28"/>
            </w:pPr>
            <w:r>
              <w:t>$900</w:t>
            </w:r>
          </w:p>
        </w:tc>
      </w:tr>
      <w:tr w:rsidR="003F4CCD" w:rsidTr="003F4CCD">
        <w:tc>
          <w:tcPr>
            <w:tcW w:w="3387" w:type="pct"/>
            <w:shd w:val="clear" w:color="auto" w:fill="auto"/>
          </w:tcPr>
          <w:p w:rsidR="003F4CCD" w:rsidRDefault="003F4CCD" w:rsidP="002D0ED6">
            <w:pPr>
              <w:pStyle w:val="TableBodyText"/>
              <w:keepNext w:val="0"/>
              <w:keepLines w:val="0"/>
              <w:ind w:left="170"/>
              <w:jc w:val="left"/>
            </w:pPr>
            <w:r>
              <w:t>In New Zealand (28% rate)</w:t>
            </w:r>
          </w:p>
        </w:tc>
        <w:tc>
          <w:tcPr>
            <w:tcW w:w="1613" w:type="pct"/>
            <w:shd w:val="clear" w:color="auto" w:fill="auto"/>
          </w:tcPr>
          <w:p w:rsidR="003F4CCD" w:rsidRDefault="003F4CCD" w:rsidP="002D0ED6">
            <w:pPr>
              <w:pStyle w:val="TableBodyText"/>
              <w:keepNext w:val="0"/>
              <w:keepLines w:val="0"/>
              <w:ind w:right="28"/>
            </w:pPr>
            <w:r>
              <w:t>$280</w:t>
            </w:r>
          </w:p>
        </w:tc>
      </w:tr>
      <w:tr w:rsidR="003F4CCD" w:rsidTr="003F4CCD">
        <w:tc>
          <w:tcPr>
            <w:tcW w:w="3387" w:type="pct"/>
            <w:shd w:val="clear" w:color="auto" w:fill="auto"/>
          </w:tcPr>
          <w:p w:rsidR="003F4CCD" w:rsidRPr="003F4CCD" w:rsidRDefault="003F4CCD" w:rsidP="002D0ED6">
            <w:pPr>
              <w:pStyle w:val="TableBodyText"/>
              <w:keepNext w:val="0"/>
              <w:keepLines w:val="0"/>
              <w:spacing w:before="40"/>
              <w:jc w:val="left"/>
              <w:rPr>
                <w:b/>
              </w:rPr>
            </w:pPr>
            <w:r w:rsidRPr="003F4CCD">
              <w:rPr>
                <w:b/>
              </w:rPr>
              <w:t>Dividends (assuming full distribution of post-tax income)</w:t>
            </w:r>
          </w:p>
        </w:tc>
        <w:tc>
          <w:tcPr>
            <w:tcW w:w="1613" w:type="pct"/>
            <w:shd w:val="clear" w:color="auto" w:fill="auto"/>
          </w:tcPr>
          <w:p w:rsidR="003F4CCD" w:rsidRDefault="003F4CCD" w:rsidP="002D0ED6">
            <w:pPr>
              <w:pStyle w:val="TableBodyText"/>
              <w:keepNext w:val="0"/>
              <w:keepLines w:val="0"/>
              <w:spacing w:before="40"/>
              <w:ind w:right="28"/>
            </w:pPr>
            <w:r>
              <w:t>$2 820</w:t>
            </w:r>
          </w:p>
        </w:tc>
      </w:tr>
      <w:tr w:rsidR="003F4CCD" w:rsidTr="003F4CCD">
        <w:tc>
          <w:tcPr>
            <w:tcW w:w="3387" w:type="pct"/>
            <w:shd w:val="clear" w:color="auto" w:fill="auto"/>
          </w:tcPr>
          <w:p w:rsidR="003F4CCD" w:rsidRDefault="003F4CCD" w:rsidP="002D0ED6">
            <w:pPr>
              <w:pStyle w:val="TableBodyText"/>
              <w:keepNext w:val="0"/>
              <w:keepLines w:val="0"/>
              <w:ind w:left="170"/>
              <w:jc w:val="left"/>
            </w:pPr>
            <w:r>
              <w:t>Australian shareholder (on 45% marginal tax rate)</w:t>
            </w:r>
          </w:p>
        </w:tc>
        <w:tc>
          <w:tcPr>
            <w:tcW w:w="1613" w:type="pct"/>
            <w:shd w:val="clear" w:color="auto" w:fill="auto"/>
          </w:tcPr>
          <w:p w:rsidR="003F4CCD" w:rsidRDefault="003F4CCD" w:rsidP="002D0ED6">
            <w:pPr>
              <w:pStyle w:val="TableBodyText"/>
              <w:keepNext w:val="0"/>
              <w:keepLines w:val="0"/>
              <w:ind w:right="28"/>
            </w:pPr>
            <w:r>
              <w:t>$1 692</w:t>
            </w:r>
          </w:p>
        </w:tc>
      </w:tr>
      <w:tr w:rsidR="003F4CCD" w:rsidTr="003F4CCD">
        <w:tc>
          <w:tcPr>
            <w:tcW w:w="3387" w:type="pct"/>
            <w:tcBorders>
              <w:bottom w:val="single" w:sz="6" w:space="0" w:color="auto"/>
            </w:tcBorders>
            <w:shd w:val="clear" w:color="auto" w:fill="auto"/>
          </w:tcPr>
          <w:p w:rsidR="003F4CCD" w:rsidRDefault="003F4CCD" w:rsidP="002D0ED6">
            <w:pPr>
              <w:pStyle w:val="TableBodyText"/>
              <w:keepNext w:val="0"/>
              <w:keepLines w:val="0"/>
              <w:ind w:left="170"/>
              <w:jc w:val="left"/>
            </w:pPr>
            <w:r>
              <w:t>New Zealand shareholder (on 33% marginal tax rate)</w:t>
            </w:r>
          </w:p>
        </w:tc>
        <w:tc>
          <w:tcPr>
            <w:tcW w:w="1613" w:type="pct"/>
            <w:tcBorders>
              <w:bottom w:val="single" w:sz="6" w:space="0" w:color="auto"/>
            </w:tcBorders>
            <w:shd w:val="clear" w:color="auto" w:fill="auto"/>
          </w:tcPr>
          <w:p w:rsidR="003F4CCD" w:rsidRDefault="003F4CCD" w:rsidP="002D0ED6">
            <w:pPr>
              <w:pStyle w:val="TableBodyText"/>
              <w:keepNext w:val="0"/>
              <w:keepLines w:val="0"/>
              <w:ind w:right="28"/>
            </w:pPr>
            <w:r>
              <w:t>$1 128</w:t>
            </w:r>
          </w:p>
        </w:tc>
      </w:tr>
    </w:tbl>
    <w:p w:rsidR="00D16F98" w:rsidRDefault="00D16F98" w:rsidP="002D0ED6">
      <w:pPr>
        <w:pStyle w:val="BodyText"/>
        <w:keepNext/>
        <w:keepLines/>
      </w:pPr>
      <w:r>
        <w:lastRenderedPageBreak/>
        <w:t xml:space="preserve">The extent of the difference </w:t>
      </w:r>
      <w:r w:rsidR="00BF23E2">
        <w:t xml:space="preserve">that </w:t>
      </w:r>
      <w:r>
        <w:t>the triangular arrangement makes to the tax-paid return to the New Zealand shareholder, compared with no mutual recognition, and full mutual recognition, is shown in the table below.</w:t>
      </w:r>
    </w:p>
    <w:p w:rsidR="00D16F98" w:rsidRDefault="003F4CCD" w:rsidP="00D16F98">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sidR="006178EF">
        <w:rPr>
          <w:b w:val="0"/>
        </w:rPr>
        <w:t>6</w:t>
      </w:r>
      <w:proofErr w:type="spellEnd"/>
      <w:r>
        <w:tab/>
      </w:r>
      <w:r w:rsidRPr="002341BA">
        <w:t xml:space="preserve">The triangular arrangement </w:t>
      </w:r>
      <w:r>
        <w:t>—</w:t>
      </w:r>
      <w:r w:rsidRPr="002341BA">
        <w:t xml:space="preserve"> worked example</w:t>
      </w:r>
    </w:p>
    <w:tbl>
      <w:tblPr>
        <w:tblW w:w="5000" w:type="pct"/>
        <w:tblCellMar>
          <w:left w:w="0" w:type="dxa"/>
          <w:right w:w="0" w:type="dxa"/>
        </w:tblCellMar>
        <w:tblLook w:val="0000" w:firstRow="0" w:lastRow="0" w:firstColumn="0" w:lastColumn="0" w:noHBand="0" w:noVBand="0"/>
      </w:tblPr>
      <w:tblGrid>
        <w:gridCol w:w="2411"/>
        <w:gridCol w:w="1842"/>
        <w:gridCol w:w="2341"/>
        <w:gridCol w:w="2195"/>
      </w:tblGrid>
      <w:tr w:rsidR="00D16F98" w:rsidTr="003F4CCD">
        <w:tc>
          <w:tcPr>
            <w:tcW w:w="1371" w:type="pct"/>
            <w:tcBorders>
              <w:top w:val="single" w:sz="4" w:space="0" w:color="auto"/>
            </w:tcBorders>
            <w:shd w:val="clear" w:color="auto" w:fill="E7ECCE"/>
          </w:tcPr>
          <w:p w:rsidR="00D16F98" w:rsidRDefault="00D16F98" w:rsidP="00B210D4">
            <w:pPr>
              <w:pStyle w:val="TableColumnHeading"/>
              <w:jc w:val="left"/>
            </w:pPr>
          </w:p>
        </w:tc>
        <w:tc>
          <w:tcPr>
            <w:tcW w:w="3629" w:type="pct"/>
            <w:gridSpan w:val="3"/>
            <w:tcBorders>
              <w:top w:val="single" w:sz="6" w:space="0" w:color="auto"/>
              <w:bottom w:val="single" w:sz="6" w:space="0" w:color="auto"/>
            </w:tcBorders>
            <w:shd w:val="clear" w:color="auto" w:fill="E7ECCE"/>
          </w:tcPr>
          <w:p w:rsidR="00D16F98" w:rsidRPr="004E0881" w:rsidRDefault="00D16F98" w:rsidP="00B210D4">
            <w:pPr>
              <w:pStyle w:val="TableColumnHeading"/>
              <w:ind w:right="28"/>
              <w:jc w:val="center"/>
            </w:pPr>
            <w:r w:rsidRPr="004E0881">
              <w:t>New Zealand 33% tax rate shareholder</w:t>
            </w:r>
          </w:p>
        </w:tc>
      </w:tr>
      <w:tr w:rsidR="00D16F98" w:rsidTr="003F4CCD">
        <w:tc>
          <w:tcPr>
            <w:tcW w:w="1371" w:type="pct"/>
            <w:shd w:val="clear" w:color="auto" w:fill="E7ECCE"/>
          </w:tcPr>
          <w:p w:rsidR="00D16F98" w:rsidRDefault="00D16F98" w:rsidP="00B210D4">
            <w:pPr>
              <w:pStyle w:val="TableUnitsRow"/>
              <w:jc w:val="left"/>
            </w:pPr>
          </w:p>
        </w:tc>
        <w:tc>
          <w:tcPr>
            <w:tcW w:w="3629" w:type="pct"/>
            <w:gridSpan w:val="3"/>
            <w:tcBorders>
              <w:top w:val="single" w:sz="6" w:space="0" w:color="auto"/>
              <w:bottom w:val="single" w:sz="4" w:space="0" w:color="auto"/>
            </w:tcBorders>
            <w:shd w:val="clear" w:color="auto" w:fill="E7ECCE"/>
          </w:tcPr>
          <w:p w:rsidR="00D16F98" w:rsidRPr="004E0881" w:rsidRDefault="00D16F98" w:rsidP="00B210D4">
            <w:pPr>
              <w:pStyle w:val="TableUnitsRow"/>
              <w:ind w:right="28"/>
              <w:jc w:val="center"/>
              <w:rPr>
                <w:i/>
              </w:rPr>
            </w:pPr>
            <w:r w:rsidRPr="004E0881">
              <w:rPr>
                <w:i/>
              </w:rPr>
              <w:t>Mutual recognition</w:t>
            </w:r>
          </w:p>
        </w:tc>
      </w:tr>
      <w:tr w:rsidR="00D16F98" w:rsidTr="003F4CCD">
        <w:tc>
          <w:tcPr>
            <w:tcW w:w="1371" w:type="pct"/>
            <w:tcBorders>
              <w:bottom w:val="single" w:sz="4" w:space="0" w:color="auto"/>
            </w:tcBorders>
            <w:shd w:val="clear" w:color="auto" w:fill="E7ECCE"/>
          </w:tcPr>
          <w:p w:rsidR="00D16F98" w:rsidRDefault="00D16F98" w:rsidP="00B210D4">
            <w:pPr>
              <w:pStyle w:val="TableBodyText"/>
              <w:jc w:val="left"/>
            </w:pPr>
          </w:p>
        </w:tc>
        <w:tc>
          <w:tcPr>
            <w:tcW w:w="1048" w:type="pct"/>
            <w:tcBorders>
              <w:top w:val="single" w:sz="4" w:space="0" w:color="auto"/>
              <w:bottom w:val="single" w:sz="4" w:space="0" w:color="auto"/>
            </w:tcBorders>
            <w:shd w:val="clear" w:color="auto" w:fill="E7ECCE"/>
          </w:tcPr>
          <w:p w:rsidR="00D16F98" w:rsidRPr="004E0881" w:rsidRDefault="00D16F98" w:rsidP="008568A0">
            <w:pPr>
              <w:pStyle w:val="TableBodyText"/>
              <w:spacing w:before="40"/>
              <w:rPr>
                <w:i/>
              </w:rPr>
            </w:pPr>
            <w:r w:rsidRPr="004E0881">
              <w:rPr>
                <w:i/>
              </w:rPr>
              <w:t>Nil</w:t>
            </w:r>
            <w:r w:rsidR="008568A0" w:rsidRPr="004E0881">
              <w:rPr>
                <w:i/>
              </w:rPr>
              <w:br/>
            </w:r>
            <w:r w:rsidRPr="004E0881">
              <w:rPr>
                <w:i/>
              </w:rPr>
              <w:t>$</w:t>
            </w:r>
          </w:p>
        </w:tc>
        <w:tc>
          <w:tcPr>
            <w:tcW w:w="1332" w:type="pct"/>
            <w:tcBorders>
              <w:top w:val="single" w:sz="4" w:space="0" w:color="auto"/>
              <w:bottom w:val="single" w:sz="4" w:space="0" w:color="auto"/>
            </w:tcBorders>
            <w:shd w:val="clear" w:color="auto" w:fill="E7ECCE"/>
          </w:tcPr>
          <w:p w:rsidR="00D16F98" w:rsidRPr="004E0881" w:rsidRDefault="00D16F98" w:rsidP="008568A0">
            <w:pPr>
              <w:pStyle w:val="TableBodyText"/>
              <w:spacing w:before="40"/>
              <w:rPr>
                <w:i/>
              </w:rPr>
            </w:pPr>
            <w:r w:rsidRPr="004E0881">
              <w:rPr>
                <w:i/>
              </w:rPr>
              <w:t>Triangular</w:t>
            </w:r>
            <w:r w:rsidR="008568A0" w:rsidRPr="004E0881">
              <w:rPr>
                <w:i/>
              </w:rPr>
              <w:br/>
            </w:r>
            <w:r w:rsidRPr="004E0881">
              <w:rPr>
                <w:i/>
              </w:rPr>
              <w:t>$</w:t>
            </w:r>
          </w:p>
        </w:tc>
        <w:tc>
          <w:tcPr>
            <w:tcW w:w="1249" w:type="pct"/>
            <w:tcBorders>
              <w:top w:val="single" w:sz="4" w:space="0" w:color="auto"/>
              <w:bottom w:val="single" w:sz="4" w:space="0" w:color="auto"/>
            </w:tcBorders>
            <w:shd w:val="clear" w:color="auto" w:fill="E7ECCE"/>
          </w:tcPr>
          <w:p w:rsidR="00D16F98" w:rsidRPr="004E0881" w:rsidRDefault="00D16F98" w:rsidP="008568A0">
            <w:pPr>
              <w:pStyle w:val="TableBodyText"/>
              <w:spacing w:before="40"/>
              <w:rPr>
                <w:i/>
              </w:rPr>
            </w:pPr>
            <w:r w:rsidRPr="004E0881">
              <w:rPr>
                <w:i/>
              </w:rPr>
              <w:t>Full</w:t>
            </w:r>
            <w:r w:rsidR="008568A0" w:rsidRPr="004E0881">
              <w:rPr>
                <w:i/>
              </w:rPr>
              <w:br/>
            </w:r>
            <w:r w:rsidRPr="004E0881">
              <w:rPr>
                <w:i/>
              </w:rPr>
              <w:t>$</w:t>
            </w:r>
          </w:p>
        </w:tc>
      </w:tr>
      <w:tr w:rsidR="00D16F98" w:rsidTr="003F4CCD">
        <w:tc>
          <w:tcPr>
            <w:tcW w:w="1371" w:type="pct"/>
            <w:tcBorders>
              <w:top w:val="single" w:sz="4" w:space="0" w:color="auto"/>
            </w:tcBorders>
            <w:shd w:val="clear" w:color="auto" w:fill="auto"/>
          </w:tcPr>
          <w:p w:rsidR="00D16F98" w:rsidRDefault="00D16F98" w:rsidP="003F4CCD">
            <w:pPr>
              <w:pStyle w:val="TableBodyText"/>
              <w:spacing w:before="80"/>
              <w:jc w:val="left"/>
            </w:pPr>
            <w:r>
              <w:t>Dividend</w:t>
            </w:r>
          </w:p>
        </w:tc>
        <w:tc>
          <w:tcPr>
            <w:tcW w:w="1048" w:type="pct"/>
            <w:tcBorders>
              <w:top w:val="single" w:sz="4" w:space="0" w:color="auto"/>
            </w:tcBorders>
            <w:shd w:val="clear" w:color="auto" w:fill="auto"/>
          </w:tcPr>
          <w:p w:rsidR="00D16F98" w:rsidRDefault="00D16F98" w:rsidP="003F4CCD">
            <w:pPr>
              <w:pStyle w:val="TableBodyText"/>
              <w:spacing w:before="80"/>
            </w:pPr>
            <w:r>
              <w:t>1 128</w:t>
            </w:r>
          </w:p>
        </w:tc>
        <w:tc>
          <w:tcPr>
            <w:tcW w:w="1332" w:type="pct"/>
            <w:tcBorders>
              <w:top w:val="single" w:sz="4" w:space="0" w:color="auto"/>
            </w:tcBorders>
            <w:shd w:val="clear" w:color="auto" w:fill="auto"/>
          </w:tcPr>
          <w:p w:rsidR="00D16F98" w:rsidRDefault="00D16F98" w:rsidP="003F4CCD">
            <w:pPr>
              <w:pStyle w:val="TableBodyText"/>
              <w:spacing w:before="80"/>
              <w:ind w:right="28"/>
            </w:pPr>
            <w:r>
              <w:t>1 128</w:t>
            </w:r>
          </w:p>
        </w:tc>
        <w:tc>
          <w:tcPr>
            <w:tcW w:w="1249" w:type="pct"/>
            <w:tcBorders>
              <w:top w:val="single" w:sz="4" w:space="0" w:color="auto"/>
            </w:tcBorders>
          </w:tcPr>
          <w:p w:rsidR="00D16F98" w:rsidRDefault="00D16F98" w:rsidP="003F4CCD">
            <w:pPr>
              <w:pStyle w:val="TableBodyText"/>
              <w:spacing w:before="80"/>
              <w:ind w:right="28"/>
            </w:pPr>
            <w:r>
              <w:t>1 128</w:t>
            </w:r>
          </w:p>
        </w:tc>
      </w:tr>
      <w:tr w:rsidR="00D16F98" w:rsidTr="003F4CCD">
        <w:tc>
          <w:tcPr>
            <w:tcW w:w="1371" w:type="pct"/>
            <w:shd w:val="clear" w:color="auto" w:fill="auto"/>
          </w:tcPr>
          <w:p w:rsidR="00D16F98" w:rsidRPr="00BA5D4F" w:rsidRDefault="00D16F98" w:rsidP="003F4CCD">
            <w:pPr>
              <w:pStyle w:val="TableBodyText"/>
              <w:spacing w:before="40"/>
              <w:jc w:val="left"/>
            </w:pPr>
            <w:r w:rsidRPr="00BA5D4F">
              <w:t>Company tax</w:t>
            </w:r>
            <w:r w:rsidR="00101DC4" w:rsidRPr="00BA5D4F">
              <w:t xml:space="preserve"> </w:t>
            </w:r>
            <w:r w:rsidR="00BA5D4F" w:rsidRPr="00BA5D4F">
              <w:t>attributable to NZ shareholder</w:t>
            </w:r>
          </w:p>
        </w:tc>
        <w:tc>
          <w:tcPr>
            <w:tcW w:w="1048" w:type="pct"/>
            <w:shd w:val="clear" w:color="auto" w:fill="auto"/>
          </w:tcPr>
          <w:p w:rsidR="00BA5D4F" w:rsidRPr="00BA5D4F" w:rsidRDefault="00BA5D4F" w:rsidP="003F4CCD">
            <w:pPr>
              <w:pStyle w:val="TableBodyText"/>
              <w:spacing w:before="40"/>
            </w:pPr>
            <w:r w:rsidRPr="00BA5D4F">
              <w:t>472</w:t>
            </w:r>
            <w:r w:rsidR="003F4CCD">
              <w:br/>
            </w:r>
            <w:r w:rsidRPr="00BA5D4F">
              <w:t>[40% of 1 180]</w:t>
            </w:r>
          </w:p>
        </w:tc>
        <w:tc>
          <w:tcPr>
            <w:tcW w:w="1332" w:type="pct"/>
            <w:shd w:val="clear" w:color="auto" w:fill="auto"/>
          </w:tcPr>
          <w:p w:rsidR="00BA5D4F" w:rsidRPr="00BA5D4F" w:rsidRDefault="00BA5D4F" w:rsidP="003F4CCD">
            <w:pPr>
              <w:pStyle w:val="TableBodyText"/>
              <w:spacing w:before="40"/>
            </w:pPr>
            <w:r w:rsidRPr="00BA5D4F">
              <w:t>472</w:t>
            </w:r>
            <w:r w:rsidR="003F4CCD">
              <w:br/>
            </w:r>
            <w:r w:rsidRPr="00BA5D4F">
              <w:t>[40% of 1 180]</w:t>
            </w:r>
          </w:p>
        </w:tc>
        <w:tc>
          <w:tcPr>
            <w:tcW w:w="1249" w:type="pct"/>
          </w:tcPr>
          <w:p w:rsidR="00BA5D4F" w:rsidRPr="00BA5D4F" w:rsidRDefault="00BA5D4F" w:rsidP="003F4CCD">
            <w:pPr>
              <w:pStyle w:val="TableBodyText"/>
              <w:spacing w:before="40"/>
            </w:pPr>
            <w:r w:rsidRPr="00BA5D4F">
              <w:t>472</w:t>
            </w:r>
            <w:r w:rsidR="003F4CCD">
              <w:br/>
            </w:r>
            <w:r w:rsidRPr="00BA5D4F">
              <w:t>[40% of 1180]</w:t>
            </w:r>
          </w:p>
        </w:tc>
      </w:tr>
      <w:tr w:rsidR="00D16F98" w:rsidTr="003F4CCD">
        <w:tc>
          <w:tcPr>
            <w:tcW w:w="1371" w:type="pct"/>
            <w:shd w:val="clear" w:color="auto" w:fill="auto"/>
          </w:tcPr>
          <w:p w:rsidR="00D16F98" w:rsidRPr="00BA5D4F" w:rsidRDefault="00D16F98" w:rsidP="00B210D4">
            <w:pPr>
              <w:pStyle w:val="TableBodyText"/>
              <w:jc w:val="left"/>
            </w:pPr>
            <w:r w:rsidRPr="00BA5D4F">
              <w:t>Imputation credit</w:t>
            </w:r>
          </w:p>
        </w:tc>
        <w:tc>
          <w:tcPr>
            <w:tcW w:w="1048" w:type="pct"/>
            <w:shd w:val="clear" w:color="auto" w:fill="auto"/>
          </w:tcPr>
          <w:p w:rsidR="00D16F98" w:rsidRPr="00BA5D4F" w:rsidRDefault="0064305C" w:rsidP="00B210D4">
            <w:pPr>
              <w:pStyle w:val="TableBodyText"/>
            </w:pPr>
            <w:r w:rsidRPr="00BA5D4F">
              <w:t>0</w:t>
            </w:r>
          </w:p>
        </w:tc>
        <w:tc>
          <w:tcPr>
            <w:tcW w:w="1332" w:type="pct"/>
            <w:shd w:val="clear" w:color="auto" w:fill="auto"/>
          </w:tcPr>
          <w:p w:rsidR="00D16F98" w:rsidRPr="00BA5D4F" w:rsidRDefault="00BA5D4F" w:rsidP="003F4CCD">
            <w:pPr>
              <w:pStyle w:val="TableBodyText"/>
              <w:ind w:right="28"/>
            </w:pPr>
            <w:r w:rsidRPr="00BA5D4F">
              <w:t>112</w:t>
            </w:r>
            <w:r w:rsidR="003F4CCD">
              <w:br/>
            </w:r>
            <w:r w:rsidR="00D16F98" w:rsidRPr="00BA5D4F">
              <w:t>[40% of $280]</w:t>
            </w:r>
          </w:p>
        </w:tc>
        <w:tc>
          <w:tcPr>
            <w:tcW w:w="1249" w:type="pct"/>
          </w:tcPr>
          <w:p w:rsidR="00D16F98" w:rsidRPr="00BA5D4F" w:rsidRDefault="00BA5D4F" w:rsidP="003F4CCD">
            <w:pPr>
              <w:pStyle w:val="TableBodyText"/>
              <w:ind w:right="28"/>
            </w:pPr>
            <w:r w:rsidRPr="00BA5D4F">
              <w:t>472</w:t>
            </w:r>
            <w:r w:rsidR="003F4CCD">
              <w:br/>
            </w:r>
            <w:r w:rsidR="00D16F98" w:rsidRPr="00BA5D4F">
              <w:t>[40% of $1 180]</w:t>
            </w:r>
          </w:p>
        </w:tc>
      </w:tr>
      <w:tr w:rsidR="00D16F98" w:rsidTr="003F4CCD">
        <w:tc>
          <w:tcPr>
            <w:tcW w:w="1371" w:type="pct"/>
            <w:shd w:val="clear" w:color="auto" w:fill="auto"/>
          </w:tcPr>
          <w:p w:rsidR="00D16F98" w:rsidRDefault="00D16F98" w:rsidP="00B210D4">
            <w:pPr>
              <w:pStyle w:val="TableBodyText"/>
              <w:jc w:val="left"/>
            </w:pPr>
            <w:r>
              <w:t>Shareholder tax</w:t>
            </w:r>
          </w:p>
        </w:tc>
        <w:tc>
          <w:tcPr>
            <w:tcW w:w="1048" w:type="pct"/>
            <w:shd w:val="clear" w:color="auto" w:fill="auto"/>
          </w:tcPr>
          <w:p w:rsidR="00D16F98" w:rsidRDefault="00D16F98" w:rsidP="00B210D4">
            <w:pPr>
              <w:pStyle w:val="TableBodyText"/>
            </w:pPr>
            <w:r>
              <w:t>372</w:t>
            </w:r>
            <w:r w:rsidR="003F4CCD">
              <w:br/>
              <w:t>[33% of $1 128]</w:t>
            </w:r>
          </w:p>
        </w:tc>
        <w:tc>
          <w:tcPr>
            <w:tcW w:w="1332" w:type="pct"/>
            <w:shd w:val="clear" w:color="auto" w:fill="auto"/>
          </w:tcPr>
          <w:p w:rsidR="00D16F98" w:rsidRDefault="00D16F98" w:rsidP="003F4CCD">
            <w:pPr>
              <w:pStyle w:val="TableBodyText"/>
              <w:ind w:right="28"/>
            </w:pPr>
            <w:r>
              <w:t>409</w:t>
            </w:r>
            <w:r w:rsidR="003F4CCD">
              <w:br/>
              <w:t xml:space="preserve">[33% of </w:t>
            </w:r>
            <w:r w:rsidR="003F4CCD" w:rsidRPr="002341BA">
              <w:t>($1</w:t>
            </w:r>
            <w:r w:rsidR="003F4CCD">
              <w:t> </w:t>
            </w:r>
            <w:r w:rsidR="003F4CCD" w:rsidRPr="002341BA">
              <w:t>128+$472)]</w:t>
            </w:r>
          </w:p>
        </w:tc>
        <w:tc>
          <w:tcPr>
            <w:tcW w:w="1249" w:type="pct"/>
          </w:tcPr>
          <w:p w:rsidR="00D16F98" w:rsidRDefault="00D16F98" w:rsidP="00B210D4">
            <w:pPr>
              <w:pStyle w:val="TableBodyText"/>
              <w:ind w:right="28"/>
            </w:pPr>
            <w:r>
              <w:t>528</w:t>
            </w:r>
            <w:r w:rsidR="003F4CCD">
              <w:br/>
              <w:t xml:space="preserve">[33% of </w:t>
            </w:r>
            <w:r w:rsidR="003F4CCD" w:rsidRPr="002341BA">
              <w:t>($1</w:t>
            </w:r>
            <w:r w:rsidR="003F4CCD">
              <w:t> </w:t>
            </w:r>
            <w:r w:rsidR="003F4CCD" w:rsidRPr="002341BA">
              <w:t>128+$472)]</w:t>
            </w:r>
          </w:p>
        </w:tc>
      </w:tr>
      <w:tr w:rsidR="00D16F98" w:rsidTr="003F4CCD">
        <w:tc>
          <w:tcPr>
            <w:tcW w:w="1371" w:type="pct"/>
            <w:shd w:val="clear" w:color="auto" w:fill="auto"/>
          </w:tcPr>
          <w:p w:rsidR="00D16F98" w:rsidRDefault="00D16F98" w:rsidP="00B210D4">
            <w:pPr>
              <w:pStyle w:val="TableBodyText"/>
              <w:jc w:val="left"/>
            </w:pPr>
          </w:p>
        </w:tc>
        <w:tc>
          <w:tcPr>
            <w:tcW w:w="1048" w:type="pct"/>
            <w:shd w:val="clear" w:color="auto" w:fill="auto"/>
          </w:tcPr>
          <w:p w:rsidR="00D16F98" w:rsidRDefault="00D16F98" w:rsidP="00B210D4">
            <w:pPr>
              <w:pStyle w:val="TableBodyText"/>
            </w:pPr>
          </w:p>
        </w:tc>
        <w:tc>
          <w:tcPr>
            <w:tcW w:w="1332" w:type="pct"/>
            <w:shd w:val="clear" w:color="auto" w:fill="auto"/>
          </w:tcPr>
          <w:p w:rsidR="00D16F98" w:rsidRDefault="00D16F98" w:rsidP="00B210D4">
            <w:pPr>
              <w:pStyle w:val="TableBodyText"/>
              <w:ind w:right="28"/>
            </w:pPr>
          </w:p>
        </w:tc>
        <w:tc>
          <w:tcPr>
            <w:tcW w:w="1249" w:type="pct"/>
          </w:tcPr>
          <w:p w:rsidR="00D16F98" w:rsidRDefault="00D16F98" w:rsidP="00B210D4">
            <w:pPr>
              <w:pStyle w:val="TableBodyText"/>
              <w:ind w:right="28"/>
            </w:pPr>
          </w:p>
        </w:tc>
      </w:tr>
      <w:tr w:rsidR="00D16F98" w:rsidTr="003F4CCD">
        <w:tc>
          <w:tcPr>
            <w:tcW w:w="1371" w:type="pct"/>
            <w:shd w:val="clear" w:color="auto" w:fill="auto"/>
          </w:tcPr>
          <w:p w:rsidR="00D16F98" w:rsidRDefault="00D16F98" w:rsidP="00B210D4">
            <w:pPr>
              <w:pStyle w:val="TableBodyText"/>
              <w:jc w:val="left"/>
            </w:pPr>
            <w:r>
              <w:t>Less imputation credit</w:t>
            </w:r>
          </w:p>
        </w:tc>
        <w:tc>
          <w:tcPr>
            <w:tcW w:w="1048" w:type="pct"/>
            <w:shd w:val="clear" w:color="auto" w:fill="auto"/>
          </w:tcPr>
          <w:p w:rsidR="00D16F98" w:rsidRDefault="00D16F98" w:rsidP="00B210D4">
            <w:pPr>
              <w:pStyle w:val="TableBodyText"/>
            </w:pPr>
            <w:r>
              <w:t>0</w:t>
            </w:r>
          </w:p>
        </w:tc>
        <w:tc>
          <w:tcPr>
            <w:tcW w:w="1332" w:type="pct"/>
            <w:shd w:val="clear" w:color="auto" w:fill="auto"/>
          </w:tcPr>
          <w:p w:rsidR="00D16F98" w:rsidRPr="002341BA" w:rsidRDefault="00D16F98" w:rsidP="00B210D4">
            <w:pPr>
              <w:pStyle w:val="TableBodyText"/>
              <w:ind w:right="28"/>
            </w:pPr>
            <w:r>
              <w:t>112</w:t>
            </w:r>
          </w:p>
        </w:tc>
        <w:tc>
          <w:tcPr>
            <w:tcW w:w="1249" w:type="pct"/>
          </w:tcPr>
          <w:p w:rsidR="00D16F98" w:rsidRPr="002341BA" w:rsidRDefault="00D16F98" w:rsidP="00B210D4">
            <w:pPr>
              <w:pStyle w:val="TableBodyText"/>
              <w:ind w:right="28"/>
            </w:pPr>
            <w:r>
              <w:t>472</w:t>
            </w:r>
          </w:p>
        </w:tc>
      </w:tr>
      <w:tr w:rsidR="00D16F98" w:rsidTr="003F4CCD">
        <w:tc>
          <w:tcPr>
            <w:tcW w:w="1371" w:type="pct"/>
            <w:shd w:val="clear" w:color="auto" w:fill="auto"/>
          </w:tcPr>
          <w:p w:rsidR="00D16F98" w:rsidRDefault="00D16F98" w:rsidP="00B210D4">
            <w:pPr>
              <w:pStyle w:val="TableBodyText"/>
              <w:jc w:val="left"/>
            </w:pPr>
            <w:r>
              <w:t>Net shareholder tax</w:t>
            </w:r>
          </w:p>
        </w:tc>
        <w:tc>
          <w:tcPr>
            <w:tcW w:w="1048" w:type="pct"/>
            <w:shd w:val="clear" w:color="auto" w:fill="auto"/>
          </w:tcPr>
          <w:p w:rsidR="00D16F98" w:rsidRDefault="00D16F98" w:rsidP="00B210D4">
            <w:pPr>
              <w:pStyle w:val="TableBodyText"/>
            </w:pPr>
            <w:r>
              <w:t>372</w:t>
            </w:r>
          </w:p>
        </w:tc>
        <w:tc>
          <w:tcPr>
            <w:tcW w:w="1332" w:type="pct"/>
            <w:shd w:val="clear" w:color="auto" w:fill="auto"/>
          </w:tcPr>
          <w:p w:rsidR="00D16F98" w:rsidRDefault="00D16F98" w:rsidP="00B210D4">
            <w:pPr>
              <w:pStyle w:val="TableBodyText"/>
              <w:ind w:right="28"/>
            </w:pPr>
            <w:r>
              <w:t>297</w:t>
            </w:r>
          </w:p>
        </w:tc>
        <w:tc>
          <w:tcPr>
            <w:tcW w:w="1249" w:type="pct"/>
          </w:tcPr>
          <w:p w:rsidR="00D16F98" w:rsidRDefault="00D16F98" w:rsidP="00B210D4">
            <w:pPr>
              <w:pStyle w:val="TableBodyText"/>
              <w:ind w:right="28"/>
            </w:pPr>
            <w:r>
              <w:t>56</w:t>
            </w:r>
          </w:p>
        </w:tc>
      </w:tr>
      <w:tr w:rsidR="00D16F98" w:rsidTr="003F4CCD">
        <w:tc>
          <w:tcPr>
            <w:tcW w:w="1371" w:type="pct"/>
            <w:shd w:val="clear" w:color="auto" w:fill="auto"/>
          </w:tcPr>
          <w:p w:rsidR="00D16F98" w:rsidRDefault="00D16F98" w:rsidP="003F4CCD">
            <w:pPr>
              <w:pStyle w:val="TableBodyText"/>
              <w:spacing w:before="80"/>
              <w:jc w:val="left"/>
            </w:pPr>
            <w:r>
              <w:t>Total tax</w:t>
            </w:r>
          </w:p>
        </w:tc>
        <w:tc>
          <w:tcPr>
            <w:tcW w:w="1048" w:type="pct"/>
            <w:shd w:val="clear" w:color="auto" w:fill="auto"/>
          </w:tcPr>
          <w:p w:rsidR="00D16F98" w:rsidRDefault="00D16F98" w:rsidP="003F4CCD">
            <w:pPr>
              <w:pStyle w:val="TableBodyText"/>
              <w:spacing w:before="80"/>
            </w:pPr>
            <w:r>
              <w:t>844</w:t>
            </w:r>
          </w:p>
        </w:tc>
        <w:tc>
          <w:tcPr>
            <w:tcW w:w="1332" w:type="pct"/>
            <w:shd w:val="clear" w:color="auto" w:fill="auto"/>
          </w:tcPr>
          <w:p w:rsidR="00D16F98" w:rsidRDefault="00D16F98" w:rsidP="003F4CCD">
            <w:pPr>
              <w:pStyle w:val="TableBodyText"/>
              <w:spacing w:before="80"/>
              <w:ind w:right="28"/>
            </w:pPr>
            <w:r>
              <w:t>769</w:t>
            </w:r>
          </w:p>
        </w:tc>
        <w:tc>
          <w:tcPr>
            <w:tcW w:w="1249" w:type="pct"/>
          </w:tcPr>
          <w:p w:rsidR="00D16F98" w:rsidRDefault="00D16F98" w:rsidP="003F4CCD">
            <w:pPr>
              <w:pStyle w:val="TableBodyText"/>
              <w:spacing w:before="80"/>
              <w:ind w:right="28"/>
            </w:pPr>
            <w:r>
              <w:t>528</w:t>
            </w:r>
          </w:p>
        </w:tc>
      </w:tr>
      <w:tr w:rsidR="00D16F98" w:rsidTr="003F4CCD">
        <w:tc>
          <w:tcPr>
            <w:tcW w:w="1371" w:type="pct"/>
            <w:shd w:val="clear" w:color="auto" w:fill="auto"/>
          </w:tcPr>
          <w:p w:rsidR="00D16F98" w:rsidRDefault="00D16F98" w:rsidP="00D16F98">
            <w:pPr>
              <w:pStyle w:val="TableBodyText"/>
              <w:ind w:left="284"/>
              <w:jc w:val="left"/>
            </w:pPr>
            <w:r>
              <w:t>Company</w:t>
            </w:r>
          </w:p>
        </w:tc>
        <w:tc>
          <w:tcPr>
            <w:tcW w:w="1048" w:type="pct"/>
            <w:shd w:val="clear" w:color="auto" w:fill="auto"/>
          </w:tcPr>
          <w:p w:rsidR="00D16F98" w:rsidRDefault="00D16F98" w:rsidP="00B210D4">
            <w:pPr>
              <w:pStyle w:val="TableBodyText"/>
            </w:pPr>
            <w:r>
              <w:t>472</w:t>
            </w:r>
          </w:p>
        </w:tc>
        <w:tc>
          <w:tcPr>
            <w:tcW w:w="1332" w:type="pct"/>
            <w:shd w:val="clear" w:color="auto" w:fill="auto"/>
          </w:tcPr>
          <w:p w:rsidR="00D16F98" w:rsidRDefault="00D16F98" w:rsidP="00B210D4">
            <w:pPr>
              <w:pStyle w:val="TableBodyText"/>
              <w:ind w:right="28"/>
            </w:pPr>
            <w:r>
              <w:t>472</w:t>
            </w:r>
          </w:p>
        </w:tc>
        <w:tc>
          <w:tcPr>
            <w:tcW w:w="1249" w:type="pct"/>
          </w:tcPr>
          <w:p w:rsidR="00D16F98" w:rsidRDefault="00D16F98" w:rsidP="00B210D4">
            <w:pPr>
              <w:pStyle w:val="TableBodyText"/>
              <w:ind w:right="28"/>
            </w:pPr>
            <w:r>
              <w:t>472</w:t>
            </w:r>
          </w:p>
        </w:tc>
      </w:tr>
      <w:tr w:rsidR="00D16F98" w:rsidTr="003F4CCD">
        <w:tc>
          <w:tcPr>
            <w:tcW w:w="1371" w:type="pct"/>
            <w:shd w:val="clear" w:color="auto" w:fill="auto"/>
          </w:tcPr>
          <w:p w:rsidR="00D16F98" w:rsidRDefault="00D16F98" w:rsidP="00D16F98">
            <w:pPr>
              <w:pStyle w:val="TableBodyText"/>
              <w:ind w:left="284"/>
              <w:jc w:val="left"/>
            </w:pPr>
            <w:r>
              <w:t>Personal</w:t>
            </w:r>
          </w:p>
        </w:tc>
        <w:tc>
          <w:tcPr>
            <w:tcW w:w="1048" w:type="pct"/>
            <w:shd w:val="clear" w:color="auto" w:fill="auto"/>
          </w:tcPr>
          <w:p w:rsidR="00D16F98" w:rsidRDefault="00D16F98" w:rsidP="00B210D4">
            <w:pPr>
              <w:pStyle w:val="TableBodyText"/>
            </w:pPr>
            <w:r>
              <w:t>372</w:t>
            </w:r>
          </w:p>
        </w:tc>
        <w:tc>
          <w:tcPr>
            <w:tcW w:w="1332" w:type="pct"/>
            <w:shd w:val="clear" w:color="auto" w:fill="auto"/>
          </w:tcPr>
          <w:p w:rsidR="00D16F98" w:rsidRDefault="00D16F98" w:rsidP="00B210D4">
            <w:pPr>
              <w:pStyle w:val="TableBodyText"/>
              <w:ind w:right="28"/>
            </w:pPr>
            <w:r>
              <w:t>297</w:t>
            </w:r>
          </w:p>
        </w:tc>
        <w:tc>
          <w:tcPr>
            <w:tcW w:w="1249" w:type="pct"/>
          </w:tcPr>
          <w:p w:rsidR="00D16F98" w:rsidRDefault="00D16F98" w:rsidP="00B210D4">
            <w:pPr>
              <w:pStyle w:val="TableBodyText"/>
              <w:ind w:right="28"/>
            </w:pPr>
            <w:r>
              <w:t>56</w:t>
            </w:r>
          </w:p>
        </w:tc>
      </w:tr>
      <w:tr w:rsidR="00D16F98" w:rsidTr="003F4CCD">
        <w:tc>
          <w:tcPr>
            <w:tcW w:w="1371" w:type="pct"/>
            <w:tcBorders>
              <w:bottom w:val="single" w:sz="6" w:space="0" w:color="auto"/>
            </w:tcBorders>
            <w:shd w:val="clear" w:color="auto" w:fill="auto"/>
          </w:tcPr>
          <w:p w:rsidR="00D16F98" w:rsidRDefault="00D16F98" w:rsidP="00B210D4">
            <w:pPr>
              <w:pStyle w:val="TableBodyText"/>
              <w:jc w:val="left"/>
            </w:pPr>
            <w:r>
              <w:t>Effective rate</w:t>
            </w:r>
          </w:p>
        </w:tc>
        <w:tc>
          <w:tcPr>
            <w:tcW w:w="1048" w:type="pct"/>
            <w:tcBorders>
              <w:bottom w:val="single" w:sz="6" w:space="0" w:color="auto"/>
            </w:tcBorders>
            <w:shd w:val="clear" w:color="auto" w:fill="auto"/>
          </w:tcPr>
          <w:p w:rsidR="00D16F98" w:rsidRDefault="00D16F98" w:rsidP="00B210D4">
            <w:pPr>
              <w:pStyle w:val="TableBodyText"/>
            </w:pPr>
            <w:r>
              <w:t>53%</w:t>
            </w:r>
          </w:p>
        </w:tc>
        <w:tc>
          <w:tcPr>
            <w:tcW w:w="1332" w:type="pct"/>
            <w:tcBorders>
              <w:bottom w:val="single" w:sz="6" w:space="0" w:color="auto"/>
            </w:tcBorders>
            <w:shd w:val="clear" w:color="auto" w:fill="auto"/>
          </w:tcPr>
          <w:p w:rsidR="00D16F98" w:rsidRDefault="00D16F98" w:rsidP="00B210D4">
            <w:pPr>
              <w:pStyle w:val="TableBodyText"/>
              <w:ind w:right="28"/>
            </w:pPr>
            <w:r>
              <w:t>48%</w:t>
            </w:r>
          </w:p>
        </w:tc>
        <w:tc>
          <w:tcPr>
            <w:tcW w:w="1249" w:type="pct"/>
            <w:tcBorders>
              <w:bottom w:val="single" w:sz="6" w:space="0" w:color="auto"/>
            </w:tcBorders>
          </w:tcPr>
          <w:p w:rsidR="00D16F98" w:rsidRDefault="00D16F98" w:rsidP="00B210D4">
            <w:pPr>
              <w:pStyle w:val="TableBodyText"/>
              <w:ind w:right="28"/>
            </w:pPr>
            <w:r>
              <w:t>33%</w:t>
            </w:r>
          </w:p>
        </w:tc>
      </w:tr>
    </w:tbl>
    <w:p w:rsidR="00D16F98" w:rsidRPr="00D62E2D" w:rsidRDefault="00D16F98" w:rsidP="00D62E2D">
      <w:pPr>
        <w:pStyle w:val="BodyText"/>
      </w:pPr>
      <w:r w:rsidRPr="00D62E2D">
        <w:br w:type="page"/>
      </w:r>
    </w:p>
    <w:p w:rsidR="00D16F98" w:rsidRDefault="00D16F98" w:rsidP="00D16F98">
      <w:pPr>
        <w:pStyle w:val="Heading2"/>
      </w:pPr>
      <w:r>
        <w:lastRenderedPageBreak/>
        <w:t xml:space="preserve">Appendix </w:t>
      </w:r>
      <w:proofErr w:type="spellStart"/>
      <w:r w:rsidR="00E60985">
        <w:t>F.2</w:t>
      </w:r>
      <w:proofErr w:type="spellEnd"/>
      <w:r>
        <w:t>: Estimates of revenue costs</w:t>
      </w:r>
    </w:p>
    <w:p w:rsidR="00D16F98" w:rsidRDefault="00D16F98" w:rsidP="00D16F98">
      <w:pPr>
        <w:pStyle w:val="BodyText"/>
      </w:pPr>
      <w:r>
        <w:t xml:space="preserve">This appendix provides some New Zealand Inland Revenue Department estimates of the fiscal cost to New Zealand and Australia, respectively, should </w:t>
      </w:r>
      <w:proofErr w:type="spellStart"/>
      <w:r>
        <w:t>MRIC</w:t>
      </w:r>
      <w:proofErr w:type="spellEnd"/>
      <w:r>
        <w:t xml:space="preserve"> proceed (</w:t>
      </w:r>
      <w:r w:rsidR="00AA010D">
        <w:t>t</w:t>
      </w:r>
      <w:r>
        <w:t xml:space="preserve">ables </w:t>
      </w:r>
      <w:proofErr w:type="spellStart"/>
      <w:r w:rsidR="009E4041">
        <w:t>F.7</w:t>
      </w:r>
      <w:proofErr w:type="spellEnd"/>
      <w:r>
        <w:t xml:space="preserve"> and </w:t>
      </w:r>
      <w:proofErr w:type="spellStart"/>
      <w:r w:rsidR="009E4041">
        <w:t>F.8</w:t>
      </w:r>
      <w:proofErr w:type="spellEnd"/>
      <w:r>
        <w:t xml:space="preserve">). These are static estimates that do not take account of ‘second-round’ effects stemming from how investment, and hence company tax on the income it generates, could </w:t>
      </w:r>
      <w:r w:rsidR="00310BF3">
        <w:t xml:space="preserve">shift </w:t>
      </w:r>
      <w:r>
        <w:t>between the two countries. The latter effects, including on the fiscal costs</w:t>
      </w:r>
      <w:r w:rsidR="005F4ED5">
        <w:t>,</w:t>
      </w:r>
      <w:r>
        <w:t xml:space="preserve"> are however, taken into account and reflected in the modelling results summarised in section</w:t>
      </w:r>
      <w:r w:rsidR="00310BF3">
        <w:t xml:space="preserve"> </w:t>
      </w:r>
      <w:proofErr w:type="spellStart"/>
      <w:r w:rsidR="00310BF3">
        <w:t>F.3</w:t>
      </w:r>
      <w:proofErr w:type="spellEnd"/>
      <w:r>
        <w:t xml:space="preserve"> of this paper</w:t>
      </w:r>
      <w:r w:rsidR="00310BF3">
        <w:t>.</w:t>
      </w:r>
    </w:p>
    <w:p w:rsidR="00D16F98" w:rsidRDefault="00D16F98" w:rsidP="00D16F98">
      <w:pPr>
        <w:pStyle w:val="BodyText"/>
      </w:pPr>
      <w:r>
        <w:t>The estimates</w:t>
      </w:r>
      <w:r w:rsidR="00D62E2D">
        <w:t xml:space="preserve"> shown are based on:</w:t>
      </w:r>
    </w:p>
    <w:p w:rsidR="00D16F98" w:rsidRDefault="00D16F98" w:rsidP="00D16F98">
      <w:pPr>
        <w:pStyle w:val="ListBullet"/>
      </w:pPr>
      <w:r>
        <w:t>Statistical data sourced from the Australian Bureau of Statistics and Statistics New Zealand on:</w:t>
      </w:r>
    </w:p>
    <w:p w:rsidR="00D16F98" w:rsidRDefault="00D16F98" w:rsidP="00D16F98">
      <w:pPr>
        <w:pStyle w:val="ListBullet2"/>
      </w:pPr>
      <w:r>
        <w:t>the stock of equity investment of each country in the other</w:t>
      </w:r>
    </w:p>
    <w:p w:rsidR="00D16F98" w:rsidRDefault="00D16F98" w:rsidP="00D16F98">
      <w:pPr>
        <w:pStyle w:val="ListBullet2"/>
      </w:pPr>
      <w:r>
        <w:t xml:space="preserve">dividends paid on portfolio investment, and earnings on </w:t>
      </w:r>
      <w:proofErr w:type="spellStart"/>
      <w:r>
        <w:t>FDI</w:t>
      </w:r>
      <w:proofErr w:type="spellEnd"/>
      <w:r>
        <w:t>.</w:t>
      </w:r>
    </w:p>
    <w:p w:rsidR="00D16F98" w:rsidRDefault="00D16F98" w:rsidP="00D16F98">
      <w:pPr>
        <w:pStyle w:val="ListBullet"/>
      </w:pPr>
      <w:r>
        <w:t>Assumptions as to:</w:t>
      </w:r>
    </w:p>
    <w:p w:rsidR="00D16F98" w:rsidRDefault="00D16F98" w:rsidP="00D16F98">
      <w:pPr>
        <w:pStyle w:val="ListBullet2"/>
      </w:pPr>
      <w:r>
        <w:t xml:space="preserve">the proportion of </w:t>
      </w:r>
      <w:proofErr w:type="spellStart"/>
      <w:r>
        <w:t>FDI</w:t>
      </w:r>
      <w:proofErr w:type="spellEnd"/>
      <w:r>
        <w:t xml:space="preserve"> earnings distributed to ultimate shareholders who can claim imputation credits (note that the relevant distributions are those to ultimate shareholders, not intra-group distributions from a subsidiary in one country to a parent in the other).</w:t>
      </w:r>
    </w:p>
    <w:p w:rsidR="00D16F98" w:rsidRDefault="00D16F98" w:rsidP="00D16F98">
      <w:pPr>
        <w:pStyle w:val="ListBullet2"/>
      </w:pPr>
      <w:r>
        <w:t>the domestic tax rates applicable to the underlying shareholders in their country of residence.</w:t>
      </w:r>
    </w:p>
    <w:p w:rsidR="00D16F98" w:rsidRDefault="00D16F98" w:rsidP="00D16F98">
      <w:pPr>
        <w:pStyle w:val="BodyText"/>
      </w:pPr>
      <w:r>
        <w:t xml:space="preserve">Direct data on the proportions of </w:t>
      </w:r>
      <w:proofErr w:type="spellStart"/>
      <w:r>
        <w:t>FDI</w:t>
      </w:r>
      <w:proofErr w:type="spellEnd"/>
      <w:r>
        <w:t xml:space="preserve"> earnings that </w:t>
      </w:r>
      <w:r w:rsidRPr="00BF23E2">
        <w:rPr>
          <w:i/>
        </w:rPr>
        <w:t>currently</w:t>
      </w:r>
      <w:r>
        <w:t xml:space="preserve"> are distributed to ultimate shareholders are not available. Hence </w:t>
      </w:r>
      <w:r w:rsidR="009E4041">
        <w:t>there is a</w:t>
      </w:r>
      <w:r>
        <w:t xml:space="preserve"> need to make assumptions on th</w:t>
      </w:r>
      <w:r w:rsidR="00310BF3">
        <w:t xml:space="preserve">is </w:t>
      </w:r>
      <w:r>
        <w:t>parameter</w:t>
      </w:r>
      <w:r w:rsidR="00310BF3">
        <w:t>.</w:t>
      </w:r>
      <w:r>
        <w:t xml:space="preserve"> Given </w:t>
      </w:r>
      <w:r w:rsidR="00310BF3">
        <w:t xml:space="preserve">the </w:t>
      </w:r>
      <w:r>
        <w:t>uncertainties</w:t>
      </w:r>
      <w:r w:rsidR="00310BF3">
        <w:t>,</w:t>
      </w:r>
      <w:r>
        <w:t xml:space="preserve"> a range of estimates is shown.</w:t>
      </w:r>
      <w:r>
        <w:rPr>
          <w:rStyle w:val="FootnoteReference"/>
        </w:rPr>
        <w:footnoteReference w:id="6"/>
      </w:r>
      <w:r w:rsidR="00310BF3">
        <w:t xml:space="preserve"> </w:t>
      </w:r>
      <w:r>
        <w:t xml:space="preserve">In addition to the ‘base’ results, an indication is given of the possible revenue effects of changes in distribution policies that could be induced by </w:t>
      </w:r>
      <w:proofErr w:type="spellStart"/>
      <w:r>
        <w:t>MRIC</w:t>
      </w:r>
      <w:proofErr w:type="spellEnd"/>
      <w:r>
        <w:t>. There are two elements to this.</w:t>
      </w:r>
    </w:p>
    <w:p w:rsidR="00D16F98" w:rsidRDefault="00D16F98" w:rsidP="00D16F98">
      <w:pPr>
        <w:pStyle w:val="BodyText"/>
      </w:pPr>
      <w:r>
        <w:t xml:space="preserve">First, the estimates show by how much the fiscal cost of recognising trans-Tasman imputation credits could change if </w:t>
      </w:r>
      <w:proofErr w:type="spellStart"/>
      <w:r>
        <w:t>MRIC</w:t>
      </w:r>
      <w:proofErr w:type="spellEnd"/>
      <w:r>
        <w:t xml:space="preserve"> w</w:t>
      </w:r>
      <w:r w:rsidR="00433006">
        <w:t>ere</w:t>
      </w:r>
      <w:r>
        <w:t xml:space="preserve"> to cause </w:t>
      </w:r>
      <w:proofErr w:type="spellStart"/>
      <w:r>
        <w:t>FDI</w:t>
      </w:r>
      <w:proofErr w:type="spellEnd"/>
      <w:r>
        <w:t xml:space="preserve"> companies</w:t>
      </w:r>
      <w:r w:rsidRPr="007827AB">
        <w:rPr>
          <w:rStyle w:val="FootnoteReference"/>
          <w:rFonts w:cs="Arial"/>
          <w:szCs w:val="24"/>
        </w:rPr>
        <w:footnoteReference w:id="7"/>
      </w:r>
      <w:r>
        <w:t xml:space="preserve"> to alter </w:t>
      </w:r>
      <w:r>
        <w:lastRenderedPageBreak/>
        <w:t>their dividend distribution policies. The results, however, are comparatively insensitive to this factor.</w:t>
      </w:r>
      <w:r w:rsidRPr="007827AB">
        <w:rPr>
          <w:rStyle w:val="FootnoteReference"/>
          <w:rFonts w:cs="Arial"/>
          <w:szCs w:val="24"/>
        </w:rPr>
        <w:footnoteReference w:id="8"/>
      </w:r>
      <w:r>
        <w:t xml:space="preserve"> T</w:t>
      </w:r>
      <w:r w:rsidR="00702B5A">
        <w:t>his is because</w:t>
      </w:r>
      <w:r>
        <w:t xml:space="preserve"> the fiscal cost of recognising a credit for company tax paid in the other country is offset by personal tax on the underlying </w:t>
      </w:r>
      <w:r w:rsidR="00310BF3">
        <w:t>company income.</w:t>
      </w:r>
      <w:r w:rsidR="00DD671C">
        <w:t xml:space="preserve"> </w:t>
      </w:r>
      <w:r w:rsidR="008F4CFC">
        <w:t xml:space="preserve">The impact on tax revenues from additional distributions would be determined by </w:t>
      </w:r>
      <w:r>
        <w:t xml:space="preserve">the difference between the shareholder’s personal </w:t>
      </w:r>
      <w:r w:rsidR="00702B5A">
        <w:t xml:space="preserve">tax </w:t>
      </w:r>
      <w:r>
        <w:t xml:space="preserve">rate and the </w:t>
      </w:r>
      <w:r w:rsidR="00310BF3">
        <w:t>other country’</w:t>
      </w:r>
      <w:r w:rsidR="008F4CFC">
        <w:t>s</w:t>
      </w:r>
      <w:r>
        <w:t xml:space="preserve"> company rate, which can be either positive or negative. Shareholders </w:t>
      </w:r>
      <w:r w:rsidR="008F4CFC">
        <w:t xml:space="preserve">on a </w:t>
      </w:r>
      <w:r>
        <w:t xml:space="preserve">higher rate than the </w:t>
      </w:r>
      <w:r w:rsidR="008F4CFC">
        <w:t xml:space="preserve">other country’s </w:t>
      </w:r>
      <w:r>
        <w:t>company rate w</w:t>
      </w:r>
      <w:r w:rsidR="008F4CFC">
        <w:t xml:space="preserve">ould have </w:t>
      </w:r>
      <w:r>
        <w:t>additional tax to pay</w:t>
      </w:r>
      <w:r w:rsidR="008F4CFC">
        <w:t xml:space="preserve">, which would reduce the </w:t>
      </w:r>
      <w:r>
        <w:t xml:space="preserve">fiscal cost </w:t>
      </w:r>
      <w:r w:rsidR="00684514">
        <w:t xml:space="preserve">of </w:t>
      </w:r>
      <w:proofErr w:type="spellStart"/>
      <w:r w:rsidR="00684514">
        <w:t>MRIC</w:t>
      </w:r>
      <w:proofErr w:type="spellEnd"/>
      <w:r w:rsidR="00684514">
        <w:t>.</w:t>
      </w:r>
      <w:r>
        <w:t xml:space="preserve"> Those on a lower personal tax rate than the </w:t>
      </w:r>
      <w:r w:rsidR="008F4CFC">
        <w:t xml:space="preserve">other country’s company </w:t>
      </w:r>
      <w:r>
        <w:t>rate w</w:t>
      </w:r>
      <w:r w:rsidR="008F4CFC">
        <w:t xml:space="preserve">ould </w:t>
      </w:r>
      <w:r>
        <w:t>increase the fiscal cost.</w:t>
      </w:r>
    </w:p>
    <w:p w:rsidR="00D16F98" w:rsidRDefault="00D16F98" w:rsidP="00D16F98">
      <w:pPr>
        <w:pStyle w:val="BodyText"/>
      </w:pPr>
      <w:r>
        <w:t>Second, if Australian companies were to alter their distribution policies, that would result in different levels of retentions, and therefore changes in the value of the firm and hence capital gains tax proceeds. Note that the estimates shown assume that capital gains tax (</w:t>
      </w:r>
      <w:proofErr w:type="spellStart"/>
      <w:r>
        <w:t>CGT</w:t>
      </w:r>
      <w:proofErr w:type="spellEnd"/>
      <w:r>
        <w:t xml:space="preserve">) applies on an accruals basis (in effect that retentions are taxed at the </w:t>
      </w:r>
      <w:proofErr w:type="spellStart"/>
      <w:r>
        <w:t>CGT</w:t>
      </w:r>
      <w:proofErr w:type="spellEnd"/>
      <w:r>
        <w:t xml:space="preserve"> rate), whereas in fact </w:t>
      </w:r>
      <w:proofErr w:type="spellStart"/>
      <w:r w:rsidR="00702B5A">
        <w:t>CGT</w:t>
      </w:r>
      <w:proofErr w:type="spellEnd"/>
      <w:r w:rsidR="00702B5A">
        <w:t xml:space="preserve"> </w:t>
      </w:r>
      <w:r>
        <w:t xml:space="preserve">is payable only upon realisation of the gain. Thus the </w:t>
      </w:r>
      <w:proofErr w:type="spellStart"/>
      <w:r>
        <w:t>CGT</w:t>
      </w:r>
      <w:proofErr w:type="spellEnd"/>
      <w:r>
        <w:t xml:space="preserve">-inclusive estimates </w:t>
      </w:r>
      <w:r w:rsidR="00684514">
        <w:t xml:space="preserve">include maximum allowance for the effect of </w:t>
      </w:r>
      <w:proofErr w:type="spellStart"/>
      <w:r w:rsidR="00684514">
        <w:t>CGT</w:t>
      </w:r>
      <w:proofErr w:type="spellEnd"/>
      <w:r w:rsidR="00684514">
        <w:t xml:space="preserve"> (with the </w:t>
      </w:r>
      <w:proofErr w:type="spellStart"/>
      <w:r>
        <w:t>CGT</w:t>
      </w:r>
      <w:proofErr w:type="spellEnd"/>
      <w:r>
        <w:t xml:space="preserve">-exclusive estimates </w:t>
      </w:r>
      <w:r w:rsidR="00684514">
        <w:t xml:space="preserve">making no allowance for </w:t>
      </w:r>
      <w:proofErr w:type="spellStart"/>
      <w:r w:rsidR="00684514">
        <w:t>CGT</w:t>
      </w:r>
      <w:proofErr w:type="spellEnd"/>
      <w:r w:rsidR="00684514">
        <w:t>).</w:t>
      </w:r>
    </w:p>
    <w:p w:rsidR="00D16F98" w:rsidRDefault="00D16F98" w:rsidP="00D16F98">
      <w:pPr>
        <w:pStyle w:val="BodyText"/>
      </w:pPr>
      <w:r>
        <w:t>The data on the stock of trans-Tasman equity investment and on the two-way flow of dividends is taken from Statistics New Zealand (</w:t>
      </w:r>
      <w:proofErr w:type="spellStart"/>
      <w:r>
        <w:t>SNZ</w:t>
      </w:r>
      <w:proofErr w:type="spellEnd"/>
      <w:r>
        <w:t>) and the Australian Bureau of Statistics (ABS). However, these data differ. Generally the data from the investment destination country’s statistical agency shows larger amounts of investment from, and dividend flows to, the other (compared with the corresponding data from the source country’s statistical agency). Given these differences, estimates of the fiscal costs are shown on the basis of each set of source data.</w:t>
      </w:r>
    </w:p>
    <w:p w:rsidR="00D16F98" w:rsidRDefault="00D16F98" w:rsidP="00D16F98">
      <w:pPr>
        <w:pStyle w:val="BodyText"/>
      </w:pPr>
      <w:r>
        <w:t>Finally, as noted, the estimates are static. In particular, no allowance is made for:</w:t>
      </w:r>
    </w:p>
    <w:p w:rsidR="00D16F98" w:rsidRDefault="00D16F98" w:rsidP="00D62E2D">
      <w:pPr>
        <w:pStyle w:val="ListBullet"/>
      </w:pPr>
      <w:r>
        <w:t xml:space="preserve">The extent to which </w:t>
      </w:r>
      <w:proofErr w:type="spellStart"/>
      <w:r>
        <w:t>MRIC</w:t>
      </w:r>
      <w:proofErr w:type="spellEnd"/>
      <w:r>
        <w:t xml:space="preserve"> would result in induced reallocations of investment across the Tasman, or from third countries. </w:t>
      </w:r>
    </w:p>
    <w:p w:rsidR="00DD671C" w:rsidRDefault="00D16F98" w:rsidP="00D62E2D">
      <w:pPr>
        <w:pStyle w:val="ListBullet"/>
      </w:pPr>
      <w:r>
        <w:t>How mutual recognition may cause a change in financing structures, with more equity, and less debt investment. However, there may not be much unwinding of existing financing structures, since replacing deductible interest with imputed dividends is broadly neutral</w:t>
      </w:r>
      <w:r w:rsidR="00433006">
        <w:t xml:space="preserve"> for shareholders</w:t>
      </w:r>
      <w:r>
        <w:t xml:space="preserve">. But to the extent that there is change, there would be a shift in the country where tax is payable (tax on </w:t>
      </w:r>
      <w:r>
        <w:lastRenderedPageBreak/>
        <w:t xml:space="preserve">interest </w:t>
      </w:r>
      <w:r w:rsidR="00684514">
        <w:t xml:space="preserve">mostly </w:t>
      </w:r>
      <w:r>
        <w:t>is payable in the country of the lender, whereas profits are taxed where they are earned).</w:t>
      </w:r>
    </w:p>
    <w:p w:rsidR="00D16F98" w:rsidRDefault="0032735C" w:rsidP="00D16F98">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sidR="006178EF">
        <w:rPr>
          <w:b w:val="0"/>
        </w:rPr>
        <w:t>7</w:t>
      </w:r>
      <w:proofErr w:type="spellEnd"/>
      <w:r w:rsidR="00D16F98">
        <w:tab/>
      </w:r>
      <w:r w:rsidR="00D16F98" w:rsidRPr="008668C1">
        <w:t>Fiscal costs of mutual recognition for New Zealand</w:t>
      </w:r>
      <w:r w:rsidRPr="0032735C">
        <w:rPr>
          <w:rStyle w:val="NoteLabel"/>
          <w:b/>
        </w:rPr>
        <w:t>a</w:t>
      </w:r>
    </w:p>
    <w:tbl>
      <w:tblPr>
        <w:tblW w:w="5000" w:type="pct"/>
        <w:tblCellMar>
          <w:left w:w="0" w:type="dxa"/>
          <w:right w:w="0" w:type="dxa"/>
        </w:tblCellMar>
        <w:tblLook w:val="0000" w:firstRow="0" w:lastRow="0" w:firstColumn="0" w:lastColumn="0" w:noHBand="0" w:noVBand="0"/>
      </w:tblPr>
      <w:tblGrid>
        <w:gridCol w:w="5245"/>
        <w:gridCol w:w="1772"/>
        <w:gridCol w:w="1772"/>
      </w:tblGrid>
      <w:tr w:rsidR="00D16F98" w:rsidRPr="008F4CFC" w:rsidTr="0032735C">
        <w:tc>
          <w:tcPr>
            <w:tcW w:w="2984" w:type="pct"/>
            <w:tcBorders>
              <w:top w:val="single" w:sz="6" w:space="0" w:color="auto"/>
              <w:bottom w:val="single" w:sz="4" w:space="0" w:color="auto"/>
            </w:tcBorders>
            <w:shd w:val="clear" w:color="auto" w:fill="E7ECCE"/>
          </w:tcPr>
          <w:p w:rsidR="00D16F98" w:rsidRPr="004E0881" w:rsidRDefault="008F4CFC" w:rsidP="008C330A">
            <w:pPr>
              <w:pStyle w:val="TableUnitsRow"/>
              <w:jc w:val="left"/>
              <w:rPr>
                <w:i/>
              </w:rPr>
            </w:pPr>
            <w:r w:rsidRPr="004E0881">
              <w:rPr>
                <w:i/>
              </w:rPr>
              <w:t xml:space="preserve">The assumed use of </w:t>
            </w:r>
            <w:proofErr w:type="spellStart"/>
            <w:r w:rsidRPr="004E0881">
              <w:rPr>
                <w:i/>
              </w:rPr>
              <w:t>MRIC</w:t>
            </w:r>
            <w:proofErr w:type="spellEnd"/>
            <w:r w:rsidRPr="004E0881">
              <w:rPr>
                <w:i/>
              </w:rPr>
              <w:t xml:space="preserve"> credits is based on a range of distribution rates for </w:t>
            </w:r>
            <w:proofErr w:type="spellStart"/>
            <w:r w:rsidRPr="004E0881">
              <w:rPr>
                <w:i/>
              </w:rPr>
              <w:t>FDI</w:t>
            </w:r>
            <w:proofErr w:type="spellEnd"/>
            <w:r w:rsidRPr="004E0881">
              <w:rPr>
                <w:i/>
              </w:rPr>
              <w:t xml:space="preserve"> (as below), and existing actual distribution rates for </w:t>
            </w:r>
            <w:proofErr w:type="spellStart"/>
            <w:r w:rsidRPr="004E0881">
              <w:rPr>
                <w:i/>
              </w:rPr>
              <w:t>FPI</w:t>
            </w:r>
            <w:proofErr w:type="spellEnd"/>
          </w:p>
        </w:tc>
        <w:tc>
          <w:tcPr>
            <w:tcW w:w="1008" w:type="pct"/>
            <w:tcBorders>
              <w:top w:val="single" w:sz="6" w:space="0" w:color="auto"/>
              <w:bottom w:val="single" w:sz="4" w:space="0" w:color="auto"/>
            </w:tcBorders>
            <w:shd w:val="clear" w:color="auto" w:fill="E7ECCE"/>
          </w:tcPr>
          <w:p w:rsidR="00D16F98" w:rsidRPr="004E0881" w:rsidRDefault="00D16F98" w:rsidP="00B210D4">
            <w:pPr>
              <w:pStyle w:val="TableUnitsRow"/>
              <w:rPr>
                <w:i/>
              </w:rPr>
            </w:pPr>
            <w:proofErr w:type="spellStart"/>
            <w:r w:rsidRPr="004E0881">
              <w:rPr>
                <w:i/>
              </w:rPr>
              <w:t>SNZ</w:t>
            </w:r>
            <w:proofErr w:type="spellEnd"/>
            <w:r w:rsidRPr="004E0881">
              <w:rPr>
                <w:i/>
              </w:rPr>
              <w:t xml:space="preserve"> data</w:t>
            </w:r>
          </w:p>
        </w:tc>
        <w:tc>
          <w:tcPr>
            <w:tcW w:w="1008" w:type="pct"/>
            <w:tcBorders>
              <w:top w:val="single" w:sz="6" w:space="0" w:color="auto"/>
              <w:bottom w:val="single" w:sz="4" w:space="0" w:color="auto"/>
            </w:tcBorders>
            <w:shd w:val="clear" w:color="auto" w:fill="E7ECCE"/>
          </w:tcPr>
          <w:p w:rsidR="00D16F98" w:rsidRPr="004E0881" w:rsidRDefault="00D16F98" w:rsidP="00B210D4">
            <w:pPr>
              <w:pStyle w:val="TableUnitsRow"/>
              <w:ind w:right="28"/>
              <w:rPr>
                <w:i/>
              </w:rPr>
            </w:pPr>
            <w:r w:rsidRPr="004E0881">
              <w:rPr>
                <w:i/>
              </w:rPr>
              <w:t>ABS data</w:t>
            </w:r>
          </w:p>
        </w:tc>
      </w:tr>
      <w:tr w:rsidR="00D16F98" w:rsidRPr="00F75631" w:rsidTr="00B210D4">
        <w:tc>
          <w:tcPr>
            <w:tcW w:w="5000" w:type="pct"/>
            <w:gridSpan w:val="3"/>
            <w:tcBorders>
              <w:top w:val="single" w:sz="4" w:space="0" w:color="auto"/>
            </w:tcBorders>
          </w:tcPr>
          <w:p w:rsidR="00D16F98" w:rsidRPr="008F4CFC" w:rsidRDefault="008F4CFC" w:rsidP="008F4CFC">
            <w:pPr>
              <w:pStyle w:val="TableUnitsRow"/>
              <w:jc w:val="left"/>
            </w:pPr>
            <w:r w:rsidRPr="008F4CFC">
              <w:rPr>
                <w:i/>
              </w:rPr>
              <w:t xml:space="preserve">Assuming all shareholders on top tax rate of 33 </w:t>
            </w:r>
            <w:proofErr w:type="spellStart"/>
            <w:r w:rsidRPr="008F4CFC">
              <w:rPr>
                <w:i/>
              </w:rPr>
              <w:t>percent</w:t>
            </w:r>
            <w:proofErr w:type="spellEnd"/>
          </w:p>
        </w:tc>
      </w:tr>
      <w:tr w:rsidR="00D16F98" w:rsidTr="00B210D4">
        <w:tc>
          <w:tcPr>
            <w:tcW w:w="2984" w:type="pct"/>
            <w:shd w:val="clear" w:color="auto" w:fill="auto"/>
          </w:tcPr>
          <w:p w:rsidR="00D16F98" w:rsidRDefault="00D16F98" w:rsidP="0077445E">
            <w:pPr>
              <w:pStyle w:val="TableBodyText"/>
              <w:ind w:left="284"/>
              <w:jc w:val="left"/>
            </w:pPr>
            <w:r w:rsidRPr="008668C1">
              <w:t xml:space="preserve">75% </w:t>
            </w:r>
            <w:r w:rsidR="0077445E">
              <w:t>dividend distribution</w:t>
            </w:r>
          </w:p>
        </w:tc>
        <w:tc>
          <w:tcPr>
            <w:tcW w:w="1008" w:type="pct"/>
            <w:shd w:val="clear" w:color="auto" w:fill="auto"/>
          </w:tcPr>
          <w:p w:rsidR="00D16F98" w:rsidRDefault="00D16F98" w:rsidP="00B210D4">
            <w:pPr>
              <w:pStyle w:val="TableBodyText"/>
            </w:pPr>
            <w:r>
              <w:t>135</w:t>
            </w:r>
          </w:p>
        </w:tc>
        <w:tc>
          <w:tcPr>
            <w:tcW w:w="1008" w:type="pct"/>
            <w:shd w:val="clear" w:color="auto" w:fill="auto"/>
          </w:tcPr>
          <w:p w:rsidR="00D16F98" w:rsidRDefault="00D16F98" w:rsidP="00B210D4">
            <w:pPr>
              <w:pStyle w:val="TableBodyText"/>
              <w:ind w:right="28"/>
            </w:pPr>
            <w:r>
              <w:t>185</w:t>
            </w:r>
          </w:p>
        </w:tc>
      </w:tr>
      <w:tr w:rsidR="00D16F98" w:rsidTr="00B210D4">
        <w:tc>
          <w:tcPr>
            <w:tcW w:w="2984" w:type="pct"/>
            <w:shd w:val="clear" w:color="auto" w:fill="auto"/>
          </w:tcPr>
          <w:p w:rsidR="00D16F98" w:rsidRPr="008668C1" w:rsidRDefault="00D16F98" w:rsidP="0077445E">
            <w:pPr>
              <w:pStyle w:val="TableBodyText"/>
              <w:ind w:left="284"/>
              <w:jc w:val="left"/>
            </w:pPr>
            <w:r>
              <w:t>50</w:t>
            </w:r>
            <w:r w:rsidRPr="008668C1">
              <w:t xml:space="preserve">% </w:t>
            </w:r>
            <w:r w:rsidR="0077445E">
              <w:t>dividend distribution</w:t>
            </w:r>
          </w:p>
        </w:tc>
        <w:tc>
          <w:tcPr>
            <w:tcW w:w="1008" w:type="pct"/>
            <w:shd w:val="clear" w:color="auto" w:fill="auto"/>
          </w:tcPr>
          <w:p w:rsidR="00D16F98" w:rsidRDefault="00D16F98" w:rsidP="00B210D4">
            <w:pPr>
              <w:pStyle w:val="TableBodyText"/>
            </w:pPr>
            <w:r>
              <w:t>115</w:t>
            </w:r>
          </w:p>
        </w:tc>
        <w:tc>
          <w:tcPr>
            <w:tcW w:w="1008" w:type="pct"/>
            <w:shd w:val="clear" w:color="auto" w:fill="auto"/>
          </w:tcPr>
          <w:p w:rsidR="00D16F98" w:rsidRDefault="00D16F98" w:rsidP="00B210D4">
            <w:pPr>
              <w:pStyle w:val="TableBodyText"/>
              <w:ind w:right="28"/>
            </w:pPr>
            <w:r>
              <w:t>160</w:t>
            </w:r>
          </w:p>
        </w:tc>
      </w:tr>
      <w:tr w:rsidR="00D16F98" w:rsidTr="00B210D4">
        <w:tc>
          <w:tcPr>
            <w:tcW w:w="2984" w:type="pct"/>
            <w:shd w:val="clear" w:color="auto" w:fill="auto"/>
          </w:tcPr>
          <w:p w:rsidR="00D16F98" w:rsidRDefault="00D16F98" w:rsidP="0077445E">
            <w:pPr>
              <w:pStyle w:val="TableBodyText"/>
              <w:ind w:left="284"/>
              <w:jc w:val="left"/>
            </w:pPr>
            <w:r>
              <w:t>2</w:t>
            </w:r>
            <w:r w:rsidRPr="008668C1">
              <w:t xml:space="preserve">5% </w:t>
            </w:r>
            <w:r w:rsidR="0077445E">
              <w:t>dividend distribution</w:t>
            </w:r>
          </w:p>
        </w:tc>
        <w:tc>
          <w:tcPr>
            <w:tcW w:w="1008" w:type="pct"/>
            <w:shd w:val="clear" w:color="auto" w:fill="auto"/>
          </w:tcPr>
          <w:p w:rsidR="00D16F98" w:rsidRDefault="00D16F98" w:rsidP="00B210D4">
            <w:pPr>
              <w:pStyle w:val="TableBodyText"/>
            </w:pPr>
            <w:r>
              <w:t>100</w:t>
            </w:r>
          </w:p>
        </w:tc>
        <w:tc>
          <w:tcPr>
            <w:tcW w:w="1008" w:type="pct"/>
            <w:shd w:val="clear" w:color="auto" w:fill="auto"/>
          </w:tcPr>
          <w:p w:rsidR="00D16F98" w:rsidRDefault="00D16F98" w:rsidP="00B210D4">
            <w:pPr>
              <w:pStyle w:val="TableBodyText"/>
              <w:ind w:right="28"/>
            </w:pPr>
            <w:r>
              <w:t>125</w:t>
            </w:r>
          </w:p>
        </w:tc>
      </w:tr>
      <w:tr w:rsidR="00D16F98" w:rsidTr="00B210D4">
        <w:tc>
          <w:tcPr>
            <w:tcW w:w="2984" w:type="pct"/>
            <w:shd w:val="clear" w:color="auto" w:fill="auto"/>
          </w:tcPr>
          <w:p w:rsidR="00D16F98" w:rsidRDefault="00D16F98" w:rsidP="004A676E">
            <w:pPr>
              <w:pStyle w:val="TableBodyText"/>
              <w:ind w:left="284"/>
              <w:jc w:val="left"/>
            </w:pPr>
            <w:r w:rsidRPr="008668C1">
              <w:t xml:space="preserve">If </w:t>
            </w:r>
            <w:proofErr w:type="spellStart"/>
            <w:r w:rsidRPr="008668C1">
              <w:t>MRIC</w:t>
            </w:r>
            <w:proofErr w:type="spellEnd"/>
            <w:r w:rsidRPr="008668C1">
              <w:t xml:space="preserve"> increase</w:t>
            </w:r>
            <w:r w:rsidR="004A676E">
              <w:t>d</w:t>
            </w:r>
            <w:r w:rsidRPr="008668C1">
              <w:t xml:space="preserve"> the </w:t>
            </w:r>
            <w:proofErr w:type="spellStart"/>
            <w:r w:rsidRPr="008668C1">
              <w:t>FDI</w:t>
            </w:r>
            <w:proofErr w:type="spellEnd"/>
            <w:r w:rsidRPr="008668C1">
              <w:t xml:space="preserve"> d</w:t>
            </w:r>
            <w:r>
              <w:t>ividend distribution rate by 25</w:t>
            </w:r>
            <w:r w:rsidR="004A676E">
              <w:t>%</w:t>
            </w:r>
            <w:r w:rsidRPr="008668C1">
              <w:t>,</w:t>
            </w:r>
            <w:r>
              <w:t xml:space="preserve"> </w:t>
            </w:r>
            <w:r w:rsidRPr="008668C1">
              <w:t xml:space="preserve">the above cost estimates </w:t>
            </w:r>
            <w:r w:rsidR="004A676E">
              <w:t>a</w:t>
            </w:r>
            <w:r w:rsidRPr="008668C1">
              <w:t>djust by:</w:t>
            </w:r>
          </w:p>
        </w:tc>
        <w:tc>
          <w:tcPr>
            <w:tcW w:w="1008" w:type="pct"/>
            <w:shd w:val="clear" w:color="auto" w:fill="auto"/>
          </w:tcPr>
          <w:p w:rsidR="00D16F98" w:rsidRDefault="00D16F98" w:rsidP="00B210D4">
            <w:pPr>
              <w:pStyle w:val="TableBodyText"/>
            </w:pPr>
            <w:r>
              <w:t>-9</w:t>
            </w:r>
          </w:p>
        </w:tc>
        <w:tc>
          <w:tcPr>
            <w:tcW w:w="1008" w:type="pct"/>
            <w:shd w:val="clear" w:color="auto" w:fill="auto"/>
          </w:tcPr>
          <w:p w:rsidR="00D16F98" w:rsidRDefault="00D16F98" w:rsidP="00B210D4">
            <w:pPr>
              <w:pStyle w:val="TableBodyText"/>
              <w:ind w:right="28"/>
            </w:pPr>
            <w:r>
              <w:t>-14</w:t>
            </w:r>
          </w:p>
        </w:tc>
      </w:tr>
      <w:tr w:rsidR="00D16F98" w:rsidRPr="00F75631" w:rsidTr="00B210D4">
        <w:tc>
          <w:tcPr>
            <w:tcW w:w="5000" w:type="pct"/>
            <w:gridSpan w:val="3"/>
            <w:shd w:val="clear" w:color="auto" w:fill="auto"/>
          </w:tcPr>
          <w:p w:rsidR="00D16F98" w:rsidRDefault="00D16F98" w:rsidP="00B210D4">
            <w:pPr>
              <w:pStyle w:val="TableUnitsRow"/>
              <w:jc w:val="left"/>
            </w:pPr>
            <w:r w:rsidRPr="008668C1">
              <w:t>Assuming a representative distribution of shareholder tax rates</w:t>
            </w:r>
          </w:p>
        </w:tc>
      </w:tr>
      <w:tr w:rsidR="00D16F98" w:rsidTr="00B210D4">
        <w:tc>
          <w:tcPr>
            <w:tcW w:w="2984" w:type="pct"/>
            <w:shd w:val="clear" w:color="auto" w:fill="auto"/>
          </w:tcPr>
          <w:p w:rsidR="00D16F98" w:rsidRDefault="00D16F98" w:rsidP="0077445E">
            <w:pPr>
              <w:pStyle w:val="TableBodyText"/>
              <w:ind w:left="284"/>
              <w:jc w:val="left"/>
            </w:pPr>
            <w:r w:rsidRPr="008668C1">
              <w:t xml:space="preserve">75% </w:t>
            </w:r>
            <w:r w:rsidR="0077445E">
              <w:t>dividend distribution</w:t>
            </w:r>
          </w:p>
        </w:tc>
        <w:tc>
          <w:tcPr>
            <w:tcW w:w="1008" w:type="pct"/>
            <w:shd w:val="clear" w:color="auto" w:fill="auto"/>
          </w:tcPr>
          <w:p w:rsidR="00D16F98" w:rsidRDefault="00D16F98" w:rsidP="00B210D4">
            <w:pPr>
              <w:pStyle w:val="TableBodyText"/>
            </w:pPr>
            <w:r>
              <w:t>150</w:t>
            </w:r>
          </w:p>
        </w:tc>
        <w:tc>
          <w:tcPr>
            <w:tcW w:w="1008" w:type="pct"/>
            <w:shd w:val="clear" w:color="auto" w:fill="auto"/>
          </w:tcPr>
          <w:p w:rsidR="00D16F98" w:rsidRDefault="00D16F98" w:rsidP="00B210D4">
            <w:pPr>
              <w:pStyle w:val="TableBodyText"/>
              <w:ind w:right="28"/>
            </w:pPr>
            <w:r>
              <w:t>210</w:t>
            </w:r>
          </w:p>
        </w:tc>
      </w:tr>
      <w:tr w:rsidR="00D16F98" w:rsidTr="00B210D4">
        <w:tc>
          <w:tcPr>
            <w:tcW w:w="2984" w:type="pct"/>
            <w:shd w:val="clear" w:color="auto" w:fill="auto"/>
          </w:tcPr>
          <w:p w:rsidR="00D16F98" w:rsidRPr="008668C1" w:rsidRDefault="00D16F98" w:rsidP="0077445E">
            <w:pPr>
              <w:pStyle w:val="TableBodyText"/>
              <w:ind w:left="284"/>
              <w:jc w:val="left"/>
            </w:pPr>
            <w:r>
              <w:t>50</w:t>
            </w:r>
            <w:r w:rsidRPr="008668C1">
              <w:t xml:space="preserve">% </w:t>
            </w:r>
            <w:r w:rsidR="0077445E">
              <w:t xml:space="preserve">dividend distribution </w:t>
            </w:r>
          </w:p>
        </w:tc>
        <w:tc>
          <w:tcPr>
            <w:tcW w:w="1008" w:type="pct"/>
            <w:shd w:val="clear" w:color="auto" w:fill="auto"/>
          </w:tcPr>
          <w:p w:rsidR="00D16F98" w:rsidRDefault="00D16F98" w:rsidP="00B210D4">
            <w:pPr>
              <w:pStyle w:val="TableBodyText"/>
            </w:pPr>
            <w:r>
              <w:t>130</w:t>
            </w:r>
          </w:p>
        </w:tc>
        <w:tc>
          <w:tcPr>
            <w:tcW w:w="1008" w:type="pct"/>
            <w:shd w:val="clear" w:color="auto" w:fill="auto"/>
          </w:tcPr>
          <w:p w:rsidR="00D16F98" w:rsidRDefault="00D16F98" w:rsidP="00B210D4">
            <w:pPr>
              <w:pStyle w:val="TableBodyText"/>
              <w:ind w:right="28"/>
            </w:pPr>
            <w:r>
              <w:t>180</w:t>
            </w:r>
          </w:p>
        </w:tc>
      </w:tr>
      <w:tr w:rsidR="00D16F98" w:rsidTr="00B210D4">
        <w:tc>
          <w:tcPr>
            <w:tcW w:w="2984" w:type="pct"/>
            <w:shd w:val="clear" w:color="auto" w:fill="auto"/>
          </w:tcPr>
          <w:p w:rsidR="00D16F98" w:rsidRDefault="00D16F98" w:rsidP="0077445E">
            <w:pPr>
              <w:pStyle w:val="TableBodyText"/>
              <w:ind w:left="284"/>
              <w:jc w:val="left"/>
            </w:pPr>
            <w:r>
              <w:t>2</w:t>
            </w:r>
            <w:r w:rsidRPr="008668C1">
              <w:t xml:space="preserve">5% </w:t>
            </w:r>
            <w:r w:rsidR="0077445E">
              <w:t>dividend distribution</w:t>
            </w:r>
          </w:p>
        </w:tc>
        <w:tc>
          <w:tcPr>
            <w:tcW w:w="1008" w:type="pct"/>
            <w:shd w:val="clear" w:color="auto" w:fill="auto"/>
          </w:tcPr>
          <w:p w:rsidR="00D16F98" w:rsidRDefault="00D16F98" w:rsidP="00B210D4">
            <w:pPr>
              <w:pStyle w:val="TableBodyText"/>
            </w:pPr>
            <w:r>
              <w:t>110</w:t>
            </w:r>
          </w:p>
        </w:tc>
        <w:tc>
          <w:tcPr>
            <w:tcW w:w="1008" w:type="pct"/>
            <w:shd w:val="clear" w:color="auto" w:fill="auto"/>
          </w:tcPr>
          <w:p w:rsidR="00D16F98" w:rsidRDefault="00D16F98" w:rsidP="00B210D4">
            <w:pPr>
              <w:pStyle w:val="TableBodyText"/>
              <w:ind w:right="28"/>
            </w:pPr>
            <w:r>
              <w:t>150</w:t>
            </w:r>
          </w:p>
        </w:tc>
      </w:tr>
      <w:tr w:rsidR="00D16F98" w:rsidTr="00B210D4">
        <w:tc>
          <w:tcPr>
            <w:tcW w:w="2984" w:type="pct"/>
            <w:shd w:val="clear" w:color="auto" w:fill="auto"/>
          </w:tcPr>
          <w:p w:rsidR="00D16F98" w:rsidRPr="008668C1" w:rsidRDefault="00D16F98" w:rsidP="004A676E">
            <w:pPr>
              <w:pStyle w:val="TableBodyText"/>
              <w:ind w:left="284"/>
              <w:jc w:val="left"/>
            </w:pPr>
            <w:r w:rsidRPr="008668C1">
              <w:t xml:space="preserve">If </w:t>
            </w:r>
            <w:proofErr w:type="spellStart"/>
            <w:r w:rsidRPr="008668C1">
              <w:t>MRIC</w:t>
            </w:r>
            <w:proofErr w:type="spellEnd"/>
            <w:r w:rsidRPr="008668C1">
              <w:t xml:space="preserve"> increase</w:t>
            </w:r>
            <w:r w:rsidR="004A676E">
              <w:t>d</w:t>
            </w:r>
            <w:r w:rsidRPr="008668C1">
              <w:t xml:space="preserve"> the </w:t>
            </w:r>
            <w:proofErr w:type="spellStart"/>
            <w:r w:rsidRPr="008668C1">
              <w:t>FDI</w:t>
            </w:r>
            <w:proofErr w:type="spellEnd"/>
            <w:r w:rsidRPr="008668C1">
              <w:t xml:space="preserve"> dividend distribution rate by 25</w:t>
            </w:r>
            <w:r w:rsidR="004A676E">
              <w:t xml:space="preserve">% </w:t>
            </w:r>
            <w:r w:rsidR="00F41E8C" w:rsidRPr="00F41E8C">
              <w:t>points</w:t>
            </w:r>
            <w:r w:rsidRPr="008668C1">
              <w:t>, the above cost estimates adjust by:</w:t>
            </w:r>
          </w:p>
        </w:tc>
        <w:tc>
          <w:tcPr>
            <w:tcW w:w="1008" w:type="pct"/>
            <w:shd w:val="clear" w:color="auto" w:fill="auto"/>
          </w:tcPr>
          <w:p w:rsidR="00D16F98" w:rsidRDefault="00D16F98" w:rsidP="00B210D4">
            <w:pPr>
              <w:pStyle w:val="TableBodyText"/>
            </w:pPr>
            <w:r>
              <w:t>-1</w:t>
            </w:r>
          </w:p>
        </w:tc>
        <w:tc>
          <w:tcPr>
            <w:tcW w:w="1008" w:type="pct"/>
            <w:shd w:val="clear" w:color="auto" w:fill="auto"/>
          </w:tcPr>
          <w:p w:rsidR="00D16F98" w:rsidRDefault="00D16F98" w:rsidP="00B210D4">
            <w:pPr>
              <w:pStyle w:val="TableBodyText"/>
              <w:ind w:right="28"/>
            </w:pPr>
            <w:r>
              <w:t>-2</w:t>
            </w:r>
          </w:p>
        </w:tc>
      </w:tr>
      <w:tr w:rsidR="00D16F98" w:rsidRPr="00F75631" w:rsidTr="00B210D4">
        <w:tc>
          <w:tcPr>
            <w:tcW w:w="5000" w:type="pct"/>
            <w:gridSpan w:val="3"/>
            <w:shd w:val="clear" w:color="auto" w:fill="auto"/>
          </w:tcPr>
          <w:p w:rsidR="00D16F98" w:rsidRDefault="00D16F98" w:rsidP="00B210D4">
            <w:pPr>
              <w:pStyle w:val="TableUnitsRow"/>
              <w:jc w:val="left"/>
            </w:pPr>
            <w:r w:rsidRPr="008668C1">
              <w:t xml:space="preserve">Assuming all shareholders on capped Portfolio Investment Entity rate of </w:t>
            </w:r>
            <w:proofErr w:type="spellStart"/>
            <w:r w:rsidRPr="008668C1">
              <w:t>28c</w:t>
            </w:r>
            <w:proofErr w:type="spellEnd"/>
            <w:r w:rsidRPr="008668C1">
              <w:t>:</w:t>
            </w:r>
          </w:p>
        </w:tc>
      </w:tr>
      <w:tr w:rsidR="00D16F98" w:rsidTr="00B210D4">
        <w:tc>
          <w:tcPr>
            <w:tcW w:w="2984" w:type="pct"/>
            <w:shd w:val="clear" w:color="auto" w:fill="auto"/>
          </w:tcPr>
          <w:p w:rsidR="00D16F98" w:rsidRDefault="00D16F98" w:rsidP="0077445E">
            <w:pPr>
              <w:pStyle w:val="TableBodyText"/>
              <w:ind w:left="284"/>
              <w:jc w:val="left"/>
            </w:pPr>
            <w:r w:rsidRPr="008668C1">
              <w:t xml:space="preserve">75% </w:t>
            </w:r>
            <w:r w:rsidR="0077445E">
              <w:t>dividend distribution</w:t>
            </w:r>
          </w:p>
        </w:tc>
        <w:tc>
          <w:tcPr>
            <w:tcW w:w="1008" w:type="pct"/>
            <w:shd w:val="clear" w:color="auto" w:fill="auto"/>
          </w:tcPr>
          <w:p w:rsidR="00D16F98" w:rsidRDefault="00D16F98" w:rsidP="00B210D4">
            <w:pPr>
              <w:pStyle w:val="TableBodyText"/>
            </w:pPr>
            <w:r>
              <w:t>160</w:t>
            </w:r>
          </w:p>
        </w:tc>
        <w:tc>
          <w:tcPr>
            <w:tcW w:w="1008" w:type="pct"/>
            <w:shd w:val="clear" w:color="auto" w:fill="auto"/>
          </w:tcPr>
          <w:p w:rsidR="00D16F98" w:rsidRDefault="00D16F98" w:rsidP="00B210D4">
            <w:pPr>
              <w:pStyle w:val="TableBodyText"/>
              <w:ind w:right="28"/>
            </w:pPr>
            <w:r>
              <w:t>220</w:t>
            </w:r>
          </w:p>
        </w:tc>
      </w:tr>
      <w:tr w:rsidR="00D16F98" w:rsidTr="00B210D4">
        <w:tc>
          <w:tcPr>
            <w:tcW w:w="2984" w:type="pct"/>
            <w:shd w:val="clear" w:color="auto" w:fill="auto"/>
          </w:tcPr>
          <w:p w:rsidR="00D16F98" w:rsidRPr="008668C1" w:rsidRDefault="00D16F98" w:rsidP="0077445E">
            <w:pPr>
              <w:pStyle w:val="TableBodyText"/>
              <w:ind w:left="284"/>
              <w:jc w:val="left"/>
            </w:pPr>
            <w:r>
              <w:t>50</w:t>
            </w:r>
            <w:r w:rsidRPr="008668C1">
              <w:t xml:space="preserve">% </w:t>
            </w:r>
            <w:r w:rsidR="0077445E">
              <w:t>dividend distribution</w:t>
            </w:r>
          </w:p>
        </w:tc>
        <w:tc>
          <w:tcPr>
            <w:tcW w:w="1008" w:type="pct"/>
            <w:shd w:val="clear" w:color="auto" w:fill="auto"/>
          </w:tcPr>
          <w:p w:rsidR="00D16F98" w:rsidRDefault="00D16F98" w:rsidP="00B210D4">
            <w:pPr>
              <w:pStyle w:val="TableBodyText"/>
            </w:pPr>
            <w:r>
              <w:t>140</w:t>
            </w:r>
          </w:p>
        </w:tc>
        <w:tc>
          <w:tcPr>
            <w:tcW w:w="1008" w:type="pct"/>
            <w:shd w:val="clear" w:color="auto" w:fill="auto"/>
          </w:tcPr>
          <w:p w:rsidR="00D16F98" w:rsidRDefault="00D16F98" w:rsidP="00B210D4">
            <w:pPr>
              <w:pStyle w:val="TableBodyText"/>
              <w:ind w:right="28"/>
            </w:pPr>
            <w:r>
              <w:t>190</w:t>
            </w:r>
          </w:p>
        </w:tc>
      </w:tr>
      <w:tr w:rsidR="00D16F98" w:rsidTr="00B210D4">
        <w:tc>
          <w:tcPr>
            <w:tcW w:w="2984" w:type="pct"/>
            <w:shd w:val="clear" w:color="auto" w:fill="auto"/>
          </w:tcPr>
          <w:p w:rsidR="00D16F98" w:rsidRDefault="00D16F98" w:rsidP="0077445E">
            <w:pPr>
              <w:pStyle w:val="TableBodyText"/>
              <w:ind w:left="284"/>
              <w:jc w:val="left"/>
            </w:pPr>
            <w:r>
              <w:t>2</w:t>
            </w:r>
            <w:r w:rsidRPr="008668C1">
              <w:t xml:space="preserve">5% </w:t>
            </w:r>
            <w:r w:rsidR="0077445E">
              <w:t xml:space="preserve">dividend distribution </w:t>
            </w:r>
          </w:p>
        </w:tc>
        <w:tc>
          <w:tcPr>
            <w:tcW w:w="1008" w:type="pct"/>
            <w:shd w:val="clear" w:color="auto" w:fill="auto"/>
          </w:tcPr>
          <w:p w:rsidR="00D16F98" w:rsidRDefault="00D16F98" w:rsidP="00B210D4">
            <w:pPr>
              <w:pStyle w:val="TableBodyText"/>
            </w:pPr>
            <w:r>
              <w:t>120</w:t>
            </w:r>
          </w:p>
        </w:tc>
        <w:tc>
          <w:tcPr>
            <w:tcW w:w="1008" w:type="pct"/>
            <w:shd w:val="clear" w:color="auto" w:fill="auto"/>
          </w:tcPr>
          <w:p w:rsidR="00D16F98" w:rsidRDefault="00D16F98" w:rsidP="00B210D4">
            <w:pPr>
              <w:pStyle w:val="TableBodyText"/>
              <w:ind w:right="28"/>
            </w:pPr>
            <w:r>
              <w:t>155</w:t>
            </w:r>
          </w:p>
        </w:tc>
      </w:tr>
      <w:tr w:rsidR="00D16F98" w:rsidTr="00B210D4">
        <w:tc>
          <w:tcPr>
            <w:tcW w:w="2984" w:type="pct"/>
            <w:tcBorders>
              <w:bottom w:val="single" w:sz="6" w:space="0" w:color="auto"/>
            </w:tcBorders>
            <w:shd w:val="clear" w:color="auto" w:fill="auto"/>
          </w:tcPr>
          <w:p w:rsidR="00D16F98" w:rsidRPr="008668C1" w:rsidRDefault="00D16F98" w:rsidP="004A676E">
            <w:pPr>
              <w:pStyle w:val="TableBodyText"/>
              <w:ind w:left="284"/>
              <w:jc w:val="left"/>
            </w:pPr>
            <w:r w:rsidRPr="008668C1">
              <w:t xml:space="preserve">If </w:t>
            </w:r>
            <w:proofErr w:type="spellStart"/>
            <w:r w:rsidRPr="008668C1">
              <w:t>MRIC</w:t>
            </w:r>
            <w:proofErr w:type="spellEnd"/>
            <w:r w:rsidR="004A676E">
              <w:t xml:space="preserve"> </w:t>
            </w:r>
            <w:r w:rsidRPr="008668C1">
              <w:t>increase</w:t>
            </w:r>
            <w:r w:rsidR="004A676E">
              <w:t>d</w:t>
            </w:r>
            <w:r w:rsidRPr="008668C1">
              <w:t xml:space="preserve"> the </w:t>
            </w:r>
            <w:proofErr w:type="spellStart"/>
            <w:r w:rsidRPr="008668C1">
              <w:t>FDI</w:t>
            </w:r>
            <w:proofErr w:type="spellEnd"/>
            <w:r w:rsidRPr="008668C1">
              <w:t xml:space="preserve"> dividend distribution rate by 25</w:t>
            </w:r>
            <w:r w:rsidR="004A676E">
              <w:t xml:space="preserve">% </w:t>
            </w:r>
            <w:r w:rsidR="00F41E8C" w:rsidRPr="00F41E8C">
              <w:t>points</w:t>
            </w:r>
            <w:r w:rsidRPr="008668C1">
              <w:t>, the above cost estimates adjust by</w:t>
            </w:r>
            <w:r w:rsidR="004A676E">
              <w:t>:</w:t>
            </w:r>
          </w:p>
        </w:tc>
        <w:tc>
          <w:tcPr>
            <w:tcW w:w="1008" w:type="pct"/>
            <w:tcBorders>
              <w:bottom w:val="single" w:sz="6" w:space="0" w:color="auto"/>
            </w:tcBorders>
            <w:shd w:val="clear" w:color="auto" w:fill="auto"/>
          </w:tcPr>
          <w:p w:rsidR="00D16F98" w:rsidRDefault="00D16F98" w:rsidP="00B210D4">
            <w:pPr>
              <w:pStyle w:val="TableBodyText"/>
            </w:pPr>
            <w:r>
              <w:t>+2</w:t>
            </w:r>
          </w:p>
        </w:tc>
        <w:tc>
          <w:tcPr>
            <w:tcW w:w="1008" w:type="pct"/>
            <w:tcBorders>
              <w:bottom w:val="single" w:sz="6" w:space="0" w:color="auto"/>
            </w:tcBorders>
            <w:shd w:val="clear" w:color="auto" w:fill="auto"/>
          </w:tcPr>
          <w:p w:rsidR="00D16F98" w:rsidRDefault="00D16F98" w:rsidP="00B210D4">
            <w:pPr>
              <w:pStyle w:val="TableBodyText"/>
              <w:ind w:right="28"/>
            </w:pPr>
            <w:r>
              <w:t>+3</w:t>
            </w:r>
          </w:p>
        </w:tc>
      </w:tr>
    </w:tbl>
    <w:p w:rsidR="0032735C" w:rsidRPr="0032735C" w:rsidRDefault="0032735C" w:rsidP="0032735C">
      <w:pPr>
        <w:pStyle w:val="Note"/>
      </w:pPr>
      <w:r w:rsidRPr="0032735C">
        <w:rPr>
          <w:rStyle w:val="NoteLabel"/>
        </w:rPr>
        <w:t>a</w:t>
      </w:r>
      <w:r>
        <w:t xml:space="preserve"> </w:t>
      </w:r>
      <w:r w:rsidRPr="008668C1">
        <w:t>Based on five year average of total New Zealand equity investment in Australia from 2007-2011, and the Australian 30</w:t>
      </w:r>
      <w:r>
        <w:t> </w:t>
      </w:r>
      <w:proofErr w:type="spellStart"/>
      <w:r>
        <w:t>percent</w:t>
      </w:r>
      <w:proofErr w:type="spellEnd"/>
      <w:r w:rsidRPr="008668C1">
        <w:t xml:space="preserve"> company tax rate. All figures are in $NZ million</w:t>
      </w:r>
      <w:r>
        <w:t>.</w:t>
      </w:r>
    </w:p>
    <w:p w:rsidR="00D16F98" w:rsidRDefault="0032735C" w:rsidP="00D16F98">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F.</w:t>
      </w:r>
      <w:r>
        <w:rPr>
          <w:b w:val="0"/>
        </w:rPr>
        <w:fldChar w:fldCharType="end"/>
      </w:r>
      <w:r w:rsidR="006178EF">
        <w:rPr>
          <w:b w:val="0"/>
        </w:rPr>
        <w:t>8</w:t>
      </w:r>
      <w:proofErr w:type="spellEnd"/>
      <w:r w:rsidR="00D16F98">
        <w:tab/>
      </w:r>
      <w:r w:rsidR="00D16F98" w:rsidRPr="00F75631">
        <w:t>Fiscal costs of mutual recognition for Australia</w:t>
      </w:r>
      <w:r w:rsidRPr="0032735C">
        <w:rPr>
          <w:rStyle w:val="NoteLabel"/>
          <w:b/>
        </w:rPr>
        <w:t>a</w:t>
      </w:r>
    </w:p>
    <w:tbl>
      <w:tblPr>
        <w:tblW w:w="5000" w:type="pct"/>
        <w:tblCellMar>
          <w:left w:w="0" w:type="dxa"/>
          <w:right w:w="0" w:type="dxa"/>
        </w:tblCellMar>
        <w:tblLook w:val="0000" w:firstRow="0" w:lastRow="0" w:firstColumn="0" w:lastColumn="0" w:noHBand="0" w:noVBand="0"/>
      </w:tblPr>
      <w:tblGrid>
        <w:gridCol w:w="5245"/>
        <w:gridCol w:w="1772"/>
        <w:gridCol w:w="1772"/>
      </w:tblGrid>
      <w:tr w:rsidR="00D16F98" w:rsidRPr="004E0881" w:rsidTr="0032735C">
        <w:tc>
          <w:tcPr>
            <w:tcW w:w="2984" w:type="pct"/>
            <w:tcBorders>
              <w:top w:val="single" w:sz="6" w:space="0" w:color="auto"/>
              <w:bottom w:val="single" w:sz="4" w:space="0" w:color="auto"/>
            </w:tcBorders>
            <w:shd w:val="clear" w:color="auto" w:fill="E7ECCE"/>
          </w:tcPr>
          <w:p w:rsidR="00D16F98" w:rsidRPr="004E0881" w:rsidRDefault="00684514" w:rsidP="0032735C">
            <w:pPr>
              <w:pStyle w:val="TableUnitsRow"/>
              <w:jc w:val="left"/>
              <w:rPr>
                <w:i/>
                <w:highlight w:val="yellow"/>
              </w:rPr>
            </w:pPr>
            <w:r w:rsidRPr="004E0881">
              <w:rPr>
                <w:i/>
              </w:rPr>
              <w:t xml:space="preserve">The assumed use of </w:t>
            </w:r>
            <w:proofErr w:type="spellStart"/>
            <w:r w:rsidRPr="004E0881">
              <w:rPr>
                <w:i/>
              </w:rPr>
              <w:t>MRIC</w:t>
            </w:r>
            <w:proofErr w:type="spellEnd"/>
            <w:r w:rsidRPr="004E0881">
              <w:rPr>
                <w:i/>
              </w:rPr>
              <w:t xml:space="preserve"> credits is based on a range of distribution rates for </w:t>
            </w:r>
            <w:proofErr w:type="spellStart"/>
            <w:r w:rsidRPr="004E0881">
              <w:rPr>
                <w:i/>
              </w:rPr>
              <w:t>FDI</w:t>
            </w:r>
            <w:proofErr w:type="spellEnd"/>
            <w:r w:rsidRPr="004E0881">
              <w:rPr>
                <w:i/>
              </w:rPr>
              <w:t xml:space="preserve"> (as below), and existing actual distribution rates for </w:t>
            </w:r>
            <w:proofErr w:type="spellStart"/>
            <w:r w:rsidRPr="004E0881">
              <w:rPr>
                <w:i/>
              </w:rPr>
              <w:t>FPI</w:t>
            </w:r>
            <w:proofErr w:type="spellEnd"/>
          </w:p>
        </w:tc>
        <w:tc>
          <w:tcPr>
            <w:tcW w:w="1008" w:type="pct"/>
            <w:tcBorders>
              <w:top w:val="single" w:sz="6" w:space="0" w:color="auto"/>
              <w:bottom w:val="single" w:sz="4" w:space="0" w:color="auto"/>
            </w:tcBorders>
            <w:shd w:val="clear" w:color="auto" w:fill="E7ECCE"/>
          </w:tcPr>
          <w:p w:rsidR="00D16F98" w:rsidRPr="004E0881" w:rsidRDefault="00D16F98" w:rsidP="00B210D4">
            <w:pPr>
              <w:pStyle w:val="TableUnitsRow"/>
              <w:rPr>
                <w:i/>
              </w:rPr>
            </w:pPr>
            <w:r w:rsidRPr="004E0881">
              <w:rPr>
                <w:i/>
              </w:rPr>
              <w:t>ABS data</w:t>
            </w:r>
          </w:p>
        </w:tc>
        <w:tc>
          <w:tcPr>
            <w:tcW w:w="1008" w:type="pct"/>
            <w:tcBorders>
              <w:top w:val="single" w:sz="6" w:space="0" w:color="auto"/>
              <w:bottom w:val="single" w:sz="4" w:space="0" w:color="auto"/>
            </w:tcBorders>
            <w:shd w:val="clear" w:color="auto" w:fill="E7ECCE"/>
          </w:tcPr>
          <w:p w:rsidR="00D16F98" w:rsidRPr="004E0881" w:rsidRDefault="00D16F98" w:rsidP="00B210D4">
            <w:pPr>
              <w:pStyle w:val="TableUnitsRow"/>
              <w:ind w:right="28"/>
              <w:rPr>
                <w:i/>
              </w:rPr>
            </w:pPr>
            <w:proofErr w:type="spellStart"/>
            <w:r w:rsidRPr="004E0881">
              <w:rPr>
                <w:i/>
              </w:rPr>
              <w:t>SNZ</w:t>
            </w:r>
            <w:proofErr w:type="spellEnd"/>
            <w:r w:rsidRPr="004E0881">
              <w:rPr>
                <w:i/>
              </w:rPr>
              <w:t xml:space="preserve"> data</w:t>
            </w:r>
          </w:p>
        </w:tc>
      </w:tr>
      <w:tr w:rsidR="00D16F98" w:rsidRPr="00F75631" w:rsidTr="00B210D4">
        <w:tc>
          <w:tcPr>
            <w:tcW w:w="5000" w:type="pct"/>
            <w:gridSpan w:val="3"/>
            <w:tcBorders>
              <w:top w:val="single" w:sz="4" w:space="0" w:color="auto"/>
            </w:tcBorders>
          </w:tcPr>
          <w:p w:rsidR="00D16F98" w:rsidRPr="00525521" w:rsidRDefault="00684514" w:rsidP="00684514">
            <w:pPr>
              <w:pStyle w:val="TableUnitsRow"/>
              <w:jc w:val="left"/>
              <w:rPr>
                <w:highlight w:val="yellow"/>
              </w:rPr>
            </w:pPr>
            <w:r w:rsidRPr="00684514">
              <w:rPr>
                <w:i/>
              </w:rPr>
              <w:t xml:space="preserve">Assuming all shareholders on top tax rate of </w:t>
            </w:r>
            <w:proofErr w:type="spellStart"/>
            <w:r w:rsidRPr="00684514">
              <w:rPr>
                <w:i/>
              </w:rPr>
              <w:t>45c</w:t>
            </w:r>
            <w:proofErr w:type="spellEnd"/>
          </w:p>
        </w:tc>
      </w:tr>
      <w:tr w:rsidR="00D16F98" w:rsidTr="00B210D4">
        <w:tc>
          <w:tcPr>
            <w:tcW w:w="2984" w:type="pct"/>
            <w:shd w:val="clear" w:color="auto" w:fill="auto"/>
          </w:tcPr>
          <w:p w:rsidR="00D16F98" w:rsidRDefault="00D16F98" w:rsidP="0077445E">
            <w:pPr>
              <w:pStyle w:val="TableBodyText"/>
              <w:ind w:left="284"/>
              <w:jc w:val="left"/>
            </w:pPr>
            <w:r w:rsidRPr="008668C1">
              <w:t xml:space="preserve">75% </w:t>
            </w:r>
            <w:r w:rsidR="0077445E">
              <w:t>dividend distribution</w:t>
            </w:r>
          </w:p>
        </w:tc>
        <w:tc>
          <w:tcPr>
            <w:tcW w:w="1008" w:type="pct"/>
            <w:shd w:val="clear" w:color="auto" w:fill="auto"/>
          </w:tcPr>
          <w:p w:rsidR="00D16F98" w:rsidRDefault="00D16F98" w:rsidP="00B210D4">
            <w:pPr>
              <w:pStyle w:val="TableBodyText"/>
            </w:pPr>
            <w:r>
              <w:t>555</w:t>
            </w:r>
          </w:p>
        </w:tc>
        <w:tc>
          <w:tcPr>
            <w:tcW w:w="1008" w:type="pct"/>
            <w:shd w:val="clear" w:color="auto" w:fill="auto"/>
          </w:tcPr>
          <w:p w:rsidR="00D16F98" w:rsidRDefault="00D16F98" w:rsidP="00B210D4">
            <w:pPr>
              <w:pStyle w:val="TableBodyText"/>
              <w:ind w:right="28"/>
            </w:pPr>
            <w:r>
              <w:t>745</w:t>
            </w:r>
          </w:p>
        </w:tc>
      </w:tr>
      <w:tr w:rsidR="00D16F98" w:rsidTr="00B210D4">
        <w:tc>
          <w:tcPr>
            <w:tcW w:w="2984" w:type="pct"/>
            <w:shd w:val="clear" w:color="auto" w:fill="auto"/>
          </w:tcPr>
          <w:p w:rsidR="00D16F98" w:rsidRPr="008668C1" w:rsidRDefault="00D16F98" w:rsidP="0077445E">
            <w:pPr>
              <w:pStyle w:val="TableBodyText"/>
              <w:ind w:left="284"/>
              <w:jc w:val="left"/>
            </w:pPr>
            <w:r>
              <w:t>50</w:t>
            </w:r>
            <w:r w:rsidRPr="008668C1">
              <w:t xml:space="preserve">% </w:t>
            </w:r>
            <w:r w:rsidR="0077445E">
              <w:t>dividend distribution</w:t>
            </w:r>
          </w:p>
        </w:tc>
        <w:tc>
          <w:tcPr>
            <w:tcW w:w="1008" w:type="pct"/>
            <w:shd w:val="clear" w:color="auto" w:fill="auto"/>
          </w:tcPr>
          <w:p w:rsidR="00D16F98" w:rsidRDefault="00D16F98" w:rsidP="00B210D4">
            <w:pPr>
              <w:pStyle w:val="TableBodyText"/>
            </w:pPr>
            <w:r>
              <w:t>370</w:t>
            </w:r>
          </w:p>
        </w:tc>
        <w:tc>
          <w:tcPr>
            <w:tcW w:w="1008" w:type="pct"/>
            <w:shd w:val="clear" w:color="auto" w:fill="auto"/>
          </w:tcPr>
          <w:p w:rsidR="00D16F98" w:rsidRDefault="00D16F98" w:rsidP="00B210D4">
            <w:pPr>
              <w:pStyle w:val="TableBodyText"/>
              <w:ind w:right="28"/>
            </w:pPr>
            <w:r>
              <w:t>510</w:t>
            </w:r>
          </w:p>
        </w:tc>
      </w:tr>
      <w:tr w:rsidR="00D16F98" w:rsidTr="00B210D4">
        <w:tc>
          <w:tcPr>
            <w:tcW w:w="2984" w:type="pct"/>
            <w:shd w:val="clear" w:color="auto" w:fill="auto"/>
          </w:tcPr>
          <w:p w:rsidR="00D16F98" w:rsidRDefault="00D16F98" w:rsidP="0077445E">
            <w:pPr>
              <w:pStyle w:val="TableBodyText"/>
              <w:ind w:left="284"/>
              <w:jc w:val="left"/>
            </w:pPr>
            <w:r>
              <w:t>2</w:t>
            </w:r>
            <w:r w:rsidRPr="008668C1">
              <w:t xml:space="preserve">5% </w:t>
            </w:r>
            <w:r w:rsidR="0077445E">
              <w:t>dividend distribution</w:t>
            </w:r>
          </w:p>
        </w:tc>
        <w:tc>
          <w:tcPr>
            <w:tcW w:w="1008" w:type="pct"/>
            <w:shd w:val="clear" w:color="auto" w:fill="auto"/>
          </w:tcPr>
          <w:p w:rsidR="00D16F98" w:rsidRDefault="00D16F98" w:rsidP="00B210D4">
            <w:pPr>
              <w:pStyle w:val="TableBodyText"/>
            </w:pPr>
            <w:r>
              <w:t>190</w:t>
            </w:r>
          </w:p>
        </w:tc>
        <w:tc>
          <w:tcPr>
            <w:tcW w:w="1008" w:type="pct"/>
            <w:shd w:val="clear" w:color="auto" w:fill="auto"/>
          </w:tcPr>
          <w:p w:rsidR="00D16F98" w:rsidRDefault="00D16F98" w:rsidP="00B210D4">
            <w:pPr>
              <w:pStyle w:val="TableBodyText"/>
              <w:ind w:right="28"/>
            </w:pPr>
            <w:r>
              <w:t>275</w:t>
            </w:r>
          </w:p>
        </w:tc>
      </w:tr>
      <w:tr w:rsidR="00D16F98" w:rsidTr="00B210D4">
        <w:tc>
          <w:tcPr>
            <w:tcW w:w="2984" w:type="pct"/>
            <w:shd w:val="clear" w:color="auto" w:fill="auto"/>
          </w:tcPr>
          <w:p w:rsidR="00D16F98" w:rsidRDefault="00D16F98" w:rsidP="004A676E">
            <w:pPr>
              <w:pStyle w:val="TableBodyText"/>
              <w:ind w:left="284"/>
              <w:jc w:val="left"/>
            </w:pPr>
            <w:r>
              <w:t xml:space="preserve">If </w:t>
            </w:r>
            <w:proofErr w:type="spellStart"/>
            <w:r>
              <w:t>MRIC</w:t>
            </w:r>
            <w:proofErr w:type="spellEnd"/>
            <w:r>
              <w:t xml:space="preserve"> increased the </w:t>
            </w:r>
            <w:proofErr w:type="spellStart"/>
            <w:r>
              <w:t>FDI</w:t>
            </w:r>
            <w:proofErr w:type="spellEnd"/>
            <w:r>
              <w:t xml:space="preserve"> dividend distribution rate by 25</w:t>
            </w:r>
            <w:r w:rsidR="004A676E">
              <w:t>%,</w:t>
            </w:r>
            <w:r>
              <w:t xml:space="preserve"> the above cost estimates adjust</w:t>
            </w:r>
            <w:r w:rsidR="004A676E">
              <w:t xml:space="preserve"> by:</w:t>
            </w:r>
            <w:r>
              <w:br/>
              <w:t xml:space="preserve">Or allowing for </w:t>
            </w:r>
            <w:proofErr w:type="spellStart"/>
            <w:r>
              <w:t>CGT</w:t>
            </w:r>
            <w:proofErr w:type="spellEnd"/>
            <w:r w:rsidR="0077445E">
              <w:t xml:space="preserve"> (on an accrual basis)</w:t>
            </w:r>
            <w:r>
              <w:t>:</w:t>
            </w:r>
          </w:p>
        </w:tc>
        <w:tc>
          <w:tcPr>
            <w:tcW w:w="1008" w:type="pct"/>
            <w:shd w:val="clear" w:color="auto" w:fill="auto"/>
          </w:tcPr>
          <w:p w:rsidR="00D16F98" w:rsidRDefault="00D16F98" w:rsidP="00B210D4">
            <w:pPr>
              <w:pStyle w:val="TableBodyText"/>
            </w:pPr>
            <w:r>
              <w:br/>
              <w:t>-99</w:t>
            </w:r>
            <w:r>
              <w:br/>
              <w:t>+69</w:t>
            </w:r>
          </w:p>
        </w:tc>
        <w:tc>
          <w:tcPr>
            <w:tcW w:w="1008" w:type="pct"/>
            <w:shd w:val="clear" w:color="auto" w:fill="auto"/>
          </w:tcPr>
          <w:p w:rsidR="00D16F98" w:rsidRDefault="00D16F98" w:rsidP="00B210D4">
            <w:pPr>
              <w:pStyle w:val="TableBodyText"/>
              <w:ind w:right="28"/>
            </w:pPr>
            <w:r>
              <w:br/>
              <w:t>-128</w:t>
            </w:r>
            <w:r>
              <w:br/>
              <w:t>-90</w:t>
            </w:r>
          </w:p>
        </w:tc>
      </w:tr>
      <w:tr w:rsidR="00D16F98" w:rsidRPr="00F75631" w:rsidTr="00B210D4">
        <w:tc>
          <w:tcPr>
            <w:tcW w:w="5000" w:type="pct"/>
            <w:gridSpan w:val="3"/>
            <w:shd w:val="clear" w:color="auto" w:fill="auto"/>
          </w:tcPr>
          <w:p w:rsidR="00D16F98" w:rsidRDefault="00D16F98" w:rsidP="00B210D4">
            <w:pPr>
              <w:pStyle w:val="TableUnitsRow"/>
              <w:jc w:val="left"/>
            </w:pPr>
            <w:r w:rsidRPr="00F75631">
              <w:t>Assuming a distribution of shareholder tax rates</w:t>
            </w:r>
          </w:p>
        </w:tc>
      </w:tr>
      <w:tr w:rsidR="00D16F98" w:rsidTr="00B210D4">
        <w:tc>
          <w:tcPr>
            <w:tcW w:w="2984" w:type="pct"/>
            <w:shd w:val="clear" w:color="auto" w:fill="auto"/>
          </w:tcPr>
          <w:p w:rsidR="00D16F98" w:rsidRDefault="00D16F98" w:rsidP="0077445E">
            <w:pPr>
              <w:pStyle w:val="TableBodyText"/>
              <w:ind w:left="284"/>
              <w:jc w:val="left"/>
            </w:pPr>
            <w:r w:rsidRPr="008668C1">
              <w:t xml:space="preserve">75% </w:t>
            </w:r>
            <w:r w:rsidR="0077445E">
              <w:t xml:space="preserve">dividend distribution </w:t>
            </w:r>
          </w:p>
        </w:tc>
        <w:tc>
          <w:tcPr>
            <w:tcW w:w="1008" w:type="pct"/>
            <w:shd w:val="clear" w:color="auto" w:fill="auto"/>
          </w:tcPr>
          <w:p w:rsidR="00D16F98" w:rsidRDefault="00D16F98" w:rsidP="00B210D4">
            <w:pPr>
              <w:pStyle w:val="TableBodyText"/>
            </w:pPr>
            <w:r>
              <w:t>615</w:t>
            </w:r>
          </w:p>
        </w:tc>
        <w:tc>
          <w:tcPr>
            <w:tcW w:w="1008" w:type="pct"/>
            <w:shd w:val="clear" w:color="auto" w:fill="auto"/>
          </w:tcPr>
          <w:p w:rsidR="00D16F98" w:rsidRDefault="00D16F98" w:rsidP="00B210D4">
            <w:pPr>
              <w:pStyle w:val="TableBodyText"/>
              <w:ind w:right="28"/>
            </w:pPr>
            <w:r>
              <w:t>830</w:t>
            </w:r>
          </w:p>
        </w:tc>
      </w:tr>
      <w:tr w:rsidR="00D16F98" w:rsidTr="00B210D4">
        <w:tc>
          <w:tcPr>
            <w:tcW w:w="2984" w:type="pct"/>
            <w:shd w:val="clear" w:color="auto" w:fill="auto"/>
          </w:tcPr>
          <w:p w:rsidR="00D16F98" w:rsidRPr="008668C1" w:rsidRDefault="00D16F98" w:rsidP="0077445E">
            <w:pPr>
              <w:pStyle w:val="TableBodyText"/>
              <w:ind w:left="284"/>
              <w:jc w:val="left"/>
            </w:pPr>
            <w:r>
              <w:t>50</w:t>
            </w:r>
            <w:r w:rsidRPr="008668C1">
              <w:t xml:space="preserve">% </w:t>
            </w:r>
            <w:r w:rsidR="0077445E">
              <w:t>dividend distribution</w:t>
            </w:r>
          </w:p>
        </w:tc>
        <w:tc>
          <w:tcPr>
            <w:tcW w:w="1008" w:type="pct"/>
            <w:shd w:val="clear" w:color="auto" w:fill="auto"/>
          </w:tcPr>
          <w:p w:rsidR="00D16F98" w:rsidRDefault="00D16F98" w:rsidP="00B210D4">
            <w:pPr>
              <w:pStyle w:val="TableBodyText"/>
            </w:pPr>
            <w:r>
              <w:t>415</w:t>
            </w:r>
          </w:p>
        </w:tc>
        <w:tc>
          <w:tcPr>
            <w:tcW w:w="1008" w:type="pct"/>
            <w:shd w:val="clear" w:color="auto" w:fill="auto"/>
          </w:tcPr>
          <w:p w:rsidR="00D16F98" w:rsidRDefault="00D16F98" w:rsidP="00B210D4">
            <w:pPr>
              <w:pStyle w:val="TableBodyText"/>
              <w:ind w:right="28"/>
            </w:pPr>
            <w:r>
              <w:t>570</w:t>
            </w:r>
          </w:p>
        </w:tc>
      </w:tr>
      <w:tr w:rsidR="00D16F98" w:rsidTr="00B210D4">
        <w:tc>
          <w:tcPr>
            <w:tcW w:w="2984" w:type="pct"/>
            <w:shd w:val="clear" w:color="auto" w:fill="auto"/>
          </w:tcPr>
          <w:p w:rsidR="00D16F98" w:rsidRDefault="00D16F98" w:rsidP="0077445E">
            <w:pPr>
              <w:pStyle w:val="TableBodyText"/>
              <w:ind w:left="284"/>
              <w:jc w:val="left"/>
            </w:pPr>
            <w:r>
              <w:t>2</w:t>
            </w:r>
            <w:r w:rsidRPr="008668C1">
              <w:t xml:space="preserve">5% </w:t>
            </w:r>
            <w:r w:rsidR="0077445E">
              <w:t>dividend distribution</w:t>
            </w:r>
          </w:p>
        </w:tc>
        <w:tc>
          <w:tcPr>
            <w:tcW w:w="1008" w:type="pct"/>
            <w:shd w:val="clear" w:color="auto" w:fill="auto"/>
          </w:tcPr>
          <w:p w:rsidR="00D16F98" w:rsidRDefault="00D16F98" w:rsidP="00B210D4">
            <w:pPr>
              <w:pStyle w:val="TableBodyText"/>
            </w:pPr>
            <w:r>
              <w:t>215</w:t>
            </w:r>
          </w:p>
        </w:tc>
        <w:tc>
          <w:tcPr>
            <w:tcW w:w="1008" w:type="pct"/>
            <w:shd w:val="clear" w:color="auto" w:fill="auto"/>
          </w:tcPr>
          <w:p w:rsidR="00D16F98" w:rsidRDefault="00D16F98" w:rsidP="00B210D4">
            <w:pPr>
              <w:pStyle w:val="TableBodyText"/>
              <w:ind w:right="28"/>
            </w:pPr>
            <w:r>
              <w:t>305</w:t>
            </w:r>
          </w:p>
        </w:tc>
      </w:tr>
      <w:tr w:rsidR="00D16F98" w:rsidTr="00B210D4">
        <w:tc>
          <w:tcPr>
            <w:tcW w:w="2984" w:type="pct"/>
            <w:shd w:val="clear" w:color="auto" w:fill="auto"/>
          </w:tcPr>
          <w:p w:rsidR="00D16F98" w:rsidRDefault="00D16F98" w:rsidP="00B210D4">
            <w:pPr>
              <w:pStyle w:val="TableBodyText"/>
              <w:ind w:left="284"/>
              <w:jc w:val="left"/>
            </w:pPr>
            <w:r>
              <w:t xml:space="preserve">If </w:t>
            </w:r>
            <w:proofErr w:type="spellStart"/>
            <w:r>
              <w:t>MRIC</w:t>
            </w:r>
            <w:proofErr w:type="spellEnd"/>
            <w:r>
              <w:t xml:space="preserve"> increased the dividend distribution rate by 25</w:t>
            </w:r>
            <w:r w:rsidR="004A676E">
              <w:t xml:space="preserve">% </w:t>
            </w:r>
            <w:r w:rsidR="00F41E8C" w:rsidRPr="00F41E8C">
              <w:t>points</w:t>
            </w:r>
            <w:r>
              <w:t>, the above cost estimates adjust by</w:t>
            </w:r>
            <w:r w:rsidR="004A676E">
              <w:t>:</w:t>
            </w:r>
          </w:p>
          <w:p w:rsidR="00D16F98" w:rsidRPr="008668C1" w:rsidRDefault="00D16F98" w:rsidP="00B210D4">
            <w:pPr>
              <w:pStyle w:val="TableBodyText"/>
              <w:ind w:left="284"/>
              <w:jc w:val="left"/>
            </w:pPr>
            <w:r>
              <w:t xml:space="preserve">Or, allowing for </w:t>
            </w:r>
            <w:proofErr w:type="spellStart"/>
            <w:r>
              <w:t>CGT</w:t>
            </w:r>
            <w:proofErr w:type="spellEnd"/>
            <w:r w:rsidR="004A676E">
              <w:t xml:space="preserve"> </w:t>
            </w:r>
            <w:r w:rsidR="0077445E">
              <w:t>(on an accrual basis)</w:t>
            </w:r>
            <w:r>
              <w:t>:</w:t>
            </w:r>
          </w:p>
        </w:tc>
        <w:tc>
          <w:tcPr>
            <w:tcW w:w="1008" w:type="pct"/>
            <w:shd w:val="clear" w:color="auto" w:fill="auto"/>
          </w:tcPr>
          <w:p w:rsidR="00D16F98" w:rsidRDefault="00D16F98" w:rsidP="00B210D4">
            <w:pPr>
              <w:pStyle w:val="TableBodyText"/>
            </w:pPr>
            <w:r>
              <w:br/>
              <w:t>-25</w:t>
            </w:r>
            <w:r>
              <w:br/>
              <w:t>-93</w:t>
            </w:r>
          </w:p>
        </w:tc>
        <w:tc>
          <w:tcPr>
            <w:tcW w:w="1008" w:type="pct"/>
            <w:shd w:val="clear" w:color="auto" w:fill="auto"/>
          </w:tcPr>
          <w:p w:rsidR="00D16F98" w:rsidRDefault="00D16F98" w:rsidP="00B210D4">
            <w:pPr>
              <w:pStyle w:val="TableBodyText"/>
              <w:ind w:right="28"/>
            </w:pPr>
            <w:r>
              <w:br/>
              <w:t>-35</w:t>
            </w:r>
            <w:r>
              <w:br/>
              <w:t>+118</w:t>
            </w:r>
          </w:p>
        </w:tc>
      </w:tr>
      <w:tr w:rsidR="00D16F98" w:rsidRPr="00F75631" w:rsidTr="00B210D4">
        <w:tc>
          <w:tcPr>
            <w:tcW w:w="5000" w:type="pct"/>
            <w:gridSpan w:val="3"/>
            <w:shd w:val="clear" w:color="auto" w:fill="auto"/>
          </w:tcPr>
          <w:p w:rsidR="00D16F98" w:rsidRDefault="00D16F98" w:rsidP="00B210D4">
            <w:pPr>
              <w:pStyle w:val="TableUnitsRow"/>
              <w:jc w:val="left"/>
            </w:pPr>
            <w:r w:rsidRPr="00F75631">
              <w:t>Assuming all shareholders are super funds on a rate of 15%:</w:t>
            </w:r>
          </w:p>
        </w:tc>
      </w:tr>
      <w:tr w:rsidR="00D16F98" w:rsidTr="00B210D4">
        <w:tc>
          <w:tcPr>
            <w:tcW w:w="2984" w:type="pct"/>
            <w:shd w:val="clear" w:color="auto" w:fill="auto"/>
          </w:tcPr>
          <w:p w:rsidR="00D16F98" w:rsidRDefault="00D16F98" w:rsidP="0077445E">
            <w:pPr>
              <w:pStyle w:val="TableBodyText"/>
              <w:ind w:left="284"/>
              <w:jc w:val="left"/>
            </w:pPr>
            <w:r w:rsidRPr="008668C1">
              <w:t xml:space="preserve">75% </w:t>
            </w:r>
            <w:r w:rsidR="0077445E">
              <w:t>dividend distribution</w:t>
            </w:r>
          </w:p>
        </w:tc>
        <w:tc>
          <w:tcPr>
            <w:tcW w:w="1008" w:type="pct"/>
            <w:shd w:val="clear" w:color="auto" w:fill="auto"/>
          </w:tcPr>
          <w:p w:rsidR="00D16F98" w:rsidRDefault="00D16F98" w:rsidP="00B210D4">
            <w:pPr>
              <w:pStyle w:val="TableBodyText"/>
            </w:pPr>
            <w:r>
              <w:t>750</w:t>
            </w:r>
          </w:p>
        </w:tc>
        <w:tc>
          <w:tcPr>
            <w:tcW w:w="1008" w:type="pct"/>
            <w:shd w:val="clear" w:color="auto" w:fill="auto"/>
          </w:tcPr>
          <w:p w:rsidR="00D16F98" w:rsidRDefault="00D16F98" w:rsidP="00B210D4">
            <w:pPr>
              <w:pStyle w:val="TableBodyText"/>
              <w:ind w:right="28"/>
            </w:pPr>
            <w:r>
              <w:t>1015</w:t>
            </w:r>
          </w:p>
        </w:tc>
      </w:tr>
      <w:tr w:rsidR="00D16F98" w:rsidTr="00B210D4">
        <w:tc>
          <w:tcPr>
            <w:tcW w:w="2984" w:type="pct"/>
            <w:shd w:val="clear" w:color="auto" w:fill="auto"/>
          </w:tcPr>
          <w:p w:rsidR="00D16F98" w:rsidRPr="008668C1" w:rsidRDefault="00D16F98" w:rsidP="0077445E">
            <w:pPr>
              <w:pStyle w:val="TableBodyText"/>
              <w:ind w:left="284"/>
              <w:jc w:val="left"/>
            </w:pPr>
            <w:r>
              <w:t>50</w:t>
            </w:r>
            <w:r w:rsidRPr="008668C1">
              <w:t xml:space="preserve">% </w:t>
            </w:r>
            <w:r w:rsidR="0077445E">
              <w:t xml:space="preserve">dividend distribution </w:t>
            </w:r>
          </w:p>
        </w:tc>
        <w:tc>
          <w:tcPr>
            <w:tcW w:w="1008" w:type="pct"/>
            <w:shd w:val="clear" w:color="auto" w:fill="auto"/>
          </w:tcPr>
          <w:p w:rsidR="00D16F98" w:rsidRDefault="00D16F98" w:rsidP="00B210D4">
            <w:pPr>
              <w:pStyle w:val="TableBodyText"/>
            </w:pPr>
            <w:r>
              <w:t>510</w:t>
            </w:r>
          </w:p>
        </w:tc>
        <w:tc>
          <w:tcPr>
            <w:tcW w:w="1008" w:type="pct"/>
            <w:shd w:val="clear" w:color="auto" w:fill="auto"/>
          </w:tcPr>
          <w:p w:rsidR="00D16F98" w:rsidRDefault="00D16F98" w:rsidP="00B210D4">
            <w:pPr>
              <w:pStyle w:val="TableBodyText"/>
              <w:ind w:right="28"/>
            </w:pPr>
            <w:r>
              <w:t>695</w:t>
            </w:r>
          </w:p>
        </w:tc>
      </w:tr>
      <w:tr w:rsidR="00D16F98" w:rsidTr="00B210D4">
        <w:tc>
          <w:tcPr>
            <w:tcW w:w="2984" w:type="pct"/>
            <w:shd w:val="clear" w:color="auto" w:fill="auto"/>
          </w:tcPr>
          <w:p w:rsidR="00D16F98" w:rsidRDefault="00D16F98" w:rsidP="0077445E">
            <w:pPr>
              <w:pStyle w:val="TableBodyText"/>
              <w:ind w:left="284"/>
              <w:jc w:val="left"/>
            </w:pPr>
            <w:r>
              <w:t>2</w:t>
            </w:r>
            <w:r w:rsidRPr="008668C1">
              <w:t xml:space="preserve">5% </w:t>
            </w:r>
            <w:r w:rsidR="0077445E">
              <w:t>dividend distribution</w:t>
            </w:r>
          </w:p>
        </w:tc>
        <w:tc>
          <w:tcPr>
            <w:tcW w:w="1008" w:type="pct"/>
            <w:shd w:val="clear" w:color="auto" w:fill="auto"/>
          </w:tcPr>
          <w:p w:rsidR="00D16F98" w:rsidRDefault="00D16F98" w:rsidP="00B210D4">
            <w:pPr>
              <w:pStyle w:val="TableBodyText"/>
            </w:pPr>
            <w:r>
              <w:t>260</w:t>
            </w:r>
          </w:p>
        </w:tc>
        <w:tc>
          <w:tcPr>
            <w:tcW w:w="1008" w:type="pct"/>
            <w:shd w:val="clear" w:color="auto" w:fill="auto"/>
          </w:tcPr>
          <w:p w:rsidR="00D16F98" w:rsidRDefault="00D16F98" w:rsidP="00B210D4">
            <w:pPr>
              <w:pStyle w:val="TableBodyText"/>
              <w:ind w:right="28"/>
            </w:pPr>
            <w:r>
              <w:t>375</w:t>
            </w:r>
          </w:p>
        </w:tc>
      </w:tr>
      <w:tr w:rsidR="00D16F98" w:rsidTr="00B210D4">
        <w:tc>
          <w:tcPr>
            <w:tcW w:w="2984" w:type="pct"/>
            <w:tcBorders>
              <w:bottom w:val="single" w:sz="6" w:space="0" w:color="auto"/>
            </w:tcBorders>
            <w:shd w:val="clear" w:color="auto" w:fill="auto"/>
          </w:tcPr>
          <w:p w:rsidR="00D16F98" w:rsidRPr="008668C1" w:rsidRDefault="00D16F98" w:rsidP="004A676E">
            <w:pPr>
              <w:pStyle w:val="TableBodyText"/>
              <w:ind w:left="284"/>
              <w:jc w:val="left"/>
            </w:pPr>
            <w:r w:rsidRPr="00F75631">
              <w:t xml:space="preserve">If </w:t>
            </w:r>
            <w:proofErr w:type="spellStart"/>
            <w:r w:rsidRPr="00F75631">
              <w:t>MRIC</w:t>
            </w:r>
            <w:proofErr w:type="spellEnd"/>
            <w:r w:rsidRPr="00F75631">
              <w:t xml:space="preserve"> increased the dividend distribution rate by 25</w:t>
            </w:r>
            <w:r w:rsidR="004A676E">
              <w:t>%</w:t>
            </w:r>
            <w:r w:rsidR="00F41E8C" w:rsidRPr="00F41E8C">
              <w:t xml:space="preserve"> points</w:t>
            </w:r>
            <w:r w:rsidRPr="00F75631">
              <w:t xml:space="preserve">, the above cost </w:t>
            </w:r>
            <w:r>
              <w:t>estimates adjust by</w:t>
            </w:r>
            <w:r w:rsidR="004A676E">
              <w:t>:</w:t>
            </w:r>
            <w:r>
              <w:br/>
            </w:r>
            <w:r w:rsidRPr="00F75631">
              <w:t xml:space="preserve">Or, allowing for </w:t>
            </w:r>
            <w:proofErr w:type="spellStart"/>
            <w:r w:rsidRPr="00F75631">
              <w:t>CGT</w:t>
            </w:r>
            <w:proofErr w:type="spellEnd"/>
            <w:r w:rsidR="004A676E">
              <w:t xml:space="preserve"> (on an accrual basis)</w:t>
            </w:r>
            <w:r w:rsidRPr="00F75631">
              <w:t>:</w:t>
            </w:r>
          </w:p>
        </w:tc>
        <w:tc>
          <w:tcPr>
            <w:tcW w:w="1008" w:type="pct"/>
            <w:tcBorders>
              <w:bottom w:val="single" w:sz="6" w:space="0" w:color="auto"/>
            </w:tcBorders>
            <w:shd w:val="clear" w:color="auto" w:fill="auto"/>
          </w:tcPr>
          <w:p w:rsidR="00D16F98" w:rsidRDefault="00D16F98" w:rsidP="00B210D4">
            <w:pPr>
              <w:pStyle w:val="TableBodyText"/>
            </w:pPr>
            <w:r>
              <w:br/>
              <w:t>+135</w:t>
            </w:r>
            <w:r>
              <w:br/>
              <w:t>+210</w:t>
            </w:r>
          </w:p>
        </w:tc>
        <w:tc>
          <w:tcPr>
            <w:tcW w:w="1008" w:type="pct"/>
            <w:tcBorders>
              <w:bottom w:val="single" w:sz="6" w:space="0" w:color="auto"/>
            </w:tcBorders>
            <w:shd w:val="clear" w:color="auto" w:fill="auto"/>
          </w:tcPr>
          <w:p w:rsidR="00D16F98" w:rsidRDefault="00D16F98" w:rsidP="00B210D4">
            <w:pPr>
              <w:pStyle w:val="TableBodyText"/>
              <w:ind w:right="28"/>
            </w:pPr>
            <w:r>
              <w:br/>
              <w:t>+175</w:t>
            </w:r>
            <w:r>
              <w:br/>
              <w:t>+272</w:t>
            </w:r>
          </w:p>
        </w:tc>
      </w:tr>
    </w:tbl>
    <w:p w:rsidR="00D16F98" w:rsidRPr="008E77FE" w:rsidRDefault="0032735C" w:rsidP="00D16F98">
      <w:pPr>
        <w:pStyle w:val="Source"/>
      </w:pPr>
      <w:r w:rsidRPr="0032735C">
        <w:rPr>
          <w:rStyle w:val="NoteLabel"/>
        </w:rPr>
        <w:t>a</w:t>
      </w:r>
      <w:r>
        <w:t xml:space="preserve"> </w:t>
      </w:r>
      <w:r w:rsidRPr="00F75631">
        <w:t>Based on five year average of total Australian investment in New Zealand from 2007-2011, and the New Zealand 28</w:t>
      </w:r>
      <w:r>
        <w:t> </w:t>
      </w:r>
      <w:proofErr w:type="spellStart"/>
      <w:r>
        <w:t>percent</w:t>
      </w:r>
      <w:proofErr w:type="spellEnd"/>
      <w:r w:rsidRPr="00F75631">
        <w:t xml:space="preserve"> company tax rate. All figures are in $NZ million</w:t>
      </w:r>
      <w:r>
        <w:t>.</w:t>
      </w:r>
    </w:p>
    <w:p w:rsidR="00D16F98" w:rsidRPr="00D16F98" w:rsidRDefault="00D16F98" w:rsidP="00D16F98">
      <w:pPr>
        <w:pStyle w:val="BodyText"/>
      </w:pPr>
      <w:r w:rsidRPr="00D16F98">
        <w:br w:type="page"/>
      </w:r>
    </w:p>
    <w:p w:rsidR="00DD671C" w:rsidRDefault="006D064B" w:rsidP="00AA010D">
      <w:pPr>
        <w:pStyle w:val="Heading2"/>
      </w:pPr>
      <w:r>
        <w:lastRenderedPageBreak/>
        <w:t>References</w:t>
      </w:r>
    </w:p>
    <w:p w:rsidR="0034153B" w:rsidRPr="00632492" w:rsidRDefault="0034153B" w:rsidP="0043008E">
      <w:pPr>
        <w:pStyle w:val="Reference"/>
        <w:rPr>
          <w:u w:val="single"/>
        </w:rPr>
      </w:pPr>
      <w:r w:rsidRPr="00632492">
        <w:t>Australian</w:t>
      </w:r>
      <w:r w:rsidR="002D10F3" w:rsidRPr="00632492">
        <w:t xml:space="preserve"> Government </w:t>
      </w:r>
      <w:r w:rsidR="00983F7F" w:rsidRPr="00632492">
        <w:t>(T</w:t>
      </w:r>
      <w:r w:rsidR="002D10F3" w:rsidRPr="00632492">
        <w:t>he</w:t>
      </w:r>
      <w:r w:rsidRPr="00632492">
        <w:t xml:space="preserve"> Treasury</w:t>
      </w:r>
      <w:r w:rsidR="00983F7F" w:rsidRPr="00632492">
        <w:t>)</w:t>
      </w:r>
      <w:r w:rsidRPr="00632492">
        <w:t xml:space="preserve">2012, ‘Business Tax Working Group discussion paper’, August 2012, </w:t>
      </w:r>
      <w:r w:rsidR="002D10F3" w:rsidRPr="00632492">
        <w:t>http://</w:t>
      </w:r>
      <w:proofErr w:type="spellStart"/>
      <w:r w:rsidR="002D10F3" w:rsidRPr="00632492">
        <w:t>www.treasury.gov.au</w:t>
      </w:r>
      <w:proofErr w:type="spellEnd"/>
      <w:r w:rsidR="002D10F3" w:rsidRPr="00632492">
        <w:t>/~/media/</w:t>
      </w:r>
      <w:proofErr w:type="spellStart"/>
      <w:r w:rsidR="002D10F3" w:rsidRPr="00632492">
        <w:t>Treasu</w:t>
      </w:r>
      <w:proofErr w:type="spellEnd"/>
      <w:r w:rsidR="002D10F3" w:rsidRPr="00632492">
        <w:t xml:space="preserve"> ry/Consultations%20and%20Reviews/2012/Business%20tax%20reform/Downloads/PDF/BTWG_discussion_paper_2012.ashx</w:t>
      </w:r>
      <w:r w:rsidRPr="00632492">
        <w:t xml:space="preserve"> (accessed 27 November 2012).</w:t>
      </w:r>
    </w:p>
    <w:p w:rsidR="00ED67DB" w:rsidRDefault="00ED67DB" w:rsidP="0043008E">
      <w:pPr>
        <w:pStyle w:val="Reference"/>
      </w:pPr>
      <w:r w:rsidRPr="00D42066">
        <w:t>Australia’s</w:t>
      </w:r>
      <w:r w:rsidRPr="00D42066" w:rsidDel="000937E2">
        <w:t xml:space="preserve"> Future Tax System Panel</w:t>
      </w:r>
      <w:r w:rsidRPr="00D42066">
        <w:t xml:space="preserve"> 20</w:t>
      </w:r>
      <w:r>
        <w:t>10</w:t>
      </w:r>
      <w:r w:rsidRPr="00D42066">
        <w:t xml:space="preserve">, </w:t>
      </w:r>
      <w:r w:rsidRPr="00D42066">
        <w:rPr>
          <w:i/>
        </w:rPr>
        <w:t>Report to the Treasurer</w:t>
      </w:r>
      <w:r>
        <w:rPr>
          <w:i/>
        </w:rPr>
        <w:t xml:space="preserve"> (</w:t>
      </w:r>
      <w:r>
        <w:t>Henry Review)</w:t>
      </w:r>
      <w:r w:rsidRPr="00D42066">
        <w:t>, Commonwealth of Australia, Canberra.</w:t>
      </w:r>
    </w:p>
    <w:p w:rsidR="0034153B" w:rsidRPr="0043008E" w:rsidRDefault="0034153B" w:rsidP="0043008E">
      <w:pPr>
        <w:pStyle w:val="Reference"/>
      </w:pPr>
      <w:r>
        <w:t>Benge, M. and Slack, H. 2012, ‘Mutual Recognition: A framework for considering costs and benefits’, Paper presented to Australian and New Zealand Productivity Commissions Technical Workshop on Mutual Recognition, 31</w:t>
      </w:r>
      <w:r w:rsidR="00AA010D">
        <w:t> </w:t>
      </w:r>
      <w:r>
        <w:t>October.</w:t>
      </w:r>
    </w:p>
    <w:p w:rsidR="0034153B" w:rsidRPr="0043008E" w:rsidRDefault="0034153B" w:rsidP="0043008E">
      <w:pPr>
        <w:pStyle w:val="Reference"/>
      </w:pPr>
      <w:proofErr w:type="spellStart"/>
      <w:r w:rsidRPr="00D42066">
        <w:t>Gruen</w:t>
      </w:r>
      <w:proofErr w:type="spellEnd"/>
      <w:r w:rsidRPr="00D42066">
        <w:t xml:space="preserve">, N. 2006, </w:t>
      </w:r>
      <w:r w:rsidRPr="00D42066">
        <w:rPr>
          <w:i/>
        </w:rPr>
        <w:t>Tax Cuts to Compete: The influence of corporate taxation on Australia's economic growth</w:t>
      </w:r>
      <w:r w:rsidRPr="00D42066">
        <w:t xml:space="preserve">, </w:t>
      </w:r>
      <w:proofErr w:type="spellStart"/>
      <w:r w:rsidRPr="00D42066">
        <w:t>CEDA</w:t>
      </w:r>
      <w:proofErr w:type="spellEnd"/>
      <w:r w:rsidRPr="00D42066">
        <w:t xml:space="preserve"> Information Paper 85, </w:t>
      </w:r>
      <w:r w:rsidRPr="00CA7CD3">
        <w:t>http://www.lateraleconomics.com.au/outputs/CEDA%20Tax%20cuts%20to%20compete.pdf</w:t>
      </w:r>
      <w:r w:rsidRPr="00D42066">
        <w:t xml:space="preserve"> (accessed 27 November 2012).</w:t>
      </w:r>
    </w:p>
    <w:p w:rsidR="0034153B" w:rsidRPr="00D42066" w:rsidRDefault="0043008E" w:rsidP="0043008E">
      <w:pPr>
        <w:pStyle w:val="Reference"/>
      </w:pPr>
      <w:r>
        <w:t>——2012, ‘Dividend imputation — $</w:t>
      </w:r>
      <w:proofErr w:type="spellStart"/>
      <w:r>
        <w:t>20</w:t>
      </w:r>
      <w:r w:rsidR="0034153B" w:rsidRPr="00D42066">
        <w:t>bn</w:t>
      </w:r>
      <w:proofErr w:type="spellEnd"/>
      <w:r w:rsidR="0034153B" w:rsidRPr="00D42066">
        <w:t xml:space="preserve"> for the taking’, </w:t>
      </w:r>
      <w:r w:rsidR="0034153B" w:rsidRPr="00D42066">
        <w:rPr>
          <w:i/>
        </w:rPr>
        <w:t xml:space="preserve">Sydney Morning Herald, </w:t>
      </w:r>
      <w:r w:rsidR="0034153B" w:rsidRPr="00D42066">
        <w:t xml:space="preserve">18 September, </w:t>
      </w:r>
      <w:r w:rsidR="0034153B" w:rsidRPr="00CA7CD3">
        <w:t>http://</w:t>
      </w:r>
      <w:proofErr w:type="spellStart"/>
      <w:r w:rsidR="0034153B" w:rsidRPr="00CA7CD3">
        <w:t>www.smh.com.au</w:t>
      </w:r>
      <w:proofErr w:type="spellEnd"/>
      <w:r w:rsidR="0034153B" w:rsidRPr="00CA7CD3">
        <w:t>/business/dividend-imputation--</w:t>
      </w:r>
      <w:proofErr w:type="spellStart"/>
      <w:r w:rsidR="0034153B" w:rsidRPr="00CA7CD3">
        <w:t>20bn</w:t>
      </w:r>
      <w:proofErr w:type="spellEnd"/>
      <w:r w:rsidR="0034153B" w:rsidRPr="00CA7CD3">
        <w:t>-for-</w:t>
      </w:r>
      <w:proofErr w:type="spellStart"/>
      <w:r w:rsidR="0034153B" w:rsidRPr="00CA7CD3">
        <w:t>thetakin</w:t>
      </w:r>
      <w:proofErr w:type="spellEnd"/>
      <w:r w:rsidR="0034153B" w:rsidRPr="00CA7CD3">
        <w:t xml:space="preserve"> g-20120917-</w:t>
      </w:r>
      <w:proofErr w:type="spellStart"/>
      <w:r w:rsidR="0034153B" w:rsidRPr="00CA7CD3">
        <w:t>262h2.html</w:t>
      </w:r>
      <w:proofErr w:type="spellEnd"/>
      <w:r w:rsidR="0034153B" w:rsidRPr="00D42066">
        <w:t xml:space="preserve"> (accessed 27 November 2012).</w:t>
      </w:r>
    </w:p>
    <w:p w:rsidR="0034153B" w:rsidRPr="00D42066" w:rsidRDefault="0043008E" w:rsidP="0043008E">
      <w:pPr>
        <w:pStyle w:val="Reference"/>
      </w:pPr>
      <w:r>
        <w:t>MacDougall, G. 1960,</w:t>
      </w:r>
      <w:r w:rsidR="0034153B" w:rsidRPr="00D42066">
        <w:t xml:space="preserve"> ‘The benefits and costs of private investment form abroad: a theoretical </w:t>
      </w:r>
      <w:r w:rsidR="005A1E2F" w:rsidRPr="00D42066">
        <w:t>approach</w:t>
      </w:r>
      <w:r w:rsidR="0034153B" w:rsidRPr="00D42066">
        <w:t xml:space="preserve">’, </w:t>
      </w:r>
      <w:r w:rsidR="0034153B" w:rsidRPr="00D42066">
        <w:rPr>
          <w:i/>
        </w:rPr>
        <w:t xml:space="preserve">Economic Record, </w:t>
      </w:r>
      <w:r w:rsidR="0034153B" w:rsidRPr="00D42066">
        <w:t>vol.</w:t>
      </w:r>
      <w:r>
        <w:t> 36, no. 73, pp. </w:t>
      </w:r>
      <w:r w:rsidR="0034153B" w:rsidRPr="00D42066">
        <w:t>13–35.</w:t>
      </w:r>
    </w:p>
    <w:p w:rsidR="0034153B" w:rsidRPr="00D42066" w:rsidRDefault="0034153B" w:rsidP="0043008E">
      <w:pPr>
        <w:pStyle w:val="Reference"/>
      </w:pPr>
      <w:proofErr w:type="spellStart"/>
      <w:r w:rsidRPr="00D42066">
        <w:t>McKibbin</w:t>
      </w:r>
      <w:proofErr w:type="spellEnd"/>
      <w:r w:rsidRPr="00D42066">
        <w:t xml:space="preserve"> W. and </w:t>
      </w:r>
      <w:proofErr w:type="spellStart"/>
      <w:r w:rsidRPr="00D42066">
        <w:t>Wilcoxen</w:t>
      </w:r>
      <w:proofErr w:type="spellEnd"/>
      <w:r w:rsidRPr="00D42066">
        <w:t xml:space="preserve">, P. 1999, ‘The Theoretical and empirical structure of the G-Cubed model’, </w:t>
      </w:r>
      <w:r w:rsidRPr="00D42066">
        <w:rPr>
          <w:i/>
        </w:rPr>
        <w:t>Economic Modelling</w:t>
      </w:r>
      <w:r w:rsidR="0043008E">
        <w:t>, vol. </w:t>
      </w:r>
      <w:r w:rsidRPr="00D42066">
        <w:t>16, no.</w:t>
      </w:r>
      <w:r w:rsidR="0043008E">
        <w:t> 1, pp. </w:t>
      </w:r>
      <w:r w:rsidRPr="00D42066">
        <w:t>123–48.</w:t>
      </w:r>
    </w:p>
    <w:p w:rsidR="0034153B" w:rsidRPr="00D42066" w:rsidRDefault="0034153B" w:rsidP="0043008E">
      <w:pPr>
        <w:pStyle w:val="Reference"/>
      </w:pPr>
      <w:r w:rsidRPr="00D42066">
        <w:t xml:space="preserve">OECD, 2007, </w:t>
      </w:r>
      <w:r w:rsidRPr="00D42066">
        <w:rPr>
          <w:i/>
        </w:rPr>
        <w:t xml:space="preserve">Economic Survey of New Zealand 2007, </w:t>
      </w:r>
      <w:r w:rsidR="0043008E">
        <w:t>OECD, Paris.</w:t>
      </w:r>
    </w:p>
    <w:p w:rsidR="0034153B" w:rsidRPr="00D42066" w:rsidRDefault="0043008E" w:rsidP="0043008E">
      <w:pPr>
        <w:pStyle w:val="Reference"/>
      </w:pPr>
      <w:r>
        <w:t>——</w:t>
      </w:r>
      <w:r w:rsidR="0034153B" w:rsidRPr="00D42066">
        <w:t xml:space="preserve">2010, </w:t>
      </w:r>
      <w:r w:rsidR="0034153B" w:rsidRPr="00D42066">
        <w:rPr>
          <w:i/>
        </w:rPr>
        <w:t xml:space="preserve">Model Tax Convention on Income and on Capital, </w:t>
      </w:r>
      <w:r w:rsidR="0034153B" w:rsidRPr="00D42066">
        <w:t>OECD, Paris.</w:t>
      </w:r>
    </w:p>
    <w:p w:rsidR="0034153B" w:rsidRPr="00D42066" w:rsidRDefault="0034153B" w:rsidP="0043008E">
      <w:pPr>
        <w:pStyle w:val="Reference"/>
      </w:pPr>
      <w:proofErr w:type="spellStart"/>
      <w:r w:rsidRPr="00D42066">
        <w:t>Sørensen</w:t>
      </w:r>
      <w:proofErr w:type="spellEnd"/>
      <w:r w:rsidRPr="00D42066">
        <w:t xml:space="preserve">, P. and Johnson, M. 2009 ‘Taxing capital income: options for reform in Australia’, Paper for Australia’s Future Tax and Transfer Policy Conference, June, </w:t>
      </w:r>
      <w:r w:rsidRPr="00CA7CD3">
        <w:t>http://www.taxreview.treasury.gov.au/content/Content.aspx?doc=html/</w:t>
      </w:r>
      <w:r w:rsidR="00AA010D">
        <w:br/>
      </w:r>
      <w:proofErr w:type="spellStart"/>
      <w:r w:rsidRPr="00CA7CD3">
        <w:t>confernce.htm</w:t>
      </w:r>
      <w:proofErr w:type="spellEnd"/>
      <w:r w:rsidRPr="00D42066">
        <w:t xml:space="preserve"> (accessed 27 November 2012).</w:t>
      </w:r>
    </w:p>
    <w:p w:rsidR="0034153B" w:rsidRPr="0043008E" w:rsidRDefault="0034153B" w:rsidP="0043008E">
      <w:pPr>
        <w:pStyle w:val="Reference"/>
      </w:pPr>
      <w:r w:rsidRPr="00D42066">
        <w:t>Tax Wo</w:t>
      </w:r>
      <w:r w:rsidR="0043008E">
        <w:t>rking Group</w:t>
      </w:r>
      <w:r w:rsidRPr="00D42066">
        <w:t xml:space="preserve"> 2010, </w:t>
      </w:r>
      <w:r w:rsidRPr="00D42066">
        <w:rPr>
          <w:i/>
        </w:rPr>
        <w:t>A Tax System for New Zealand’s Future</w:t>
      </w:r>
      <w:r w:rsidRPr="00D42066">
        <w:t>, Victoria University of Wellington, New Zealand.</w:t>
      </w:r>
    </w:p>
    <w:p w:rsidR="0007380A" w:rsidRPr="00620FD6" w:rsidRDefault="0034153B" w:rsidP="0043008E">
      <w:pPr>
        <w:pStyle w:val="Reference"/>
      </w:pPr>
      <w:r w:rsidRPr="00D42066">
        <w:t>United Nations</w:t>
      </w:r>
      <w:r>
        <w:t xml:space="preserve"> </w:t>
      </w:r>
      <w:r w:rsidRPr="00D42066">
        <w:t>2011,</w:t>
      </w:r>
      <w:r>
        <w:t xml:space="preserve"> </w:t>
      </w:r>
      <w:r>
        <w:rPr>
          <w:i/>
        </w:rPr>
        <w:t xml:space="preserve">Model Double Taxation Convention between Developed and Developing Countries, </w:t>
      </w:r>
      <w:r w:rsidRPr="00CA7CD3">
        <w:t>http://</w:t>
      </w:r>
      <w:proofErr w:type="spellStart"/>
      <w:r w:rsidRPr="00CA7CD3">
        <w:t>www.un.org</w:t>
      </w:r>
      <w:proofErr w:type="spellEnd"/>
      <w:r w:rsidRPr="00CA7CD3">
        <w:t>/</w:t>
      </w:r>
      <w:proofErr w:type="spellStart"/>
      <w:r w:rsidRPr="00CA7CD3">
        <w:t>esa</w:t>
      </w:r>
      <w:proofErr w:type="spellEnd"/>
      <w:r w:rsidRPr="00CA7CD3">
        <w:t>/</w:t>
      </w:r>
      <w:proofErr w:type="spellStart"/>
      <w:r w:rsidRPr="00CA7CD3">
        <w:t>ffd</w:t>
      </w:r>
      <w:proofErr w:type="spellEnd"/>
      <w:r w:rsidRPr="00CA7CD3">
        <w:t>/documents/</w:t>
      </w:r>
      <w:proofErr w:type="spellStart"/>
      <w:r w:rsidRPr="00CA7CD3">
        <w:t>UN_Model_20</w:t>
      </w:r>
      <w:proofErr w:type="spellEnd"/>
      <w:r w:rsidRPr="00CA7CD3">
        <w:t xml:space="preserve"> </w:t>
      </w:r>
      <w:proofErr w:type="spellStart"/>
      <w:r w:rsidRPr="00CA7CD3">
        <w:t>11_Update.pdf</w:t>
      </w:r>
      <w:proofErr w:type="spellEnd"/>
      <w:r>
        <w:t xml:space="preserve"> (</w:t>
      </w:r>
      <w:r w:rsidRPr="00D42066">
        <w:t>accessed 27 November 2012).</w:t>
      </w:r>
    </w:p>
    <w:sectPr w:rsidR="0007380A" w:rsidRPr="00620FD6" w:rsidSect="006D064B">
      <w:headerReference w:type="even" r:id="rId16"/>
      <w:headerReference w:type="default" r:id="rId17"/>
      <w:footerReference w:type="even" r:id="rId18"/>
      <w:footerReference w:type="default" r:id="rId19"/>
      <w:pgSz w:w="11907" w:h="16840" w:code="9"/>
      <w:pgMar w:top="1985" w:right="1304" w:bottom="1418" w:left="1814" w:header="1701" w:footer="56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B6" w:rsidRDefault="007E46B6">
      <w:r>
        <w:separator/>
      </w:r>
    </w:p>
  </w:endnote>
  <w:endnote w:type="continuationSeparator" w:id="0">
    <w:p w:rsidR="007E46B6" w:rsidRDefault="007E46B6">
      <w:r>
        <w:continuationSeparator/>
      </w:r>
    </w:p>
  </w:endnote>
  <w:endnote w:type="continuationNotice" w:id="1">
    <w:p w:rsidR="007E46B6" w:rsidRDefault="007E4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7E46B6" w:rsidRPr="00135D87" w:rsidTr="00E971AD">
      <w:trPr>
        <w:trHeight w:hRule="exact" w:val="740"/>
      </w:trPr>
      <w:tc>
        <w:tcPr>
          <w:tcW w:w="510" w:type="dxa"/>
        </w:tcPr>
        <w:p w:rsidR="007E46B6" w:rsidRPr="00135D87" w:rsidRDefault="007E46B6" w:rsidP="00147DE6">
          <w:pPr>
            <w:pStyle w:val="Footer"/>
            <w:tabs>
              <w:tab w:val="left" w:pos="0"/>
            </w:tabs>
            <w:ind w:right="0"/>
            <w:rPr>
              <w:rStyle w:val="PageNumbe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242600">
            <w:rPr>
              <w:rStyle w:val="PageNumber"/>
              <w:rFonts w:cs="Arial"/>
              <w:noProof/>
            </w:rPr>
            <w:t>4</w:t>
          </w:r>
          <w:r w:rsidRPr="00135D87">
            <w:rPr>
              <w:rStyle w:val="PageNumber"/>
              <w:rFonts w:cs="Arial"/>
            </w:rPr>
            <w:fldChar w:fldCharType="end"/>
          </w:r>
        </w:p>
      </w:tc>
      <w:tc>
        <w:tcPr>
          <w:tcW w:w="8278" w:type="dxa"/>
        </w:tcPr>
        <w:p w:rsidR="007E46B6" w:rsidRPr="00135D87" w:rsidRDefault="007E46B6" w:rsidP="00147DE6">
          <w:pPr>
            <w:pStyle w:val="Footer"/>
            <w:rPr>
              <w:rFonts w:cs="Arial"/>
            </w:rPr>
          </w:pPr>
          <w:r>
            <w:rPr>
              <w:rFonts w:cs="Arial"/>
              <w:caps w:val="0"/>
            </w:rPr>
            <w:t>Strengthening trans-Tasman economic relations</w:t>
          </w:r>
        </w:p>
      </w:tc>
    </w:tr>
  </w:tbl>
  <w:p w:rsidR="007E46B6" w:rsidRDefault="007E46B6"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7E46B6" w:rsidRPr="00135D87" w:rsidTr="00E971AD">
      <w:trPr>
        <w:trHeight w:hRule="exact" w:val="740"/>
      </w:trPr>
      <w:tc>
        <w:tcPr>
          <w:tcW w:w="8278" w:type="dxa"/>
        </w:tcPr>
        <w:p w:rsidR="007E46B6" w:rsidRPr="00135D87" w:rsidRDefault="007E46B6" w:rsidP="007039D4">
          <w:pPr>
            <w:pStyle w:val="Footer"/>
            <w:jc w:val="right"/>
            <w:rPr>
              <w:rFonts w:cs="Arial"/>
            </w:rPr>
          </w:pPr>
          <w:r>
            <w:rPr>
              <w:rFonts w:cs="Arial"/>
              <w:caps w:val="0"/>
            </w:rPr>
            <w:t xml:space="preserve">Supplementary paper F </w:t>
          </w:r>
          <w:r>
            <w:rPr>
              <w:rFonts w:cs="Arial"/>
              <w:caps w:val="0"/>
            </w:rPr>
            <w:sym w:font="Symbol" w:char="F0BE"/>
          </w:r>
          <w:r>
            <w:rPr>
              <w:rFonts w:cs="Arial"/>
              <w:caps w:val="0"/>
            </w:rPr>
            <w:t xml:space="preserve"> Mutual recognition of imputation credits</w:t>
          </w:r>
        </w:p>
      </w:tc>
      <w:tc>
        <w:tcPr>
          <w:tcW w:w="510" w:type="dxa"/>
        </w:tcPr>
        <w:p w:rsidR="007E46B6" w:rsidRPr="00135D87" w:rsidRDefault="007E46B6"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242600">
            <w:rPr>
              <w:rStyle w:val="PageNumber"/>
              <w:rFonts w:cs="Arial"/>
              <w:noProof/>
            </w:rPr>
            <w:t>5</w:t>
          </w:r>
          <w:r w:rsidRPr="00135D87">
            <w:rPr>
              <w:rStyle w:val="PageNumber"/>
              <w:rFonts w:cs="Arial"/>
            </w:rPr>
            <w:fldChar w:fldCharType="end"/>
          </w:r>
        </w:p>
      </w:tc>
    </w:tr>
  </w:tbl>
  <w:p w:rsidR="007E46B6" w:rsidRPr="009A6431" w:rsidRDefault="007E46B6" w:rsidP="001B53C3">
    <w:pPr>
      <w:pStyle w:val="FooterEnd"/>
    </w:pPr>
  </w:p>
  <w:p w:rsidR="007E46B6" w:rsidRDefault="007E46B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B6" w:rsidRDefault="007E46B6">
      <w:r>
        <w:separator/>
      </w:r>
    </w:p>
  </w:footnote>
  <w:footnote w:type="continuationSeparator" w:id="0">
    <w:p w:rsidR="007E46B6" w:rsidRDefault="007E46B6">
      <w:r>
        <w:continuationSeparator/>
      </w:r>
    </w:p>
  </w:footnote>
  <w:footnote w:type="continuationNotice" w:id="1">
    <w:p w:rsidR="007E46B6" w:rsidRDefault="007E46B6">
      <w:pPr>
        <w:spacing w:after="0" w:line="240" w:lineRule="auto"/>
      </w:pPr>
    </w:p>
  </w:footnote>
  <w:footnote w:id="2">
    <w:p w:rsidR="007E46B6" w:rsidRDefault="007E46B6" w:rsidP="006D064B">
      <w:pPr>
        <w:pStyle w:val="FootnoteText"/>
      </w:pPr>
      <w:r>
        <w:rPr>
          <w:rStyle w:val="FootnoteReference"/>
        </w:rPr>
        <w:footnoteRef/>
      </w:r>
      <w:r>
        <w:t xml:space="preserve"> </w:t>
      </w:r>
      <w:r>
        <w:tab/>
      </w:r>
      <w:r>
        <w:rPr>
          <w:lang w:val="en-NZ"/>
        </w:rPr>
        <w:t>The terminology is different in each country. New Zealand refers to ‘imputation’, whereas Australia refers to ‘franking’. The process, however, is the same in each country. In this paper, the term imputation is used to refer to both.</w:t>
      </w:r>
    </w:p>
  </w:footnote>
  <w:footnote w:id="3">
    <w:p w:rsidR="007E46B6" w:rsidRPr="00014464" w:rsidRDefault="007E46B6" w:rsidP="00014464">
      <w:pPr>
        <w:pStyle w:val="FootnoteText"/>
        <w:rPr>
          <w:lang w:val="en-NZ"/>
        </w:rPr>
      </w:pPr>
      <w:r>
        <w:rPr>
          <w:rStyle w:val="FootnoteReference"/>
        </w:rPr>
        <w:footnoteRef/>
      </w:r>
      <w:r>
        <w:tab/>
      </w:r>
      <w:r w:rsidRPr="00385961">
        <w:rPr>
          <w:szCs w:val="24"/>
        </w:rPr>
        <w:t xml:space="preserve">The </w:t>
      </w:r>
      <w:r>
        <w:rPr>
          <w:szCs w:val="24"/>
        </w:rPr>
        <w:t>w</w:t>
      </w:r>
      <w:r w:rsidRPr="00385961">
        <w:rPr>
          <w:szCs w:val="24"/>
        </w:rPr>
        <w:t xml:space="preserve">orkshop papers are available at </w:t>
      </w:r>
      <w:r w:rsidRPr="00014464">
        <w:t>http://</w:t>
      </w:r>
      <w:proofErr w:type="spellStart"/>
      <w:r w:rsidRPr="00014464">
        <w:t>transtasman-review.pc.gov.au</w:t>
      </w:r>
      <w:proofErr w:type="spellEnd"/>
      <w:r w:rsidRPr="00014464">
        <w:t>/newsroom/</w:t>
      </w:r>
      <w:r>
        <w:br/>
      </w:r>
      <w:r w:rsidRPr="00014464">
        <w:t>announcementnews/technical-workshop-mutual-recognition-company-tax-imputation-credits</w:t>
      </w:r>
      <w:r>
        <w:t>.</w:t>
      </w:r>
    </w:p>
  </w:footnote>
  <w:footnote w:id="4">
    <w:p w:rsidR="007E46B6" w:rsidRDefault="007E46B6" w:rsidP="006D064B">
      <w:pPr>
        <w:pStyle w:val="FootnoteText"/>
      </w:pPr>
      <w:r>
        <w:rPr>
          <w:rStyle w:val="FootnoteReference"/>
        </w:rPr>
        <w:footnoteRef/>
      </w:r>
      <w:r>
        <w:t xml:space="preserve"> </w:t>
      </w:r>
      <w:r>
        <w:tab/>
        <w:t>In particular, the diagrams are not drawn to a scale that reflects the actual structure of the economies and the magnitudes of shifts in investment that would be involved.</w:t>
      </w:r>
    </w:p>
  </w:footnote>
  <w:footnote w:id="5">
    <w:p w:rsidR="007E46B6" w:rsidRDefault="007E46B6" w:rsidP="006058BF">
      <w:pPr>
        <w:pStyle w:val="FootnoteText"/>
      </w:pPr>
      <w:r>
        <w:rPr>
          <w:rStyle w:val="FootnoteReference"/>
        </w:rPr>
        <w:footnoteRef/>
      </w:r>
      <w:r>
        <w:t xml:space="preserve"> </w:t>
      </w:r>
      <w:r>
        <w:tab/>
        <w:t>Technically, the return is to all other factors of production. Given that labour is the dominant other factor, henceforth the term ‘labour’ is used as a convenient shorthand.</w:t>
      </w:r>
    </w:p>
  </w:footnote>
  <w:footnote w:id="6">
    <w:p w:rsidR="007E46B6" w:rsidRDefault="007E46B6" w:rsidP="00D16F98">
      <w:pPr>
        <w:pStyle w:val="FootnoteText"/>
      </w:pPr>
      <w:r>
        <w:rPr>
          <w:rStyle w:val="FootnoteReference"/>
        </w:rPr>
        <w:footnoteRef/>
      </w:r>
      <w:r>
        <w:tab/>
        <w:t xml:space="preserve">Note that these uncertainties do not arise with portfolio investment, for which official statistical data are available on dividends actually paid and received (hence </w:t>
      </w:r>
      <w:r w:rsidR="009E4041">
        <w:t xml:space="preserve">there is </w:t>
      </w:r>
      <w:r>
        <w:t>no need to make assumptions about distribution ratios).</w:t>
      </w:r>
    </w:p>
  </w:footnote>
  <w:footnote w:id="7">
    <w:p w:rsidR="007E46B6" w:rsidRDefault="007E46B6" w:rsidP="00D16F98">
      <w:pPr>
        <w:pStyle w:val="FootnoteText"/>
      </w:pPr>
      <w:r>
        <w:rPr>
          <w:rStyle w:val="FootnoteReference"/>
        </w:rPr>
        <w:footnoteRef/>
      </w:r>
      <w:r>
        <w:t xml:space="preserve"> </w:t>
      </w:r>
      <w:r>
        <w:tab/>
        <w:t xml:space="preserve">The introduction of </w:t>
      </w:r>
      <w:proofErr w:type="spellStart"/>
      <w:r>
        <w:t>MRIC</w:t>
      </w:r>
      <w:proofErr w:type="spellEnd"/>
      <w:r>
        <w:t xml:space="preserve"> should not result in any change in portfolio investment distribution policies, given that portfolio investment shareholders are not normally in a position to influence dividend policy.</w:t>
      </w:r>
    </w:p>
  </w:footnote>
  <w:footnote w:id="8">
    <w:p w:rsidR="007E46B6" w:rsidRDefault="007E46B6" w:rsidP="00D16F98">
      <w:pPr>
        <w:pStyle w:val="FootnoteText"/>
      </w:pPr>
      <w:r w:rsidRPr="009A7812">
        <w:rPr>
          <w:rStyle w:val="FootnoteReference"/>
          <w:szCs w:val="22"/>
        </w:rPr>
        <w:footnoteRef/>
      </w:r>
      <w:r>
        <w:rPr>
          <w:szCs w:val="22"/>
        </w:rPr>
        <w:tab/>
      </w:r>
      <w:r w:rsidRPr="009A7812">
        <w:rPr>
          <w:szCs w:val="22"/>
        </w:rPr>
        <w:t xml:space="preserve">This </w:t>
      </w:r>
      <w:r>
        <w:rPr>
          <w:szCs w:val="22"/>
        </w:rPr>
        <w:t>assumes</w:t>
      </w:r>
      <w:r w:rsidRPr="009A7812">
        <w:rPr>
          <w:szCs w:val="22"/>
        </w:rPr>
        <w:t xml:space="preserve"> that already accumulated retained earnings would be quarantined, such that </w:t>
      </w:r>
      <w:proofErr w:type="spellStart"/>
      <w:r w:rsidRPr="009A7812">
        <w:rPr>
          <w:szCs w:val="22"/>
        </w:rPr>
        <w:t>MRIC</w:t>
      </w:r>
      <w:proofErr w:type="spellEnd"/>
      <w:r w:rsidRPr="009A7812">
        <w:rPr>
          <w:szCs w:val="22"/>
        </w:rPr>
        <w:t xml:space="preserve"> would apply only in respect of future income.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E46B6" w:rsidTr="00582C63">
      <w:tc>
        <w:tcPr>
          <w:tcW w:w="2155" w:type="dxa"/>
          <w:tcBorders>
            <w:top w:val="single" w:sz="24" w:space="0" w:color="86A20B"/>
          </w:tcBorders>
        </w:tcPr>
        <w:p w:rsidR="007E46B6" w:rsidRDefault="007E46B6" w:rsidP="007A1ADB">
          <w:pPr>
            <w:pStyle w:val="HeaderEven"/>
          </w:pPr>
        </w:p>
      </w:tc>
      <w:tc>
        <w:tcPr>
          <w:tcW w:w="6634" w:type="dxa"/>
          <w:tcBorders>
            <w:top w:val="dotted" w:sz="18" w:space="0" w:color="B2B2B2"/>
          </w:tcBorders>
        </w:tcPr>
        <w:p w:rsidR="007E46B6" w:rsidRDefault="007E46B6" w:rsidP="007A1ADB">
          <w:pPr>
            <w:pStyle w:val="HeaderEven"/>
          </w:pPr>
        </w:p>
      </w:tc>
    </w:tr>
  </w:tbl>
  <w:p w:rsidR="007E46B6" w:rsidRDefault="007E46B6"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E46B6" w:rsidTr="00582C63">
      <w:tc>
        <w:tcPr>
          <w:tcW w:w="6634" w:type="dxa"/>
          <w:tcBorders>
            <w:top w:val="dotted" w:sz="18" w:space="0" w:color="B2B2B2"/>
          </w:tcBorders>
        </w:tcPr>
        <w:p w:rsidR="007E46B6" w:rsidRDefault="007E46B6" w:rsidP="007A1ADB">
          <w:pPr>
            <w:pStyle w:val="HeaderOdd"/>
          </w:pPr>
        </w:p>
      </w:tc>
      <w:tc>
        <w:tcPr>
          <w:tcW w:w="2155" w:type="dxa"/>
          <w:tcBorders>
            <w:top w:val="single" w:sz="24" w:space="0" w:color="86A20B"/>
          </w:tcBorders>
        </w:tcPr>
        <w:p w:rsidR="007E46B6" w:rsidRDefault="007E46B6" w:rsidP="007A1ADB">
          <w:pPr>
            <w:pStyle w:val="HeaderOdd"/>
          </w:pPr>
        </w:p>
      </w:tc>
    </w:tr>
  </w:tbl>
  <w:p w:rsidR="007E46B6" w:rsidRDefault="007E46B6"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B4210AE"/>
    <w:multiLevelType w:val="hybridMultilevel"/>
    <w:tmpl w:val="40BE24DE"/>
    <w:lvl w:ilvl="0" w:tplc="14090001">
      <w:start w:val="1"/>
      <w:numFmt w:val="bullet"/>
      <w:lvlText w:val=""/>
      <w:lvlJc w:val="left"/>
      <w:pPr>
        <w:ind w:left="726" w:hanging="360"/>
      </w:pPr>
      <w:rPr>
        <w:rFonts w:ascii="Symbol" w:hAnsi="Symbol" w:hint="default"/>
      </w:rPr>
    </w:lvl>
    <w:lvl w:ilvl="1" w:tplc="14090003" w:tentative="1">
      <w:start w:val="1"/>
      <w:numFmt w:val="bullet"/>
      <w:lvlText w:val="o"/>
      <w:lvlJc w:val="left"/>
      <w:pPr>
        <w:ind w:left="1446" w:hanging="360"/>
      </w:pPr>
      <w:rPr>
        <w:rFonts w:ascii="Courier New" w:hAnsi="Courier New" w:cs="Courier New" w:hint="default"/>
      </w:rPr>
    </w:lvl>
    <w:lvl w:ilvl="2" w:tplc="14090005" w:tentative="1">
      <w:start w:val="1"/>
      <w:numFmt w:val="bullet"/>
      <w:lvlText w:val=""/>
      <w:lvlJc w:val="left"/>
      <w:pPr>
        <w:ind w:left="2166" w:hanging="360"/>
      </w:pPr>
      <w:rPr>
        <w:rFonts w:ascii="Wingdings" w:hAnsi="Wingdings" w:hint="default"/>
      </w:rPr>
    </w:lvl>
    <w:lvl w:ilvl="3" w:tplc="14090001" w:tentative="1">
      <w:start w:val="1"/>
      <w:numFmt w:val="bullet"/>
      <w:lvlText w:val=""/>
      <w:lvlJc w:val="left"/>
      <w:pPr>
        <w:ind w:left="2886" w:hanging="360"/>
      </w:pPr>
      <w:rPr>
        <w:rFonts w:ascii="Symbol" w:hAnsi="Symbol" w:hint="default"/>
      </w:rPr>
    </w:lvl>
    <w:lvl w:ilvl="4" w:tplc="14090003" w:tentative="1">
      <w:start w:val="1"/>
      <w:numFmt w:val="bullet"/>
      <w:lvlText w:val="o"/>
      <w:lvlJc w:val="left"/>
      <w:pPr>
        <w:ind w:left="3606" w:hanging="360"/>
      </w:pPr>
      <w:rPr>
        <w:rFonts w:ascii="Courier New" w:hAnsi="Courier New" w:cs="Courier New" w:hint="default"/>
      </w:rPr>
    </w:lvl>
    <w:lvl w:ilvl="5" w:tplc="14090005" w:tentative="1">
      <w:start w:val="1"/>
      <w:numFmt w:val="bullet"/>
      <w:lvlText w:val=""/>
      <w:lvlJc w:val="left"/>
      <w:pPr>
        <w:ind w:left="4326" w:hanging="360"/>
      </w:pPr>
      <w:rPr>
        <w:rFonts w:ascii="Wingdings" w:hAnsi="Wingdings" w:hint="default"/>
      </w:rPr>
    </w:lvl>
    <w:lvl w:ilvl="6" w:tplc="14090001" w:tentative="1">
      <w:start w:val="1"/>
      <w:numFmt w:val="bullet"/>
      <w:lvlText w:val=""/>
      <w:lvlJc w:val="left"/>
      <w:pPr>
        <w:ind w:left="5046" w:hanging="360"/>
      </w:pPr>
      <w:rPr>
        <w:rFonts w:ascii="Symbol" w:hAnsi="Symbol" w:hint="default"/>
      </w:rPr>
    </w:lvl>
    <w:lvl w:ilvl="7" w:tplc="14090003" w:tentative="1">
      <w:start w:val="1"/>
      <w:numFmt w:val="bullet"/>
      <w:lvlText w:val="o"/>
      <w:lvlJc w:val="left"/>
      <w:pPr>
        <w:ind w:left="5766" w:hanging="360"/>
      </w:pPr>
      <w:rPr>
        <w:rFonts w:ascii="Courier New" w:hAnsi="Courier New" w:cs="Courier New" w:hint="default"/>
      </w:rPr>
    </w:lvl>
    <w:lvl w:ilvl="8" w:tplc="14090005" w:tentative="1">
      <w:start w:val="1"/>
      <w:numFmt w:val="bullet"/>
      <w:lvlText w:val=""/>
      <w:lvlJc w:val="left"/>
      <w:pPr>
        <w:ind w:left="6486" w:hanging="360"/>
      </w:pPr>
      <w:rPr>
        <w:rFonts w:ascii="Wingdings" w:hAnsi="Wingdings" w:hint="default"/>
      </w:rPr>
    </w:lvl>
  </w:abstractNum>
  <w:abstractNum w:abstractNumId="1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8">
    <w:nsid w:val="23FF358D"/>
    <w:multiLevelType w:val="singleLevel"/>
    <w:tmpl w:val="4146A198"/>
    <w:lvl w:ilvl="0">
      <w:start w:val="1"/>
      <w:numFmt w:val="bullet"/>
      <w:lvlText w:val=""/>
      <w:lvlJc w:val="left"/>
      <w:pPr>
        <w:tabs>
          <w:tab w:val="num" w:pos="340"/>
        </w:tabs>
        <w:ind w:left="340" w:hanging="340"/>
      </w:pPr>
      <w:rPr>
        <w:rFonts w:ascii="Symbol" w:hAnsi="Symbol" w:hint="default"/>
        <w:b w:val="0"/>
        <w:i w:val="0"/>
        <w:sz w:val="18"/>
      </w:rPr>
    </w:lvl>
  </w:abstractNum>
  <w:abstractNum w:abstractNumId="19">
    <w:nsid w:val="264D12BE"/>
    <w:multiLevelType w:val="hybridMultilevel"/>
    <w:tmpl w:val="A04610FE"/>
    <w:lvl w:ilvl="0" w:tplc="A20C2B90">
      <w:start w:val="1"/>
      <w:numFmt w:val="bullet"/>
      <w:lvlText w:val="-"/>
      <w:lvlJc w:val="left"/>
      <w:pPr>
        <w:ind w:left="366" w:hanging="360"/>
      </w:pPr>
      <w:rPr>
        <w:rFonts w:ascii="Arial" w:eastAsia="Times New Roman" w:hAnsi="Arial" w:cs="Arial" w:hint="default"/>
      </w:rPr>
    </w:lvl>
    <w:lvl w:ilvl="1" w:tplc="14090003" w:tentative="1">
      <w:start w:val="1"/>
      <w:numFmt w:val="bullet"/>
      <w:lvlText w:val="o"/>
      <w:lvlJc w:val="left"/>
      <w:pPr>
        <w:ind w:left="1086" w:hanging="360"/>
      </w:pPr>
      <w:rPr>
        <w:rFonts w:ascii="Courier New" w:hAnsi="Courier New" w:cs="Courier New" w:hint="default"/>
      </w:rPr>
    </w:lvl>
    <w:lvl w:ilvl="2" w:tplc="14090005" w:tentative="1">
      <w:start w:val="1"/>
      <w:numFmt w:val="bullet"/>
      <w:lvlText w:val=""/>
      <w:lvlJc w:val="left"/>
      <w:pPr>
        <w:ind w:left="1806" w:hanging="360"/>
      </w:pPr>
      <w:rPr>
        <w:rFonts w:ascii="Wingdings" w:hAnsi="Wingdings" w:hint="default"/>
      </w:rPr>
    </w:lvl>
    <w:lvl w:ilvl="3" w:tplc="14090001" w:tentative="1">
      <w:start w:val="1"/>
      <w:numFmt w:val="bullet"/>
      <w:lvlText w:val=""/>
      <w:lvlJc w:val="left"/>
      <w:pPr>
        <w:ind w:left="2526" w:hanging="360"/>
      </w:pPr>
      <w:rPr>
        <w:rFonts w:ascii="Symbol" w:hAnsi="Symbol" w:hint="default"/>
      </w:rPr>
    </w:lvl>
    <w:lvl w:ilvl="4" w:tplc="14090003" w:tentative="1">
      <w:start w:val="1"/>
      <w:numFmt w:val="bullet"/>
      <w:lvlText w:val="o"/>
      <w:lvlJc w:val="left"/>
      <w:pPr>
        <w:ind w:left="3246" w:hanging="360"/>
      </w:pPr>
      <w:rPr>
        <w:rFonts w:ascii="Courier New" w:hAnsi="Courier New" w:cs="Courier New" w:hint="default"/>
      </w:rPr>
    </w:lvl>
    <w:lvl w:ilvl="5" w:tplc="14090005" w:tentative="1">
      <w:start w:val="1"/>
      <w:numFmt w:val="bullet"/>
      <w:lvlText w:val=""/>
      <w:lvlJc w:val="left"/>
      <w:pPr>
        <w:ind w:left="3966" w:hanging="360"/>
      </w:pPr>
      <w:rPr>
        <w:rFonts w:ascii="Wingdings" w:hAnsi="Wingdings" w:hint="default"/>
      </w:rPr>
    </w:lvl>
    <w:lvl w:ilvl="6" w:tplc="14090001" w:tentative="1">
      <w:start w:val="1"/>
      <w:numFmt w:val="bullet"/>
      <w:lvlText w:val=""/>
      <w:lvlJc w:val="left"/>
      <w:pPr>
        <w:ind w:left="4686" w:hanging="360"/>
      </w:pPr>
      <w:rPr>
        <w:rFonts w:ascii="Symbol" w:hAnsi="Symbol" w:hint="default"/>
      </w:rPr>
    </w:lvl>
    <w:lvl w:ilvl="7" w:tplc="14090003" w:tentative="1">
      <w:start w:val="1"/>
      <w:numFmt w:val="bullet"/>
      <w:lvlText w:val="o"/>
      <w:lvlJc w:val="left"/>
      <w:pPr>
        <w:ind w:left="5406" w:hanging="360"/>
      </w:pPr>
      <w:rPr>
        <w:rFonts w:ascii="Courier New" w:hAnsi="Courier New" w:cs="Courier New" w:hint="default"/>
      </w:rPr>
    </w:lvl>
    <w:lvl w:ilvl="8" w:tplc="14090005" w:tentative="1">
      <w:start w:val="1"/>
      <w:numFmt w:val="bullet"/>
      <w:lvlText w:val=""/>
      <w:lvlJc w:val="left"/>
      <w:pPr>
        <w:ind w:left="6126" w:hanging="360"/>
      </w:pPr>
      <w:rPr>
        <w:rFonts w:ascii="Wingdings" w:hAnsi="Wingdings" w:hint="default"/>
      </w:rPr>
    </w:lvl>
  </w:abstractNum>
  <w:abstractNum w:abstractNumId="20">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3580E67"/>
    <w:multiLevelType w:val="hybridMultilevel"/>
    <w:tmpl w:val="5D7CFA82"/>
    <w:lvl w:ilvl="0" w:tplc="4678CBB4">
      <w:start w:val="6"/>
      <w:numFmt w:val="bullet"/>
      <w:lvlText w:val="-"/>
      <w:lvlJc w:val="left"/>
      <w:pPr>
        <w:ind w:left="366" w:hanging="360"/>
      </w:pPr>
      <w:rPr>
        <w:rFonts w:ascii="Arial" w:eastAsia="Times New Roman" w:hAnsi="Arial" w:cs="Arial" w:hint="default"/>
      </w:rPr>
    </w:lvl>
    <w:lvl w:ilvl="1" w:tplc="14090003" w:tentative="1">
      <w:start w:val="1"/>
      <w:numFmt w:val="bullet"/>
      <w:lvlText w:val="o"/>
      <w:lvlJc w:val="left"/>
      <w:pPr>
        <w:ind w:left="1086" w:hanging="360"/>
      </w:pPr>
      <w:rPr>
        <w:rFonts w:ascii="Courier New" w:hAnsi="Courier New" w:cs="Courier New" w:hint="default"/>
      </w:rPr>
    </w:lvl>
    <w:lvl w:ilvl="2" w:tplc="14090005" w:tentative="1">
      <w:start w:val="1"/>
      <w:numFmt w:val="bullet"/>
      <w:lvlText w:val=""/>
      <w:lvlJc w:val="left"/>
      <w:pPr>
        <w:ind w:left="1806" w:hanging="360"/>
      </w:pPr>
      <w:rPr>
        <w:rFonts w:ascii="Wingdings" w:hAnsi="Wingdings" w:hint="default"/>
      </w:rPr>
    </w:lvl>
    <w:lvl w:ilvl="3" w:tplc="14090001" w:tentative="1">
      <w:start w:val="1"/>
      <w:numFmt w:val="bullet"/>
      <w:lvlText w:val=""/>
      <w:lvlJc w:val="left"/>
      <w:pPr>
        <w:ind w:left="2526" w:hanging="360"/>
      </w:pPr>
      <w:rPr>
        <w:rFonts w:ascii="Symbol" w:hAnsi="Symbol" w:hint="default"/>
      </w:rPr>
    </w:lvl>
    <w:lvl w:ilvl="4" w:tplc="14090003" w:tentative="1">
      <w:start w:val="1"/>
      <w:numFmt w:val="bullet"/>
      <w:lvlText w:val="o"/>
      <w:lvlJc w:val="left"/>
      <w:pPr>
        <w:ind w:left="3246" w:hanging="360"/>
      </w:pPr>
      <w:rPr>
        <w:rFonts w:ascii="Courier New" w:hAnsi="Courier New" w:cs="Courier New" w:hint="default"/>
      </w:rPr>
    </w:lvl>
    <w:lvl w:ilvl="5" w:tplc="14090005" w:tentative="1">
      <w:start w:val="1"/>
      <w:numFmt w:val="bullet"/>
      <w:lvlText w:val=""/>
      <w:lvlJc w:val="left"/>
      <w:pPr>
        <w:ind w:left="3966" w:hanging="360"/>
      </w:pPr>
      <w:rPr>
        <w:rFonts w:ascii="Wingdings" w:hAnsi="Wingdings" w:hint="default"/>
      </w:rPr>
    </w:lvl>
    <w:lvl w:ilvl="6" w:tplc="14090001" w:tentative="1">
      <w:start w:val="1"/>
      <w:numFmt w:val="bullet"/>
      <w:lvlText w:val=""/>
      <w:lvlJc w:val="left"/>
      <w:pPr>
        <w:ind w:left="4686" w:hanging="360"/>
      </w:pPr>
      <w:rPr>
        <w:rFonts w:ascii="Symbol" w:hAnsi="Symbol" w:hint="default"/>
      </w:rPr>
    </w:lvl>
    <w:lvl w:ilvl="7" w:tplc="14090003" w:tentative="1">
      <w:start w:val="1"/>
      <w:numFmt w:val="bullet"/>
      <w:lvlText w:val="o"/>
      <w:lvlJc w:val="left"/>
      <w:pPr>
        <w:ind w:left="5406" w:hanging="360"/>
      </w:pPr>
      <w:rPr>
        <w:rFonts w:ascii="Courier New" w:hAnsi="Courier New" w:cs="Courier New" w:hint="default"/>
      </w:rPr>
    </w:lvl>
    <w:lvl w:ilvl="8" w:tplc="14090005" w:tentative="1">
      <w:start w:val="1"/>
      <w:numFmt w:val="bullet"/>
      <w:lvlText w:val=""/>
      <w:lvlJc w:val="left"/>
      <w:pPr>
        <w:ind w:left="6126" w:hanging="360"/>
      </w:pPr>
      <w:rPr>
        <w:rFonts w:ascii="Wingdings" w:hAnsi="Wingdings" w:hint="default"/>
      </w:rPr>
    </w:lvl>
  </w:abstractNum>
  <w:abstractNum w:abstractNumId="2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5E5580A"/>
    <w:multiLevelType w:val="hybridMultilevel"/>
    <w:tmpl w:val="9F6689E2"/>
    <w:lvl w:ilvl="0" w:tplc="8E9A2B2C">
      <w:start w:val="6"/>
      <w:numFmt w:val="bullet"/>
      <w:lvlText w:val="-"/>
      <w:lvlJc w:val="left"/>
      <w:pPr>
        <w:ind w:left="720" w:hanging="360"/>
      </w:pPr>
      <w:rPr>
        <w:rFonts w:ascii="Calibri" w:eastAsia="Times New Roman" w:hAnsi="Calibri" w:cs="Calibri" w:hint="default"/>
        <w:color w:val="auto"/>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0">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1">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5">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0"/>
  </w:num>
  <w:num w:numId="3">
    <w:abstractNumId w:val="43"/>
  </w:num>
  <w:num w:numId="4">
    <w:abstractNumId w:val="7"/>
  </w:num>
  <w:num w:numId="5">
    <w:abstractNumId w:val="5"/>
  </w:num>
  <w:num w:numId="6">
    <w:abstractNumId w:val="26"/>
  </w:num>
  <w:num w:numId="7">
    <w:abstractNumId w:val="3"/>
  </w:num>
  <w:num w:numId="8">
    <w:abstractNumId w:val="9"/>
  </w:num>
  <w:num w:numId="9">
    <w:abstractNumId w:val="2"/>
  </w:num>
  <w:num w:numId="10">
    <w:abstractNumId w:val="37"/>
  </w:num>
  <w:num w:numId="11">
    <w:abstractNumId w:val="4"/>
  </w:num>
  <w:num w:numId="12">
    <w:abstractNumId w:val="1"/>
  </w:num>
  <w:num w:numId="13">
    <w:abstractNumId w:val="0"/>
  </w:num>
  <w:num w:numId="14">
    <w:abstractNumId w:val="29"/>
  </w:num>
  <w:num w:numId="15">
    <w:abstractNumId w:val="44"/>
  </w:num>
  <w:num w:numId="16">
    <w:abstractNumId w:val="18"/>
  </w:num>
  <w:num w:numId="17">
    <w:abstractNumId w:val="17"/>
  </w:num>
  <w:num w:numId="18">
    <w:abstractNumId w:val="27"/>
  </w:num>
  <w:num w:numId="19">
    <w:abstractNumId w:val="12"/>
  </w:num>
  <w:num w:numId="20">
    <w:abstractNumId w:val="34"/>
  </w:num>
  <w:num w:numId="21">
    <w:abstractNumId w:val="36"/>
  </w:num>
  <w:num w:numId="22">
    <w:abstractNumId w:val="24"/>
  </w:num>
  <w:num w:numId="23">
    <w:abstractNumId w:val="28"/>
  </w:num>
  <w:num w:numId="24">
    <w:abstractNumId w:val="30"/>
  </w:num>
  <w:num w:numId="25">
    <w:abstractNumId w:val="42"/>
  </w:num>
  <w:num w:numId="26">
    <w:abstractNumId w:val="33"/>
  </w:num>
  <w:num w:numId="27">
    <w:abstractNumId w:val="39"/>
  </w:num>
  <w:num w:numId="28">
    <w:abstractNumId w:val="40"/>
  </w:num>
  <w:num w:numId="29">
    <w:abstractNumId w:val="31"/>
  </w:num>
  <w:num w:numId="30">
    <w:abstractNumId w:val="22"/>
  </w:num>
  <w:num w:numId="31">
    <w:abstractNumId w:val="45"/>
  </w:num>
  <w:num w:numId="32">
    <w:abstractNumId w:val="16"/>
  </w:num>
  <w:num w:numId="33">
    <w:abstractNumId w:val="8"/>
  </w:num>
  <w:num w:numId="34">
    <w:abstractNumId w:val="20"/>
  </w:num>
  <w:num w:numId="35">
    <w:abstractNumId w:val="41"/>
  </w:num>
  <w:num w:numId="36">
    <w:abstractNumId w:val="32"/>
  </w:num>
  <w:num w:numId="37">
    <w:abstractNumId w:val="13"/>
  </w:num>
  <w:num w:numId="38">
    <w:abstractNumId w:val="35"/>
  </w:num>
  <w:num w:numId="39">
    <w:abstractNumId w:val="15"/>
  </w:num>
  <w:num w:numId="40">
    <w:abstractNumId w:val="18"/>
  </w:num>
  <w:num w:numId="41">
    <w:abstractNumId w:val="9"/>
  </w:num>
  <w:num w:numId="42">
    <w:abstractNumId w:val="23"/>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4"/>
  </w:num>
  <w:num w:numId="46">
    <w:abstractNumId w:val="25"/>
  </w:num>
  <w:num w:numId="47">
    <w:abstractNumId w:val="3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mirrorMargins/>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F"/>
    <w:docVar w:name="FindingOptions" w:val="1"/>
    <w:docVar w:name="RecOptions" w:val="111"/>
    <w:docVar w:name="ShortChapterTitle" w:val="Appendix"/>
    <w:docVar w:name="ShortReportTitle" w:val="Report"/>
  </w:docVars>
  <w:rsids>
    <w:rsidRoot w:val="006D064B"/>
    <w:rsid w:val="00007DBF"/>
    <w:rsid w:val="00014464"/>
    <w:rsid w:val="000203D9"/>
    <w:rsid w:val="00022122"/>
    <w:rsid w:val="000245AA"/>
    <w:rsid w:val="0002651A"/>
    <w:rsid w:val="0002677A"/>
    <w:rsid w:val="0003664B"/>
    <w:rsid w:val="0004111F"/>
    <w:rsid w:val="00041329"/>
    <w:rsid w:val="00041954"/>
    <w:rsid w:val="00044B36"/>
    <w:rsid w:val="0004702D"/>
    <w:rsid w:val="0005152B"/>
    <w:rsid w:val="0005330D"/>
    <w:rsid w:val="00054812"/>
    <w:rsid w:val="000565B3"/>
    <w:rsid w:val="0006345B"/>
    <w:rsid w:val="000640C0"/>
    <w:rsid w:val="0006524D"/>
    <w:rsid w:val="000663E6"/>
    <w:rsid w:val="0007150B"/>
    <w:rsid w:val="0007380A"/>
    <w:rsid w:val="000844D5"/>
    <w:rsid w:val="00092287"/>
    <w:rsid w:val="000937E2"/>
    <w:rsid w:val="000938F5"/>
    <w:rsid w:val="00094F65"/>
    <w:rsid w:val="000A2F63"/>
    <w:rsid w:val="000A3382"/>
    <w:rsid w:val="000A5361"/>
    <w:rsid w:val="000B5DA3"/>
    <w:rsid w:val="000B601B"/>
    <w:rsid w:val="000C1B7D"/>
    <w:rsid w:val="000C207E"/>
    <w:rsid w:val="000C3A89"/>
    <w:rsid w:val="000E2CC1"/>
    <w:rsid w:val="000E4F45"/>
    <w:rsid w:val="000E5F7B"/>
    <w:rsid w:val="000E6542"/>
    <w:rsid w:val="000E6B8E"/>
    <w:rsid w:val="00101DC4"/>
    <w:rsid w:val="00110116"/>
    <w:rsid w:val="0011127A"/>
    <w:rsid w:val="00112EC2"/>
    <w:rsid w:val="00112EF0"/>
    <w:rsid w:val="0011557B"/>
    <w:rsid w:val="00126919"/>
    <w:rsid w:val="00126EB8"/>
    <w:rsid w:val="001274D4"/>
    <w:rsid w:val="0013128C"/>
    <w:rsid w:val="00135EE4"/>
    <w:rsid w:val="001363AA"/>
    <w:rsid w:val="00145EDC"/>
    <w:rsid w:val="00146BCA"/>
    <w:rsid w:val="00147DE6"/>
    <w:rsid w:val="001502CD"/>
    <w:rsid w:val="001578D2"/>
    <w:rsid w:val="00162687"/>
    <w:rsid w:val="0016488C"/>
    <w:rsid w:val="001709C8"/>
    <w:rsid w:val="0017276F"/>
    <w:rsid w:val="00174CBF"/>
    <w:rsid w:val="00183E82"/>
    <w:rsid w:val="001854E3"/>
    <w:rsid w:val="00191AE0"/>
    <w:rsid w:val="00192303"/>
    <w:rsid w:val="0019293B"/>
    <w:rsid w:val="001B53C3"/>
    <w:rsid w:val="001C0865"/>
    <w:rsid w:val="001C0B02"/>
    <w:rsid w:val="001C3ABA"/>
    <w:rsid w:val="001C66B4"/>
    <w:rsid w:val="001D1932"/>
    <w:rsid w:val="001E1BFD"/>
    <w:rsid w:val="001E24F1"/>
    <w:rsid w:val="001E7BE8"/>
    <w:rsid w:val="001F0248"/>
    <w:rsid w:val="001F2C34"/>
    <w:rsid w:val="001F3C5E"/>
    <w:rsid w:val="001F3EB3"/>
    <w:rsid w:val="002013AF"/>
    <w:rsid w:val="00202C2C"/>
    <w:rsid w:val="0021686E"/>
    <w:rsid w:val="00242279"/>
    <w:rsid w:val="00242600"/>
    <w:rsid w:val="00245C82"/>
    <w:rsid w:val="002545F9"/>
    <w:rsid w:val="002603DE"/>
    <w:rsid w:val="0026621E"/>
    <w:rsid w:val="00267C1D"/>
    <w:rsid w:val="00271E0E"/>
    <w:rsid w:val="002840B8"/>
    <w:rsid w:val="00291B40"/>
    <w:rsid w:val="00291CB8"/>
    <w:rsid w:val="002963F1"/>
    <w:rsid w:val="00297048"/>
    <w:rsid w:val="00297922"/>
    <w:rsid w:val="002A3532"/>
    <w:rsid w:val="002A472B"/>
    <w:rsid w:val="002B4008"/>
    <w:rsid w:val="002B6178"/>
    <w:rsid w:val="002C1737"/>
    <w:rsid w:val="002C4CB1"/>
    <w:rsid w:val="002D0E8E"/>
    <w:rsid w:val="002D0ED6"/>
    <w:rsid w:val="002D10F3"/>
    <w:rsid w:val="002F05C4"/>
    <w:rsid w:val="00301189"/>
    <w:rsid w:val="00310BF3"/>
    <w:rsid w:val="00312819"/>
    <w:rsid w:val="00323C43"/>
    <w:rsid w:val="00323E09"/>
    <w:rsid w:val="00326415"/>
    <w:rsid w:val="0032735C"/>
    <w:rsid w:val="0033041E"/>
    <w:rsid w:val="00333932"/>
    <w:rsid w:val="00337122"/>
    <w:rsid w:val="0034153B"/>
    <w:rsid w:val="003518AA"/>
    <w:rsid w:val="00352165"/>
    <w:rsid w:val="00353182"/>
    <w:rsid w:val="003553B9"/>
    <w:rsid w:val="003554B8"/>
    <w:rsid w:val="003565D9"/>
    <w:rsid w:val="003602E1"/>
    <w:rsid w:val="0036156D"/>
    <w:rsid w:val="00364B32"/>
    <w:rsid w:val="00365530"/>
    <w:rsid w:val="0037026F"/>
    <w:rsid w:val="00371240"/>
    <w:rsid w:val="00371318"/>
    <w:rsid w:val="00374731"/>
    <w:rsid w:val="0038162A"/>
    <w:rsid w:val="003919F9"/>
    <w:rsid w:val="0039388E"/>
    <w:rsid w:val="003B5214"/>
    <w:rsid w:val="003B66F8"/>
    <w:rsid w:val="003C2C7C"/>
    <w:rsid w:val="003C3184"/>
    <w:rsid w:val="003C38B5"/>
    <w:rsid w:val="003C56A3"/>
    <w:rsid w:val="003C5D99"/>
    <w:rsid w:val="003D7BF6"/>
    <w:rsid w:val="003E2F59"/>
    <w:rsid w:val="003E3C38"/>
    <w:rsid w:val="003F0789"/>
    <w:rsid w:val="003F4CCD"/>
    <w:rsid w:val="00401882"/>
    <w:rsid w:val="004032D5"/>
    <w:rsid w:val="004100C8"/>
    <w:rsid w:val="00411DBD"/>
    <w:rsid w:val="00412ACE"/>
    <w:rsid w:val="00412D10"/>
    <w:rsid w:val="004270FE"/>
    <w:rsid w:val="0043008E"/>
    <w:rsid w:val="00431249"/>
    <w:rsid w:val="00432324"/>
    <w:rsid w:val="00433006"/>
    <w:rsid w:val="00434C19"/>
    <w:rsid w:val="004410BF"/>
    <w:rsid w:val="004466C6"/>
    <w:rsid w:val="00447329"/>
    <w:rsid w:val="00447F17"/>
    <w:rsid w:val="00450810"/>
    <w:rsid w:val="004532BB"/>
    <w:rsid w:val="00454546"/>
    <w:rsid w:val="00455C5C"/>
    <w:rsid w:val="004620E7"/>
    <w:rsid w:val="00464738"/>
    <w:rsid w:val="00465B93"/>
    <w:rsid w:val="00477144"/>
    <w:rsid w:val="00482864"/>
    <w:rsid w:val="004944B5"/>
    <w:rsid w:val="0049459F"/>
    <w:rsid w:val="00497EB5"/>
    <w:rsid w:val="004A38DD"/>
    <w:rsid w:val="004A4BF4"/>
    <w:rsid w:val="004A676E"/>
    <w:rsid w:val="004B43AE"/>
    <w:rsid w:val="004C30ED"/>
    <w:rsid w:val="004C4B45"/>
    <w:rsid w:val="004D43AD"/>
    <w:rsid w:val="004D5675"/>
    <w:rsid w:val="004D5B57"/>
    <w:rsid w:val="004E0881"/>
    <w:rsid w:val="004E1F67"/>
    <w:rsid w:val="004F0F47"/>
    <w:rsid w:val="004F20AF"/>
    <w:rsid w:val="004F3BF4"/>
    <w:rsid w:val="00513038"/>
    <w:rsid w:val="00515246"/>
    <w:rsid w:val="005233B4"/>
    <w:rsid w:val="00523639"/>
    <w:rsid w:val="00525521"/>
    <w:rsid w:val="005324DF"/>
    <w:rsid w:val="00534AB9"/>
    <w:rsid w:val="00540AC8"/>
    <w:rsid w:val="00555817"/>
    <w:rsid w:val="005609E2"/>
    <w:rsid w:val="00561FF0"/>
    <w:rsid w:val="00563F24"/>
    <w:rsid w:val="00570155"/>
    <w:rsid w:val="00582C63"/>
    <w:rsid w:val="00583C39"/>
    <w:rsid w:val="005909CF"/>
    <w:rsid w:val="00591E71"/>
    <w:rsid w:val="00595616"/>
    <w:rsid w:val="005A0D41"/>
    <w:rsid w:val="005A1536"/>
    <w:rsid w:val="005A1E2F"/>
    <w:rsid w:val="005B3D92"/>
    <w:rsid w:val="005C2C21"/>
    <w:rsid w:val="005C3856"/>
    <w:rsid w:val="005C782E"/>
    <w:rsid w:val="005C7BE8"/>
    <w:rsid w:val="005D282E"/>
    <w:rsid w:val="005D5623"/>
    <w:rsid w:val="005E0C9C"/>
    <w:rsid w:val="005E12AF"/>
    <w:rsid w:val="005E2818"/>
    <w:rsid w:val="005F4ED5"/>
    <w:rsid w:val="006023E4"/>
    <w:rsid w:val="0060387F"/>
    <w:rsid w:val="006058BF"/>
    <w:rsid w:val="00607BF1"/>
    <w:rsid w:val="006178EF"/>
    <w:rsid w:val="00620FD6"/>
    <w:rsid w:val="00630D4D"/>
    <w:rsid w:val="00632492"/>
    <w:rsid w:val="00632A74"/>
    <w:rsid w:val="00637106"/>
    <w:rsid w:val="0064305C"/>
    <w:rsid w:val="00646E54"/>
    <w:rsid w:val="00650F2A"/>
    <w:rsid w:val="0065421F"/>
    <w:rsid w:val="00654B35"/>
    <w:rsid w:val="00656527"/>
    <w:rsid w:val="006565EB"/>
    <w:rsid w:val="00662EB6"/>
    <w:rsid w:val="006717A6"/>
    <w:rsid w:val="00672FCE"/>
    <w:rsid w:val="00675741"/>
    <w:rsid w:val="00684514"/>
    <w:rsid w:val="00686B21"/>
    <w:rsid w:val="006950AD"/>
    <w:rsid w:val="00696A2F"/>
    <w:rsid w:val="006A42B0"/>
    <w:rsid w:val="006A4655"/>
    <w:rsid w:val="006A6A62"/>
    <w:rsid w:val="006B208F"/>
    <w:rsid w:val="006B2B3C"/>
    <w:rsid w:val="006B34FA"/>
    <w:rsid w:val="006B5A25"/>
    <w:rsid w:val="006B6754"/>
    <w:rsid w:val="006B6AD5"/>
    <w:rsid w:val="006C0F9C"/>
    <w:rsid w:val="006C1D81"/>
    <w:rsid w:val="006C2A0A"/>
    <w:rsid w:val="006C523F"/>
    <w:rsid w:val="006C7038"/>
    <w:rsid w:val="006D064B"/>
    <w:rsid w:val="006D3774"/>
    <w:rsid w:val="006E2A78"/>
    <w:rsid w:val="006E40F4"/>
    <w:rsid w:val="006E73EF"/>
    <w:rsid w:val="006F2CF4"/>
    <w:rsid w:val="00702B5A"/>
    <w:rsid w:val="007039D4"/>
    <w:rsid w:val="00714D4D"/>
    <w:rsid w:val="00716C07"/>
    <w:rsid w:val="007547B7"/>
    <w:rsid w:val="00756A71"/>
    <w:rsid w:val="007604BB"/>
    <w:rsid w:val="0076702B"/>
    <w:rsid w:val="00771065"/>
    <w:rsid w:val="0077445E"/>
    <w:rsid w:val="00777B51"/>
    <w:rsid w:val="0078286B"/>
    <w:rsid w:val="00785232"/>
    <w:rsid w:val="00793E48"/>
    <w:rsid w:val="007964A3"/>
    <w:rsid w:val="007A0D4E"/>
    <w:rsid w:val="007A1ADB"/>
    <w:rsid w:val="007A21EB"/>
    <w:rsid w:val="007B723D"/>
    <w:rsid w:val="007C36C9"/>
    <w:rsid w:val="007D3ADC"/>
    <w:rsid w:val="007D6401"/>
    <w:rsid w:val="007E01E4"/>
    <w:rsid w:val="007E1E11"/>
    <w:rsid w:val="007E2AC2"/>
    <w:rsid w:val="007E46B6"/>
    <w:rsid w:val="007F66E4"/>
    <w:rsid w:val="007F6F22"/>
    <w:rsid w:val="007F7107"/>
    <w:rsid w:val="0081030F"/>
    <w:rsid w:val="00813859"/>
    <w:rsid w:val="00815FA1"/>
    <w:rsid w:val="0082087D"/>
    <w:rsid w:val="00822F02"/>
    <w:rsid w:val="00824CFC"/>
    <w:rsid w:val="0084173A"/>
    <w:rsid w:val="00842933"/>
    <w:rsid w:val="008457E0"/>
    <w:rsid w:val="008568A0"/>
    <w:rsid w:val="0086082C"/>
    <w:rsid w:val="008647F4"/>
    <w:rsid w:val="00864ADC"/>
    <w:rsid w:val="00865554"/>
    <w:rsid w:val="008747B8"/>
    <w:rsid w:val="00880153"/>
    <w:rsid w:val="00880F97"/>
    <w:rsid w:val="0088133A"/>
    <w:rsid w:val="00885516"/>
    <w:rsid w:val="0088701A"/>
    <w:rsid w:val="0089285E"/>
    <w:rsid w:val="0089436C"/>
    <w:rsid w:val="008A394E"/>
    <w:rsid w:val="008A51CD"/>
    <w:rsid w:val="008B2C6A"/>
    <w:rsid w:val="008B525E"/>
    <w:rsid w:val="008B5885"/>
    <w:rsid w:val="008B6CD9"/>
    <w:rsid w:val="008C2018"/>
    <w:rsid w:val="008C2230"/>
    <w:rsid w:val="008C330A"/>
    <w:rsid w:val="008C466B"/>
    <w:rsid w:val="008C4CDF"/>
    <w:rsid w:val="008D1315"/>
    <w:rsid w:val="008D365C"/>
    <w:rsid w:val="008D3C33"/>
    <w:rsid w:val="008E3C45"/>
    <w:rsid w:val="008F4CFC"/>
    <w:rsid w:val="009030BF"/>
    <w:rsid w:val="009046AC"/>
    <w:rsid w:val="009047BC"/>
    <w:rsid w:val="00906DDD"/>
    <w:rsid w:val="0091182C"/>
    <w:rsid w:val="00911ECB"/>
    <w:rsid w:val="00914368"/>
    <w:rsid w:val="00914675"/>
    <w:rsid w:val="009169BC"/>
    <w:rsid w:val="00922DE5"/>
    <w:rsid w:val="00924B46"/>
    <w:rsid w:val="00931002"/>
    <w:rsid w:val="00931076"/>
    <w:rsid w:val="00934098"/>
    <w:rsid w:val="009345D9"/>
    <w:rsid w:val="00934B15"/>
    <w:rsid w:val="00934D04"/>
    <w:rsid w:val="00941B1E"/>
    <w:rsid w:val="00942B62"/>
    <w:rsid w:val="00952689"/>
    <w:rsid w:val="00956A0C"/>
    <w:rsid w:val="00956BD9"/>
    <w:rsid w:val="00956F50"/>
    <w:rsid w:val="00962489"/>
    <w:rsid w:val="00983F7F"/>
    <w:rsid w:val="0098405C"/>
    <w:rsid w:val="00986067"/>
    <w:rsid w:val="00990C2C"/>
    <w:rsid w:val="009A17D6"/>
    <w:rsid w:val="009A1948"/>
    <w:rsid w:val="009A6EDC"/>
    <w:rsid w:val="009B3810"/>
    <w:rsid w:val="009C153B"/>
    <w:rsid w:val="009E38FF"/>
    <w:rsid w:val="009E4041"/>
    <w:rsid w:val="009F0D18"/>
    <w:rsid w:val="009F5BBD"/>
    <w:rsid w:val="009F696D"/>
    <w:rsid w:val="009F6BC6"/>
    <w:rsid w:val="009F7FCF"/>
    <w:rsid w:val="00A01A49"/>
    <w:rsid w:val="00A17328"/>
    <w:rsid w:val="00A2084B"/>
    <w:rsid w:val="00A23A20"/>
    <w:rsid w:val="00A25FDF"/>
    <w:rsid w:val="00A2640F"/>
    <w:rsid w:val="00A268B9"/>
    <w:rsid w:val="00A2703A"/>
    <w:rsid w:val="00A3076E"/>
    <w:rsid w:val="00A337FA"/>
    <w:rsid w:val="00A33DFF"/>
    <w:rsid w:val="00A35115"/>
    <w:rsid w:val="00A41489"/>
    <w:rsid w:val="00A51389"/>
    <w:rsid w:val="00A5285A"/>
    <w:rsid w:val="00A5549B"/>
    <w:rsid w:val="00A554AB"/>
    <w:rsid w:val="00A571F9"/>
    <w:rsid w:val="00A57617"/>
    <w:rsid w:val="00A623C1"/>
    <w:rsid w:val="00A6344A"/>
    <w:rsid w:val="00A652DE"/>
    <w:rsid w:val="00A65F82"/>
    <w:rsid w:val="00A67127"/>
    <w:rsid w:val="00A72D8D"/>
    <w:rsid w:val="00A92B53"/>
    <w:rsid w:val="00A94FA6"/>
    <w:rsid w:val="00A94FFB"/>
    <w:rsid w:val="00AA010D"/>
    <w:rsid w:val="00AA06E7"/>
    <w:rsid w:val="00AA2356"/>
    <w:rsid w:val="00AA49A0"/>
    <w:rsid w:val="00AA4AE0"/>
    <w:rsid w:val="00AA6710"/>
    <w:rsid w:val="00AB0681"/>
    <w:rsid w:val="00AD520B"/>
    <w:rsid w:val="00AD7A62"/>
    <w:rsid w:val="00AE15F2"/>
    <w:rsid w:val="00AF4E73"/>
    <w:rsid w:val="00AF7C4C"/>
    <w:rsid w:val="00B11994"/>
    <w:rsid w:val="00B145CD"/>
    <w:rsid w:val="00B20393"/>
    <w:rsid w:val="00B210D4"/>
    <w:rsid w:val="00B24600"/>
    <w:rsid w:val="00B33F6C"/>
    <w:rsid w:val="00B36B5D"/>
    <w:rsid w:val="00B440AD"/>
    <w:rsid w:val="00B52E5B"/>
    <w:rsid w:val="00B53E7E"/>
    <w:rsid w:val="00B557DA"/>
    <w:rsid w:val="00B61C5F"/>
    <w:rsid w:val="00B6342E"/>
    <w:rsid w:val="00B64F34"/>
    <w:rsid w:val="00B65BA4"/>
    <w:rsid w:val="00B70C3A"/>
    <w:rsid w:val="00B7113F"/>
    <w:rsid w:val="00B72EBD"/>
    <w:rsid w:val="00B920BF"/>
    <w:rsid w:val="00BA4792"/>
    <w:rsid w:val="00BA5D4F"/>
    <w:rsid w:val="00BA73B6"/>
    <w:rsid w:val="00BB0335"/>
    <w:rsid w:val="00BB2603"/>
    <w:rsid w:val="00BB4FCD"/>
    <w:rsid w:val="00BC3691"/>
    <w:rsid w:val="00BD13EA"/>
    <w:rsid w:val="00BD706D"/>
    <w:rsid w:val="00BE3808"/>
    <w:rsid w:val="00BE3D76"/>
    <w:rsid w:val="00BF23E2"/>
    <w:rsid w:val="00BF78E6"/>
    <w:rsid w:val="00C01D26"/>
    <w:rsid w:val="00C044F1"/>
    <w:rsid w:val="00C062E9"/>
    <w:rsid w:val="00C07B64"/>
    <w:rsid w:val="00C13721"/>
    <w:rsid w:val="00C16414"/>
    <w:rsid w:val="00C20CBA"/>
    <w:rsid w:val="00C26378"/>
    <w:rsid w:val="00C3066D"/>
    <w:rsid w:val="00C33C3C"/>
    <w:rsid w:val="00C42BD7"/>
    <w:rsid w:val="00C42C99"/>
    <w:rsid w:val="00C42CAE"/>
    <w:rsid w:val="00C478EE"/>
    <w:rsid w:val="00C543F4"/>
    <w:rsid w:val="00C61948"/>
    <w:rsid w:val="00C6291C"/>
    <w:rsid w:val="00C633CB"/>
    <w:rsid w:val="00C71ADF"/>
    <w:rsid w:val="00C7310D"/>
    <w:rsid w:val="00C73E20"/>
    <w:rsid w:val="00C85CBB"/>
    <w:rsid w:val="00C8762C"/>
    <w:rsid w:val="00C92182"/>
    <w:rsid w:val="00C925CC"/>
    <w:rsid w:val="00C930FE"/>
    <w:rsid w:val="00C94B4A"/>
    <w:rsid w:val="00C95010"/>
    <w:rsid w:val="00C95E25"/>
    <w:rsid w:val="00CA00F9"/>
    <w:rsid w:val="00CA1EA4"/>
    <w:rsid w:val="00CA2961"/>
    <w:rsid w:val="00CA7CD3"/>
    <w:rsid w:val="00CB50D7"/>
    <w:rsid w:val="00CB7177"/>
    <w:rsid w:val="00CC1998"/>
    <w:rsid w:val="00CC4946"/>
    <w:rsid w:val="00CC54C1"/>
    <w:rsid w:val="00CD310C"/>
    <w:rsid w:val="00CE5474"/>
    <w:rsid w:val="00CE7C20"/>
    <w:rsid w:val="00D13632"/>
    <w:rsid w:val="00D16F98"/>
    <w:rsid w:val="00D2603B"/>
    <w:rsid w:val="00D270A4"/>
    <w:rsid w:val="00D3157A"/>
    <w:rsid w:val="00D31FE9"/>
    <w:rsid w:val="00D34E1B"/>
    <w:rsid w:val="00D376BA"/>
    <w:rsid w:val="00D466E6"/>
    <w:rsid w:val="00D5382C"/>
    <w:rsid w:val="00D5568A"/>
    <w:rsid w:val="00D55CB6"/>
    <w:rsid w:val="00D62A7E"/>
    <w:rsid w:val="00D62E2D"/>
    <w:rsid w:val="00D63D73"/>
    <w:rsid w:val="00D6410A"/>
    <w:rsid w:val="00D66E1E"/>
    <w:rsid w:val="00D67247"/>
    <w:rsid w:val="00D67588"/>
    <w:rsid w:val="00D67AC5"/>
    <w:rsid w:val="00D75722"/>
    <w:rsid w:val="00D76C9E"/>
    <w:rsid w:val="00D82B0F"/>
    <w:rsid w:val="00D84697"/>
    <w:rsid w:val="00D96E72"/>
    <w:rsid w:val="00D97441"/>
    <w:rsid w:val="00DA5BBA"/>
    <w:rsid w:val="00DA7D26"/>
    <w:rsid w:val="00DB4D88"/>
    <w:rsid w:val="00DB5896"/>
    <w:rsid w:val="00DB67C9"/>
    <w:rsid w:val="00DC0C95"/>
    <w:rsid w:val="00DD06D7"/>
    <w:rsid w:val="00DD6580"/>
    <w:rsid w:val="00DD671C"/>
    <w:rsid w:val="00DD7669"/>
    <w:rsid w:val="00DF3C61"/>
    <w:rsid w:val="00DF4ACA"/>
    <w:rsid w:val="00E00BB9"/>
    <w:rsid w:val="00E023B3"/>
    <w:rsid w:val="00E10619"/>
    <w:rsid w:val="00E11C36"/>
    <w:rsid w:val="00E12C01"/>
    <w:rsid w:val="00E133D1"/>
    <w:rsid w:val="00E154D1"/>
    <w:rsid w:val="00E17C72"/>
    <w:rsid w:val="00E21FC6"/>
    <w:rsid w:val="00E32E64"/>
    <w:rsid w:val="00E361CA"/>
    <w:rsid w:val="00E431A9"/>
    <w:rsid w:val="00E443FB"/>
    <w:rsid w:val="00E4554E"/>
    <w:rsid w:val="00E45937"/>
    <w:rsid w:val="00E47C1C"/>
    <w:rsid w:val="00E5415C"/>
    <w:rsid w:val="00E60985"/>
    <w:rsid w:val="00E62208"/>
    <w:rsid w:val="00E669E2"/>
    <w:rsid w:val="00E71A82"/>
    <w:rsid w:val="00E726F3"/>
    <w:rsid w:val="00E76135"/>
    <w:rsid w:val="00E77F40"/>
    <w:rsid w:val="00E81A2A"/>
    <w:rsid w:val="00E94C31"/>
    <w:rsid w:val="00E95C58"/>
    <w:rsid w:val="00E971AD"/>
    <w:rsid w:val="00EA2879"/>
    <w:rsid w:val="00EA57C5"/>
    <w:rsid w:val="00EA59F6"/>
    <w:rsid w:val="00EC2844"/>
    <w:rsid w:val="00EC5565"/>
    <w:rsid w:val="00EC5880"/>
    <w:rsid w:val="00ED46E4"/>
    <w:rsid w:val="00ED67DB"/>
    <w:rsid w:val="00EE18A5"/>
    <w:rsid w:val="00EE2507"/>
    <w:rsid w:val="00EE3065"/>
    <w:rsid w:val="00EE3B41"/>
    <w:rsid w:val="00EE7B49"/>
    <w:rsid w:val="00EF6C6C"/>
    <w:rsid w:val="00F01CAC"/>
    <w:rsid w:val="00F056FC"/>
    <w:rsid w:val="00F061F2"/>
    <w:rsid w:val="00F10476"/>
    <w:rsid w:val="00F1061D"/>
    <w:rsid w:val="00F129AC"/>
    <w:rsid w:val="00F135D8"/>
    <w:rsid w:val="00F1792E"/>
    <w:rsid w:val="00F230AC"/>
    <w:rsid w:val="00F24488"/>
    <w:rsid w:val="00F24868"/>
    <w:rsid w:val="00F276A8"/>
    <w:rsid w:val="00F278C7"/>
    <w:rsid w:val="00F31299"/>
    <w:rsid w:val="00F33FBD"/>
    <w:rsid w:val="00F35323"/>
    <w:rsid w:val="00F3534A"/>
    <w:rsid w:val="00F41E8C"/>
    <w:rsid w:val="00F46337"/>
    <w:rsid w:val="00F464A9"/>
    <w:rsid w:val="00F470E0"/>
    <w:rsid w:val="00F473D6"/>
    <w:rsid w:val="00F62CEA"/>
    <w:rsid w:val="00F66A20"/>
    <w:rsid w:val="00F673FD"/>
    <w:rsid w:val="00F73E89"/>
    <w:rsid w:val="00F842BC"/>
    <w:rsid w:val="00F85325"/>
    <w:rsid w:val="00F8545A"/>
    <w:rsid w:val="00F8651F"/>
    <w:rsid w:val="00F9097B"/>
    <w:rsid w:val="00F91EF2"/>
    <w:rsid w:val="00F91F9E"/>
    <w:rsid w:val="00FA5A9A"/>
    <w:rsid w:val="00FB45EE"/>
    <w:rsid w:val="00FC06D0"/>
    <w:rsid w:val="00FC4FDA"/>
    <w:rsid w:val="00FC65C1"/>
    <w:rsid w:val="00FD22B1"/>
    <w:rsid w:val="00FE03F4"/>
    <w:rsid w:val="00FF1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footnote text" w:uiPriority="99"/>
    <w:lsdException w:name="footer" w:uiPriority="99"/>
    <w:lsdException w:name="footnote reference" w:uiPriority="99"/>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67247"/>
    <w:pPr>
      <w:spacing w:after="200" w:line="276" w:lineRule="auto"/>
    </w:pPr>
    <w:rPr>
      <w:rFonts w:ascii="Calibri" w:hAnsi="Calibri"/>
      <w:sz w:val="22"/>
      <w:szCs w:val="22"/>
      <w:lang w:val="en-NZ" w:eastAsia="en-US"/>
    </w:rPr>
  </w:style>
  <w:style w:type="paragraph" w:styleId="Heading1">
    <w:name w:val="heading 1"/>
    <w:basedOn w:val="Normal"/>
    <w:next w:val="BodyText"/>
    <w:rsid w:val="006D064B"/>
    <w:pPr>
      <w:keepNext/>
      <w:spacing w:before="160" w:after="1360" w:line="600" w:lineRule="exact"/>
      <w:ind w:left="907" w:hanging="907"/>
      <w:outlineLvl w:val="0"/>
    </w:pPr>
    <w:rPr>
      <w:rFonts w:ascii="Arial" w:hAnsi="Arial"/>
      <w:b/>
      <w:color w:val="86A20B"/>
      <w:sz w:val="52"/>
    </w:rPr>
  </w:style>
  <w:style w:type="paragraph" w:styleId="Heading2">
    <w:name w:val="heading 2"/>
    <w:basedOn w:val="Chapter"/>
    <w:next w:val="BodyText"/>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39"/>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2013AF"/>
    <w:pPr>
      <w:keepLines/>
      <w:spacing w:before="180"/>
    </w:p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uiPriority w:val="99"/>
    <w:semiHidden/>
    <w:rsid w:val="002013AF"/>
    <w:rPr>
      <w:rFonts w:ascii="Arial" w:hAnsi="Arial"/>
      <w:position w:val="6"/>
      <w:sz w:val="22"/>
      <w:vertAlign w:val="baseline"/>
    </w:rPr>
  </w:style>
  <w:style w:type="paragraph" w:styleId="FootnoteText">
    <w:name w:val="footnote text"/>
    <w:basedOn w:val="BodyText"/>
    <w:link w:val="FootnoteTextChar"/>
    <w:uiPriority w:val="99"/>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2013AF"/>
    <w:pPr>
      <w:spacing w:before="120" w:line="280" w:lineRule="exact"/>
      <w:ind w:left="340"/>
    </w:pPr>
    <w:rPr>
      <w:sz w:val="22"/>
    </w:rPr>
  </w:style>
  <w:style w:type="paragraph" w:customStyle="1" w:styleId="QuoteBullet">
    <w:name w:val="Quote Bullet"/>
    <w:basedOn w:val="Quote"/>
    <w:rsid w:val="00323E09"/>
    <w:pPr>
      <w:numPr>
        <w:numId w:val="14"/>
      </w:numPr>
    </w:pPr>
  </w:style>
  <w:style w:type="paragraph" w:customStyle="1" w:styleId="Rec">
    <w:name w:val="Rec"/>
    <w:basedOn w:val="BodyText"/>
    <w:rsid w:val="002013AF"/>
    <w:pPr>
      <w:keepLines/>
      <w:spacing w:before="180"/>
    </w:pPr>
  </w:style>
  <w:style w:type="paragraph" w:customStyle="1" w:styleId="RecBullet">
    <w:name w:val="Rec Bullet"/>
    <w:basedOn w:val="Rec"/>
    <w:rsid w:val="00323E09"/>
    <w:pPr>
      <w:numPr>
        <w:numId w:val="15"/>
      </w:numPr>
      <w:spacing w:before="80"/>
    </w:pPr>
  </w:style>
  <w:style w:type="paragraph" w:customStyle="1" w:styleId="Reference">
    <w:name w:val="Reference"/>
    <w:basedOn w:val="BodyText"/>
    <w:uiPriority w:val="99"/>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customStyle="1" w:styleId="BodyTextChar">
    <w:name w:val="Body Text Char"/>
    <w:basedOn w:val="DefaultParagraphFont"/>
    <w:link w:val="BodyText"/>
    <w:rsid w:val="002013AF"/>
    <w:rPr>
      <w:rFonts w:ascii="Arial" w:hAnsi="Arial"/>
      <w:color w:val="1C1C1C"/>
      <w:sz w:val="24"/>
    </w:rPr>
  </w:style>
  <w:style w:type="table" w:styleId="TableGrid">
    <w:name w:val="Table Grid"/>
    <w:basedOn w:val="TableNormal"/>
    <w:rsid w:val="00201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locked/>
    <w:rsid w:val="006D064B"/>
    <w:rPr>
      <w:rFonts w:ascii="Arial" w:hAnsi="Arial"/>
      <w:color w:val="1C1C1C"/>
      <w:sz w:val="22"/>
    </w:rPr>
  </w:style>
  <w:style w:type="character" w:styleId="Hyperlink">
    <w:name w:val="Hyperlink"/>
    <w:uiPriority w:val="99"/>
    <w:rsid w:val="006D064B"/>
    <w:rPr>
      <w:rFonts w:cs="Times New Roman"/>
      <w:color w:val="0000FF"/>
      <w:u w:val="single"/>
    </w:rPr>
  </w:style>
  <w:style w:type="paragraph" w:styleId="CommentSubject">
    <w:name w:val="annotation subject"/>
    <w:basedOn w:val="CommentText"/>
    <w:next w:val="CommentText"/>
    <w:link w:val="CommentSubjectChar"/>
    <w:rsid w:val="00DD766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D7669"/>
    <w:rPr>
      <w:rFonts w:ascii="Calibri" w:hAnsi="Calibri"/>
      <w:szCs w:val="22"/>
      <w:lang w:val="en-NZ" w:eastAsia="en-US"/>
    </w:rPr>
  </w:style>
  <w:style w:type="character" w:customStyle="1" w:styleId="CommentSubjectChar">
    <w:name w:val="Comment Subject Char"/>
    <w:basedOn w:val="CommentTextChar"/>
    <w:link w:val="CommentSubject"/>
    <w:rsid w:val="00DD7669"/>
    <w:rPr>
      <w:rFonts w:ascii="Calibri" w:hAnsi="Calibri"/>
      <w:b/>
      <w:bCs/>
      <w:szCs w:val="22"/>
      <w:lang w:val="en-NZ" w:eastAsia="en-US"/>
    </w:rPr>
  </w:style>
  <w:style w:type="paragraph" w:styleId="Revision">
    <w:name w:val="Revision"/>
    <w:hidden/>
    <w:uiPriority w:val="99"/>
    <w:semiHidden/>
    <w:rsid w:val="000E6542"/>
    <w:rPr>
      <w:rFonts w:ascii="Calibri" w:hAnsi="Calibri"/>
      <w:sz w:val="22"/>
      <w:szCs w:val="22"/>
      <w:lang w:val="en-NZ" w:eastAsia="en-US"/>
    </w:rPr>
  </w:style>
  <w:style w:type="paragraph" w:styleId="NormalWeb">
    <w:name w:val="Normal (Web)"/>
    <w:basedOn w:val="Normal"/>
    <w:uiPriority w:val="99"/>
    <w:unhideWhenUsed/>
    <w:rsid w:val="00934D04"/>
    <w:pPr>
      <w:spacing w:before="100" w:beforeAutospacing="1" w:after="100" w:afterAutospacing="1" w:line="240" w:lineRule="auto"/>
    </w:pPr>
    <w:rPr>
      <w:rFonts w:ascii="Times New Roman" w:eastAsiaTheme="minorEastAsia" w:hAnsi="Times New Roman"/>
      <w:sz w:val="24"/>
      <w:szCs w:val="24"/>
      <w:lang w:eastAsia="en-NZ"/>
    </w:rPr>
  </w:style>
  <w:style w:type="character" w:styleId="FollowedHyperlink">
    <w:name w:val="FollowedHyperlink"/>
    <w:basedOn w:val="DefaultParagraphFont"/>
    <w:rsid w:val="00F9097B"/>
    <w:rPr>
      <w:color w:val="800080" w:themeColor="followedHyperlink"/>
      <w:u w:val="single"/>
    </w:rPr>
  </w:style>
  <w:style w:type="character" w:customStyle="1" w:styleId="QuoteChar">
    <w:name w:val="Quote Char"/>
    <w:basedOn w:val="DefaultParagraphFont"/>
    <w:link w:val="Quote"/>
    <w:rsid w:val="00822F02"/>
    <w:rPr>
      <w:rFonts w:ascii="Arial" w:hAnsi="Arial"/>
      <w:color w:val="1C1C1C"/>
      <w:sz w:val="22"/>
    </w:rPr>
  </w:style>
  <w:style w:type="paragraph" w:styleId="ListParagraph">
    <w:name w:val="List Paragraph"/>
    <w:basedOn w:val="Normal"/>
    <w:uiPriority w:val="34"/>
    <w:rsid w:val="000922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footnote text" w:uiPriority="99"/>
    <w:lsdException w:name="footer" w:uiPriority="99"/>
    <w:lsdException w:name="footnote reference" w:uiPriority="99"/>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67247"/>
    <w:pPr>
      <w:spacing w:after="200" w:line="276" w:lineRule="auto"/>
    </w:pPr>
    <w:rPr>
      <w:rFonts w:ascii="Calibri" w:hAnsi="Calibri"/>
      <w:sz w:val="22"/>
      <w:szCs w:val="22"/>
      <w:lang w:val="en-NZ" w:eastAsia="en-US"/>
    </w:rPr>
  </w:style>
  <w:style w:type="paragraph" w:styleId="Heading1">
    <w:name w:val="heading 1"/>
    <w:basedOn w:val="Normal"/>
    <w:next w:val="BodyText"/>
    <w:rsid w:val="006D064B"/>
    <w:pPr>
      <w:keepNext/>
      <w:spacing w:before="160" w:after="1360" w:line="600" w:lineRule="exact"/>
      <w:ind w:left="907" w:hanging="907"/>
      <w:outlineLvl w:val="0"/>
    </w:pPr>
    <w:rPr>
      <w:rFonts w:ascii="Arial" w:hAnsi="Arial"/>
      <w:b/>
      <w:color w:val="86A20B"/>
      <w:sz w:val="52"/>
    </w:rPr>
  </w:style>
  <w:style w:type="paragraph" w:styleId="Heading2">
    <w:name w:val="heading 2"/>
    <w:basedOn w:val="Chapter"/>
    <w:next w:val="BodyText"/>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39"/>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2013AF"/>
    <w:pPr>
      <w:keepLines/>
      <w:spacing w:before="180"/>
    </w:p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uiPriority w:val="99"/>
    <w:semiHidden/>
    <w:rsid w:val="002013AF"/>
    <w:rPr>
      <w:rFonts w:ascii="Arial" w:hAnsi="Arial"/>
      <w:position w:val="6"/>
      <w:sz w:val="22"/>
      <w:vertAlign w:val="baseline"/>
    </w:rPr>
  </w:style>
  <w:style w:type="paragraph" w:styleId="FootnoteText">
    <w:name w:val="footnote text"/>
    <w:basedOn w:val="BodyText"/>
    <w:link w:val="FootnoteTextChar"/>
    <w:uiPriority w:val="99"/>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2013AF"/>
    <w:pPr>
      <w:spacing w:before="120" w:line="280" w:lineRule="exact"/>
      <w:ind w:left="340"/>
    </w:pPr>
    <w:rPr>
      <w:sz w:val="22"/>
    </w:rPr>
  </w:style>
  <w:style w:type="paragraph" w:customStyle="1" w:styleId="QuoteBullet">
    <w:name w:val="Quote Bullet"/>
    <w:basedOn w:val="Quote"/>
    <w:rsid w:val="00323E09"/>
    <w:pPr>
      <w:numPr>
        <w:numId w:val="14"/>
      </w:numPr>
    </w:pPr>
  </w:style>
  <w:style w:type="paragraph" w:customStyle="1" w:styleId="Rec">
    <w:name w:val="Rec"/>
    <w:basedOn w:val="BodyText"/>
    <w:rsid w:val="002013AF"/>
    <w:pPr>
      <w:keepLines/>
      <w:spacing w:before="180"/>
    </w:pPr>
  </w:style>
  <w:style w:type="paragraph" w:customStyle="1" w:styleId="RecBullet">
    <w:name w:val="Rec Bullet"/>
    <w:basedOn w:val="Rec"/>
    <w:rsid w:val="00323E09"/>
    <w:pPr>
      <w:numPr>
        <w:numId w:val="15"/>
      </w:numPr>
      <w:spacing w:before="80"/>
    </w:pPr>
  </w:style>
  <w:style w:type="paragraph" w:customStyle="1" w:styleId="Reference">
    <w:name w:val="Reference"/>
    <w:basedOn w:val="BodyText"/>
    <w:uiPriority w:val="99"/>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customStyle="1" w:styleId="BodyTextChar">
    <w:name w:val="Body Text Char"/>
    <w:basedOn w:val="DefaultParagraphFont"/>
    <w:link w:val="BodyText"/>
    <w:rsid w:val="002013AF"/>
    <w:rPr>
      <w:rFonts w:ascii="Arial" w:hAnsi="Arial"/>
      <w:color w:val="1C1C1C"/>
      <w:sz w:val="24"/>
    </w:rPr>
  </w:style>
  <w:style w:type="table" w:styleId="TableGrid">
    <w:name w:val="Table Grid"/>
    <w:basedOn w:val="TableNormal"/>
    <w:rsid w:val="00201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locked/>
    <w:rsid w:val="006D064B"/>
    <w:rPr>
      <w:rFonts w:ascii="Arial" w:hAnsi="Arial"/>
      <w:color w:val="1C1C1C"/>
      <w:sz w:val="22"/>
    </w:rPr>
  </w:style>
  <w:style w:type="character" w:styleId="Hyperlink">
    <w:name w:val="Hyperlink"/>
    <w:uiPriority w:val="99"/>
    <w:rsid w:val="006D064B"/>
    <w:rPr>
      <w:rFonts w:cs="Times New Roman"/>
      <w:color w:val="0000FF"/>
      <w:u w:val="single"/>
    </w:rPr>
  </w:style>
  <w:style w:type="paragraph" w:styleId="CommentSubject">
    <w:name w:val="annotation subject"/>
    <w:basedOn w:val="CommentText"/>
    <w:next w:val="CommentText"/>
    <w:link w:val="CommentSubjectChar"/>
    <w:rsid w:val="00DD766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D7669"/>
    <w:rPr>
      <w:rFonts w:ascii="Calibri" w:hAnsi="Calibri"/>
      <w:szCs w:val="22"/>
      <w:lang w:val="en-NZ" w:eastAsia="en-US"/>
    </w:rPr>
  </w:style>
  <w:style w:type="character" w:customStyle="1" w:styleId="CommentSubjectChar">
    <w:name w:val="Comment Subject Char"/>
    <w:basedOn w:val="CommentTextChar"/>
    <w:link w:val="CommentSubject"/>
    <w:rsid w:val="00DD7669"/>
    <w:rPr>
      <w:rFonts w:ascii="Calibri" w:hAnsi="Calibri"/>
      <w:b/>
      <w:bCs/>
      <w:szCs w:val="22"/>
      <w:lang w:val="en-NZ" w:eastAsia="en-US"/>
    </w:rPr>
  </w:style>
  <w:style w:type="paragraph" w:styleId="Revision">
    <w:name w:val="Revision"/>
    <w:hidden/>
    <w:uiPriority w:val="99"/>
    <w:semiHidden/>
    <w:rsid w:val="000E6542"/>
    <w:rPr>
      <w:rFonts w:ascii="Calibri" w:hAnsi="Calibri"/>
      <w:sz w:val="22"/>
      <w:szCs w:val="22"/>
      <w:lang w:val="en-NZ" w:eastAsia="en-US"/>
    </w:rPr>
  </w:style>
  <w:style w:type="paragraph" w:styleId="NormalWeb">
    <w:name w:val="Normal (Web)"/>
    <w:basedOn w:val="Normal"/>
    <w:uiPriority w:val="99"/>
    <w:unhideWhenUsed/>
    <w:rsid w:val="00934D04"/>
    <w:pPr>
      <w:spacing w:before="100" w:beforeAutospacing="1" w:after="100" w:afterAutospacing="1" w:line="240" w:lineRule="auto"/>
    </w:pPr>
    <w:rPr>
      <w:rFonts w:ascii="Times New Roman" w:eastAsiaTheme="minorEastAsia" w:hAnsi="Times New Roman"/>
      <w:sz w:val="24"/>
      <w:szCs w:val="24"/>
      <w:lang w:eastAsia="en-NZ"/>
    </w:rPr>
  </w:style>
  <w:style w:type="character" w:styleId="FollowedHyperlink">
    <w:name w:val="FollowedHyperlink"/>
    <w:basedOn w:val="DefaultParagraphFont"/>
    <w:rsid w:val="00F9097B"/>
    <w:rPr>
      <w:color w:val="800080" w:themeColor="followedHyperlink"/>
      <w:u w:val="single"/>
    </w:rPr>
  </w:style>
  <w:style w:type="character" w:customStyle="1" w:styleId="QuoteChar">
    <w:name w:val="Quote Char"/>
    <w:basedOn w:val="DefaultParagraphFont"/>
    <w:link w:val="Quote"/>
    <w:rsid w:val="00822F02"/>
    <w:rPr>
      <w:rFonts w:ascii="Arial" w:hAnsi="Arial"/>
      <w:color w:val="1C1C1C"/>
      <w:sz w:val="22"/>
    </w:rPr>
  </w:style>
  <w:style w:type="paragraph" w:styleId="ListParagraph">
    <w:name w:val="List Paragraph"/>
    <w:basedOn w:val="Normal"/>
    <w:uiPriority w:val="34"/>
    <w:rsid w:val="00092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5285">
      <w:bodyDiv w:val="1"/>
      <w:marLeft w:val="0"/>
      <w:marRight w:val="0"/>
      <w:marTop w:val="0"/>
      <w:marBottom w:val="0"/>
      <w:divBdr>
        <w:top w:val="none" w:sz="0" w:space="0" w:color="auto"/>
        <w:left w:val="none" w:sz="0" w:space="0" w:color="auto"/>
        <w:bottom w:val="none" w:sz="0" w:space="0" w:color="auto"/>
        <w:right w:val="none" w:sz="0" w:space="0" w:color="auto"/>
      </w:divBdr>
    </w:div>
    <w:div w:id="478233248">
      <w:bodyDiv w:val="1"/>
      <w:marLeft w:val="0"/>
      <w:marRight w:val="0"/>
      <w:marTop w:val="0"/>
      <w:marBottom w:val="0"/>
      <w:divBdr>
        <w:top w:val="none" w:sz="0" w:space="0" w:color="auto"/>
        <w:left w:val="none" w:sz="0" w:space="0" w:color="auto"/>
        <w:bottom w:val="none" w:sz="0" w:space="0" w:color="auto"/>
        <w:right w:val="none" w:sz="0" w:space="0" w:color="auto"/>
      </w:divBdr>
    </w:div>
    <w:div w:id="853498868">
      <w:bodyDiv w:val="1"/>
      <w:marLeft w:val="0"/>
      <w:marRight w:val="0"/>
      <w:marTop w:val="0"/>
      <w:marBottom w:val="0"/>
      <w:divBdr>
        <w:top w:val="none" w:sz="0" w:space="0" w:color="auto"/>
        <w:left w:val="none" w:sz="0" w:space="0" w:color="auto"/>
        <w:bottom w:val="none" w:sz="0" w:space="0" w:color="auto"/>
        <w:right w:val="none" w:sz="0" w:space="0" w:color="auto"/>
      </w:divBdr>
    </w:div>
    <w:div w:id="98469685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2039277">
      <w:bodyDiv w:val="1"/>
      <w:marLeft w:val="0"/>
      <w:marRight w:val="0"/>
      <w:marTop w:val="0"/>
      <w:marBottom w:val="0"/>
      <w:divBdr>
        <w:top w:val="none" w:sz="0" w:space="0" w:color="auto"/>
        <w:left w:val="none" w:sz="0" w:space="0" w:color="auto"/>
        <w:bottom w:val="none" w:sz="0" w:space="0" w:color="auto"/>
        <w:right w:val="none" w:sz="0" w:space="0" w:color="auto"/>
      </w:divBdr>
    </w:div>
    <w:div w:id="21250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ItemAdding</Name>
    <Synchronization>Default</Synchronization>
    <Type>1</Type>
    <SequenceNumber>3</SequenceNumber>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31A0747E5149814C8C69DE25F9912013" ma:contentTypeVersion="9" ma:contentTypeDescription="Standard Electronic Document" ma:contentTypeScope="" ma:versionID="a8507f518b43deb0388b427f8696b33d">
  <xsd:schema xmlns:xsd="http://www.w3.org/2001/XMLSchema" xmlns:xs="http://www.w3.org/2001/XMLSchema" xmlns:p="http://schemas.microsoft.com/office/2006/metadata/properties" xmlns:ns2="77e66c65-a224-4f7c-b6f1-4670afbf2f9a" xmlns:ns3="e21cbe00-2104-4159-b9b9-bd54555d1bf2" xmlns:ns4="847d1c0e-5f4e-4601-bb87-39542770853f" targetNamespace="http://schemas.microsoft.com/office/2006/metadata/properties" ma:root="true" ma:fieldsID="99da9a5f72a5ca5e777f8647995e129a" ns2:_="" ns3:_="" ns4:_="">
    <xsd:import namespace="77e66c65-a224-4f7c-b6f1-4670afbf2f9a"/>
    <xsd:import namespace="e21cbe00-2104-4159-b9b9-bd54555d1bf2"/>
    <xsd:import namespace="847d1c0e-5f4e-4601-bb87-39542770853f"/>
    <xsd:element name="properties">
      <xsd:complexType>
        <xsd:sequence>
          <xsd:element name="documentManagement">
            <xsd:complexType>
              <xsd:all>
                <xsd:element ref="ns2:Know-How_Type" minOccurs="0"/>
                <xsd:element ref="ns3:Target_Audience" minOccurs="0"/>
                <xsd:element ref="ns3:PRA_Type" minOccurs="0"/>
                <xsd:element ref="ns3:Aggregation_Status" minOccurs="0"/>
                <xsd:element ref="ns3:Narrative" minOccurs="0"/>
                <xsd:element ref="ns2:Related_People" minOccurs="0"/>
                <xsd:element ref="ns3:RecordID" minOccurs="0"/>
                <xsd:element ref="ns3:Record_Type" minOccurs="0"/>
                <xsd:element ref="ns3:Read_Only_Status" minOccurs="0"/>
                <xsd:element ref="ns3:Authoritative_Version" minOccurs="0"/>
                <xsd:element ref="ns3:Original_Document" minOccurs="0"/>
                <xsd:element ref="ns3:Date" minOccurs="0"/>
                <xsd:element ref="ns3:PRA_Text_1" minOccurs="0"/>
                <xsd:element ref="ns3:PRA_Text_2" minOccurs="0"/>
                <xsd:element ref="ns3:PRA_Text_3" minOccurs="0"/>
                <xsd:element ref="ns3:PRA_Text_4" minOccurs="0"/>
                <xsd:element ref="ns3:PRA_Text_5" minOccurs="0"/>
                <xsd:element ref="ns3:PRA_Date_1" minOccurs="0"/>
                <xsd:element ref="ns3:PRA_Date_2" minOccurs="0"/>
                <xsd:element ref="ns3:PRA_Date_3" minOccurs="0"/>
                <xsd:element ref="ns3:PRA_Date_Trigger" minOccurs="0"/>
                <xsd:element ref="ns3:PRA_Date_Disposal" minOccurs="0"/>
                <xsd:element ref="ns4:_dlc_DocId" minOccurs="0"/>
                <xsd:element ref="ns4:_dlc_DocIdUrl" minOccurs="0"/>
                <xsd:element ref="ns4:_dlc_DocIdPersistId" minOccurs="0"/>
                <xsd:element ref="ns3:Function" minOccurs="0"/>
                <xsd:element ref="ns3:Activity" minOccurs="0"/>
                <xsd:element ref="ns3:Subactivity" minOccurs="0"/>
                <xsd:element ref="ns3:Project" minOccurs="0"/>
                <xsd:element ref="ns3:Case" minOccurs="0"/>
                <xsd:element ref="ns3:DocumentType"/>
                <xsd:element ref="ns3:Key_x0020_Words" minOccurs="0"/>
                <xsd:element ref="ns3:CategoryName" minOccurs="0"/>
                <xsd:element ref="ns3:CategoryValue" minOccurs="0"/>
                <xsd:element ref="ns3:Volu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6c65-a224-4f7c-b6f1-4670afbf2f9a" elementFormDefault="qualified">
    <xsd:import namespace="http://schemas.microsoft.com/office/2006/documentManagement/types"/>
    <xsd:import namespace="http://schemas.microsoft.com/office/infopath/2007/PartnerControls"/>
    <xsd:element name="Know-How_Type" ma:index="8"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Related_People" ma:index="13"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Target_Audience" ma:index="9"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PRA_Type" ma:index="10" nillable="true" ma:displayName="PRA Type" ma:default="Doc" ma:hidden="true" ma:internalName="PRAType">
      <xsd:simpleType>
        <xsd:restriction base="dms:Text"/>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12" nillable="true" ma:displayName="Narrative" ma:internalName="Narrative">
      <xsd:simpleType>
        <xsd:restriction base="dms:Note">
          <xsd:maxLength value="255"/>
        </xsd:restriction>
      </xsd:simpleType>
    </xsd:element>
    <xsd:element name="RecordID" ma:index="14" nillable="true" ma:displayName="RecordID" ma:hidden="true" ma:internalName="RecordID">
      <xsd:simpleType>
        <xsd:restriction base="dms:Text"/>
      </xsd:simpleType>
    </xsd:element>
    <xsd:element name="Record_Type" ma:index="15"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6"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7" nillable="true" ma:displayName="Authoritative Version" ma:default="0" ma:hidden="true" ma:internalName="AuthoritativeVersion">
      <xsd:simpleType>
        <xsd:restriction base="dms:Boolean"/>
      </xsd:simpleType>
    </xsd:element>
    <xsd:element name="Original_Document" ma:index="18" nillable="true" ma:displayName="Original Document" ma:hidden="true" ma:internalName="OriginalDocument">
      <xsd:simpleType>
        <xsd:restriction base="dms:Text"/>
      </xsd:simpleType>
    </xsd:element>
    <xsd:element name="Date" ma:index="19" nillable="true" ma:displayName="Date" ma:format="DateTime" ma:hidden="true" ma:internalName="ILDate">
      <xsd:simpleType>
        <xsd:restriction base="dms:DateTime"/>
      </xsd:simpleType>
    </xsd:element>
    <xsd:element name="PRA_Text_1" ma:index="20" nillable="true" ma:displayName="PRA Text 1" ma:hidden="true" ma:internalName="PraText1">
      <xsd:simpleType>
        <xsd:restriction base="dms:Text"/>
      </xsd:simpleType>
    </xsd:element>
    <xsd:element name="PRA_Text_2" ma:index="21" nillable="true" ma:displayName="PRA Text 2" ma:hidden="true" ma:internalName="PraText2">
      <xsd:simpleType>
        <xsd:restriction base="dms:Text"/>
      </xsd:simpleType>
    </xsd:element>
    <xsd:element name="PRA_Text_3" ma:index="22" nillable="true" ma:displayName="PRA Text 3" ma:hidden="true" ma:internalName="PraText3">
      <xsd:simpleType>
        <xsd:restriction base="dms:Text"/>
      </xsd:simpleType>
    </xsd:element>
    <xsd:element name="PRA_Text_4" ma:index="23" nillable="true" ma:displayName="PRA Text 4" ma:hidden="true" ma:internalName="PraText4">
      <xsd:simpleType>
        <xsd:restriction base="dms:Text"/>
      </xsd:simpleType>
    </xsd:element>
    <xsd:element name="PRA_Text_5" ma:index="24" nillable="true" ma:displayName="PRA Text 5" ma:hidden="true" ma:internalName="PraText5">
      <xsd:simpleType>
        <xsd:restriction base="dms:Text"/>
      </xsd:simpleType>
    </xsd:element>
    <xsd:element name="PRA_Date_1" ma:index="25" nillable="true" ma:displayName="PRA Date 1" ma:format="DateTime" ma:hidden="true" ma:internalName="PraDate1">
      <xsd:simpleType>
        <xsd:restriction base="dms:DateTime"/>
      </xsd:simpleType>
    </xsd:element>
    <xsd:element name="PRA_Date_2" ma:index="26" nillable="true" ma:displayName="PRA Date 2" ma:format="DateTime" ma:hidden="true" ma:internalName="PraDate2">
      <xsd:simpleType>
        <xsd:restriction base="dms:DateTime"/>
      </xsd:simpleType>
    </xsd:element>
    <xsd:element name="PRA_Date_3" ma:index="27" nillable="true" ma:displayName="PRA Date 3" ma:format="DateTime" ma:hidden="true" ma:internalName="PraDate3">
      <xsd:simpleType>
        <xsd:restriction base="dms:DateTime"/>
      </xsd:simpleType>
    </xsd:element>
    <xsd:element name="PRA_Date_Trigger" ma:index="28" nillable="true" ma:displayName="PRA Date Trigger" ma:format="DateTime" ma:hidden="true" ma:internalName="PraDateTrigger">
      <xsd:simpleType>
        <xsd:restriction base="dms:DateTime"/>
      </xsd:simpleType>
    </xsd:element>
    <xsd:element name="PRA_Date_Disposal" ma:index="29" nillable="true" ma:displayName="PRA Date Disposal" ma:format="DateTime" ma:hidden="true" ma:internalName="PraDateDisposal">
      <xsd:simpleType>
        <xsd:restriction base="dms:DateTime"/>
      </xsd:simpleType>
    </xsd:element>
    <xsd:element name="Function" ma:index="33" nillable="true" ma:displayName="Function" ma:default="Inquiry" ma:format="RadioButtons" ma:hidden="true" ma:internalName="Function" ma:readOnly="false">
      <xsd:simpleType>
        <xsd:restriction base="dms:Choice">
          <xsd:enumeration value="Inquiry"/>
        </xsd:restriction>
      </xsd:simpleType>
    </xsd:element>
    <xsd:element name="Activity" ma:index="34" nillable="true" ma:displayName="Activity" ma:default="Final Report" ma:format="RadioButtons" ma:hidden="true" ma:internalName="Activity" ma:readOnly="false">
      <xsd:simpleType>
        <xsd:restriction base="dms:Choice">
          <xsd:enumeration value="Final Report"/>
        </xsd:restriction>
      </xsd:simpleType>
    </xsd:element>
    <xsd:element name="Subactivity" ma:index="35" nillable="true" ma:displayName="Subactivity" ma:hidden="true" ma:internalName="Subactivity" ma:readOnly="false">
      <xsd:simpleType>
        <xsd:restriction base="dms:Text">
          <xsd:maxLength value="255"/>
        </xsd:restriction>
      </xsd:simpleType>
    </xsd:element>
    <xsd:element name="Project" ma:index="36" nillable="true" ma:displayName="Project" ma:default="Integration Inquiry" ma:format="RadioButtons" ma:hidden="true" ma:internalName="Project" ma:readOnly="false">
      <xsd:simpleType>
        <xsd:restriction base="dms:Choice">
          <xsd:enumeration value="Integration Inquiry"/>
        </xsd:restriction>
      </xsd:simpleType>
    </xsd:element>
    <xsd:element name="Case" ma:index="37" nillable="true" ma:displayName="Case" ma:format="RadioButtons" ma:internalName="Case">
      <xsd:simpleType>
        <xsd:restriction base="dms:Choice">
          <xsd:enumeration value="~Interested Parties List"/>
          <xsd:enumeration value="Chapter Authoring"/>
          <xsd:enumeration value="Workings and Analysis"/>
          <xsd:enumeration value="Communications Collateral"/>
          <xsd:enumeration value="Internal Meetings"/>
          <xsd:enumeration value="Scoping and Planning"/>
        </xsd:restriction>
      </xsd:simpleType>
    </xsd:element>
    <xsd:element name="DocumentType" ma:index="38" ma:displayName="Document Type" ma:default="FORMAL OUTPUT, Formalised PC Position" ma:format="Dropdown" ma:internalName="DocumentType">
      <xsd:simpleType>
        <xsd:restriction base="dms:Choice">
          <xsd:enumeration value="CONTRACT, Variation, Agreement"/>
          <xsd:enumeration value="FORMAL OUTPUT, Formalised PC Position"/>
          <xsd:enumeration value="CORRESPONDENCE"/>
          <xsd:enumeration value="DATA, Source Data"/>
          <xsd:enumeration value="EMPLOYMENT Related"/>
          <xsd:enumeration value="FILE NOTE, Meeting Record"/>
          <xsd:enumeration value="POLICY, Procedure, Rules"/>
          <xsd:enumeration value="REFERENCE"/>
          <xsd:enumeration value="SCRATCH PAD, Brain Storming"/>
          <xsd:enumeration value="SUBMISSION"/>
          <xsd:enumeration value="TEMPLATE, Checklist or Form"/>
          <xsd:enumeration value="WORKINGS"/>
        </xsd:restriction>
      </xsd:simpleType>
    </xsd:element>
    <xsd:element name="Key_x0020_Words" ma:index="39" nillable="true" ma:displayName="Key Words" ma:hidden="true" ma:internalName="Key_x0020_Words" ma:readOnly="false">
      <xsd:simpleType>
        <xsd:restriction base="dms:Text">
          <xsd:maxLength value="255"/>
        </xsd:restriction>
      </xsd:simpleType>
    </xsd:element>
    <xsd:element name="CategoryName" ma:index="40" nillable="true" ma:displayName="Category Name" ma:default="NA" ma:format="RadioButtons" ma:hidden="true" ma:internalName="CategoryName" ma:readOnly="false">
      <xsd:simpleType>
        <xsd:restriction base="dms:Choice">
          <xsd:enumeration value="NA"/>
        </xsd:restriction>
      </xsd:simpleType>
    </xsd:element>
    <xsd:element name="CategoryValue" ma:index="41" nillable="true" ma:displayName="Category Value" ma:default="NA" ma:format="RadioButtons" ma:hidden="true" ma:internalName="CategoryValue" ma:readOnly="false">
      <xsd:simpleType>
        <xsd:restriction base="dms:Choice">
          <xsd:enumeration value="NA"/>
        </xsd:restriction>
      </xsd:simpleType>
    </xsd:element>
    <xsd:element name="Volume" ma:index="42" nillable="true" ma:displayName="Volume" ma:default="NA" ma:format="RadioButtons" ma:hidden="true" ma:internalName="Volume" ma:readOnly="false">
      <xsd:simpleType>
        <xsd:restriction base="dms:Choice">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847d1c0e-5f4e-4601-bb87-39542770853f"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ad_Only_Status xmlns="e21cbe00-2104-4159-b9b9-bd54555d1bf2">Open</Read_Only_Status>
    <Target_Audience xmlns="e21cbe00-2104-4159-b9b9-bd54555d1bf2">Internal</Target_Audience>
    <Function xmlns="e21cbe00-2104-4159-b9b9-bd54555d1bf2">Inquiry</Function>
    <Volume xmlns="e21cbe00-2104-4159-b9b9-bd54555d1bf2">NA</Volume>
    <PRA_Date_3 xmlns="e21cbe00-2104-4159-b9b9-bd54555d1bf2" xsi:nil="true"/>
    <Project xmlns="e21cbe00-2104-4159-b9b9-bd54555d1bf2">Integration Inquiry</Project>
    <Authoritative_Version xmlns="e21cbe00-2104-4159-b9b9-bd54555d1bf2">false</Authoritative_Version>
    <CategoryValue xmlns="e21cbe00-2104-4159-b9b9-bd54555d1bf2">NA</CategoryValue>
    <PRA_Date_Disposal xmlns="e21cbe00-2104-4159-b9b9-bd54555d1bf2" xsi:nil="true"/>
    <DocumentType xmlns="e21cbe00-2104-4159-b9b9-bd54555d1bf2">FORMAL OUTPUT, Formalised PC Position</DocumentType>
    <Activity xmlns="e21cbe00-2104-4159-b9b9-bd54555d1bf2">Final Report</Activity>
    <PRA_Text_3 xmlns="e21cbe00-2104-4159-b9b9-bd54555d1bf2" xsi:nil="true"/>
    <Narrative xmlns="e21cbe00-2104-4159-b9b9-bd54555d1bf2" xsi:nil="true"/>
    <CategoryName xmlns="e21cbe00-2104-4159-b9b9-bd54555d1bf2">NA</CategoryName>
    <Date xmlns="e21cbe00-2104-4159-b9b9-bd54555d1bf2" xsi:nil="true"/>
    <Case xmlns="e21cbe00-2104-4159-b9b9-bd54555d1bf2">Chapter Authoring</Case>
    <Key_x0020_Words xmlns="e21cbe00-2104-4159-b9b9-bd54555d1bf2" xsi:nil="true"/>
    <Related_People xmlns="77e66c65-a224-4f7c-b6f1-4670afbf2f9a">
      <UserInfo>
        <DisplayName/>
        <AccountId xsi:nil="true"/>
        <AccountType/>
      </UserInfo>
    </Related_People>
    <RecordID xmlns="e21cbe00-2104-4159-b9b9-bd54555d1bf2">9806</RecordID>
    <Original_Document xmlns="e21cbe00-2104-4159-b9b9-bd54555d1bf2" xsi:nil="true"/>
    <PRA_Text_2 xmlns="e21cbe00-2104-4159-b9b9-bd54555d1bf2" xsi:nil="true"/>
    <PRA_Text_5 xmlns="e21cbe00-2104-4159-b9b9-bd54555d1bf2" xsi:nil="true"/>
    <PRA_Date_1 xmlns="e21cbe00-2104-4159-b9b9-bd54555d1bf2" xsi:nil="true"/>
    <Subactivity xmlns="e21cbe00-2104-4159-b9b9-bd54555d1bf2" xsi:nil="true"/>
    <Know-How_Type xmlns="77e66c65-a224-4f7c-b6f1-4670afbf2f9a">NA</Know-How_Type>
    <PRA_Text_1 xmlns="e21cbe00-2104-4159-b9b9-bd54555d1bf2" xsi:nil="true"/>
    <PRA_Text_4 xmlns="e21cbe00-2104-4159-b9b9-bd54555d1bf2" xsi:nil="true"/>
    <Record_Type xmlns="e21cbe00-2104-4159-b9b9-bd54555d1bf2">Normal</Record_Type>
    <_dlc_DocId xmlns="847d1c0e-5f4e-4601-bb87-39542770853f">SM3EPU6DYQMU-79-143</_dlc_DocId>
    <_dlc_DocIdUrl xmlns="847d1c0e-5f4e-4601-bb87-39542770853f">
      <Url>http://shed/inquiry/iqi/_layouts/DocIdRedir.aspx?ID=SM3EPU6DYQMU-79-143</Url>
      <Description>SM3EPU6DYQMU-79-143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440D-CFB1-4C1E-B540-23C2E3B7E6D6}">
  <ds:schemaRefs>
    <ds:schemaRef ds:uri="http://schemas.microsoft.com/sharepoint/events"/>
  </ds:schemaRefs>
</ds:datastoreItem>
</file>

<file path=customXml/itemProps2.xml><?xml version="1.0" encoding="utf-8"?>
<ds:datastoreItem xmlns:ds="http://schemas.openxmlformats.org/officeDocument/2006/customXml" ds:itemID="{6499BF47-2C7C-4E8B-861D-9F635709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6c65-a224-4f7c-b6f1-4670afbf2f9a"/>
    <ds:schemaRef ds:uri="e21cbe00-2104-4159-b9b9-bd54555d1bf2"/>
    <ds:schemaRef ds:uri="847d1c0e-5f4e-4601-bb87-395427708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D39C8-A1EC-472A-93BD-A6A004F1E100}">
  <ds:schemaRefs>
    <ds:schemaRef ds:uri="http://schemas.microsoft.com/office/2006/documentManagement/types"/>
    <ds:schemaRef ds:uri="http://purl.org/dc/terms/"/>
    <ds:schemaRef ds:uri="847d1c0e-5f4e-4601-bb87-39542770853f"/>
    <ds:schemaRef ds:uri="http://purl.org/dc/dcmitype/"/>
    <ds:schemaRef ds:uri="http://schemas.openxmlformats.org/package/2006/metadata/core-properties"/>
    <ds:schemaRef ds:uri="http://www.w3.org/XML/1998/namespace"/>
    <ds:schemaRef ds:uri="e21cbe00-2104-4159-b9b9-bd54555d1bf2"/>
    <ds:schemaRef ds:uri="77e66c65-a224-4f7c-b6f1-4670afbf2f9a"/>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A218337-80CA-4D10-8447-B42DD6E8E717}">
  <ds:schemaRefs>
    <ds:schemaRef ds:uri="http://schemas.microsoft.com/sharepoint/v3/contenttype/forms"/>
  </ds:schemaRefs>
</ds:datastoreItem>
</file>

<file path=customXml/itemProps5.xml><?xml version="1.0" encoding="utf-8"?>
<ds:datastoreItem xmlns:ds="http://schemas.openxmlformats.org/officeDocument/2006/customXml" ds:itemID="{7EF8C1FB-88BC-44D6-9593-7AF68B4C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53</TotalTime>
  <Pages>29</Pages>
  <Words>9743</Words>
  <Characters>53473</Characters>
  <Application>Microsoft Office Word</Application>
  <DocSecurity>0</DocSecurity>
  <Lines>445</Lines>
  <Paragraphs>126</Paragraphs>
  <ScaleCrop>false</ScaleCrop>
  <HeadingPairs>
    <vt:vector size="2" baseType="variant">
      <vt:variant>
        <vt:lpstr>Title</vt:lpstr>
      </vt:variant>
      <vt:variant>
        <vt:i4>1</vt:i4>
      </vt:variant>
    </vt:vector>
  </HeadingPairs>
  <TitlesOfParts>
    <vt:vector size="1" baseType="lpstr">
      <vt:lpstr>MRIC</vt:lpstr>
    </vt:vector>
  </TitlesOfParts>
  <Company>Productivity Commission</Company>
  <LinksUpToDate>false</LinksUpToDate>
  <CharactersWithSpaces>63090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MRIC</dc:title>
  <dc:subject>Report</dc:subject>
  <dc:creator>Australian and New Zealand Productivity Commissions</dc:creator>
  <dc:description>F.</dc:description>
  <cp:lastModifiedBy>Louise Jordan</cp:lastModifiedBy>
  <cp:revision>36</cp:revision>
  <cp:lastPrinted>2012-12-04T03:17:00Z</cp:lastPrinted>
  <dcterms:created xsi:type="dcterms:W3CDTF">2012-12-10T00:29:00Z</dcterms:created>
  <dcterms:modified xsi:type="dcterms:W3CDTF">2012-12-10T04:42:00Z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0x010100AAAAAAAAAAAAAAAAAAAAAAAAAAAAAA020031A0747E5149814C8C69DE25F9912013</vt:lpwstr>
  </property>
  <property fmtid="{D5CDD505-2E9C-101B-9397-08002B2CF9AE}" pid="3" name="_dlc_DocIdItemGuid">
    <vt:lpwstr>9efe0acb-be8c-4fcd-9160-78d80754519b</vt:lpwstr>
  </property>
  <property fmtid="{D5CDD505-2E9C-101B-9397-08002B2CF9AE}" pid="4" name="_AdHocReviewCycleID">
    <vt:i4>402500927</vt:i4>
  </property>
  <property fmtid="{D5CDD505-2E9C-101B-9397-08002B2CF9AE}" pid="5" name="_NewReviewCycle">
    <vt:lpwstr/>
  </property>
  <property fmtid="{D5CDD505-2E9C-101B-9397-08002B2CF9AE}" pid="6" name="_EmailSubject">
    <vt:lpwstr>Web files for the OZ-NZ final report [SEC=UNCLASSIFIED]</vt:lpwstr>
  </property>
  <property fmtid="{D5CDD505-2E9C-101B-9397-08002B2CF9AE}" pid="7" name="_AuthorEmail">
    <vt:lpwstr>Louise.Jordan@pc.gov.au</vt:lpwstr>
  </property>
  <property fmtid="{D5CDD505-2E9C-101B-9397-08002B2CF9AE}" pid="8" name="_AuthorEmailDisplayName">
    <vt:lpwstr>Jordan, Louise</vt:lpwstr>
  </property>
</Properties>
</file>