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039" w:rsidRDefault="00397BDE" w:rsidP="00A409E1">
      <w:pPr>
        <w:pStyle w:val="BodyText"/>
        <w:spacing w:before="160" w:line="240" w:lineRule="auto"/>
        <w:rPr>
          <w:b/>
          <w:snapToGrid w:val="0"/>
        </w:rPr>
      </w:pPr>
      <w:r>
        <w:rPr>
          <w:b/>
          <w:noProof/>
        </w:rPr>
        <w:drawing>
          <wp:anchor distT="0" distB="0" distL="114300" distR="114300" simplePos="0" relativeHeight="251658240" behindDoc="0" locked="0" layoutInCell="1" allowOverlap="1">
            <wp:simplePos x="1148316" y="999460"/>
            <wp:positionH relativeFrom="page">
              <wp:align>left</wp:align>
            </wp:positionH>
            <wp:positionV relativeFrom="page">
              <wp:align>center</wp:align>
            </wp:positionV>
            <wp:extent cx="7198429" cy="9226800"/>
            <wp:effectExtent l="0" t="0" r="0" b="0"/>
            <wp:wrapNone/>
            <wp:docPr id="1" name="Picture 1" descr="Cover image.&#10;The Australian Productivty and New Zealand Productivity Commission logos.&#10;The title is Strengthening trans-Tasman economic relations. It is a joint study. It is the final report. Published in Novem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Z-NZ-safehands-cover-printer-final-report-AU.png"/>
                    <pic:cNvPicPr/>
                  </pic:nvPicPr>
                  <pic:blipFill>
                    <a:blip r:embed="rId9">
                      <a:extLst>
                        <a:ext uri="{28A0092B-C50C-407E-A947-70E740481C1C}">
                          <a14:useLocalDpi xmlns:a14="http://schemas.microsoft.com/office/drawing/2010/main" val="0"/>
                        </a:ext>
                      </a:extLst>
                    </a:blip>
                    <a:stretch>
                      <a:fillRect/>
                    </a:stretch>
                  </pic:blipFill>
                  <pic:spPr>
                    <a:xfrm>
                      <a:off x="0" y="0"/>
                      <a:ext cx="7198429" cy="9226800"/>
                    </a:xfrm>
                    <a:prstGeom prst="rect">
                      <a:avLst/>
                    </a:prstGeom>
                  </pic:spPr>
                </pic:pic>
              </a:graphicData>
            </a:graphic>
            <wp14:sizeRelH relativeFrom="margin">
              <wp14:pctWidth>0</wp14:pctWidth>
            </wp14:sizeRelH>
            <wp14:sizeRelV relativeFrom="margin">
              <wp14:pctHeight>0</wp14:pctHeight>
            </wp14:sizeRelV>
          </wp:anchor>
        </w:drawing>
      </w:r>
      <w:r w:rsidR="00B24039">
        <w:rPr>
          <w:b/>
          <w:snapToGrid w:val="0"/>
        </w:rPr>
        <w:br w:type="page"/>
      </w:r>
    </w:p>
    <w:p w:rsidR="00A409E1" w:rsidRPr="00BF7DDC" w:rsidRDefault="00A409E1" w:rsidP="00A409E1">
      <w:pPr>
        <w:pStyle w:val="BodyText"/>
        <w:spacing w:before="160" w:line="240" w:lineRule="auto"/>
        <w:rPr>
          <w:b/>
          <w:snapToGrid w:val="0"/>
        </w:rPr>
      </w:pPr>
      <w:r w:rsidRPr="00BF7DDC">
        <w:rPr>
          <w:b/>
          <w:snapToGrid w:val="0"/>
        </w:rPr>
        <w:lastRenderedPageBreak/>
        <w:t>© Commonwealth of Australia and New Zealand Crown 2012</w:t>
      </w:r>
    </w:p>
    <w:p w:rsidR="00965928" w:rsidRDefault="00965928" w:rsidP="00965928">
      <w:pPr>
        <w:pStyle w:val="BodyText"/>
        <w:tabs>
          <w:tab w:val="left" w:pos="851"/>
        </w:tabs>
        <w:spacing w:line="240" w:lineRule="auto"/>
        <w:rPr>
          <w:b/>
        </w:rPr>
      </w:pPr>
      <w:bookmarkStart w:id="0" w:name="ISSN"/>
      <w:bookmarkEnd w:id="0"/>
      <w:r>
        <w:rPr>
          <w:b/>
        </w:rPr>
        <w:t>ISBN</w:t>
      </w:r>
      <w:r>
        <w:rPr>
          <w:b/>
        </w:rPr>
        <w:tab/>
      </w:r>
      <w:r>
        <w:rPr>
          <w:rFonts w:cs="Arial"/>
          <w:color w:val="000000"/>
        </w:rPr>
        <w:t>978-1-74037-425-5 (Australia)</w:t>
      </w:r>
    </w:p>
    <w:p w:rsidR="00965928" w:rsidRPr="00B878A1" w:rsidRDefault="00965928" w:rsidP="00965928">
      <w:pPr>
        <w:pStyle w:val="BodyText"/>
        <w:tabs>
          <w:tab w:val="left" w:pos="851"/>
        </w:tabs>
        <w:spacing w:before="0" w:line="240" w:lineRule="auto"/>
      </w:pPr>
      <w:r w:rsidRPr="00B878A1">
        <w:rPr>
          <w:b/>
        </w:rPr>
        <w:t>ISBN</w:t>
      </w:r>
      <w:r w:rsidRPr="00B878A1">
        <w:rPr>
          <w:b/>
        </w:rPr>
        <w:tab/>
      </w:r>
      <w:r w:rsidRPr="005E29CF">
        <w:rPr>
          <w:rFonts w:cs="Arial"/>
          <w:color w:val="000000"/>
        </w:rPr>
        <w:t>978-0-478-39517-4 (printed) 978-0-478-39518-1 (online) (New Zealand)</w:t>
      </w:r>
    </w:p>
    <w:p w:rsidR="00BF7DDC" w:rsidRDefault="00A409E1" w:rsidP="001E7838">
      <w:pPr>
        <w:pStyle w:val="BodyText"/>
        <w:spacing w:line="240" w:lineRule="auto"/>
        <w:rPr>
          <w:b/>
        </w:rPr>
      </w:pPr>
      <w:r w:rsidRPr="00BF7DDC">
        <w:rPr>
          <w:b/>
        </w:rPr>
        <w:t>Copyright notice:</w:t>
      </w:r>
    </w:p>
    <w:p w:rsidR="00A409E1" w:rsidRPr="00A409E1" w:rsidRDefault="00A409E1" w:rsidP="00BF7DDC">
      <w:pPr>
        <w:pStyle w:val="BodyText"/>
        <w:spacing w:before="0" w:line="240" w:lineRule="auto"/>
        <w:rPr>
          <w:snapToGrid w:val="0"/>
        </w:rPr>
      </w:pPr>
      <w:r w:rsidRPr="00A409E1">
        <w:rPr>
          <w:snapToGrid w:val="0"/>
        </w:rPr>
        <w:t>Unless otherwise noted, copyright in this publication is owned by the Commonwealth of Australia and the New Zealand Crown.</w:t>
      </w:r>
    </w:p>
    <w:p w:rsidR="00BF7DDC" w:rsidRDefault="00BF7DDC" w:rsidP="001E7838">
      <w:pPr>
        <w:pStyle w:val="BodyText"/>
        <w:spacing w:line="240" w:lineRule="auto"/>
        <w:rPr>
          <w:b/>
        </w:rPr>
      </w:pPr>
      <w:r w:rsidRPr="00BF7DDC">
        <w:rPr>
          <w:b/>
        </w:rPr>
        <w:t>Creative Commons licence:</w:t>
      </w:r>
    </w:p>
    <w:p w:rsidR="00876B21" w:rsidRDefault="00876B21" w:rsidP="00876B21">
      <w:pPr>
        <w:pStyle w:val="BodyText"/>
        <w:spacing w:before="160" w:line="240" w:lineRule="auto"/>
        <w:rPr>
          <w:snapToGrid w:val="0"/>
        </w:rPr>
      </w:pPr>
      <w:r>
        <w:rPr>
          <w:noProof/>
        </w:rPr>
        <w:drawing>
          <wp:inline distT="0" distB="0" distL="0" distR="0" wp14:anchorId="0F879792" wp14:editId="5FCE76B5">
            <wp:extent cx="800100" cy="281854"/>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x31.png"/>
                    <pic:cNvPicPr/>
                  </pic:nvPicPr>
                  <pic:blipFill>
                    <a:blip r:embed="rId10">
                      <a:extLst>
                        <a:ext uri="{28A0092B-C50C-407E-A947-70E740481C1C}">
                          <a14:useLocalDpi xmlns:a14="http://schemas.microsoft.com/office/drawing/2010/main" val="0"/>
                        </a:ext>
                      </a:extLst>
                    </a:blip>
                    <a:stretch>
                      <a:fillRect/>
                    </a:stretch>
                  </pic:blipFill>
                  <pic:spPr>
                    <a:xfrm>
                      <a:off x="0" y="0"/>
                      <a:ext cx="806504" cy="284110"/>
                    </a:xfrm>
                    <a:prstGeom prst="rect">
                      <a:avLst/>
                    </a:prstGeom>
                  </pic:spPr>
                </pic:pic>
              </a:graphicData>
            </a:graphic>
          </wp:inline>
        </w:drawing>
      </w:r>
    </w:p>
    <w:p w:rsidR="00C97B59" w:rsidRPr="00C97B59" w:rsidRDefault="00BF7DDC" w:rsidP="00876B21">
      <w:pPr>
        <w:pStyle w:val="BodyText"/>
        <w:spacing w:before="160" w:line="240" w:lineRule="auto"/>
        <w:rPr>
          <w:snapToGrid w:val="0"/>
        </w:rPr>
      </w:pPr>
      <w:r w:rsidRPr="00BF7DDC">
        <w:rPr>
          <w:snapToGrid w:val="0"/>
        </w:rPr>
        <w:t xml:space="preserve">This joint publication </w:t>
      </w:r>
      <w:r w:rsidR="00C97B59" w:rsidRPr="00BF7DDC">
        <w:rPr>
          <w:snapToGrid w:val="0"/>
        </w:rPr>
        <w:t xml:space="preserve">by the </w:t>
      </w:r>
      <w:hyperlink r:id="rId11" w:history="1">
        <w:r w:rsidR="00C97B59" w:rsidRPr="00BF7DDC">
          <w:rPr>
            <w:snapToGrid w:val="0"/>
          </w:rPr>
          <w:t>Australian and New Zealand Productivity Commission</w:t>
        </w:r>
      </w:hyperlink>
      <w:r w:rsidR="00C97B59">
        <w:rPr>
          <w:snapToGrid w:val="0"/>
        </w:rPr>
        <w:t>s</w:t>
      </w:r>
      <w:r w:rsidR="00C97B59" w:rsidRPr="00C97B59">
        <w:rPr>
          <w:snapToGrid w:val="0"/>
        </w:rPr>
        <w:t xml:space="preserve">, is licensed under a </w:t>
      </w:r>
      <w:hyperlink r:id="rId12" w:history="1">
        <w:r w:rsidR="00C97B59" w:rsidRPr="00C97B59">
          <w:rPr>
            <w:snapToGrid w:val="0"/>
          </w:rPr>
          <w:t xml:space="preserve">Creative Commons Attribution 3.0 </w:t>
        </w:r>
        <w:proofErr w:type="spellStart"/>
        <w:r w:rsidR="00C97B59" w:rsidRPr="00C97B59">
          <w:rPr>
            <w:snapToGrid w:val="0"/>
          </w:rPr>
          <w:t>Unported</w:t>
        </w:r>
        <w:proofErr w:type="spellEnd"/>
        <w:r w:rsidR="00C97B59" w:rsidRPr="00C97B59">
          <w:rPr>
            <w:snapToGrid w:val="0"/>
          </w:rPr>
          <w:t xml:space="preserve"> License</w:t>
        </w:r>
      </w:hyperlink>
      <w:r w:rsidR="00C97B59" w:rsidRPr="00C97B59">
        <w:rPr>
          <w:snapToGrid w:val="0"/>
        </w:rPr>
        <w:t xml:space="preserve"> (</w:t>
      </w:r>
      <w:hyperlink r:id="rId13" w:history="1">
        <w:r w:rsidR="00C97B59" w:rsidRPr="00C97B59">
          <w:rPr>
            <w:snapToGrid w:val="0"/>
          </w:rPr>
          <w:t>http://</w:t>
        </w:r>
        <w:proofErr w:type="spellStart"/>
        <w:r w:rsidR="00C97B59" w:rsidRPr="00C97B59">
          <w:rPr>
            <w:snapToGrid w:val="0"/>
          </w:rPr>
          <w:t>creativecommons.org</w:t>
        </w:r>
        <w:proofErr w:type="spellEnd"/>
        <w:r w:rsidR="00C97B59" w:rsidRPr="00C97B59">
          <w:rPr>
            <w:snapToGrid w:val="0"/>
          </w:rPr>
          <w:t>/licenses/by/3.0/</w:t>
        </w:r>
      </w:hyperlink>
      <w:r w:rsidR="00C97B59" w:rsidRPr="00C97B59">
        <w:rPr>
          <w:snapToGrid w:val="0"/>
        </w:rPr>
        <w:t>). Permissions beyond the scope of t</w:t>
      </w:r>
      <w:r w:rsidR="00A55167">
        <w:rPr>
          <w:snapToGrid w:val="0"/>
        </w:rPr>
        <w:t xml:space="preserve">his license may be </w:t>
      </w:r>
      <w:r>
        <w:rPr>
          <w:snapToGrid w:val="0"/>
        </w:rPr>
        <w:t>directed to either Commission, contact details below</w:t>
      </w:r>
      <w:r w:rsidR="00C97B59" w:rsidRPr="00C97B59">
        <w:rPr>
          <w:snapToGrid w:val="0"/>
        </w:rPr>
        <w:t>.</w:t>
      </w:r>
    </w:p>
    <w:p w:rsidR="00BF7DDC" w:rsidRPr="00C97B59" w:rsidRDefault="00BF7DDC" w:rsidP="00BF7DDC">
      <w:pPr>
        <w:pStyle w:val="BodyText"/>
        <w:spacing w:before="160" w:line="240" w:lineRule="auto"/>
        <w:rPr>
          <w:snapToGrid w:val="0"/>
        </w:rPr>
      </w:pPr>
      <w:r w:rsidRPr="00C97B59">
        <w:rPr>
          <w:snapToGrid w:val="0"/>
        </w:rPr>
        <w:t>This licence allows you to copy, distribute and transmit this work provided that you attribute the source. Wherever a third party holds copyright in material presented in this publication, the copyright remains with that party. Their permission may be required to use the material.</w:t>
      </w:r>
    </w:p>
    <w:p w:rsidR="003E7802" w:rsidRDefault="003E7802" w:rsidP="001E7838">
      <w:pPr>
        <w:pStyle w:val="BodyText"/>
        <w:spacing w:line="240" w:lineRule="auto"/>
        <w:rPr>
          <w:b/>
        </w:rPr>
      </w:pPr>
      <w:r>
        <w:rPr>
          <w:b/>
        </w:rPr>
        <w:t xml:space="preserve">General </w:t>
      </w:r>
      <w:r w:rsidR="00C97B59">
        <w:rPr>
          <w:b/>
        </w:rPr>
        <w:t>i</w:t>
      </w:r>
      <w:r>
        <w:rPr>
          <w:b/>
        </w:rPr>
        <w:t>nquiries:</w:t>
      </w:r>
      <w:bookmarkStart w:id="1" w:name="_GoBack"/>
      <w:bookmarkEnd w:id="1"/>
    </w:p>
    <w:p w:rsidR="00C97B59" w:rsidRPr="00C97B59" w:rsidRDefault="00C97B59" w:rsidP="00C97B59">
      <w:pPr>
        <w:pStyle w:val="BodyText"/>
        <w:tabs>
          <w:tab w:val="left" w:pos="2552"/>
        </w:tabs>
        <w:spacing w:before="0"/>
        <w:jc w:val="left"/>
      </w:pPr>
      <w:r w:rsidRPr="00C97B59">
        <w:t>Australian Productivity Commission</w:t>
      </w:r>
      <w:r w:rsidRPr="00C97B59">
        <w:br/>
      </w:r>
      <w:proofErr w:type="spellStart"/>
      <w:r w:rsidRPr="00C97B59">
        <w:t>Ph</w:t>
      </w:r>
      <w:proofErr w:type="spellEnd"/>
      <w:r w:rsidRPr="00C97B59">
        <w:t xml:space="preserve">: +61 </w:t>
      </w:r>
      <w:r w:rsidR="00303948">
        <w:t>2</w:t>
      </w:r>
      <w:r w:rsidRPr="00C97B59">
        <w:t xml:space="preserve"> </w:t>
      </w:r>
      <w:r w:rsidR="00303948">
        <w:t>6240</w:t>
      </w:r>
      <w:r w:rsidRPr="00C97B59">
        <w:t xml:space="preserve"> </w:t>
      </w:r>
      <w:r w:rsidR="00303948">
        <w:t>3200</w:t>
      </w:r>
      <w:r w:rsidRPr="00C97B59">
        <w:tab/>
        <w:t xml:space="preserve">Email: </w:t>
      </w:r>
      <w:r w:rsidR="00303948">
        <w:t>maps</w:t>
      </w:r>
      <w:r w:rsidRPr="00C97B59">
        <w:t>@pc.gov.au</w:t>
      </w:r>
    </w:p>
    <w:p w:rsidR="003E7802" w:rsidRPr="008F04C9" w:rsidRDefault="00C97B59" w:rsidP="00C97B59">
      <w:pPr>
        <w:pStyle w:val="BodyText"/>
        <w:tabs>
          <w:tab w:val="left" w:pos="2552"/>
        </w:tabs>
        <w:jc w:val="left"/>
        <w:rPr>
          <w:szCs w:val="24"/>
        </w:rPr>
      </w:pPr>
      <w:r w:rsidRPr="00C97B59">
        <w:rPr>
          <w:szCs w:val="24"/>
        </w:rPr>
        <w:t>New Zealand Productivity Commission</w:t>
      </w:r>
      <w:r w:rsidRPr="00C97B59">
        <w:rPr>
          <w:szCs w:val="24"/>
        </w:rPr>
        <w:br/>
      </w:r>
      <w:proofErr w:type="spellStart"/>
      <w:r w:rsidRPr="00C97B59">
        <w:rPr>
          <w:szCs w:val="24"/>
        </w:rPr>
        <w:t>Ph</w:t>
      </w:r>
      <w:proofErr w:type="spellEnd"/>
      <w:r w:rsidRPr="00C97B59">
        <w:rPr>
          <w:szCs w:val="24"/>
        </w:rPr>
        <w:t>: +64 4 903 5150</w:t>
      </w:r>
      <w:r w:rsidRPr="00C97B59">
        <w:rPr>
          <w:szCs w:val="24"/>
        </w:rPr>
        <w:tab/>
      </w:r>
      <w:r w:rsidRPr="00C97B59">
        <w:t>Email</w:t>
      </w:r>
      <w:r w:rsidRPr="00C97B59">
        <w:rPr>
          <w:szCs w:val="24"/>
        </w:rPr>
        <w:t xml:space="preserve">: </w:t>
      </w:r>
      <w:proofErr w:type="spellStart"/>
      <w:r w:rsidR="00965928" w:rsidRPr="00965928">
        <w:rPr>
          <w:szCs w:val="24"/>
        </w:rPr>
        <w:t>info@productivity.govt.nz</w:t>
      </w:r>
      <w:proofErr w:type="spellEnd"/>
    </w:p>
    <w:p w:rsidR="00C97B59" w:rsidRPr="00C97B59" w:rsidRDefault="00C97B59" w:rsidP="001E7838">
      <w:pPr>
        <w:pStyle w:val="BodyText"/>
        <w:spacing w:line="240" w:lineRule="auto"/>
        <w:rPr>
          <w:b/>
          <w:snapToGrid w:val="0"/>
        </w:rPr>
      </w:pPr>
      <w:bookmarkStart w:id="2" w:name="JEL"/>
      <w:bookmarkEnd w:id="2"/>
      <w:r w:rsidRPr="00C97B59">
        <w:rPr>
          <w:b/>
          <w:snapToGrid w:val="0"/>
        </w:rPr>
        <w:t xml:space="preserve">An </w:t>
      </w:r>
      <w:r w:rsidRPr="00C97B59">
        <w:rPr>
          <w:b/>
        </w:rPr>
        <w:t>appropriate</w:t>
      </w:r>
      <w:r w:rsidRPr="00C97B59">
        <w:rPr>
          <w:b/>
          <w:snapToGrid w:val="0"/>
        </w:rPr>
        <w:t xml:space="preserve"> citation for this publication is:</w:t>
      </w:r>
    </w:p>
    <w:p w:rsidR="003E7802" w:rsidRDefault="00965928" w:rsidP="00227BD5">
      <w:pPr>
        <w:pStyle w:val="BodyText"/>
        <w:spacing w:before="0" w:line="320" w:lineRule="exact"/>
        <w:rPr>
          <w:snapToGrid w:val="0"/>
        </w:rPr>
      </w:pPr>
      <w:r w:rsidRPr="00C97B59">
        <w:rPr>
          <w:snapToGrid w:val="0"/>
        </w:rPr>
        <w:t xml:space="preserve">Australian Productivity Commission and New Zealand Productivity Commission 2012, </w:t>
      </w:r>
      <w:r w:rsidRPr="00C97B59">
        <w:rPr>
          <w:i/>
          <w:snapToGrid w:val="0"/>
        </w:rPr>
        <w:t xml:space="preserve">Strengthening </w:t>
      </w:r>
      <w:r>
        <w:rPr>
          <w:i/>
          <w:snapToGrid w:val="0"/>
        </w:rPr>
        <w:t xml:space="preserve">trans-Tasman </w:t>
      </w:r>
      <w:r w:rsidRPr="00C97B59">
        <w:rPr>
          <w:i/>
          <w:snapToGrid w:val="0"/>
        </w:rPr>
        <w:t>economic relations</w:t>
      </w:r>
      <w:r w:rsidRPr="00C97B59">
        <w:rPr>
          <w:snapToGrid w:val="0"/>
        </w:rPr>
        <w:t xml:space="preserve">, </w:t>
      </w:r>
      <w:r>
        <w:rPr>
          <w:snapToGrid w:val="0"/>
        </w:rPr>
        <w:t xml:space="preserve">Joint Study, Final </w:t>
      </w:r>
      <w:r w:rsidRPr="00C97B59">
        <w:rPr>
          <w:snapToGrid w:val="0"/>
        </w:rPr>
        <w:t>Report.</w:t>
      </w:r>
    </w:p>
    <w:p w:rsidR="00FB2C7D" w:rsidRPr="00551FB8" w:rsidRDefault="00FB2C7D" w:rsidP="00FB2C7D">
      <w:pPr>
        <w:pStyle w:val="BodyText"/>
        <w:tabs>
          <w:tab w:val="left" w:pos="2552"/>
        </w:tabs>
        <w:spacing w:after="480"/>
        <w:jc w:val="left"/>
        <w:rPr>
          <w:szCs w:val="24"/>
        </w:rPr>
      </w:pPr>
      <w:proofErr w:type="spellStart"/>
      <w:r w:rsidRPr="00FB2C7D">
        <w:rPr>
          <w:szCs w:val="24"/>
        </w:rPr>
        <w:t>JEL</w:t>
      </w:r>
      <w:proofErr w:type="spellEnd"/>
      <w:r w:rsidRPr="00FB2C7D">
        <w:rPr>
          <w:szCs w:val="24"/>
        </w:rPr>
        <w:t xml:space="preserve"> code: </w:t>
      </w:r>
      <w:r w:rsidR="00965928">
        <w:rPr>
          <w:szCs w:val="24"/>
        </w:rPr>
        <w:t>F</w:t>
      </w:r>
    </w:p>
    <w:p w:rsidR="00C97B59" w:rsidRPr="00C97B59" w:rsidRDefault="00C97B59" w:rsidP="00C97B59">
      <w:pPr>
        <w:pStyle w:val="BodyText"/>
        <w:pBdr>
          <w:top w:val="single" w:sz="4" w:space="5" w:color="auto"/>
          <w:left w:val="single" w:sz="4" w:space="8" w:color="auto"/>
          <w:bottom w:val="single" w:sz="4" w:space="14" w:color="auto"/>
          <w:right w:val="single" w:sz="4" w:space="8" w:color="auto"/>
        </w:pBdr>
        <w:spacing w:before="120" w:line="240" w:lineRule="auto"/>
        <w:ind w:left="284" w:right="284"/>
        <w:rPr>
          <w:b/>
          <w:i/>
          <w:szCs w:val="24"/>
        </w:rPr>
      </w:pPr>
      <w:r w:rsidRPr="00C97B59">
        <w:rPr>
          <w:b/>
          <w:i/>
          <w:szCs w:val="24"/>
        </w:rPr>
        <w:t>Australian Productivity Commission</w:t>
      </w:r>
    </w:p>
    <w:p w:rsidR="00C97B59" w:rsidRPr="00C97B59" w:rsidRDefault="00C97B59" w:rsidP="00C97B59">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Cs w:val="24"/>
        </w:rPr>
      </w:pPr>
      <w:r w:rsidRPr="00C97B59">
        <w:rPr>
          <w:szCs w:val="24"/>
        </w:rPr>
        <w:t>The Australian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w:t>
      </w:r>
      <w:r w:rsidR="00CD391C">
        <w:rPr>
          <w:szCs w:val="24"/>
        </w:rPr>
        <w:t>alian community. www.pc.gov.au</w:t>
      </w:r>
    </w:p>
    <w:p w:rsidR="00C97B59" w:rsidRPr="00C97B59" w:rsidRDefault="00C97B59" w:rsidP="00C97B59">
      <w:pPr>
        <w:pStyle w:val="BodyText"/>
        <w:pBdr>
          <w:top w:val="single" w:sz="4" w:space="5" w:color="auto"/>
          <w:left w:val="single" w:sz="4" w:space="8" w:color="auto"/>
          <w:bottom w:val="single" w:sz="4" w:space="14" w:color="auto"/>
          <w:right w:val="single" w:sz="4" w:space="8" w:color="auto"/>
        </w:pBdr>
        <w:spacing w:before="120" w:line="240" w:lineRule="auto"/>
        <w:ind w:left="284" w:right="284"/>
        <w:rPr>
          <w:b/>
          <w:i/>
          <w:szCs w:val="24"/>
        </w:rPr>
      </w:pPr>
      <w:r w:rsidRPr="00C97B59">
        <w:rPr>
          <w:b/>
          <w:i/>
          <w:szCs w:val="24"/>
        </w:rPr>
        <w:t>New Zealand Productivity Commission</w:t>
      </w:r>
    </w:p>
    <w:p w:rsidR="00735FEA" w:rsidRPr="00BB5DCF" w:rsidRDefault="00C97B59"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Cs w:val="24"/>
        </w:rPr>
      </w:pPr>
      <w:r w:rsidRPr="00C97B59">
        <w:rPr>
          <w:szCs w:val="24"/>
        </w:rPr>
        <w:t>The New Zealand Productivity Commission was established in April 2011 and is an independent crown entity with a dedicated focus on productivity. The Commission carries out in-depth analysis and research on inquiry topics selected by the Government with the aim of providing independent, well-informed and accessible advice that leads to the best possible improvement in the wellbeing of</w:t>
      </w:r>
      <w:r w:rsidRPr="007B45A4">
        <w:rPr>
          <w:rFonts w:cs="Arial"/>
          <w:sz w:val="20"/>
        </w:rPr>
        <w:t xml:space="preserve"> </w:t>
      </w:r>
      <w:r w:rsidRPr="00C97B59">
        <w:rPr>
          <w:szCs w:val="24"/>
        </w:rPr>
        <w:t xml:space="preserve">New Zealanders. </w:t>
      </w:r>
      <w:proofErr w:type="spellStart"/>
      <w:r w:rsidRPr="00C97B59">
        <w:rPr>
          <w:szCs w:val="24"/>
        </w:rPr>
        <w:t>www.productivity.govt.nz</w:t>
      </w:r>
      <w:proofErr w:type="spellEnd"/>
    </w:p>
    <w:p w:rsidR="00735FEA" w:rsidRDefault="00735FEA">
      <w:pPr>
        <w:pStyle w:val="BodyText"/>
        <w:sectPr w:rsidR="00735FEA" w:rsidSect="00D83338">
          <w:headerReference w:type="even" r:id="rId14"/>
          <w:headerReference w:type="default" r:id="rId15"/>
          <w:footerReference w:type="even" r:id="rId16"/>
          <w:footerReference w:type="default" r:id="rId17"/>
          <w:headerReference w:type="first" r:id="rId18"/>
          <w:footerReference w:type="first" r:id="rId19"/>
          <w:type w:val="oddPage"/>
          <w:pgSz w:w="11907" w:h="16840" w:code="9"/>
          <w:pgMar w:top="1418" w:right="1304" w:bottom="567" w:left="1814" w:header="993" w:footer="567" w:gutter="0"/>
          <w:pgNumType w:start="2"/>
          <w:cols w:space="720"/>
          <w:titlePg/>
        </w:sectPr>
      </w:pPr>
      <w:bookmarkStart w:id="3" w:name="cov"/>
      <w:bookmarkEnd w:id="3"/>
    </w:p>
    <w:p w:rsidR="00E472F8" w:rsidRDefault="00E472F8" w:rsidP="00965928">
      <w:pPr>
        <w:pStyle w:val="Heading1"/>
        <w:spacing w:after="960"/>
      </w:pPr>
      <w:bookmarkStart w:id="4" w:name="_Toc341970577"/>
      <w:r>
        <w:lastRenderedPageBreak/>
        <w:t>Foreword</w:t>
      </w:r>
      <w:bookmarkEnd w:id="4"/>
    </w:p>
    <w:p w:rsidR="00965928" w:rsidRDefault="00965928" w:rsidP="00965928">
      <w:pPr>
        <w:pStyle w:val="BodyText"/>
        <w:spacing w:before="160" w:line="310" w:lineRule="atLeast"/>
      </w:pPr>
      <w:r w:rsidRPr="005568D9">
        <w:t>Australia and New Zealand mark the 30</w:t>
      </w:r>
      <w:r w:rsidRPr="005568D9">
        <w:rPr>
          <w:vertAlign w:val="superscript"/>
        </w:rPr>
        <w:t>th</w:t>
      </w:r>
      <w:r w:rsidR="005568D9">
        <w:t xml:space="preserve"> </w:t>
      </w:r>
      <w:r w:rsidRPr="005568D9">
        <w:t xml:space="preserve">anniversary of </w:t>
      </w:r>
      <w:proofErr w:type="spellStart"/>
      <w:r w:rsidRPr="005568D9">
        <w:t>CER</w:t>
      </w:r>
      <w:proofErr w:type="spellEnd"/>
      <w:r w:rsidRPr="005568D9">
        <w:t xml:space="preserve"> — Closer Economic Relations — in 2013. This is a significant milestone and an opportunity to consider the future of the economic relationship between our two countries.</w:t>
      </w:r>
    </w:p>
    <w:p w:rsidR="00965928" w:rsidRPr="001C0A45" w:rsidRDefault="00965928" w:rsidP="00965928">
      <w:pPr>
        <w:pStyle w:val="BodyText"/>
        <w:spacing w:before="160" w:line="310" w:lineRule="atLeast"/>
      </w:pPr>
      <w:r w:rsidRPr="001C0A45">
        <w:t xml:space="preserve">Building on the long history </w:t>
      </w:r>
      <w:r>
        <w:t xml:space="preserve">and pragmatic approach </w:t>
      </w:r>
      <w:r w:rsidRPr="001C0A45">
        <w:t xml:space="preserve">of trans-Tasman cooperation, </w:t>
      </w:r>
      <w:proofErr w:type="spellStart"/>
      <w:r w:rsidRPr="001C0A45">
        <w:t>CER</w:t>
      </w:r>
      <w:proofErr w:type="spellEnd"/>
      <w:r w:rsidRPr="001C0A45">
        <w:t xml:space="preserve"> has played a direct role in removing barriers to trade, and provided a </w:t>
      </w:r>
      <w:r>
        <w:t xml:space="preserve">framework for the development </w:t>
      </w:r>
      <w:r w:rsidRPr="001C0A45">
        <w:t xml:space="preserve">of complementary agreements, including those </w:t>
      </w:r>
      <w:r>
        <w:t>covering</w:t>
      </w:r>
      <w:r w:rsidRPr="001C0A45">
        <w:t xml:space="preserve"> mutual recognition of standards and occupations, business law, and the movement of people </w:t>
      </w:r>
      <w:r>
        <w:t>‘</w:t>
      </w:r>
      <w:r w:rsidRPr="001C0A45">
        <w:t xml:space="preserve">across the ditch’. The relationship has thrived on strong government-to-government links. Today, </w:t>
      </w:r>
      <w:r>
        <w:t>Australia and New Zealand are among</w:t>
      </w:r>
      <w:r w:rsidRPr="001C0A45">
        <w:t xml:space="preserve"> the world’s most </w:t>
      </w:r>
      <w:r>
        <w:t xml:space="preserve">closely integrated economies, with </w:t>
      </w:r>
      <w:proofErr w:type="spellStart"/>
      <w:r>
        <w:t>CER</w:t>
      </w:r>
      <w:proofErr w:type="spellEnd"/>
      <w:r>
        <w:t xml:space="preserve"> </w:t>
      </w:r>
      <w:r w:rsidRPr="001C0A45">
        <w:t>at the core of th</w:t>
      </w:r>
      <w:r>
        <w:t>is</w:t>
      </w:r>
      <w:r w:rsidRPr="001C0A45">
        <w:t>.</w:t>
      </w:r>
    </w:p>
    <w:p w:rsidR="00965928" w:rsidRPr="00AA4327" w:rsidRDefault="00965928" w:rsidP="00965928">
      <w:pPr>
        <w:pStyle w:val="BodyText"/>
        <w:spacing w:before="160" w:line="310" w:lineRule="atLeast"/>
      </w:pPr>
      <w:r>
        <w:t xml:space="preserve">In the lead up to this milestone, </w:t>
      </w:r>
      <w:r>
        <w:rPr>
          <w:lang w:val="en-NZ"/>
        </w:rPr>
        <w:t xml:space="preserve">Prime Ministers Gillard and Key requested the Productivity Commissions to </w:t>
      </w:r>
      <w:r w:rsidRPr="006974F0">
        <w:rPr>
          <w:lang w:val="en-NZ"/>
        </w:rPr>
        <w:t>scop</w:t>
      </w:r>
      <w:r>
        <w:rPr>
          <w:lang w:val="en-NZ"/>
        </w:rPr>
        <w:t>e</w:t>
      </w:r>
      <w:r w:rsidRPr="006974F0">
        <w:rPr>
          <w:lang w:val="en-NZ"/>
        </w:rPr>
        <w:t xml:space="preserve"> further initiatives </w:t>
      </w:r>
      <w:r>
        <w:rPr>
          <w:lang w:val="en-NZ"/>
        </w:rPr>
        <w:t>that would</w:t>
      </w:r>
      <w:r w:rsidRPr="006974F0">
        <w:rPr>
          <w:lang w:val="en-NZ"/>
        </w:rPr>
        <w:t xml:space="preserve"> strengthen the trans-Tasman ec</w:t>
      </w:r>
      <w:r>
        <w:rPr>
          <w:lang w:val="en-NZ"/>
        </w:rPr>
        <w:t xml:space="preserve">onomic relationship and improve </w:t>
      </w:r>
      <w:r w:rsidRPr="006974F0">
        <w:rPr>
          <w:lang w:val="en-NZ"/>
        </w:rPr>
        <w:t xml:space="preserve">economic </w:t>
      </w:r>
      <w:r>
        <w:rPr>
          <w:lang w:val="en-NZ"/>
        </w:rPr>
        <w:t xml:space="preserve">wellbeing in both countries. This joint study </w:t>
      </w:r>
      <w:r w:rsidRPr="00AA4327">
        <w:t>look</w:t>
      </w:r>
      <w:r>
        <w:t>s</w:t>
      </w:r>
      <w:r w:rsidRPr="00AA4327">
        <w:t xml:space="preserve"> back on what has been achieved</w:t>
      </w:r>
      <w:r>
        <w:t>,</w:t>
      </w:r>
      <w:r w:rsidRPr="00AA4327">
        <w:t xml:space="preserve"> and </w:t>
      </w:r>
      <w:r>
        <w:t xml:space="preserve">forward to </w:t>
      </w:r>
      <w:r w:rsidRPr="00AA4327">
        <w:t xml:space="preserve">what more </w:t>
      </w:r>
      <w:r>
        <w:t>can</w:t>
      </w:r>
      <w:r w:rsidRPr="00AA4327">
        <w:t xml:space="preserve"> be achieved as both countries pursue their shared aspirations in the Asian </w:t>
      </w:r>
      <w:r>
        <w:t>c</w:t>
      </w:r>
      <w:r w:rsidRPr="00AA4327">
        <w:t>entury.</w:t>
      </w:r>
    </w:p>
    <w:p w:rsidR="00965928" w:rsidRDefault="00965928" w:rsidP="00965928">
      <w:pPr>
        <w:pStyle w:val="BodyText"/>
        <w:spacing w:before="160" w:line="310" w:lineRule="atLeast"/>
      </w:pPr>
      <w:r>
        <w:t xml:space="preserve">The Commissions are grateful to the individuals, businesses, unions, community groups and government officials who contributed to this study. Drawing on this input and further analysis, the Commissions have identified </w:t>
      </w:r>
      <w:r>
        <w:rPr>
          <w:lang w:val="en-NZ"/>
        </w:rPr>
        <w:t xml:space="preserve">more than 30 policy initiatives </w:t>
      </w:r>
      <w:r>
        <w:t>to extend trans-Tasman integration that would benefit both countries.</w:t>
      </w:r>
    </w:p>
    <w:p w:rsidR="00965928" w:rsidRDefault="00965928" w:rsidP="00965928">
      <w:pPr>
        <w:pStyle w:val="BodyText"/>
        <w:spacing w:before="160" w:line="310" w:lineRule="atLeast"/>
      </w:pPr>
      <w:r>
        <w:rPr>
          <w:lang w:val="en-NZ"/>
        </w:rPr>
        <w:t xml:space="preserve">The proposed initiatives </w:t>
      </w:r>
      <w:r w:rsidRPr="006974F0">
        <w:rPr>
          <w:lang w:val="en-NZ"/>
        </w:rPr>
        <w:t>vary in their significance, complexity and timescales</w:t>
      </w:r>
      <w:r>
        <w:rPr>
          <w:lang w:val="en-NZ"/>
        </w:rPr>
        <w:t xml:space="preserve"> and some </w:t>
      </w:r>
      <w:r w:rsidRPr="006974F0">
        <w:rPr>
          <w:lang w:val="en-NZ"/>
        </w:rPr>
        <w:t xml:space="preserve">require more in-depth examination than </w:t>
      </w:r>
      <w:r>
        <w:rPr>
          <w:lang w:val="en-NZ"/>
        </w:rPr>
        <w:t>has been</w:t>
      </w:r>
      <w:r w:rsidRPr="006974F0">
        <w:rPr>
          <w:lang w:val="en-NZ"/>
        </w:rPr>
        <w:t xml:space="preserve"> </w:t>
      </w:r>
      <w:r>
        <w:rPr>
          <w:lang w:val="en-NZ"/>
        </w:rPr>
        <w:t>feasible</w:t>
      </w:r>
      <w:r w:rsidRPr="006974F0">
        <w:rPr>
          <w:lang w:val="en-NZ"/>
        </w:rPr>
        <w:t xml:space="preserve"> in a </w:t>
      </w:r>
      <w:r>
        <w:rPr>
          <w:lang w:val="en-NZ"/>
        </w:rPr>
        <w:t xml:space="preserve">broad-ranging </w:t>
      </w:r>
      <w:r w:rsidRPr="006974F0">
        <w:rPr>
          <w:lang w:val="en-NZ"/>
        </w:rPr>
        <w:t>scoping study</w:t>
      </w:r>
      <w:r>
        <w:rPr>
          <w:lang w:val="en-NZ"/>
        </w:rPr>
        <w:t xml:space="preserve">. </w:t>
      </w:r>
      <w:r>
        <w:t xml:space="preserve">In tackling the new agenda, maintaining a pragmatic approach while being cognisant of the broader policy context and the need for </w:t>
      </w:r>
      <w:proofErr w:type="spellStart"/>
      <w:r>
        <w:t>CER</w:t>
      </w:r>
      <w:proofErr w:type="spellEnd"/>
      <w:r>
        <w:t xml:space="preserve"> to be open and outward looking, will remain as important as in the first 30 years.</w:t>
      </w:r>
    </w:p>
    <w:p w:rsidR="00965928" w:rsidRDefault="00965928" w:rsidP="00965928">
      <w:pPr>
        <w:pStyle w:val="BodyText"/>
        <w:spacing w:before="160" w:line="310" w:lineRule="atLeast"/>
      </w:pPr>
      <w:r>
        <w:rPr>
          <w:lang w:val="en-NZ"/>
        </w:rPr>
        <w:t xml:space="preserve">The </w:t>
      </w:r>
      <w:r>
        <w:t>Commissions are confident that the actions recommended in this report would help maintain the vibrancy of the relationship and deliver further benefits to both countries in the years ahead.</w:t>
      </w:r>
    </w:p>
    <w:p w:rsidR="00965928" w:rsidRDefault="00965928" w:rsidP="00965928">
      <w:pPr>
        <w:pStyle w:val="BodyText"/>
        <w:tabs>
          <w:tab w:val="left" w:pos="4536"/>
        </w:tabs>
        <w:spacing w:before="340" w:line="360" w:lineRule="atLeast"/>
        <w:jc w:val="left"/>
        <w:rPr>
          <w:sz w:val="22"/>
          <w:szCs w:val="22"/>
        </w:rPr>
      </w:pPr>
      <w:r w:rsidRPr="00AE22C5">
        <w:rPr>
          <w:b/>
          <w:sz w:val="22"/>
          <w:szCs w:val="22"/>
        </w:rPr>
        <w:t xml:space="preserve">Gary Banks </w:t>
      </w:r>
      <w:r w:rsidRPr="001711E5">
        <w:rPr>
          <w:sz w:val="22"/>
          <w:szCs w:val="22"/>
        </w:rPr>
        <w:t>AO</w:t>
      </w:r>
      <w:r w:rsidRPr="0045440E">
        <w:rPr>
          <w:sz w:val="22"/>
          <w:szCs w:val="22"/>
        </w:rPr>
        <w:t>,</w:t>
      </w:r>
      <w:r w:rsidRPr="00AE22C5">
        <w:rPr>
          <w:b/>
          <w:sz w:val="22"/>
          <w:szCs w:val="22"/>
        </w:rPr>
        <w:t xml:space="preserve"> </w:t>
      </w:r>
      <w:r w:rsidRPr="0045440E">
        <w:rPr>
          <w:sz w:val="22"/>
          <w:szCs w:val="22"/>
        </w:rPr>
        <w:t>Chairman</w:t>
      </w:r>
      <w:r w:rsidRPr="00AE22C5">
        <w:rPr>
          <w:b/>
          <w:sz w:val="22"/>
          <w:szCs w:val="22"/>
        </w:rPr>
        <w:tab/>
        <w:t xml:space="preserve">Murray Sherwin </w:t>
      </w:r>
      <w:proofErr w:type="spellStart"/>
      <w:r w:rsidRPr="001711E5">
        <w:rPr>
          <w:sz w:val="22"/>
          <w:szCs w:val="22"/>
        </w:rPr>
        <w:t>CNZM</w:t>
      </w:r>
      <w:proofErr w:type="spellEnd"/>
      <w:r w:rsidRPr="00AE22C5">
        <w:rPr>
          <w:b/>
          <w:sz w:val="22"/>
          <w:szCs w:val="22"/>
        </w:rPr>
        <w:t xml:space="preserve">, </w:t>
      </w:r>
      <w:r w:rsidRPr="0045440E">
        <w:rPr>
          <w:sz w:val="22"/>
          <w:szCs w:val="22"/>
        </w:rPr>
        <w:t>Chair</w:t>
      </w:r>
      <w:r w:rsidRPr="0045440E">
        <w:rPr>
          <w:sz w:val="22"/>
          <w:szCs w:val="22"/>
        </w:rPr>
        <w:br/>
      </w:r>
      <w:r w:rsidRPr="00AE22C5">
        <w:rPr>
          <w:b/>
          <w:sz w:val="22"/>
          <w:szCs w:val="22"/>
        </w:rPr>
        <w:t xml:space="preserve">Jonathan </w:t>
      </w:r>
      <w:proofErr w:type="spellStart"/>
      <w:r w:rsidRPr="00AE22C5">
        <w:rPr>
          <w:b/>
          <w:sz w:val="22"/>
          <w:szCs w:val="22"/>
        </w:rPr>
        <w:t>Coppel</w:t>
      </w:r>
      <w:proofErr w:type="spellEnd"/>
      <w:r w:rsidRPr="00D827AA">
        <w:rPr>
          <w:sz w:val="22"/>
          <w:szCs w:val="22"/>
        </w:rPr>
        <w:t>,</w:t>
      </w:r>
      <w:r w:rsidRPr="00AE22C5">
        <w:rPr>
          <w:b/>
          <w:sz w:val="22"/>
          <w:szCs w:val="22"/>
        </w:rPr>
        <w:t xml:space="preserve"> </w:t>
      </w:r>
      <w:r w:rsidRPr="0045440E">
        <w:rPr>
          <w:sz w:val="22"/>
          <w:szCs w:val="22"/>
        </w:rPr>
        <w:t>Commissioner</w:t>
      </w:r>
      <w:r w:rsidRPr="00AE22C5">
        <w:rPr>
          <w:b/>
          <w:sz w:val="22"/>
          <w:szCs w:val="22"/>
        </w:rPr>
        <w:tab/>
        <w:t>Dr Graham Scott</w:t>
      </w:r>
      <w:r>
        <w:rPr>
          <w:b/>
          <w:sz w:val="22"/>
          <w:szCs w:val="22"/>
        </w:rPr>
        <w:t xml:space="preserve"> </w:t>
      </w:r>
      <w:proofErr w:type="spellStart"/>
      <w:r>
        <w:rPr>
          <w:sz w:val="22"/>
          <w:szCs w:val="22"/>
        </w:rPr>
        <w:t>C.</w:t>
      </w:r>
      <w:r w:rsidRPr="008C0B83">
        <w:rPr>
          <w:sz w:val="22"/>
          <w:szCs w:val="22"/>
        </w:rPr>
        <w:t>B</w:t>
      </w:r>
      <w:proofErr w:type="spellEnd"/>
      <w:r w:rsidRPr="008C0B83">
        <w:rPr>
          <w:sz w:val="22"/>
          <w:szCs w:val="22"/>
        </w:rPr>
        <w:t>.,</w:t>
      </w:r>
      <w:r w:rsidRPr="00D827AA">
        <w:rPr>
          <w:sz w:val="22"/>
          <w:szCs w:val="22"/>
        </w:rPr>
        <w:t xml:space="preserve"> </w:t>
      </w:r>
      <w:r w:rsidRPr="0045440E">
        <w:rPr>
          <w:sz w:val="22"/>
          <w:szCs w:val="22"/>
        </w:rPr>
        <w:t>Commissioner</w:t>
      </w:r>
      <w:r w:rsidRPr="0045440E">
        <w:rPr>
          <w:sz w:val="22"/>
          <w:szCs w:val="22"/>
        </w:rPr>
        <w:br/>
      </w:r>
      <w:r w:rsidRPr="007A5E8D">
        <w:rPr>
          <w:sz w:val="22"/>
          <w:szCs w:val="22"/>
        </w:rPr>
        <w:t>Australian Productivity Commission</w:t>
      </w:r>
      <w:r w:rsidRPr="007A5E8D">
        <w:rPr>
          <w:sz w:val="22"/>
          <w:szCs w:val="22"/>
        </w:rPr>
        <w:tab/>
        <w:t>New Zealand Productivity Commission</w:t>
      </w:r>
    </w:p>
    <w:p w:rsidR="00965928" w:rsidRDefault="00965928" w:rsidP="00965928">
      <w:pPr>
        <w:pStyle w:val="BodyText"/>
        <w:tabs>
          <w:tab w:val="left" w:pos="4536"/>
        </w:tabs>
        <w:spacing w:before="200" w:line="240" w:lineRule="exact"/>
        <w:jc w:val="left"/>
      </w:pPr>
      <w:r w:rsidRPr="007A5E8D">
        <w:rPr>
          <w:sz w:val="22"/>
          <w:szCs w:val="22"/>
        </w:rPr>
        <w:t>November 2012</w:t>
      </w:r>
    </w:p>
    <w:p w:rsidR="00E472F8" w:rsidRDefault="00E472F8">
      <w:pPr>
        <w:pStyle w:val="BodyText"/>
        <w:sectPr w:rsidR="00E472F8" w:rsidSect="00043018">
          <w:headerReference w:type="even" r:id="rId20"/>
          <w:headerReference w:type="default" r:id="rId21"/>
          <w:footerReference w:type="even" r:id="rId22"/>
          <w:footerReference w:type="default" r:id="rId23"/>
          <w:pgSz w:w="11906" w:h="16838" w:code="9"/>
          <w:pgMar w:top="1985" w:right="1304" w:bottom="1418" w:left="1814" w:header="1701" w:footer="567" w:gutter="0"/>
          <w:pgNumType w:fmt="lowerRoman" w:start="3"/>
          <w:cols w:space="708"/>
          <w:docGrid w:linePitch="360"/>
        </w:sectPr>
      </w:pPr>
    </w:p>
    <w:p w:rsidR="00E472F8" w:rsidRDefault="00E472F8" w:rsidP="00FA6027">
      <w:pPr>
        <w:pStyle w:val="Heading1"/>
      </w:pPr>
      <w:bookmarkStart w:id="5" w:name="_Toc341970578"/>
      <w:r>
        <w:lastRenderedPageBreak/>
        <w:t>Terms of reference</w:t>
      </w:r>
      <w:bookmarkEnd w:id="5"/>
    </w:p>
    <w:p w:rsidR="00965928" w:rsidRPr="00CA4FB5" w:rsidRDefault="00965928" w:rsidP="00800E6A">
      <w:pPr>
        <w:pStyle w:val="Heading3"/>
      </w:pPr>
      <w:bookmarkStart w:id="6" w:name="_Toc319931016"/>
      <w:bookmarkStart w:id="7" w:name="_Toc319932192"/>
      <w:bookmarkStart w:id="8" w:name="_Toc319932255"/>
      <w:bookmarkStart w:id="9" w:name="_Toc321300770"/>
      <w:r w:rsidRPr="00CA4FB5">
        <w:t>Impacts and Benefits of Further Economic Integration of the Australian and New Zealand Economies — Joint Scoping Study by the Productivity Commissions of Australia and New Zealand</w:t>
      </w:r>
      <w:bookmarkEnd w:id="6"/>
      <w:bookmarkEnd w:id="7"/>
      <w:bookmarkEnd w:id="8"/>
      <w:bookmarkEnd w:id="9"/>
    </w:p>
    <w:p w:rsidR="00965928" w:rsidRPr="00CA4FB5" w:rsidRDefault="00965928" w:rsidP="00965928">
      <w:pPr>
        <w:pStyle w:val="Heading3"/>
      </w:pPr>
      <w:bookmarkStart w:id="10" w:name="_Toc319931017"/>
      <w:bookmarkStart w:id="11" w:name="_Toc319932193"/>
      <w:bookmarkStart w:id="12" w:name="_Toc319932256"/>
      <w:bookmarkStart w:id="13" w:name="_Toc321300771"/>
      <w:r w:rsidRPr="00CA4FB5">
        <w:t>Purpose of the study</w:t>
      </w:r>
      <w:bookmarkEnd w:id="10"/>
      <w:bookmarkEnd w:id="11"/>
      <w:bookmarkEnd w:id="12"/>
      <w:bookmarkEnd w:id="13"/>
    </w:p>
    <w:p w:rsidR="00965928" w:rsidRPr="00CA4FB5" w:rsidRDefault="00965928" w:rsidP="00800E6A">
      <w:pPr>
        <w:pStyle w:val="BodyText"/>
      </w:pPr>
      <w:r w:rsidRPr="00CA4FB5">
        <w:t xml:space="preserve">The Governments of Australia and New Zealand are firmly committed to strong economic relations between Australia and New Zealand, including boosting productivity through reducing the regulatory burden on business, increasing competition and encouraging closer economic cooperation, and to strengthening those relations further. The two countries have a long history of working together through the </w:t>
      </w:r>
      <w:r w:rsidRPr="00CA4FB5">
        <w:rPr>
          <w:i/>
        </w:rPr>
        <w:t>Australia New Zealand Closer Economic Relations Trade Agreement</w:t>
      </w:r>
      <w:r w:rsidRPr="00CA4FB5">
        <w:t xml:space="preserve"> which first came into effect on 1 January 1983 and has involved successive rounds of integration of the Australia and New Zealand economies. This has been highly beneficial to both countries.</w:t>
      </w:r>
    </w:p>
    <w:p w:rsidR="00965928" w:rsidRPr="00CA4FB5" w:rsidRDefault="00965928" w:rsidP="00800E6A">
      <w:pPr>
        <w:pStyle w:val="BodyText"/>
      </w:pPr>
      <w:r w:rsidRPr="00CA4FB5">
        <w:t>At their annual leaders meeting, the Prime Ministers of Australia and New Zealand agreed that, to promote further reform and economic integration, the Productivity Commissions of each country would conduct a joint study on the options for further reforms that would enhance increased economic integration and improve economic outcomes. The Commissions’ final</w:t>
      </w:r>
      <w:r>
        <w:t xml:space="preserve"> report should be completed by 1 </w:t>
      </w:r>
      <w:r w:rsidRPr="00CA4FB5">
        <w:t>December 2012 in order to inform the next meeting of leaders, expected to take place in early 2013.</w:t>
      </w:r>
    </w:p>
    <w:p w:rsidR="00965928" w:rsidRPr="00CA4FB5" w:rsidRDefault="00965928" w:rsidP="00800E6A">
      <w:pPr>
        <w:pStyle w:val="BodyText"/>
      </w:pPr>
      <w:r w:rsidRPr="00CA4FB5">
        <w:t>With 2013 marking 30 years of the operation of the Closer Economic Relations Trade Agreement, the Commissions’ report will help advise the Australian and New Zealand Governments on next steps in economic integration.</w:t>
      </w:r>
    </w:p>
    <w:p w:rsidR="00965928" w:rsidRPr="00CA4FB5" w:rsidRDefault="00965928" w:rsidP="00800E6A">
      <w:pPr>
        <w:pStyle w:val="BodyText"/>
      </w:pPr>
      <w:r w:rsidRPr="00CA4FB5">
        <w:t>The report should identify specific areas for further potential reform, the ways in which they might be best achieved, the likely impacts of potential reforms, any significant transition and adjustment costs that could be incurred and the time scale over which impacts are likely to accrue.</w:t>
      </w:r>
    </w:p>
    <w:p w:rsidR="00965928" w:rsidRPr="00CA4FB5" w:rsidRDefault="00965928" w:rsidP="00965928">
      <w:pPr>
        <w:pStyle w:val="Heading3"/>
      </w:pPr>
      <w:bookmarkStart w:id="14" w:name="_Toc319931018"/>
      <w:bookmarkStart w:id="15" w:name="_Toc319932194"/>
      <w:bookmarkStart w:id="16" w:name="_Toc319932257"/>
      <w:bookmarkStart w:id="17" w:name="_Toc321300772"/>
      <w:r w:rsidRPr="00CA4FB5">
        <w:lastRenderedPageBreak/>
        <w:t>Scope of report</w:t>
      </w:r>
      <w:bookmarkEnd w:id="14"/>
      <w:bookmarkEnd w:id="15"/>
      <w:bookmarkEnd w:id="16"/>
      <w:bookmarkEnd w:id="17"/>
    </w:p>
    <w:p w:rsidR="00965928" w:rsidRPr="00CA4FB5" w:rsidRDefault="00965928" w:rsidP="00965928">
      <w:pPr>
        <w:pStyle w:val="BodyText"/>
      </w:pPr>
      <w:r w:rsidRPr="00CA4FB5">
        <w:t>The Commissions’ report to leaders should provide analysis on:</w:t>
      </w:r>
    </w:p>
    <w:p w:rsidR="00965928" w:rsidRPr="00CA4FB5" w:rsidRDefault="00965928" w:rsidP="00965928">
      <w:pPr>
        <w:pStyle w:val="ListBullet"/>
      </w:pPr>
      <w:r w:rsidRPr="00CA4FB5">
        <w:t>potential areas of further economic reform and integration, including identification of the areas of reform where benefits are likely to be most significant, with particular focus on critical issues for business l</w:t>
      </w:r>
      <w:r>
        <w:t>ike investment and productivity</w:t>
      </w:r>
    </w:p>
    <w:p w:rsidR="00965928" w:rsidRDefault="00965928" w:rsidP="00965928">
      <w:pPr>
        <w:pStyle w:val="ListBullet"/>
      </w:pPr>
      <w:r w:rsidRPr="00CA4FB5">
        <w:t>the economic</w:t>
      </w:r>
      <w:r>
        <w:t xml:space="preserve"> impacts and benefits of reform</w:t>
      </w:r>
    </w:p>
    <w:p w:rsidR="00965928" w:rsidRPr="00CA4FB5" w:rsidRDefault="00965928" w:rsidP="00965928">
      <w:pPr>
        <w:pStyle w:val="ListBullet"/>
      </w:pPr>
      <w:r w:rsidRPr="00CA4FB5">
        <w:t>any significant transition and adjustme</w:t>
      </w:r>
      <w:r>
        <w:t>nt costs that could be incurred</w:t>
      </w:r>
    </w:p>
    <w:p w:rsidR="00965928" w:rsidRPr="00CA4FB5" w:rsidRDefault="00965928" w:rsidP="00965928">
      <w:pPr>
        <w:pStyle w:val="ListBullet"/>
      </w:pPr>
      <w:r w:rsidRPr="00CA4FB5">
        <w:t>identification of reform where j</w:t>
      </w:r>
      <w:r>
        <w:t>oint net benefits are highest</w:t>
      </w:r>
    </w:p>
    <w:p w:rsidR="00965928" w:rsidRPr="00CA4FB5" w:rsidRDefault="00965928" w:rsidP="00965928">
      <w:pPr>
        <w:pStyle w:val="ListBullet"/>
      </w:pPr>
      <w:r w:rsidRPr="00CA4FB5">
        <w:t xml:space="preserve">the means by which </w:t>
      </w:r>
      <w:r>
        <w:t>they might be best actioned</w:t>
      </w:r>
    </w:p>
    <w:p w:rsidR="00965928" w:rsidRPr="00CA4FB5" w:rsidRDefault="00965928" w:rsidP="00965928">
      <w:pPr>
        <w:pStyle w:val="ListBullet"/>
      </w:pPr>
      <w:r w:rsidRPr="00CA4FB5">
        <w:t>the likely time paths over which benefits are expected to accrue.</w:t>
      </w:r>
    </w:p>
    <w:p w:rsidR="00965928" w:rsidRPr="00CA4FB5" w:rsidRDefault="00965928" w:rsidP="00965928">
      <w:pPr>
        <w:pStyle w:val="Heading3"/>
      </w:pPr>
      <w:bookmarkStart w:id="18" w:name="_Toc319931019"/>
      <w:bookmarkStart w:id="19" w:name="_Toc319932195"/>
      <w:bookmarkStart w:id="20" w:name="_Toc319932258"/>
      <w:bookmarkStart w:id="21" w:name="_Toc321300773"/>
      <w:r w:rsidRPr="00CA4FB5">
        <w:t>Methodology</w:t>
      </w:r>
      <w:bookmarkEnd w:id="18"/>
      <w:bookmarkEnd w:id="19"/>
      <w:bookmarkEnd w:id="20"/>
      <w:bookmarkEnd w:id="21"/>
    </w:p>
    <w:p w:rsidR="00965928" w:rsidRPr="00CA4FB5" w:rsidRDefault="00965928" w:rsidP="00965928">
      <w:pPr>
        <w:pStyle w:val="BodyText"/>
      </w:pPr>
      <w:r w:rsidRPr="00CA4FB5">
        <w:t>The Commissions should provide an explanation of the methodology and assumptions used in its analysis. The Commissions should also provide guidance concerning the sensitivity of results to the assumptions used and bring to leaders’ attention any limitations or weaknesses in approaches to reform evaluation.</w:t>
      </w:r>
    </w:p>
    <w:p w:rsidR="00965928" w:rsidRPr="00CA4FB5" w:rsidRDefault="00965928" w:rsidP="00965928">
      <w:pPr>
        <w:pStyle w:val="Heading3"/>
      </w:pPr>
      <w:bookmarkStart w:id="22" w:name="_Toc319931020"/>
      <w:bookmarkStart w:id="23" w:name="_Toc319932196"/>
      <w:bookmarkStart w:id="24" w:name="_Toc319932259"/>
      <w:bookmarkStart w:id="25" w:name="_Toc321300774"/>
      <w:r w:rsidRPr="00CA4FB5">
        <w:t>Consultation and timing</w:t>
      </w:r>
      <w:bookmarkEnd w:id="22"/>
      <w:bookmarkEnd w:id="23"/>
      <w:bookmarkEnd w:id="24"/>
      <w:bookmarkEnd w:id="25"/>
    </w:p>
    <w:p w:rsidR="00965928" w:rsidRPr="00CA4FB5" w:rsidRDefault="00965928" w:rsidP="00965928">
      <w:pPr>
        <w:pStyle w:val="BodyText"/>
      </w:pPr>
      <w:r w:rsidRPr="00CA4FB5">
        <w:t>In the course of preparing the report, the Commissions should consult and hold public hearings as appropriate. While these consultations would inform the Commissions’ assessment, responsibility for the final report would rest with the two Productivity Commissions.</w:t>
      </w:r>
    </w:p>
    <w:p w:rsidR="00965928" w:rsidRDefault="00965928" w:rsidP="00965928">
      <w:pPr>
        <w:pStyle w:val="BodyText"/>
      </w:pPr>
      <w:r w:rsidRPr="008C0B83">
        <w:t>The Commissions should produce both a draft and a final report. The Commissions’ final report should be submitted to leaders, through the Treasurer of Australia and the Minister of Finance of New Zealand, by 1 December 2012. The reports will be published.</w:t>
      </w:r>
    </w:p>
    <w:p w:rsidR="00965928" w:rsidRDefault="00965928" w:rsidP="00965928">
      <w:pPr>
        <w:pStyle w:val="BodyText"/>
        <w:tabs>
          <w:tab w:val="left" w:pos="4253"/>
        </w:tabs>
        <w:spacing w:before="840"/>
        <w:jc w:val="left"/>
      </w:pPr>
      <w:r w:rsidRPr="008C0B83">
        <w:rPr>
          <w:b/>
        </w:rPr>
        <w:t>Bill English</w:t>
      </w:r>
      <w:r w:rsidRPr="008C0B83">
        <w:rPr>
          <w:b/>
        </w:rPr>
        <w:tab/>
        <w:t>Wayne Swan</w:t>
      </w:r>
      <w:r w:rsidRPr="008C0B83">
        <w:rPr>
          <w:b/>
        </w:rPr>
        <w:br/>
      </w:r>
      <w:r>
        <w:t>Minister of Finance</w:t>
      </w:r>
      <w:r>
        <w:tab/>
        <w:t>Treasurer</w:t>
      </w:r>
      <w:r>
        <w:br/>
        <w:t>Deputy Prime Minister</w:t>
      </w:r>
      <w:r>
        <w:tab/>
        <w:t>Deputy Prime Minister</w:t>
      </w:r>
    </w:p>
    <w:p w:rsidR="00E472F8" w:rsidRPr="005568D9" w:rsidRDefault="00965928" w:rsidP="00965928">
      <w:pPr>
        <w:tabs>
          <w:tab w:val="left" w:pos="4395"/>
        </w:tabs>
        <w:spacing w:before="240" w:line="320" w:lineRule="atLeast"/>
        <w:rPr>
          <w:color w:val="1C1C1C"/>
        </w:rPr>
      </w:pPr>
      <w:r w:rsidRPr="005568D9">
        <w:rPr>
          <w:rFonts w:ascii="Arial" w:hAnsi="Arial" w:cs="Arial"/>
          <w:color w:val="1C1C1C"/>
          <w:sz w:val="24"/>
          <w:szCs w:val="24"/>
          <w:lang w:eastAsia="en-AU"/>
        </w:rPr>
        <w:t>[Received 14 March 2012]</w:t>
      </w:r>
    </w:p>
    <w:p w:rsidR="00E472F8" w:rsidRDefault="00E472F8">
      <w:pPr>
        <w:pStyle w:val="BodyText"/>
        <w:sectPr w:rsidR="00E472F8" w:rsidSect="00FA6027">
          <w:headerReference w:type="even" r:id="rId24"/>
          <w:headerReference w:type="default" r:id="rId25"/>
          <w:footerReference w:type="even" r:id="rId26"/>
          <w:footerReference w:type="default" r:id="rId27"/>
          <w:pgSz w:w="11906" w:h="16838" w:code="9"/>
          <w:pgMar w:top="1985" w:right="1304" w:bottom="1418" w:left="1814" w:header="1701" w:footer="567" w:gutter="0"/>
          <w:pgNumType w:fmt="lowerRoman"/>
          <w:cols w:space="708"/>
          <w:docGrid w:linePitch="360"/>
        </w:sectPr>
      </w:pPr>
    </w:p>
    <w:p w:rsidR="003477EA" w:rsidRDefault="00735FEA" w:rsidP="001B7F1E">
      <w:pPr>
        <w:pStyle w:val="Heading1NotTOC"/>
        <w:rPr>
          <w:noProof/>
        </w:rPr>
      </w:pPr>
      <w:bookmarkStart w:id="26" w:name="Contents"/>
      <w:bookmarkEnd w:id="26"/>
      <w:r w:rsidRPr="00B153C3">
        <w:lastRenderedPageBreak/>
        <w:t>Contents</w:t>
      </w:r>
      <w:bookmarkStart w:id="27" w:name="InsertContents"/>
      <w:bookmarkEnd w:id="27"/>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Foreword</w:t>
      </w:r>
      <w:r w:rsidRPr="003477EA">
        <w:rPr>
          <w:rFonts w:ascii="Arial" w:hAnsi="Arial" w:cs="Arial"/>
          <w:noProof/>
          <w:color w:val="4298B5"/>
          <w:sz w:val="24"/>
          <w:szCs w:val="24"/>
        </w:rPr>
        <w:tab/>
        <w:t>iii</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Terms of reference</w:t>
      </w:r>
      <w:r w:rsidRPr="003477EA">
        <w:rPr>
          <w:rFonts w:ascii="Arial" w:hAnsi="Arial" w:cs="Arial"/>
          <w:noProof/>
          <w:color w:val="4298B5"/>
          <w:sz w:val="24"/>
          <w:szCs w:val="24"/>
        </w:rPr>
        <w:tab/>
        <w:t>iv</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Abbreviations and explanations</w:t>
      </w:r>
      <w:r w:rsidRPr="003477EA">
        <w:rPr>
          <w:rFonts w:ascii="Arial" w:hAnsi="Arial" w:cs="Arial"/>
          <w:noProof/>
          <w:color w:val="4298B5"/>
          <w:sz w:val="24"/>
          <w:szCs w:val="24"/>
        </w:rPr>
        <w:tab/>
      </w:r>
      <w:r w:rsidR="008B1A76">
        <w:rPr>
          <w:rFonts w:ascii="Arial" w:hAnsi="Arial" w:cs="Arial"/>
          <w:noProof/>
          <w:color w:val="4298B5"/>
          <w:sz w:val="24"/>
          <w:szCs w:val="24"/>
        </w:rPr>
        <w:t>i</w:t>
      </w:r>
      <w:r w:rsidRPr="003477EA">
        <w:rPr>
          <w:rFonts w:ascii="Arial" w:hAnsi="Arial" w:cs="Arial"/>
          <w:noProof/>
          <w:color w:val="4298B5"/>
          <w:sz w:val="24"/>
          <w:szCs w:val="24"/>
        </w:rPr>
        <w:t>x</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Glossary</w:t>
      </w:r>
      <w:r w:rsidRPr="003477EA">
        <w:rPr>
          <w:rFonts w:ascii="Arial" w:hAnsi="Arial" w:cs="Arial"/>
          <w:noProof/>
          <w:color w:val="4298B5"/>
          <w:sz w:val="24"/>
          <w:szCs w:val="24"/>
        </w:rPr>
        <w:tab/>
        <w:t>xii</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Overview</w:t>
      </w:r>
      <w:r w:rsidRPr="003477EA">
        <w:rPr>
          <w:rFonts w:ascii="Arial" w:hAnsi="Arial" w:cs="Arial"/>
          <w:noProof/>
          <w:color w:val="4298B5"/>
          <w:sz w:val="24"/>
          <w:szCs w:val="24"/>
        </w:rPr>
        <w:tab/>
        <w:t>1</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1</w:t>
      </w:r>
      <w:r w:rsidRPr="003477EA">
        <w:rPr>
          <w:rFonts w:ascii="Arial" w:hAnsi="Arial" w:cs="Arial"/>
          <w:noProof/>
          <w:color w:val="4298B5"/>
          <w:sz w:val="24"/>
          <w:szCs w:val="24"/>
        </w:rPr>
        <w:tab/>
        <w:t>Introduction</w:t>
      </w:r>
      <w:r w:rsidRPr="003477EA">
        <w:rPr>
          <w:rFonts w:ascii="Arial" w:hAnsi="Arial" w:cs="Arial"/>
          <w:noProof/>
          <w:color w:val="4298B5"/>
          <w:sz w:val="24"/>
          <w:szCs w:val="24"/>
        </w:rPr>
        <w:tab/>
        <w:t>19</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1.1</w:t>
      </w:r>
      <w:r w:rsidRPr="003477EA">
        <w:rPr>
          <w:rFonts w:ascii="Arial" w:hAnsi="Arial" w:cs="Arial"/>
          <w:noProof/>
          <w:sz w:val="24"/>
          <w:szCs w:val="24"/>
        </w:rPr>
        <w:tab/>
        <w:t>What have the Commissions been asked to do?</w:t>
      </w:r>
      <w:r w:rsidRPr="003477EA">
        <w:rPr>
          <w:rFonts w:ascii="Arial" w:hAnsi="Arial" w:cs="Arial"/>
          <w:noProof/>
          <w:sz w:val="24"/>
          <w:szCs w:val="24"/>
        </w:rPr>
        <w:tab/>
        <w:t>19</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1.2</w:t>
      </w:r>
      <w:r w:rsidRPr="003477EA">
        <w:rPr>
          <w:rFonts w:ascii="Arial" w:hAnsi="Arial" w:cs="Arial"/>
          <w:noProof/>
          <w:sz w:val="24"/>
          <w:szCs w:val="24"/>
        </w:rPr>
        <w:tab/>
        <w:t>Strengthening economic relations</w:t>
      </w:r>
      <w:r w:rsidRPr="003477EA">
        <w:rPr>
          <w:rFonts w:ascii="Arial" w:hAnsi="Arial" w:cs="Arial"/>
          <w:noProof/>
          <w:sz w:val="24"/>
          <w:szCs w:val="24"/>
        </w:rPr>
        <w:tab/>
        <w:t>21</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1.3</w:t>
      </w:r>
      <w:r w:rsidRPr="003477EA">
        <w:rPr>
          <w:rFonts w:ascii="Arial" w:hAnsi="Arial" w:cs="Arial"/>
          <w:noProof/>
          <w:sz w:val="24"/>
          <w:szCs w:val="24"/>
        </w:rPr>
        <w:tab/>
        <w:t>The Commissions’ approach</w:t>
      </w:r>
      <w:r w:rsidRPr="003477EA">
        <w:rPr>
          <w:rFonts w:ascii="Arial" w:hAnsi="Arial" w:cs="Arial"/>
          <w:noProof/>
          <w:sz w:val="24"/>
          <w:szCs w:val="24"/>
        </w:rPr>
        <w:tab/>
        <w:t>23</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1.4</w:t>
      </w:r>
      <w:r w:rsidRPr="003477EA">
        <w:rPr>
          <w:rFonts w:ascii="Arial" w:hAnsi="Arial" w:cs="Arial"/>
          <w:noProof/>
          <w:sz w:val="24"/>
          <w:szCs w:val="24"/>
        </w:rPr>
        <w:tab/>
        <w:t>Conduct of the scoping study</w:t>
      </w:r>
      <w:r w:rsidRPr="003477EA">
        <w:rPr>
          <w:rFonts w:ascii="Arial" w:hAnsi="Arial" w:cs="Arial"/>
          <w:noProof/>
          <w:sz w:val="24"/>
          <w:szCs w:val="24"/>
        </w:rPr>
        <w:tab/>
        <w:t>24</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2</w:t>
      </w:r>
      <w:r w:rsidRPr="003477EA">
        <w:rPr>
          <w:rFonts w:ascii="Arial" w:hAnsi="Arial" w:cs="Arial"/>
          <w:noProof/>
          <w:color w:val="4298B5"/>
          <w:sz w:val="24"/>
          <w:szCs w:val="24"/>
        </w:rPr>
        <w:tab/>
        <w:t>Framework for trans-Tasman integration</w:t>
      </w:r>
      <w:r w:rsidRPr="003477EA">
        <w:rPr>
          <w:rFonts w:ascii="Arial" w:hAnsi="Arial" w:cs="Arial"/>
          <w:noProof/>
          <w:color w:val="4298B5"/>
          <w:sz w:val="24"/>
          <w:szCs w:val="24"/>
        </w:rPr>
        <w:tab/>
        <w:t>27</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2.1</w:t>
      </w:r>
      <w:r w:rsidRPr="003477EA">
        <w:rPr>
          <w:rFonts w:ascii="Arial" w:hAnsi="Arial" w:cs="Arial"/>
          <w:noProof/>
          <w:sz w:val="24"/>
          <w:szCs w:val="24"/>
        </w:rPr>
        <w:tab/>
        <w:t>Economic integration and the role of government</w:t>
      </w:r>
      <w:r w:rsidRPr="003477EA">
        <w:rPr>
          <w:rFonts w:ascii="Arial" w:hAnsi="Arial" w:cs="Arial"/>
          <w:noProof/>
          <w:sz w:val="24"/>
          <w:szCs w:val="24"/>
        </w:rPr>
        <w:tab/>
        <w:t>29</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2.2</w:t>
      </w:r>
      <w:r w:rsidRPr="003477EA">
        <w:rPr>
          <w:rFonts w:ascii="Arial" w:hAnsi="Arial" w:cs="Arial"/>
          <w:noProof/>
          <w:sz w:val="24"/>
          <w:szCs w:val="24"/>
        </w:rPr>
        <w:tab/>
        <w:t>What are the potential impacts of trans</w:t>
      </w:r>
      <w:r>
        <w:rPr>
          <w:rFonts w:ascii="Arial" w:hAnsi="Arial" w:cs="Arial"/>
          <w:noProof/>
          <w:sz w:val="24"/>
          <w:szCs w:val="24"/>
        </w:rPr>
        <w:t>-</w:t>
      </w:r>
      <w:r w:rsidRPr="003477EA">
        <w:rPr>
          <w:rFonts w:ascii="Arial" w:hAnsi="Arial" w:cs="Arial"/>
          <w:noProof/>
          <w:sz w:val="24"/>
          <w:szCs w:val="24"/>
        </w:rPr>
        <w:t>Tasman economic integration?</w:t>
      </w:r>
      <w:r w:rsidRPr="003477EA">
        <w:rPr>
          <w:rFonts w:ascii="Arial" w:hAnsi="Arial" w:cs="Arial"/>
          <w:noProof/>
          <w:sz w:val="24"/>
          <w:szCs w:val="24"/>
        </w:rPr>
        <w:tab/>
        <w:t>33</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2.3</w:t>
      </w:r>
      <w:r w:rsidRPr="003477EA">
        <w:rPr>
          <w:rFonts w:ascii="Arial" w:hAnsi="Arial" w:cs="Arial"/>
          <w:noProof/>
          <w:sz w:val="24"/>
          <w:szCs w:val="24"/>
        </w:rPr>
        <w:tab/>
        <w:t xml:space="preserve">How </w:t>
      </w:r>
      <w:r w:rsidRPr="00F007D2">
        <w:rPr>
          <w:rFonts w:ascii="Arial" w:hAnsi="Arial" w:cs="Arial"/>
          <w:noProof/>
          <w:sz w:val="24"/>
          <w:szCs w:val="24"/>
        </w:rPr>
        <w:t>much</w:t>
      </w:r>
      <w:r w:rsidRPr="003477EA">
        <w:rPr>
          <w:rFonts w:ascii="Arial" w:hAnsi="Arial" w:cs="Arial"/>
          <w:noProof/>
          <w:sz w:val="24"/>
          <w:szCs w:val="24"/>
        </w:rPr>
        <w:t xml:space="preserve"> trans-Tasman integration?</w:t>
      </w:r>
      <w:r w:rsidRPr="003477EA">
        <w:rPr>
          <w:rFonts w:ascii="Arial" w:hAnsi="Arial" w:cs="Arial"/>
          <w:noProof/>
          <w:sz w:val="24"/>
          <w:szCs w:val="24"/>
        </w:rPr>
        <w:tab/>
        <w:t>42</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2.4</w:t>
      </w:r>
      <w:r w:rsidRPr="003477EA">
        <w:rPr>
          <w:rFonts w:ascii="Arial" w:hAnsi="Arial" w:cs="Arial"/>
          <w:noProof/>
          <w:sz w:val="24"/>
          <w:szCs w:val="24"/>
        </w:rPr>
        <w:tab/>
        <w:t>Identifying the most promising initiatives</w:t>
      </w:r>
      <w:r w:rsidRPr="003477EA">
        <w:rPr>
          <w:rFonts w:ascii="Arial" w:hAnsi="Arial" w:cs="Arial"/>
          <w:noProof/>
          <w:sz w:val="24"/>
          <w:szCs w:val="24"/>
        </w:rPr>
        <w:tab/>
        <w:t>43</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2.5</w:t>
      </w:r>
      <w:r w:rsidRPr="003477EA">
        <w:rPr>
          <w:rFonts w:ascii="Arial" w:hAnsi="Arial" w:cs="Arial"/>
          <w:noProof/>
          <w:sz w:val="24"/>
          <w:szCs w:val="24"/>
        </w:rPr>
        <w:tab/>
        <w:t>Desirable features of trans-Tasman integration initiatives</w:t>
      </w:r>
      <w:r w:rsidRPr="003477EA">
        <w:rPr>
          <w:rFonts w:ascii="Arial" w:hAnsi="Arial" w:cs="Arial"/>
          <w:noProof/>
          <w:sz w:val="24"/>
          <w:szCs w:val="24"/>
        </w:rPr>
        <w:tab/>
        <w:t>48</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2.6</w:t>
      </w:r>
      <w:r w:rsidRPr="003477EA">
        <w:rPr>
          <w:rFonts w:ascii="Arial" w:hAnsi="Arial" w:cs="Arial"/>
          <w:noProof/>
          <w:sz w:val="24"/>
          <w:szCs w:val="24"/>
        </w:rPr>
        <w:tab/>
        <w:t>Cross-country distributional effects</w:t>
      </w:r>
      <w:r w:rsidRPr="003477EA">
        <w:rPr>
          <w:rFonts w:ascii="Arial" w:hAnsi="Arial" w:cs="Arial"/>
          <w:noProof/>
          <w:sz w:val="24"/>
          <w:szCs w:val="24"/>
        </w:rPr>
        <w:tab/>
        <w:t>50</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3</w:t>
      </w:r>
      <w:r w:rsidRPr="003477EA">
        <w:rPr>
          <w:rFonts w:ascii="Arial" w:hAnsi="Arial" w:cs="Arial"/>
          <w:noProof/>
          <w:color w:val="4298B5"/>
          <w:sz w:val="24"/>
          <w:szCs w:val="24"/>
        </w:rPr>
        <w:tab/>
        <w:t>CER — achievements and implications for the future</w:t>
      </w:r>
      <w:r w:rsidRPr="003477EA">
        <w:rPr>
          <w:rFonts w:ascii="Arial" w:hAnsi="Arial" w:cs="Arial"/>
          <w:noProof/>
          <w:color w:val="4298B5"/>
          <w:sz w:val="24"/>
          <w:szCs w:val="24"/>
        </w:rPr>
        <w:tab/>
        <w:t>55</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3.1</w:t>
      </w:r>
      <w:r w:rsidRPr="003477EA">
        <w:rPr>
          <w:rFonts w:ascii="Arial" w:hAnsi="Arial" w:cs="Arial"/>
          <w:noProof/>
          <w:sz w:val="24"/>
          <w:szCs w:val="24"/>
        </w:rPr>
        <w:tab/>
        <w:t>Evolution of the CER agenda</w:t>
      </w:r>
      <w:r w:rsidRPr="003477EA">
        <w:rPr>
          <w:rFonts w:ascii="Arial" w:hAnsi="Arial" w:cs="Arial"/>
          <w:noProof/>
          <w:sz w:val="24"/>
          <w:szCs w:val="24"/>
        </w:rPr>
        <w:tab/>
        <w:t>56</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3.2</w:t>
      </w:r>
      <w:r w:rsidRPr="003477EA">
        <w:rPr>
          <w:rFonts w:ascii="Arial" w:hAnsi="Arial" w:cs="Arial"/>
          <w:noProof/>
          <w:sz w:val="24"/>
          <w:szCs w:val="24"/>
        </w:rPr>
        <w:tab/>
        <w:t>Achievements of CER</w:t>
      </w:r>
      <w:r w:rsidRPr="003477EA">
        <w:rPr>
          <w:rFonts w:ascii="Arial" w:hAnsi="Arial" w:cs="Arial"/>
          <w:noProof/>
          <w:sz w:val="24"/>
          <w:szCs w:val="24"/>
        </w:rPr>
        <w:tab/>
        <w:t>66</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3.3</w:t>
      </w:r>
      <w:r w:rsidRPr="003477EA">
        <w:rPr>
          <w:rFonts w:ascii="Arial" w:hAnsi="Arial" w:cs="Arial"/>
          <w:noProof/>
          <w:sz w:val="24"/>
          <w:szCs w:val="24"/>
        </w:rPr>
        <w:tab/>
        <w:t>Implications for the future agenda</w:t>
      </w:r>
      <w:r w:rsidRPr="003477EA">
        <w:rPr>
          <w:rFonts w:ascii="Arial" w:hAnsi="Arial" w:cs="Arial"/>
          <w:noProof/>
          <w:sz w:val="24"/>
          <w:szCs w:val="24"/>
        </w:rPr>
        <w:tab/>
        <w:t>86</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4</w:t>
      </w:r>
      <w:r w:rsidRPr="003477EA">
        <w:rPr>
          <w:rFonts w:ascii="Arial" w:hAnsi="Arial" w:cs="Arial"/>
          <w:noProof/>
          <w:color w:val="4298B5"/>
          <w:sz w:val="24"/>
          <w:szCs w:val="24"/>
        </w:rPr>
        <w:tab/>
        <w:t>Opportunities for further integration</w:t>
      </w:r>
      <w:r w:rsidRPr="003477EA">
        <w:rPr>
          <w:rFonts w:ascii="Arial" w:hAnsi="Arial" w:cs="Arial"/>
          <w:noProof/>
          <w:color w:val="4298B5"/>
          <w:sz w:val="24"/>
          <w:szCs w:val="24"/>
        </w:rPr>
        <w:tab/>
        <w:t>97</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4.1</w:t>
      </w:r>
      <w:r w:rsidRPr="003477EA">
        <w:rPr>
          <w:rFonts w:ascii="Arial" w:hAnsi="Arial" w:cs="Arial"/>
          <w:noProof/>
          <w:sz w:val="24"/>
          <w:szCs w:val="24"/>
        </w:rPr>
        <w:tab/>
        <w:t>Initiatives underway: key areas to deliver</w:t>
      </w:r>
      <w:r w:rsidRPr="003477EA">
        <w:rPr>
          <w:rFonts w:ascii="Arial" w:hAnsi="Arial" w:cs="Arial"/>
          <w:noProof/>
          <w:sz w:val="24"/>
          <w:szCs w:val="24"/>
        </w:rPr>
        <w:tab/>
        <w:t>98</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4.2</w:t>
      </w:r>
      <w:r w:rsidRPr="003477EA">
        <w:rPr>
          <w:rFonts w:ascii="Arial" w:hAnsi="Arial" w:cs="Arial"/>
          <w:noProof/>
          <w:sz w:val="24"/>
          <w:szCs w:val="24"/>
        </w:rPr>
        <w:tab/>
        <w:t>‘First freedom’: trade in goods</w:t>
      </w:r>
      <w:r w:rsidRPr="003477EA">
        <w:rPr>
          <w:rFonts w:ascii="Arial" w:hAnsi="Arial" w:cs="Arial"/>
          <w:noProof/>
          <w:sz w:val="24"/>
          <w:szCs w:val="24"/>
        </w:rPr>
        <w:tab/>
        <w:t>108</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4.3</w:t>
      </w:r>
      <w:r w:rsidRPr="003477EA">
        <w:rPr>
          <w:rFonts w:ascii="Arial" w:hAnsi="Arial" w:cs="Arial"/>
          <w:noProof/>
          <w:sz w:val="24"/>
          <w:szCs w:val="24"/>
        </w:rPr>
        <w:tab/>
        <w:t>‘Second freedom’: trade in services</w:t>
      </w:r>
      <w:r w:rsidRPr="003477EA">
        <w:rPr>
          <w:rFonts w:ascii="Arial" w:hAnsi="Arial" w:cs="Arial"/>
          <w:noProof/>
          <w:sz w:val="24"/>
          <w:szCs w:val="24"/>
        </w:rPr>
        <w:tab/>
        <w:t>112</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lastRenderedPageBreak/>
        <w:t>4.4</w:t>
      </w:r>
      <w:r w:rsidRPr="003477EA">
        <w:rPr>
          <w:rFonts w:ascii="Arial" w:hAnsi="Arial" w:cs="Arial"/>
          <w:noProof/>
          <w:sz w:val="24"/>
          <w:szCs w:val="24"/>
        </w:rPr>
        <w:tab/>
        <w:t>‘Third freedom’: capital</w:t>
      </w:r>
      <w:r w:rsidRPr="003477EA">
        <w:rPr>
          <w:rFonts w:ascii="Arial" w:hAnsi="Arial" w:cs="Arial"/>
          <w:noProof/>
          <w:sz w:val="24"/>
          <w:szCs w:val="24"/>
        </w:rPr>
        <w:tab/>
        <w:t>131</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4.5</w:t>
      </w:r>
      <w:r w:rsidRPr="003477EA">
        <w:rPr>
          <w:rFonts w:ascii="Arial" w:hAnsi="Arial" w:cs="Arial"/>
          <w:noProof/>
          <w:sz w:val="24"/>
          <w:szCs w:val="24"/>
        </w:rPr>
        <w:tab/>
        <w:t>‘Fourth freedom’: cross border movement of people</w:t>
      </w:r>
      <w:r w:rsidRPr="003477EA">
        <w:rPr>
          <w:rFonts w:ascii="Arial" w:hAnsi="Arial" w:cs="Arial"/>
          <w:noProof/>
          <w:sz w:val="24"/>
          <w:szCs w:val="24"/>
        </w:rPr>
        <w:tab/>
        <w:t>147</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4.6</w:t>
      </w:r>
      <w:r w:rsidRPr="003477EA">
        <w:rPr>
          <w:rFonts w:ascii="Arial" w:hAnsi="Arial" w:cs="Arial"/>
          <w:noProof/>
          <w:sz w:val="24"/>
          <w:szCs w:val="24"/>
        </w:rPr>
        <w:tab/>
        <w:t>Government and regulatory services</w:t>
      </w:r>
      <w:r w:rsidRPr="003477EA">
        <w:rPr>
          <w:rFonts w:ascii="Arial" w:hAnsi="Arial" w:cs="Arial"/>
          <w:noProof/>
          <w:sz w:val="24"/>
          <w:szCs w:val="24"/>
        </w:rPr>
        <w:tab/>
        <w:t>158</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4.7</w:t>
      </w:r>
      <w:r w:rsidRPr="003477EA">
        <w:rPr>
          <w:rFonts w:ascii="Arial" w:hAnsi="Arial" w:cs="Arial"/>
          <w:noProof/>
          <w:sz w:val="24"/>
          <w:szCs w:val="24"/>
        </w:rPr>
        <w:tab/>
        <w:t>Options that should not proceed</w:t>
      </w:r>
      <w:r w:rsidRPr="003477EA">
        <w:rPr>
          <w:rFonts w:ascii="Arial" w:hAnsi="Arial" w:cs="Arial"/>
          <w:noProof/>
          <w:sz w:val="24"/>
          <w:szCs w:val="24"/>
        </w:rPr>
        <w:tab/>
        <w:t>164</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5</w:t>
      </w:r>
      <w:r w:rsidRPr="003477EA">
        <w:rPr>
          <w:rFonts w:ascii="Arial" w:hAnsi="Arial" w:cs="Arial"/>
          <w:noProof/>
          <w:color w:val="4298B5"/>
          <w:sz w:val="24"/>
          <w:szCs w:val="24"/>
        </w:rPr>
        <w:tab/>
        <w:t>Making it happen</w:t>
      </w:r>
      <w:r w:rsidRPr="003477EA">
        <w:rPr>
          <w:rFonts w:ascii="Arial" w:hAnsi="Arial" w:cs="Arial"/>
          <w:noProof/>
          <w:color w:val="4298B5"/>
          <w:sz w:val="24"/>
          <w:szCs w:val="24"/>
        </w:rPr>
        <w:tab/>
        <w:t>167</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5.1</w:t>
      </w:r>
      <w:r w:rsidRPr="003477EA">
        <w:rPr>
          <w:rFonts w:ascii="Arial" w:hAnsi="Arial" w:cs="Arial"/>
          <w:noProof/>
          <w:sz w:val="24"/>
          <w:szCs w:val="24"/>
        </w:rPr>
        <w:tab/>
        <w:t>The forward agenda</w:t>
      </w:r>
      <w:r w:rsidRPr="003477EA">
        <w:rPr>
          <w:rFonts w:ascii="Arial" w:hAnsi="Arial" w:cs="Arial"/>
          <w:noProof/>
          <w:sz w:val="24"/>
          <w:szCs w:val="24"/>
        </w:rPr>
        <w:tab/>
        <w:t>167</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5.2</w:t>
      </w:r>
      <w:r w:rsidRPr="003477EA">
        <w:rPr>
          <w:rFonts w:ascii="Arial" w:hAnsi="Arial" w:cs="Arial"/>
          <w:noProof/>
          <w:sz w:val="24"/>
          <w:szCs w:val="24"/>
        </w:rPr>
        <w:tab/>
        <w:t>Past and current governance of CER</w:t>
      </w:r>
      <w:r w:rsidRPr="003477EA">
        <w:rPr>
          <w:rFonts w:ascii="Arial" w:hAnsi="Arial" w:cs="Arial"/>
          <w:noProof/>
          <w:sz w:val="24"/>
          <w:szCs w:val="24"/>
        </w:rPr>
        <w:tab/>
        <w:t>169</w:t>
      </w:r>
    </w:p>
    <w:p w:rsidR="003477EA" w:rsidRPr="003477EA" w:rsidRDefault="003477EA">
      <w:pPr>
        <w:pStyle w:val="TOC2"/>
        <w:tabs>
          <w:tab w:val="left" w:pos="1190"/>
        </w:tabs>
        <w:rPr>
          <w:rFonts w:ascii="Arial" w:hAnsi="Arial" w:cs="Arial"/>
          <w:noProof/>
          <w:sz w:val="24"/>
          <w:szCs w:val="24"/>
        </w:rPr>
      </w:pPr>
      <w:r w:rsidRPr="003477EA">
        <w:rPr>
          <w:rFonts w:ascii="Arial" w:hAnsi="Arial" w:cs="Arial"/>
          <w:noProof/>
          <w:sz w:val="24"/>
          <w:szCs w:val="24"/>
        </w:rPr>
        <w:t>5.3</w:t>
      </w:r>
      <w:r w:rsidRPr="003477EA">
        <w:rPr>
          <w:rFonts w:ascii="Arial" w:hAnsi="Arial" w:cs="Arial"/>
          <w:noProof/>
          <w:sz w:val="24"/>
          <w:szCs w:val="24"/>
        </w:rPr>
        <w:tab/>
        <w:t>Strengthening CER governance</w:t>
      </w:r>
      <w:r w:rsidRPr="003477EA">
        <w:rPr>
          <w:rFonts w:ascii="Arial" w:hAnsi="Arial" w:cs="Arial"/>
          <w:noProof/>
          <w:sz w:val="24"/>
          <w:szCs w:val="24"/>
        </w:rPr>
        <w:tab/>
        <w:t>173</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A</w:t>
      </w:r>
      <w:r w:rsidRPr="003477EA">
        <w:rPr>
          <w:rFonts w:ascii="Arial" w:hAnsi="Arial" w:cs="Arial"/>
          <w:noProof/>
          <w:color w:val="4298B5"/>
          <w:sz w:val="24"/>
          <w:szCs w:val="24"/>
        </w:rPr>
        <w:tab/>
        <w:t>Stakeholder engagement</w:t>
      </w:r>
      <w:r w:rsidRPr="003477EA">
        <w:rPr>
          <w:rFonts w:ascii="Arial" w:hAnsi="Arial" w:cs="Arial"/>
          <w:noProof/>
          <w:color w:val="4298B5"/>
          <w:sz w:val="24"/>
          <w:szCs w:val="24"/>
        </w:rPr>
        <w:tab/>
        <w:t>179</w:t>
      </w:r>
    </w:p>
    <w:p w:rsidR="003477EA" w:rsidRPr="003477EA" w:rsidRDefault="003477EA">
      <w:pPr>
        <w:pStyle w:val="TOC1"/>
        <w:rPr>
          <w:rFonts w:ascii="Arial" w:hAnsi="Arial" w:cs="Arial"/>
          <w:noProof/>
          <w:color w:val="4298B5"/>
          <w:sz w:val="24"/>
          <w:szCs w:val="24"/>
        </w:rPr>
      </w:pPr>
      <w:r w:rsidRPr="003477EA">
        <w:rPr>
          <w:rFonts w:ascii="Arial" w:hAnsi="Arial" w:cs="Arial"/>
          <w:noProof/>
          <w:color w:val="4298B5"/>
          <w:sz w:val="24"/>
          <w:szCs w:val="24"/>
        </w:rPr>
        <w:t>References</w:t>
      </w:r>
      <w:r w:rsidRPr="003477EA">
        <w:rPr>
          <w:rFonts w:ascii="Arial" w:hAnsi="Arial" w:cs="Arial"/>
          <w:noProof/>
          <w:color w:val="4298B5"/>
          <w:sz w:val="24"/>
          <w:szCs w:val="24"/>
        </w:rPr>
        <w:tab/>
        <w:t>187</w:t>
      </w:r>
    </w:p>
    <w:p w:rsidR="00586559" w:rsidRPr="00673889" w:rsidRDefault="00586559" w:rsidP="003477EA">
      <w:pPr>
        <w:pStyle w:val="BodyText"/>
        <w:spacing w:before="600"/>
        <w:rPr>
          <w:rFonts w:cs="Arial"/>
          <w:szCs w:val="24"/>
        </w:rPr>
      </w:pPr>
      <w:r w:rsidRPr="00673889">
        <w:rPr>
          <w:rFonts w:cs="Arial"/>
          <w:szCs w:val="24"/>
        </w:rPr>
        <w:t xml:space="preserve">Additional material referred to in the chapters but not reproduced in this report </w:t>
      </w:r>
      <w:r>
        <w:rPr>
          <w:rFonts w:cs="Arial"/>
          <w:szCs w:val="24"/>
        </w:rPr>
        <w:t>is</w:t>
      </w:r>
      <w:r w:rsidRPr="00673889">
        <w:rPr>
          <w:rFonts w:cs="Arial"/>
          <w:szCs w:val="24"/>
        </w:rPr>
        <w:t xml:space="preserve"> available </w:t>
      </w:r>
      <w:r>
        <w:rPr>
          <w:rFonts w:cs="Arial"/>
          <w:szCs w:val="24"/>
        </w:rPr>
        <w:t>from</w:t>
      </w:r>
      <w:r w:rsidRPr="00673889">
        <w:rPr>
          <w:rFonts w:cs="Arial"/>
          <w:szCs w:val="24"/>
        </w:rPr>
        <w:t xml:space="preserve"> the joint study website:</w:t>
      </w:r>
    </w:p>
    <w:p w:rsidR="00586559" w:rsidRPr="00146635" w:rsidRDefault="00586559" w:rsidP="00586559">
      <w:pPr>
        <w:pStyle w:val="BodyText"/>
        <w:rPr>
          <w:rFonts w:cs="Arial"/>
          <w:szCs w:val="24"/>
        </w:rPr>
      </w:pPr>
      <w:proofErr w:type="spellStart"/>
      <w:r w:rsidRPr="00146635">
        <w:rPr>
          <w:rFonts w:cs="Arial"/>
          <w:szCs w:val="24"/>
        </w:rPr>
        <w:t>www.transtasman-review.pc.gov.au</w:t>
      </w:r>
      <w:proofErr w:type="spellEnd"/>
    </w:p>
    <w:p w:rsidR="00831630" w:rsidRDefault="00586559" w:rsidP="00586559">
      <w:pPr>
        <w:pStyle w:val="BodyText"/>
      </w:pPr>
      <w:proofErr w:type="spellStart"/>
      <w:r w:rsidRPr="00146635">
        <w:rPr>
          <w:rFonts w:cs="Arial"/>
          <w:szCs w:val="24"/>
        </w:rPr>
        <w:t>www.transtasman-review.productivity.govt.nz</w:t>
      </w:r>
      <w:proofErr w:type="spellEnd"/>
    </w:p>
    <w:p w:rsidR="00586559" w:rsidRPr="00673889" w:rsidRDefault="00586559" w:rsidP="0084245A">
      <w:pPr>
        <w:pStyle w:val="BodyText"/>
        <w:spacing w:before="600"/>
        <w:rPr>
          <w:rFonts w:cs="Arial"/>
          <w:szCs w:val="24"/>
        </w:rPr>
      </w:pPr>
      <w:r>
        <w:rPr>
          <w:rFonts w:cs="Arial"/>
          <w:szCs w:val="24"/>
        </w:rPr>
        <w:t>S</w:t>
      </w:r>
      <w:r w:rsidRPr="00673889">
        <w:rPr>
          <w:rFonts w:cs="Arial"/>
          <w:szCs w:val="24"/>
        </w:rPr>
        <w:t>upplementary papers:</w:t>
      </w:r>
    </w:p>
    <w:p w:rsidR="00586559" w:rsidRPr="00673889" w:rsidRDefault="00586559" w:rsidP="00586559">
      <w:pPr>
        <w:pStyle w:val="ListBullet"/>
        <w:ind w:left="567" w:hanging="567"/>
        <w:jc w:val="left"/>
        <w:rPr>
          <w:rFonts w:cs="Arial"/>
          <w:szCs w:val="24"/>
        </w:rPr>
      </w:pPr>
      <w:r w:rsidRPr="00673889">
        <w:rPr>
          <w:rFonts w:cs="Arial"/>
          <w:szCs w:val="24"/>
        </w:rPr>
        <w:t>A: Trade in goods</w:t>
      </w:r>
    </w:p>
    <w:p w:rsidR="00586559" w:rsidRPr="00673889" w:rsidRDefault="00586559" w:rsidP="00586559">
      <w:pPr>
        <w:pStyle w:val="ListBullet"/>
        <w:ind w:left="567" w:hanging="567"/>
        <w:jc w:val="left"/>
        <w:rPr>
          <w:rFonts w:cs="Arial"/>
          <w:szCs w:val="24"/>
        </w:rPr>
      </w:pPr>
      <w:r w:rsidRPr="00673889">
        <w:rPr>
          <w:rFonts w:cs="Arial"/>
          <w:szCs w:val="24"/>
        </w:rPr>
        <w:t>B: Transport services</w:t>
      </w:r>
    </w:p>
    <w:p w:rsidR="00586559" w:rsidRPr="00673889" w:rsidRDefault="00586559" w:rsidP="00586559">
      <w:pPr>
        <w:pStyle w:val="ListBullet"/>
        <w:ind w:left="567" w:hanging="567"/>
        <w:jc w:val="left"/>
        <w:rPr>
          <w:rFonts w:cs="Arial"/>
          <w:szCs w:val="24"/>
        </w:rPr>
      </w:pPr>
      <w:r w:rsidRPr="00673889">
        <w:rPr>
          <w:rFonts w:cs="Arial"/>
          <w:szCs w:val="24"/>
        </w:rPr>
        <w:t>C: Foreign direct investment</w:t>
      </w:r>
    </w:p>
    <w:p w:rsidR="00586559" w:rsidRPr="00673889" w:rsidRDefault="00586559" w:rsidP="00586559">
      <w:pPr>
        <w:pStyle w:val="ListBullet"/>
        <w:ind w:left="567" w:hanging="567"/>
        <w:jc w:val="left"/>
        <w:rPr>
          <w:rFonts w:cs="Arial"/>
          <w:szCs w:val="24"/>
        </w:rPr>
      </w:pPr>
      <w:r w:rsidRPr="00673889">
        <w:rPr>
          <w:rFonts w:cs="Arial"/>
          <w:szCs w:val="24"/>
        </w:rPr>
        <w:t xml:space="preserve">D: </w:t>
      </w:r>
      <w:r>
        <w:rPr>
          <w:rFonts w:cs="Arial"/>
          <w:szCs w:val="24"/>
        </w:rPr>
        <w:t>People movement</w:t>
      </w:r>
    </w:p>
    <w:p w:rsidR="00586559" w:rsidRDefault="00586559" w:rsidP="00586559">
      <w:pPr>
        <w:pStyle w:val="ListBullet"/>
        <w:ind w:left="567" w:hanging="567"/>
        <w:jc w:val="left"/>
        <w:rPr>
          <w:rFonts w:cs="Arial"/>
          <w:szCs w:val="24"/>
        </w:rPr>
      </w:pPr>
      <w:r w:rsidRPr="00673889">
        <w:rPr>
          <w:rFonts w:cs="Arial"/>
          <w:szCs w:val="24"/>
        </w:rPr>
        <w:t>E: Economy-wide modelling of economic integration</w:t>
      </w:r>
    </w:p>
    <w:p w:rsidR="00586559" w:rsidRDefault="00586559" w:rsidP="00586559">
      <w:pPr>
        <w:pStyle w:val="ListBullet"/>
        <w:ind w:left="567" w:hanging="567"/>
        <w:jc w:val="left"/>
        <w:rPr>
          <w:rFonts w:cs="Arial"/>
          <w:szCs w:val="24"/>
        </w:rPr>
      </w:pPr>
      <w:r>
        <w:rPr>
          <w:rFonts w:cs="Arial"/>
          <w:szCs w:val="24"/>
        </w:rPr>
        <w:t>F: Mutual recognition of imputation credits</w:t>
      </w:r>
    </w:p>
    <w:p w:rsidR="00586559" w:rsidRDefault="00586559" w:rsidP="003477EA">
      <w:pPr>
        <w:pStyle w:val="ListBullet"/>
        <w:ind w:left="567" w:hanging="567"/>
        <w:jc w:val="left"/>
      </w:pPr>
      <w:r w:rsidRPr="003477EA">
        <w:rPr>
          <w:rFonts w:cs="Arial"/>
          <w:szCs w:val="24"/>
        </w:rPr>
        <w:t>G: Modelling the effects of mutual recognition of imputation credits</w:t>
      </w:r>
    </w:p>
    <w:p w:rsidR="007712FC" w:rsidRDefault="007712FC">
      <w:pPr>
        <w:pStyle w:val="BodyText"/>
        <w:sectPr w:rsidR="007712FC" w:rsidSect="00961692">
          <w:headerReference w:type="even" r:id="rId28"/>
          <w:headerReference w:type="default" r:id="rId29"/>
          <w:footerReference w:type="even" r:id="rId30"/>
          <w:footerReference w:type="default" r:id="rId31"/>
          <w:type w:val="oddPage"/>
          <w:pgSz w:w="11907" w:h="16840" w:code="9"/>
          <w:pgMar w:top="1985" w:right="1304" w:bottom="1418" w:left="1814" w:header="1701" w:footer="567" w:gutter="0"/>
          <w:pgNumType w:fmt="lowerRoman"/>
          <w:cols w:space="720"/>
        </w:sectPr>
      </w:pPr>
    </w:p>
    <w:p w:rsidR="00735FEA" w:rsidRDefault="00735FEA" w:rsidP="00800E6A">
      <w:pPr>
        <w:pStyle w:val="Heading1"/>
        <w:spacing w:after="1200"/>
      </w:pPr>
      <w:bookmarkStart w:id="28" w:name="Abbreviations"/>
      <w:bookmarkStart w:id="29" w:name="RDnote"/>
      <w:bookmarkStart w:id="30" w:name="EndContents"/>
      <w:bookmarkStart w:id="31" w:name="_Toc341970579"/>
      <w:bookmarkEnd w:id="28"/>
      <w:bookmarkEnd w:id="29"/>
      <w:bookmarkEnd w:id="30"/>
      <w:r>
        <w:lastRenderedPageBreak/>
        <w:t>Abbreviations and explanations</w:t>
      </w:r>
      <w:bookmarkEnd w:id="31"/>
    </w:p>
    <w:p w:rsidR="00735FEA" w:rsidRDefault="00735FEA" w:rsidP="00800E6A">
      <w:pPr>
        <w:pStyle w:val="Heading2NotTOC"/>
        <w:spacing w:before="240"/>
      </w:pPr>
      <w:r>
        <w:t>Abbrevia</w:t>
      </w:r>
      <w:r w:rsidRPr="00F85393">
        <w:t>t</w:t>
      </w:r>
      <w:r>
        <w:t>ions</w:t>
      </w:r>
    </w:p>
    <w:p w:rsidR="00800E6A" w:rsidRDefault="00800E6A" w:rsidP="00800E6A">
      <w:pPr>
        <w:pStyle w:val="Abbreviation"/>
      </w:pPr>
      <w:proofErr w:type="spellStart"/>
      <w:r>
        <w:t>AANZFTA</w:t>
      </w:r>
      <w:proofErr w:type="spellEnd"/>
      <w:r>
        <w:tab/>
        <w:t>ASEAN-Australia-New Zealand Free Trade Agreement</w:t>
      </w:r>
    </w:p>
    <w:p w:rsidR="00800E6A" w:rsidRDefault="00800E6A" w:rsidP="00800E6A">
      <w:pPr>
        <w:pStyle w:val="Abbreviation"/>
      </w:pPr>
      <w:r>
        <w:t>ABS</w:t>
      </w:r>
      <w:r>
        <w:tab/>
        <w:t>Australian Bureau of Statistics</w:t>
      </w:r>
    </w:p>
    <w:p w:rsidR="00800E6A" w:rsidRDefault="00800E6A" w:rsidP="00800E6A">
      <w:pPr>
        <w:pStyle w:val="Abbreviation"/>
      </w:pPr>
      <w:proofErr w:type="spellStart"/>
      <w:r>
        <w:t>ACCC</w:t>
      </w:r>
      <w:proofErr w:type="spellEnd"/>
      <w:r>
        <w:tab/>
        <w:t>Australian Competition and Consumer Commission</w:t>
      </w:r>
    </w:p>
    <w:p w:rsidR="00800E6A" w:rsidRDefault="00800E6A" w:rsidP="00800E6A">
      <w:pPr>
        <w:pStyle w:val="Abbreviation"/>
      </w:pPr>
      <w:r>
        <w:t>ACTU</w:t>
      </w:r>
      <w:r>
        <w:tab/>
        <w:t>Australian Council of Trade Unions</w:t>
      </w:r>
    </w:p>
    <w:p w:rsidR="00800E6A" w:rsidRDefault="00800E6A" w:rsidP="00800E6A">
      <w:pPr>
        <w:pStyle w:val="Abbreviation"/>
      </w:pPr>
      <w:proofErr w:type="spellStart"/>
      <w:r>
        <w:t>ANZCERTA</w:t>
      </w:r>
      <w:proofErr w:type="spellEnd"/>
      <w:r>
        <w:tab/>
        <w:t>Australia New Zealand Closer Economic Relations Trade Agreement</w:t>
      </w:r>
    </w:p>
    <w:p w:rsidR="00800E6A" w:rsidRDefault="00800E6A" w:rsidP="00800E6A">
      <w:pPr>
        <w:pStyle w:val="Abbreviation"/>
      </w:pPr>
      <w:proofErr w:type="spellStart"/>
      <w:r>
        <w:t>ANZEA</w:t>
      </w:r>
      <w:proofErr w:type="spellEnd"/>
      <w:r>
        <w:tab/>
        <w:t>Australia New Zealand Economic Analysis model</w:t>
      </w:r>
    </w:p>
    <w:p w:rsidR="00800E6A" w:rsidRDefault="00800E6A" w:rsidP="00800E6A">
      <w:pPr>
        <w:pStyle w:val="Abbreviation"/>
      </w:pPr>
      <w:proofErr w:type="spellStart"/>
      <w:r>
        <w:t>ANZLF</w:t>
      </w:r>
      <w:proofErr w:type="spellEnd"/>
      <w:r>
        <w:tab/>
        <w:t>Australia New Zealand Leadership Forum</w:t>
      </w:r>
    </w:p>
    <w:p w:rsidR="00800E6A" w:rsidRDefault="00800E6A" w:rsidP="00800E6A">
      <w:pPr>
        <w:pStyle w:val="Abbreviation"/>
      </w:pPr>
      <w:proofErr w:type="spellStart"/>
      <w:r>
        <w:t>ANZSOG</w:t>
      </w:r>
      <w:proofErr w:type="spellEnd"/>
      <w:r>
        <w:tab/>
        <w:t>Australia and New Zealand School of Government</w:t>
      </w:r>
    </w:p>
    <w:p w:rsidR="00800E6A" w:rsidRDefault="00800E6A" w:rsidP="00800E6A">
      <w:pPr>
        <w:pStyle w:val="Abbreviation"/>
      </w:pPr>
      <w:proofErr w:type="spellStart"/>
      <w:r>
        <w:t>ANZTPA</w:t>
      </w:r>
      <w:proofErr w:type="spellEnd"/>
      <w:r>
        <w:tab/>
        <w:t>Australia New Zealand Therapeutic Products Agency</w:t>
      </w:r>
    </w:p>
    <w:p w:rsidR="00800E6A" w:rsidRDefault="00800E6A" w:rsidP="00800E6A">
      <w:pPr>
        <w:pStyle w:val="Abbreviation"/>
      </w:pPr>
      <w:r>
        <w:t>APRA</w:t>
      </w:r>
      <w:r>
        <w:tab/>
        <w:t>Australian Prudential Regulation Authority</w:t>
      </w:r>
    </w:p>
    <w:p w:rsidR="00800E6A" w:rsidRDefault="00800E6A" w:rsidP="00800E6A">
      <w:pPr>
        <w:pStyle w:val="Abbreviation"/>
      </w:pPr>
      <w:r>
        <w:t>ASEAN</w:t>
      </w:r>
      <w:r>
        <w:tab/>
        <w:t>Association of Southeast Asian Nations</w:t>
      </w:r>
    </w:p>
    <w:p w:rsidR="00800E6A" w:rsidRDefault="00800E6A" w:rsidP="00800E6A">
      <w:pPr>
        <w:pStyle w:val="Abbreviation"/>
      </w:pPr>
      <w:proofErr w:type="spellStart"/>
      <w:r>
        <w:t>ASIC</w:t>
      </w:r>
      <w:proofErr w:type="spellEnd"/>
      <w:r>
        <w:tab/>
        <w:t>Australian Securities and Investments Commission</w:t>
      </w:r>
    </w:p>
    <w:p w:rsidR="00800E6A" w:rsidRDefault="00800E6A" w:rsidP="00800E6A">
      <w:pPr>
        <w:pStyle w:val="Abbreviation"/>
      </w:pPr>
      <w:proofErr w:type="spellStart"/>
      <w:r>
        <w:t>BIE</w:t>
      </w:r>
      <w:proofErr w:type="spellEnd"/>
      <w:r>
        <w:tab/>
        <w:t>Bureau of Industry Economics</w:t>
      </w:r>
    </w:p>
    <w:p w:rsidR="00800E6A" w:rsidRDefault="00800E6A" w:rsidP="00800E6A">
      <w:pPr>
        <w:pStyle w:val="Abbreviation"/>
      </w:pPr>
      <w:proofErr w:type="spellStart"/>
      <w:r>
        <w:t>BITRE</w:t>
      </w:r>
      <w:proofErr w:type="spellEnd"/>
      <w:r>
        <w:tab/>
        <w:t xml:space="preserve">Bureau of Infrastructure, Transport and Regional Economics </w:t>
      </w:r>
    </w:p>
    <w:p w:rsidR="00800E6A" w:rsidRDefault="00800E6A" w:rsidP="00800E6A">
      <w:pPr>
        <w:pStyle w:val="Abbreviation"/>
      </w:pPr>
      <w:proofErr w:type="spellStart"/>
      <w:r>
        <w:t>CER</w:t>
      </w:r>
      <w:proofErr w:type="spellEnd"/>
      <w:r>
        <w:tab/>
        <w:t>Closer Economic Relations</w:t>
      </w:r>
    </w:p>
    <w:p w:rsidR="00800E6A" w:rsidRDefault="00800E6A" w:rsidP="00800E6A">
      <w:pPr>
        <w:pStyle w:val="Abbreviation"/>
      </w:pPr>
      <w:r>
        <w:t>COAG</w:t>
      </w:r>
      <w:r>
        <w:tab/>
        <w:t>Council of Australian Governments</w:t>
      </w:r>
    </w:p>
    <w:p w:rsidR="00800E6A" w:rsidRDefault="00800E6A" w:rsidP="00800E6A">
      <w:pPr>
        <w:pStyle w:val="Abbreviation"/>
      </w:pPr>
      <w:proofErr w:type="spellStart"/>
      <w:r>
        <w:t>CPM</w:t>
      </w:r>
      <w:proofErr w:type="spellEnd"/>
      <w:r>
        <w:tab/>
        <w:t>Carbon Price Mechanism</w:t>
      </w:r>
    </w:p>
    <w:p w:rsidR="00800E6A" w:rsidRDefault="00800E6A" w:rsidP="00800E6A">
      <w:pPr>
        <w:pStyle w:val="Abbreviation"/>
      </w:pPr>
      <w:proofErr w:type="spellStart"/>
      <w:r>
        <w:t>DIAC</w:t>
      </w:r>
      <w:proofErr w:type="spellEnd"/>
      <w:r>
        <w:tab/>
        <w:t>(Australian) Department of Immigration and Citizenship</w:t>
      </w:r>
    </w:p>
    <w:p w:rsidR="00800E6A" w:rsidRDefault="00800E6A" w:rsidP="00800E6A">
      <w:pPr>
        <w:pStyle w:val="Abbreviation"/>
      </w:pPr>
      <w:r>
        <w:t>EU</w:t>
      </w:r>
      <w:r>
        <w:tab/>
        <w:t>European Union</w:t>
      </w:r>
    </w:p>
    <w:p w:rsidR="00800E6A" w:rsidRDefault="00800E6A" w:rsidP="00800E6A">
      <w:pPr>
        <w:pStyle w:val="Abbreviation"/>
      </w:pPr>
      <w:proofErr w:type="spellStart"/>
      <w:r>
        <w:t>FDI</w:t>
      </w:r>
      <w:proofErr w:type="spellEnd"/>
      <w:r>
        <w:tab/>
        <w:t>Foreign Direct Investment</w:t>
      </w:r>
    </w:p>
    <w:p w:rsidR="00800E6A" w:rsidRDefault="00800E6A" w:rsidP="00800E6A">
      <w:pPr>
        <w:pStyle w:val="Abbreviation"/>
      </w:pPr>
      <w:proofErr w:type="spellStart"/>
      <w:r>
        <w:t>FSANZ</w:t>
      </w:r>
      <w:proofErr w:type="spellEnd"/>
      <w:r>
        <w:tab/>
        <w:t>Food Standards Australia New Zealand</w:t>
      </w:r>
    </w:p>
    <w:p w:rsidR="00800E6A" w:rsidRDefault="00800E6A" w:rsidP="00800E6A">
      <w:pPr>
        <w:pStyle w:val="Abbreviation"/>
      </w:pPr>
      <w:r>
        <w:t>GDP</w:t>
      </w:r>
      <w:r>
        <w:tab/>
        <w:t>Gross Domestic Product</w:t>
      </w:r>
    </w:p>
    <w:p w:rsidR="00800E6A" w:rsidRDefault="00800E6A" w:rsidP="00800E6A">
      <w:pPr>
        <w:pStyle w:val="Abbreviation"/>
      </w:pPr>
      <w:proofErr w:type="spellStart"/>
      <w:r>
        <w:t>GNI</w:t>
      </w:r>
      <w:proofErr w:type="spellEnd"/>
      <w:r>
        <w:tab/>
      </w:r>
      <w:r w:rsidRPr="00491B78">
        <w:t>Gross National Income</w:t>
      </w:r>
    </w:p>
    <w:p w:rsidR="00800E6A" w:rsidRDefault="00800E6A" w:rsidP="00800E6A">
      <w:pPr>
        <w:pStyle w:val="Abbreviation"/>
      </w:pPr>
      <w:proofErr w:type="spellStart"/>
      <w:r>
        <w:t>GTAP</w:t>
      </w:r>
      <w:proofErr w:type="spellEnd"/>
      <w:r>
        <w:tab/>
        <w:t>Global Trade Analysis Project model</w:t>
      </w:r>
    </w:p>
    <w:p w:rsidR="00800E6A" w:rsidRDefault="00800E6A" w:rsidP="00800E6A">
      <w:pPr>
        <w:pStyle w:val="Abbreviation"/>
      </w:pPr>
      <w:proofErr w:type="spellStart"/>
      <w:r>
        <w:lastRenderedPageBreak/>
        <w:t>HECS</w:t>
      </w:r>
      <w:proofErr w:type="spellEnd"/>
      <w:r>
        <w:tab/>
        <w:t>Higher Education Contribution Scheme</w:t>
      </w:r>
    </w:p>
    <w:p w:rsidR="00800E6A" w:rsidRDefault="00800E6A" w:rsidP="00800E6A">
      <w:pPr>
        <w:pStyle w:val="Abbreviation"/>
      </w:pPr>
      <w:r>
        <w:t>HELP</w:t>
      </w:r>
      <w:r w:rsidRPr="008C1A2A">
        <w:t xml:space="preserve"> </w:t>
      </w:r>
      <w:r>
        <w:tab/>
        <w:t>Higher Education Loan Program</w:t>
      </w:r>
    </w:p>
    <w:p w:rsidR="00800E6A" w:rsidRDefault="00800E6A" w:rsidP="00800E6A">
      <w:pPr>
        <w:pStyle w:val="Abbreviation"/>
      </w:pPr>
      <w:r>
        <w:t>JAS-</w:t>
      </w:r>
      <w:proofErr w:type="spellStart"/>
      <w:r>
        <w:t>ANZ</w:t>
      </w:r>
      <w:proofErr w:type="spellEnd"/>
      <w:r>
        <w:tab/>
        <w:t>Joint Accreditation System of Australia and New Zealand</w:t>
      </w:r>
    </w:p>
    <w:p w:rsidR="00800E6A" w:rsidRDefault="00800E6A" w:rsidP="00800E6A">
      <w:pPr>
        <w:pStyle w:val="Abbreviation"/>
      </w:pPr>
      <w:r>
        <w:t>MFN</w:t>
      </w:r>
      <w:r>
        <w:tab/>
        <w:t>Most Favoured Nation</w:t>
      </w:r>
    </w:p>
    <w:p w:rsidR="00800E6A" w:rsidRDefault="00800E6A" w:rsidP="00800E6A">
      <w:pPr>
        <w:pStyle w:val="Abbreviation"/>
      </w:pPr>
      <w:proofErr w:type="spellStart"/>
      <w:r>
        <w:t>MRIC</w:t>
      </w:r>
      <w:proofErr w:type="spellEnd"/>
      <w:r>
        <w:tab/>
        <w:t>Mutual Recognition of Imputation Credits</w:t>
      </w:r>
    </w:p>
    <w:p w:rsidR="00800E6A" w:rsidRDefault="00800E6A" w:rsidP="00800E6A">
      <w:pPr>
        <w:pStyle w:val="Abbreviation"/>
      </w:pPr>
      <w:proofErr w:type="spellStart"/>
      <w:r>
        <w:t>NOLS</w:t>
      </w:r>
      <w:proofErr w:type="spellEnd"/>
      <w:r>
        <w:tab/>
        <w:t>National Occupational Licensing System</w:t>
      </w:r>
    </w:p>
    <w:p w:rsidR="00800E6A" w:rsidRDefault="00800E6A" w:rsidP="00800E6A">
      <w:pPr>
        <w:pStyle w:val="Abbreviation"/>
      </w:pPr>
      <w:proofErr w:type="spellStart"/>
      <w:r>
        <w:t>NZCC</w:t>
      </w:r>
      <w:proofErr w:type="spellEnd"/>
      <w:r>
        <w:tab/>
        <w:t>New Zealand Commerce Commission</w:t>
      </w:r>
    </w:p>
    <w:p w:rsidR="00800E6A" w:rsidRDefault="00800E6A" w:rsidP="00800E6A">
      <w:pPr>
        <w:pStyle w:val="Abbreviation"/>
      </w:pPr>
      <w:proofErr w:type="spellStart"/>
      <w:r>
        <w:t>NZCTU</w:t>
      </w:r>
      <w:proofErr w:type="spellEnd"/>
      <w:r>
        <w:tab/>
        <w:t>New Zealand Council of Trade Unions</w:t>
      </w:r>
    </w:p>
    <w:p w:rsidR="00800E6A" w:rsidRDefault="00800E6A" w:rsidP="00800E6A">
      <w:pPr>
        <w:pStyle w:val="Abbreviation"/>
      </w:pPr>
      <w:proofErr w:type="spellStart"/>
      <w:r>
        <w:t>NZETS</w:t>
      </w:r>
      <w:proofErr w:type="spellEnd"/>
      <w:r>
        <w:tab/>
        <w:t>New Zealand Emissions Trading Scheme</w:t>
      </w:r>
    </w:p>
    <w:p w:rsidR="00800E6A" w:rsidRDefault="00800E6A" w:rsidP="00800E6A">
      <w:pPr>
        <w:pStyle w:val="Abbreviation"/>
      </w:pPr>
      <w:proofErr w:type="spellStart"/>
      <w:r>
        <w:t>NZIER</w:t>
      </w:r>
      <w:proofErr w:type="spellEnd"/>
      <w:r>
        <w:tab/>
        <w:t>New Zealand Institute of Economic Research</w:t>
      </w:r>
    </w:p>
    <w:p w:rsidR="00800E6A" w:rsidRDefault="00800E6A" w:rsidP="00800E6A">
      <w:pPr>
        <w:pStyle w:val="Abbreviation"/>
      </w:pPr>
      <w:r>
        <w:t>NZ PC</w:t>
      </w:r>
      <w:r>
        <w:tab/>
        <w:t>New Zealand Productivity Commission</w:t>
      </w:r>
    </w:p>
    <w:p w:rsidR="00800E6A" w:rsidRDefault="00800E6A" w:rsidP="00800E6A">
      <w:pPr>
        <w:pStyle w:val="Abbreviation"/>
      </w:pPr>
      <w:proofErr w:type="spellStart"/>
      <w:r>
        <w:t>NZS</w:t>
      </w:r>
      <w:proofErr w:type="spellEnd"/>
      <w:r>
        <w:tab/>
        <w:t>New Zealand Superannuation</w:t>
      </w:r>
    </w:p>
    <w:p w:rsidR="00800E6A" w:rsidRDefault="00800E6A" w:rsidP="00800E6A">
      <w:pPr>
        <w:pStyle w:val="Abbreviation"/>
      </w:pPr>
      <w:r>
        <w:t>OECD</w:t>
      </w:r>
      <w:r>
        <w:tab/>
        <w:t>Organisation for Economic Cooperation and Development</w:t>
      </w:r>
    </w:p>
    <w:p w:rsidR="00800E6A" w:rsidRDefault="00800E6A" w:rsidP="00800E6A">
      <w:pPr>
        <w:pStyle w:val="Abbreviation"/>
      </w:pPr>
      <w:r>
        <w:t>PC</w:t>
      </w:r>
      <w:r>
        <w:tab/>
        <w:t>(Australian) Productivity Commission</w:t>
      </w:r>
    </w:p>
    <w:p w:rsidR="00800E6A" w:rsidRDefault="00800E6A" w:rsidP="00800E6A">
      <w:pPr>
        <w:pStyle w:val="Abbreviation"/>
      </w:pPr>
      <w:r>
        <w:t>PMC</w:t>
      </w:r>
      <w:r>
        <w:tab/>
        <w:t>Passenger Movement Charge</w:t>
      </w:r>
    </w:p>
    <w:p w:rsidR="00800E6A" w:rsidRDefault="00800E6A" w:rsidP="00800E6A">
      <w:pPr>
        <w:pStyle w:val="Abbreviation"/>
      </w:pPr>
      <w:r>
        <w:t>PTA</w:t>
      </w:r>
      <w:r>
        <w:tab/>
        <w:t>Preferential Trade Agreement</w:t>
      </w:r>
    </w:p>
    <w:p w:rsidR="00800E6A" w:rsidRDefault="00800E6A" w:rsidP="00800E6A">
      <w:pPr>
        <w:pStyle w:val="Abbreviation"/>
      </w:pPr>
      <w:r>
        <w:t>RBA</w:t>
      </w:r>
      <w:r>
        <w:tab/>
        <w:t>Reserve Bank of Australia</w:t>
      </w:r>
    </w:p>
    <w:p w:rsidR="00800E6A" w:rsidRDefault="00800E6A" w:rsidP="00800E6A">
      <w:pPr>
        <w:pStyle w:val="Abbreviation"/>
      </w:pPr>
      <w:proofErr w:type="spellStart"/>
      <w:r>
        <w:t>RBNZ</w:t>
      </w:r>
      <w:proofErr w:type="spellEnd"/>
      <w:r>
        <w:tab/>
        <w:t>Reserve Bank of New Zealand</w:t>
      </w:r>
    </w:p>
    <w:p w:rsidR="00800E6A" w:rsidRDefault="00800E6A" w:rsidP="00800E6A">
      <w:pPr>
        <w:pStyle w:val="Abbreviation"/>
      </w:pPr>
      <w:proofErr w:type="spellStart"/>
      <w:r>
        <w:t>RIA</w:t>
      </w:r>
      <w:proofErr w:type="spellEnd"/>
      <w:r>
        <w:t xml:space="preserve"> </w:t>
      </w:r>
      <w:r>
        <w:tab/>
        <w:t xml:space="preserve">Regulatory Impact </w:t>
      </w:r>
      <w:r w:rsidR="00CD391C">
        <w:t>Analysis</w:t>
      </w:r>
    </w:p>
    <w:p w:rsidR="00800E6A" w:rsidRDefault="00800E6A" w:rsidP="00800E6A">
      <w:pPr>
        <w:pStyle w:val="Abbreviation"/>
      </w:pPr>
      <w:proofErr w:type="spellStart"/>
      <w:r>
        <w:t>RoGS</w:t>
      </w:r>
      <w:proofErr w:type="spellEnd"/>
      <w:r>
        <w:tab/>
        <w:t>Report on Government Services</w:t>
      </w:r>
    </w:p>
    <w:p w:rsidR="00800E6A" w:rsidRDefault="00800E6A" w:rsidP="00800E6A">
      <w:pPr>
        <w:pStyle w:val="Abbreviation"/>
      </w:pPr>
      <w:proofErr w:type="spellStart"/>
      <w:r>
        <w:t>RoO</w:t>
      </w:r>
      <w:proofErr w:type="spellEnd"/>
      <w:r>
        <w:tab/>
        <w:t>Rules of Origin</w:t>
      </w:r>
    </w:p>
    <w:p w:rsidR="00800E6A" w:rsidRDefault="00800E6A" w:rsidP="00800E6A">
      <w:pPr>
        <w:pStyle w:val="Abbreviation"/>
      </w:pPr>
      <w:r>
        <w:t>SAM</w:t>
      </w:r>
      <w:r>
        <w:tab/>
        <w:t>Single Aviation Market</w:t>
      </w:r>
    </w:p>
    <w:p w:rsidR="00800E6A" w:rsidRDefault="00800E6A" w:rsidP="00800E6A">
      <w:pPr>
        <w:pStyle w:val="Abbreviation"/>
      </w:pPr>
      <w:proofErr w:type="spellStart"/>
      <w:r>
        <w:t>SCV</w:t>
      </w:r>
      <w:proofErr w:type="spellEnd"/>
      <w:r>
        <w:tab/>
        <w:t>Special Category Visa</w:t>
      </w:r>
    </w:p>
    <w:p w:rsidR="00800E6A" w:rsidRDefault="00800E6A" w:rsidP="00800E6A">
      <w:pPr>
        <w:pStyle w:val="Abbreviation"/>
      </w:pPr>
      <w:proofErr w:type="spellStart"/>
      <w:r>
        <w:t>SEM</w:t>
      </w:r>
      <w:proofErr w:type="spellEnd"/>
      <w:r>
        <w:tab/>
        <w:t>Single Economic Market</w:t>
      </w:r>
    </w:p>
    <w:p w:rsidR="00800E6A" w:rsidRDefault="00800E6A" w:rsidP="00800E6A">
      <w:pPr>
        <w:pStyle w:val="Abbreviation"/>
      </w:pPr>
      <w:proofErr w:type="spellStart"/>
      <w:r>
        <w:t>TTCBS</w:t>
      </w:r>
      <w:proofErr w:type="spellEnd"/>
      <w:r>
        <w:tab/>
        <w:t>Trans-Tasman Council on Banking Supervision</w:t>
      </w:r>
    </w:p>
    <w:p w:rsidR="00800E6A" w:rsidRDefault="00800E6A" w:rsidP="00800E6A">
      <w:pPr>
        <w:pStyle w:val="Abbreviation"/>
      </w:pPr>
      <w:proofErr w:type="spellStart"/>
      <w:r>
        <w:t>TTMRA</w:t>
      </w:r>
      <w:proofErr w:type="spellEnd"/>
      <w:r>
        <w:tab/>
        <w:t>Trans-Tasman Mutual Recognition Arrangement</w:t>
      </w:r>
    </w:p>
    <w:p w:rsidR="00800E6A" w:rsidRDefault="00800E6A" w:rsidP="00800E6A">
      <w:pPr>
        <w:pStyle w:val="Abbreviation"/>
      </w:pPr>
      <w:proofErr w:type="spellStart"/>
      <w:r>
        <w:t>TTOIG</w:t>
      </w:r>
      <w:proofErr w:type="spellEnd"/>
      <w:r>
        <w:tab/>
        <w:t>Trans-Tasman Outcomes Implementation Group</w:t>
      </w:r>
    </w:p>
    <w:p w:rsidR="00800E6A" w:rsidRDefault="00800E6A" w:rsidP="00800E6A">
      <w:pPr>
        <w:pStyle w:val="Abbreviation"/>
      </w:pPr>
      <w:proofErr w:type="spellStart"/>
      <w:r>
        <w:t>TTTA</w:t>
      </w:r>
      <w:proofErr w:type="spellEnd"/>
      <w:r>
        <w:tab/>
        <w:t>Trans-Tasman Travel Arrangement</w:t>
      </w:r>
    </w:p>
    <w:p w:rsidR="00800E6A" w:rsidRDefault="00800E6A" w:rsidP="00800E6A">
      <w:pPr>
        <w:pStyle w:val="Abbreviation"/>
      </w:pPr>
      <w:r>
        <w:t>VET</w:t>
      </w:r>
      <w:r>
        <w:tab/>
        <w:t xml:space="preserve">Vocational Education and Training </w:t>
      </w:r>
    </w:p>
    <w:p w:rsidR="00735FEA" w:rsidRDefault="00800E6A" w:rsidP="00800E6A">
      <w:pPr>
        <w:pStyle w:val="Abbreviation"/>
      </w:pPr>
      <w:r>
        <w:t>WTO</w:t>
      </w:r>
      <w:r>
        <w:tab/>
        <w:t>World Trade Organisation</w:t>
      </w:r>
    </w:p>
    <w:p w:rsidR="00735FEA" w:rsidRDefault="00735FEA" w:rsidP="00F7477E">
      <w:pPr>
        <w:pStyle w:val="Heading2NotTOC"/>
      </w:pPr>
      <w:r>
        <w:lastRenderedPageBreak/>
        <w:t>Explanations</w:t>
      </w:r>
    </w:p>
    <w:p w:rsidR="001027DA" w:rsidRPr="00AE3DEF" w:rsidRDefault="001027DA" w:rsidP="001027DA">
      <w:pPr>
        <w:pStyle w:val="BoxSpace"/>
        <w:rPr>
          <w:rFonts w:cs="Arial"/>
          <w:sz w:val="14"/>
          <w:szCs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304"/>
        <w:gridCol w:w="950"/>
        <w:gridCol w:w="304"/>
        <w:gridCol w:w="7209"/>
      </w:tblGrid>
      <w:tr w:rsidR="001027DA" w:rsidTr="001027DA">
        <w:tc>
          <w:tcPr>
            <w:tcW w:w="304" w:type="dxa"/>
            <w:tcBorders>
              <w:top w:val="nil"/>
              <w:left w:val="nil"/>
              <w:bottom w:val="nil"/>
              <w:right w:val="nil"/>
            </w:tcBorders>
            <w:shd w:val="clear" w:color="auto" w:fill="ECECEC"/>
          </w:tcPr>
          <w:p w:rsidR="001027DA" w:rsidRPr="00094F7C" w:rsidRDefault="001027DA" w:rsidP="001027DA">
            <w:pPr>
              <w:pStyle w:val="Box"/>
              <w:spacing w:before="0" w:line="120" w:lineRule="exact"/>
              <w:rPr>
                <w:sz w:val="8"/>
                <w:szCs w:val="8"/>
              </w:rPr>
            </w:pPr>
          </w:p>
        </w:tc>
        <w:tc>
          <w:tcPr>
            <w:tcW w:w="950" w:type="dxa"/>
            <w:tcBorders>
              <w:top w:val="nil"/>
              <w:left w:val="nil"/>
              <w:bottom w:val="nil"/>
              <w:right w:val="nil"/>
            </w:tcBorders>
            <w:shd w:val="clear" w:color="auto" w:fill="ECECEC"/>
          </w:tcPr>
          <w:p w:rsidR="001027DA" w:rsidRDefault="001027DA" w:rsidP="001027DA">
            <w:pPr>
              <w:pStyle w:val="Box"/>
              <w:spacing w:before="0" w:line="120" w:lineRule="exact"/>
            </w:pPr>
          </w:p>
        </w:tc>
        <w:tc>
          <w:tcPr>
            <w:tcW w:w="304" w:type="dxa"/>
            <w:tcBorders>
              <w:top w:val="nil"/>
              <w:left w:val="nil"/>
              <w:bottom w:val="nil"/>
              <w:right w:val="nil"/>
            </w:tcBorders>
            <w:shd w:val="clear" w:color="auto" w:fill="ECECEC"/>
            <w:tcMar>
              <w:left w:w="0" w:type="dxa"/>
            </w:tcMar>
          </w:tcPr>
          <w:p w:rsidR="001027DA" w:rsidRPr="00094F7C" w:rsidRDefault="001027DA" w:rsidP="001027DA">
            <w:pPr>
              <w:pStyle w:val="Box"/>
              <w:spacing w:before="0" w:line="120" w:lineRule="exact"/>
              <w:rPr>
                <w:sz w:val="8"/>
                <w:szCs w:val="8"/>
              </w:rPr>
            </w:pPr>
          </w:p>
        </w:tc>
        <w:tc>
          <w:tcPr>
            <w:tcW w:w="7209" w:type="dxa"/>
            <w:tcBorders>
              <w:top w:val="nil"/>
              <w:left w:val="nil"/>
              <w:bottom w:val="nil"/>
              <w:right w:val="nil"/>
            </w:tcBorders>
            <w:shd w:val="clear" w:color="auto" w:fill="ECECEC"/>
          </w:tcPr>
          <w:p w:rsidR="001027DA" w:rsidRDefault="001027DA" w:rsidP="001027DA">
            <w:pPr>
              <w:pStyle w:val="Box"/>
              <w:spacing w:before="0" w:line="120" w:lineRule="exact"/>
            </w:pPr>
          </w:p>
        </w:tc>
      </w:tr>
      <w:tr w:rsidR="001027DA" w:rsidTr="001027DA">
        <w:trPr>
          <w:trHeight w:val="558"/>
        </w:trPr>
        <w:tc>
          <w:tcPr>
            <w:tcW w:w="304" w:type="dxa"/>
            <w:tcBorders>
              <w:top w:val="nil"/>
              <w:left w:val="nil"/>
              <w:bottom w:val="nil"/>
              <w:right w:val="nil"/>
            </w:tcBorders>
            <w:shd w:val="clear" w:color="auto" w:fill="ECECEC"/>
          </w:tcPr>
          <w:p w:rsidR="001027DA" w:rsidRPr="00094F7C" w:rsidRDefault="001027DA" w:rsidP="001027DA">
            <w:pPr>
              <w:pStyle w:val="Box"/>
              <w:spacing w:before="0" w:line="120" w:lineRule="exact"/>
              <w:rPr>
                <w:sz w:val="8"/>
                <w:szCs w:val="8"/>
              </w:rPr>
            </w:pPr>
          </w:p>
        </w:tc>
        <w:tc>
          <w:tcPr>
            <w:tcW w:w="950" w:type="dxa"/>
            <w:tcBorders>
              <w:top w:val="nil"/>
              <w:left w:val="nil"/>
              <w:bottom w:val="nil"/>
              <w:right w:val="nil"/>
            </w:tcBorders>
            <w:shd w:val="clear" w:color="auto" w:fill="4298B5"/>
            <w:vAlign w:val="center"/>
          </w:tcPr>
          <w:p w:rsidR="001027DA" w:rsidRPr="00336CDE" w:rsidRDefault="001027DA" w:rsidP="00504F8E">
            <w:pPr>
              <w:pStyle w:val="Box"/>
              <w:spacing w:before="0"/>
              <w:jc w:val="center"/>
              <w:rPr>
                <w:b/>
                <w:sz w:val="28"/>
                <w:szCs w:val="28"/>
              </w:rPr>
            </w:pPr>
            <w:proofErr w:type="spellStart"/>
            <w:r>
              <w:rPr>
                <w:b/>
                <w:color w:val="FFFFFF" w:themeColor="background1"/>
                <w:sz w:val="28"/>
                <w:szCs w:val="28"/>
              </w:rPr>
              <w:t>F</w:t>
            </w:r>
            <w:r w:rsidR="00504F8E">
              <w:rPr>
                <w:b/>
                <w:color w:val="FFFFFF" w:themeColor="background1"/>
                <w:sz w:val="28"/>
                <w:szCs w:val="28"/>
              </w:rPr>
              <w:t>1.1</w:t>
            </w:r>
            <w:proofErr w:type="spellEnd"/>
          </w:p>
        </w:tc>
        <w:tc>
          <w:tcPr>
            <w:tcW w:w="304" w:type="dxa"/>
            <w:tcBorders>
              <w:top w:val="nil"/>
              <w:left w:val="nil"/>
              <w:bottom w:val="nil"/>
              <w:right w:val="nil"/>
            </w:tcBorders>
            <w:shd w:val="clear" w:color="auto" w:fill="ECECEC"/>
            <w:tcMar>
              <w:left w:w="0" w:type="dxa"/>
            </w:tcMar>
          </w:tcPr>
          <w:p w:rsidR="001027DA" w:rsidRPr="00094F7C" w:rsidRDefault="001027DA" w:rsidP="001027DA">
            <w:pPr>
              <w:pStyle w:val="Box"/>
              <w:spacing w:before="0"/>
              <w:rPr>
                <w:sz w:val="8"/>
                <w:szCs w:val="8"/>
              </w:rPr>
            </w:pPr>
          </w:p>
        </w:tc>
        <w:tc>
          <w:tcPr>
            <w:tcW w:w="7209" w:type="dxa"/>
            <w:vMerge w:val="restart"/>
            <w:tcBorders>
              <w:top w:val="nil"/>
              <w:left w:val="nil"/>
              <w:right w:val="nil"/>
            </w:tcBorders>
            <w:shd w:val="clear" w:color="auto" w:fill="ECECEC"/>
          </w:tcPr>
          <w:p w:rsidR="001027DA" w:rsidRDefault="001027DA" w:rsidP="007A30ED">
            <w:pPr>
              <w:pStyle w:val="OZNZQuestion"/>
            </w:pPr>
            <w:r w:rsidRPr="007A30ED">
              <w:t xml:space="preserve">Findings </w:t>
            </w:r>
            <w:r w:rsidR="007A30ED" w:rsidRPr="007A30ED">
              <w:t xml:space="preserve">are </w:t>
            </w:r>
            <w:r w:rsidR="007A30ED">
              <w:t>set out in the body of the report</w:t>
            </w:r>
            <w:r w:rsidR="007A30ED" w:rsidRPr="007A30ED">
              <w:t>, as this is.</w:t>
            </w:r>
          </w:p>
        </w:tc>
      </w:tr>
      <w:tr w:rsidR="001027DA" w:rsidTr="001027DA">
        <w:tc>
          <w:tcPr>
            <w:tcW w:w="304" w:type="dxa"/>
            <w:tcBorders>
              <w:top w:val="nil"/>
              <w:left w:val="nil"/>
              <w:bottom w:val="nil"/>
              <w:right w:val="nil"/>
            </w:tcBorders>
            <w:shd w:val="clear" w:color="auto" w:fill="ECECEC"/>
          </w:tcPr>
          <w:p w:rsidR="001027DA" w:rsidRPr="00094F7C" w:rsidRDefault="001027DA" w:rsidP="001027DA">
            <w:pPr>
              <w:pStyle w:val="Box"/>
              <w:spacing w:before="0" w:line="120" w:lineRule="exact"/>
              <w:rPr>
                <w:sz w:val="8"/>
                <w:szCs w:val="8"/>
              </w:rPr>
            </w:pPr>
          </w:p>
        </w:tc>
        <w:tc>
          <w:tcPr>
            <w:tcW w:w="950" w:type="dxa"/>
            <w:tcBorders>
              <w:top w:val="nil"/>
              <w:left w:val="nil"/>
              <w:bottom w:val="nil"/>
              <w:right w:val="nil"/>
            </w:tcBorders>
            <w:shd w:val="clear" w:color="auto" w:fill="ECECEC"/>
          </w:tcPr>
          <w:p w:rsidR="001027DA" w:rsidRDefault="001027DA" w:rsidP="001027DA">
            <w:pPr>
              <w:pStyle w:val="Box"/>
              <w:spacing w:before="0" w:line="120" w:lineRule="exact"/>
            </w:pPr>
          </w:p>
        </w:tc>
        <w:tc>
          <w:tcPr>
            <w:tcW w:w="304" w:type="dxa"/>
            <w:tcBorders>
              <w:top w:val="nil"/>
              <w:left w:val="nil"/>
              <w:bottom w:val="nil"/>
              <w:right w:val="nil"/>
            </w:tcBorders>
            <w:shd w:val="clear" w:color="auto" w:fill="ECECEC"/>
            <w:tcMar>
              <w:left w:w="0" w:type="dxa"/>
            </w:tcMar>
          </w:tcPr>
          <w:p w:rsidR="001027DA" w:rsidRPr="00094F7C" w:rsidRDefault="001027DA" w:rsidP="001027DA">
            <w:pPr>
              <w:pStyle w:val="Box"/>
              <w:spacing w:before="0" w:line="120" w:lineRule="exact"/>
              <w:rPr>
                <w:sz w:val="8"/>
                <w:szCs w:val="8"/>
              </w:rPr>
            </w:pPr>
          </w:p>
        </w:tc>
        <w:tc>
          <w:tcPr>
            <w:tcW w:w="7209" w:type="dxa"/>
            <w:vMerge/>
            <w:tcBorders>
              <w:left w:val="nil"/>
              <w:bottom w:val="nil"/>
              <w:right w:val="nil"/>
            </w:tcBorders>
            <w:shd w:val="clear" w:color="auto" w:fill="ECECEC"/>
          </w:tcPr>
          <w:p w:rsidR="001027DA" w:rsidRDefault="001027DA" w:rsidP="001027DA">
            <w:pPr>
              <w:pStyle w:val="Box"/>
              <w:spacing w:before="0" w:line="120" w:lineRule="exact"/>
            </w:pPr>
          </w:p>
        </w:tc>
      </w:tr>
      <w:tr w:rsidR="001027DA" w:rsidTr="001027DA">
        <w:tc>
          <w:tcPr>
            <w:tcW w:w="304" w:type="dxa"/>
            <w:tcBorders>
              <w:top w:val="nil"/>
              <w:left w:val="nil"/>
              <w:bottom w:val="nil"/>
              <w:right w:val="nil"/>
            </w:tcBorders>
            <w:shd w:val="clear" w:color="auto" w:fill="ECECEC"/>
          </w:tcPr>
          <w:p w:rsidR="001027DA" w:rsidRPr="00094F7C" w:rsidRDefault="001027DA" w:rsidP="001027DA">
            <w:pPr>
              <w:pStyle w:val="Box"/>
              <w:spacing w:before="0" w:line="120" w:lineRule="exact"/>
              <w:rPr>
                <w:sz w:val="8"/>
                <w:szCs w:val="8"/>
              </w:rPr>
            </w:pPr>
          </w:p>
        </w:tc>
        <w:tc>
          <w:tcPr>
            <w:tcW w:w="950" w:type="dxa"/>
            <w:tcBorders>
              <w:top w:val="nil"/>
              <w:left w:val="nil"/>
              <w:bottom w:val="nil"/>
              <w:right w:val="nil"/>
            </w:tcBorders>
            <w:shd w:val="clear" w:color="auto" w:fill="ECECEC"/>
          </w:tcPr>
          <w:p w:rsidR="001027DA" w:rsidRDefault="001027DA" w:rsidP="001027DA">
            <w:pPr>
              <w:pStyle w:val="Box"/>
              <w:spacing w:before="0" w:line="120" w:lineRule="exact"/>
            </w:pPr>
          </w:p>
        </w:tc>
        <w:tc>
          <w:tcPr>
            <w:tcW w:w="304" w:type="dxa"/>
            <w:tcBorders>
              <w:top w:val="nil"/>
              <w:left w:val="nil"/>
              <w:bottom w:val="nil"/>
              <w:right w:val="nil"/>
            </w:tcBorders>
            <w:shd w:val="clear" w:color="auto" w:fill="ECECEC"/>
            <w:tcMar>
              <w:left w:w="0" w:type="dxa"/>
            </w:tcMar>
          </w:tcPr>
          <w:p w:rsidR="001027DA" w:rsidRPr="00094F7C" w:rsidRDefault="001027DA" w:rsidP="001027DA">
            <w:pPr>
              <w:pStyle w:val="Box"/>
              <w:spacing w:before="0" w:line="120" w:lineRule="exact"/>
              <w:rPr>
                <w:sz w:val="8"/>
                <w:szCs w:val="8"/>
              </w:rPr>
            </w:pPr>
          </w:p>
        </w:tc>
        <w:tc>
          <w:tcPr>
            <w:tcW w:w="7209" w:type="dxa"/>
            <w:tcBorders>
              <w:top w:val="nil"/>
              <w:left w:val="nil"/>
              <w:bottom w:val="nil"/>
              <w:right w:val="nil"/>
            </w:tcBorders>
            <w:shd w:val="clear" w:color="auto" w:fill="ECECEC"/>
          </w:tcPr>
          <w:p w:rsidR="001027DA" w:rsidRDefault="001027DA" w:rsidP="001027DA">
            <w:pPr>
              <w:pStyle w:val="Box"/>
              <w:spacing w:before="0" w:line="120" w:lineRule="exact"/>
            </w:pPr>
          </w:p>
        </w:tc>
      </w:tr>
    </w:tbl>
    <w:p w:rsidR="007A30ED" w:rsidRPr="00AE3DEF" w:rsidRDefault="007A30ED" w:rsidP="007A30ED">
      <w:pPr>
        <w:pStyle w:val="BoxSpace"/>
        <w:rPr>
          <w:rFonts w:cs="Arial"/>
          <w:sz w:val="14"/>
          <w:szCs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304"/>
        <w:gridCol w:w="950"/>
        <w:gridCol w:w="304"/>
        <w:gridCol w:w="7209"/>
      </w:tblGrid>
      <w:tr w:rsidR="007A30ED" w:rsidTr="00FA6027">
        <w:tc>
          <w:tcPr>
            <w:tcW w:w="304" w:type="dxa"/>
            <w:tcBorders>
              <w:top w:val="nil"/>
              <w:left w:val="nil"/>
              <w:bottom w:val="nil"/>
              <w:right w:val="nil"/>
            </w:tcBorders>
            <w:shd w:val="clear" w:color="auto" w:fill="ECECEC"/>
          </w:tcPr>
          <w:p w:rsidR="007A30ED" w:rsidRPr="00094F7C" w:rsidRDefault="007A30ED" w:rsidP="00FA6027">
            <w:pPr>
              <w:pStyle w:val="Box"/>
              <w:spacing w:before="0" w:line="120" w:lineRule="exact"/>
              <w:rPr>
                <w:sz w:val="8"/>
                <w:szCs w:val="8"/>
              </w:rPr>
            </w:pPr>
          </w:p>
        </w:tc>
        <w:tc>
          <w:tcPr>
            <w:tcW w:w="950" w:type="dxa"/>
            <w:tcBorders>
              <w:top w:val="nil"/>
              <w:left w:val="nil"/>
              <w:bottom w:val="nil"/>
              <w:right w:val="nil"/>
            </w:tcBorders>
            <w:shd w:val="clear" w:color="auto" w:fill="ECECEC"/>
          </w:tcPr>
          <w:p w:rsidR="007A30ED" w:rsidRDefault="007A30ED" w:rsidP="00FA6027">
            <w:pPr>
              <w:pStyle w:val="Box"/>
              <w:spacing w:before="0" w:line="120" w:lineRule="exact"/>
            </w:pPr>
          </w:p>
        </w:tc>
        <w:tc>
          <w:tcPr>
            <w:tcW w:w="304" w:type="dxa"/>
            <w:tcBorders>
              <w:top w:val="nil"/>
              <w:left w:val="nil"/>
              <w:bottom w:val="nil"/>
              <w:right w:val="nil"/>
            </w:tcBorders>
            <w:shd w:val="clear" w:color="auto" w:fill="ECECEC"/>
            <w:tcMar>
              <w:left w:w="0" w:type="dxa"/>
            </w:tcMar>
          </w:tcPr>
          <w:p w:rsidR="007A30ED" w:rsidRPr="00094F7C" w:rsidRDefault="007A30ED" w:rsidP="00FA6027">
            <w:pPr>
              <w:pStyle w:val="Box"/>
              <w:spacing w:before="0" w:line="120" w:lineRule="exact"/>
              <w:rPr>
                <w:sz w:val="8"/>
                <w:szCs w:val="8"/>
              </w:rPr>
            </w:pPr>
          </w:p>
        </w:tc>
        <w:tc>
          <w:tcPr>
            <w:tcW w:w="7209" w:type="dxa"/>
            <w:tcBorders>
              <w:top w:val="nil"/>
              <w:left w:val="nil"/>
              <w:bottom w:val="nil"/>
              <w:right w:val="nil"/>
            </w:tcBorders>
            <w:shd w:val="clear" w:color="auto" w:fill="ECECEC"/>
          </w:tcPr>
          <w:p w:rsidR="007A30ED" w:rsidRDefault="007A30ED" w:rsidP="00FA6027">
            <w:pPr>
              <w:pStyle w:val="Box"/>
              <w:spacing w:before="0" w:line="120" w:lineRule="exact"/>
            </w:pPr>
          </w:p>
        </w:tc>
      </w:tr>
      <w:tr w:rsidR="007A30ED" w:rsidTr="00FA6027">
        <w:trPr>
          <w:trHeight w:val="558"/>
        </w:trPr>
        <w:tc>
          <w:tcPr>
            <w:tcW w:w="304" w:type="dxa"/>
            <w:tcBorders>
              <w:top w:val="nil"/>
              <w:left w:val="nil"/>
              <w:bottom w:val="nil"/>
              <w:right w:val="nil"/>
            </w:tcBorders>
            <w:shd w:val="clear" w:color="auto" w:fill="ECECEC"/>
          </w:tcPr>
          <w:p w:rsidR="007A30ED" w:rsidRPr="00094F7C" w:rsidRDefault="007A30ED" w:rsidP="00FA6027">
            <w:pPr>
              <w:pStyle w:val="Box"/>
              <w:spacing w:before="0" w:line="120" w:lineRule="exact"/>
              <w:rPr>
                <w:sz w:val="8"/>
                <w:szCs w:val="8"/>
              </w:rPr>
            </w:pPr>
          </w:p>
        </w:tc>
        <w:tc>
          <w:tcPr>
            <w:tcW w:w="950" w:type="dxa"/>
            <w:tcBorders>
              <w:top w:val="nil"/>
              <w:left w:val="nil"/>
              <w:bottom w:val="nil"/>
              <w:right w:val="nil"/>
            </w:tcBorders>
            <w:shd w:val="clear" w:color="auto" w:fill="86A20B"/>
            <w:vAlign w:val="center"/>
          </w:tcPr>
          <w:p w:rsidR="007A30ED" w:rsidRPr="00336CDE" w:rsidRDefault="007A30ED" w:rsidP="00504F8E">
            <w:pPr>
              <w:pStyle w:val="Box"/>
              <w:spacing w:before="0"/>
              <w:jc w:val="center"/>
              <w:rPr>
                <w:b/>
                <w:sz w:val="28"/>
                <w:szCs w:val="28"/>
              </w:rPr>
            </w:pPr>
            <w:proofErr w:type="spellStart"/>
            <w:r>
              <w:rPr>
                <w:b/>
                <w:color w:val="FFFFFF" w:themeColor="background1"/>
                <w:sz w:val="28"/>
                <w:szCs w:val="28"/>
              </w:rPr>
              <w:t>R</w:t>
            </w:r>
            <w:r w:rsidR="00504F8E">
              <w:rPr>
                <w:b/>
                <w:color w:val="FFFFFF" w:themeColor="background1"/>
                <w:sz w:val="28"/>
                <w:szCs w:val="28"/>
              </w:rPr>
              <w:t>1.1</w:t>
            </w:r>
            <w:proofErr w:type="spellEnd"/>
          </w:p>
        </w:tc>
        <w:tc>
          <w:tcPr>
            <w:tcW w:w="304" w:type="dxa"/>
            <w:tcBorders>
              <w:top w:val="nil"/>
              <w:left w:val="nil"/>
              <w:bottom w:val="nil"/>
              <w:right w:val="nil"/>
            </w:tcBorders>
            <w:shd w:val="clear" w:color="auto" w:fill="ECECEC"/>
            <w:tcMar>
              <w:left w:w="0" w:type="dxa"/>
            </w:tcMar>
          </w:tcPr>
          <w:p w:rsidR="007A30ED" w:rsidRPr="00094F7C" w:rsidRDefault="007A30ED" w:rsidP="00FA6027">
            <w:pPr>
              <w:pStyle w:val="Box"/>
              <w:spacing w:before="0"/>
              <w:rPr>
                <w:sz w:val="8"/>
                <w:szCs w:val="8"/>
              </w:rPr>
            </w:pPr>
          </w:p>
        </w:tc>
        <w:tc>
          <w:tcPr>
            <w:tcW w:w="7209" w:type="dxa"/>
            <w:vMerge w:val="restart"/>
            <w:tcBorders>
              <w:top w:val="nil"/>
              <w:left w:val="nil"/>
              <w:right w:val="nil"/>
            </w:tcBorders>
            <w:shd w:val="clear" w:color="auto" w:fill="ECECEC"/>
          </w:tcPr>
          <w:p w:rsidR="007A30ED" w:rsidRDefault="007A30ED" w:rsidP="00FA6027">
            <w:pPr>
              <w:pStyle w:val="OZNZQuestion"/>
            </w:pPr>
            <w:r w:rsidRPr="007A30ED">
              <w:t xml:space="preserve">Recommendations </w:t>
            </w:r>
            <w:r>
              <w:t xml:space="preserve">are set out in </w:t>
            </w:r>
            <w:r w:rsidRPr="007A30ED">
              <w:t>the body of the report, as this is.</w:t>
            </w:r>
          </w:p>
        </w:tc>
      </w:tr>
      <w:tr w:rsidR="007A30ED" w:rsidTr="00FA6027">
        <w:tc>
          <w:tcPr>
            <w:tcW w:w="304" w:type="dxa"/>
            <w:tcBorders>
              <w:top w:val="nil"/>
              <w:left w:val="nil"/>
              <w:bottom w:val="nil"/>
              <w:right w:val="nil"/>
            </w:tcBorders>
            <w:shd w:val="clear" w:color="auto" w:fill="ECECEC"/>
          </w:tcPr>
          <w:p w:rsidR="007A30ED" w:rsidRPr="00094F7C" w:rsidRDefault="007A30ED" w:rsidP="00FA6027">
            <w:pPr>
              <w:pStyle w:val="Box"/>
              <w:spacing w:before="0" w:line="120" w:lineRule="exact"/>
              <w:rPr>
                <w:sz w:val="8"/>
                <w:szCs w:val="8"/>
              </w:rPr>
            </w:pPr>
          </w:p>
        </w:tc>
        <w:tc>
          <w:tcPr>
            <w:tcW w:w="950" w:type="dxa"/>
            <w:tcBorders>
              <w:top w:val="nil"/>
              <w:left w:val="nil"/>
              <w:bottom w:val="nil"/>
              <w:right w:val="nil"/>
            </w:tcBorders>
            <w:shd w:val="clear" w:color="auto" w:fill="ECECEC"/>
          </w:tcPr>
          <w:p w:rsidR="007A30ED" w:rsidRDefault="007A30ED" w:rsidP="00FA6027">
            <w:pPr>
              <w:pStyle w:val="Box"/>
              <w:spacing w:before="0" w:line="120" w:lineRule="exact"/>
            </w:pPr>
          </w:p>
        </w:tc>
        <w:tc>
          <w:tcPr>
            <w:tcW w:w="304" w:type="dxa"/>
            <w:tcBorders>
              <w:top w:val="nil"/>
              <w:left w:val="nil"/>
              <w:bottom w:val="nil"/>
              <w:right w:val="nil"/>
            </w:tcBorders>
            <w:shd w:val="clear" w:color="auto" w:fill="ECECEC"/>
            <w:tcMar>
              <w:left w:w="0" w:type="dxa"/>
            </w:tcMar>
          </w:tcPr>
          <w:p w:rsidR="007A30ED" w:rsidRPr="00094F7C" w:rsidRDefault="007A30ED" w:rsidP="00FA6027">
            <w:pPr>
              <w:pStyle w:val="Box"/>
              <w:spacing w:before="0" w:line="120" w:lineRule="exact"/>
              <w:rPr>
                <w:sz w:val="8"/>
                <w:szCs w:val="8"/>
              </w:rPr>
            </w:pPr>
          </w:p>
        </w:tc>
        <w:tc>
          <w:tcPr>
            <w:tcW w:w="7209" w:type="dxa"/>
            <w:vMerge/>
            <w:tcBorders>
              <w:left w:val="nil"/>
              <w:bottom w:val="nil"/>
              <w:right w:val="nil"/>
            </w:tcBorders>
            <w:shd w:val="clear" w:color="auto" w:fill="ECECEC"/>
          </w:tcPr>
          <w:p w:rsidR="007A30ED" w:rsidRDefault="007A30ED" w:rsidP="00FA6027">
            <w:pPr>
              <w:pStyle w:val="Box"/>
              <w:spacing w:before="0" w:line="120" w:lineRule="exact"/>
            </w:pPr>
          </w:p>
        </w:tc>
      </w:tr>
      <w:tr w:rsidR="007A30ED" w:rsidTr="00FA6027">
        <w:tc>
          <w:tcPr>
            <w:tcW w:w="304" w:type="dxa"/>
            <w:tcBorders>
              <w:top w:val="nil"/>
              <w:left w:val="nil"/>
              <w:bottom w:val="nil"/>
              <w:right w:val="nil"/>
            </w:tcBorders>
            <w:shd w:val="clear" w:color="auto" w:fill="ECECEC"/>
          </w:tcPr>
          <w:p w:rsidR="007A30ED" w:rsidRPr="00094F7C" w:rsidRDefault="007A30ED" w:rsidP="00FA6027">
            <w:pPr>
              <w:pStyle w:val="Box"/>
              <w:spacing w:before="0" w:line="120" w:lineRule="exact"/>
              <w:rPr>
                <w:sz w:val="8"/>
                <w:szCs w:val="8"/>
              </w:rPr>
            </w:pPr>
          </w:p>
        </w:tc>
        <w:tc>
          <w:tcPr>
            <w:tcW w:w="950" w:type="dxa"/>
            <w:tcBorders>
              <w:top w:val="nil"/>
              <w:left w:val="nil"/>
              <w:bottom w:val="nil"/>
              <w:right w:val="nil"/>
            </w:tcBorders>
            <w:shd w:val="clear" w:color="auto" w:fill="ECECEC"/>
          </w:tcPr>
          <w:p w:rsidR="007A30ED" w:rsidRDefault="007A30ED" w:rsidP="00FA6027">
            <w:pPr>
              <w:pStyle w:val="Box"/>
              <w:spacing w:before="0" w:line="120" w:lineRule="exact"/>
            </w:pPr>
          </w:p>
        </w:tc>
        <w:tc>
          <w:tcPr>
            <w:tcW w:w="304" w:type="dxa"/>
            <w:tcBorders>
              <w:top w:val="nil"/>
              <w:left w:val="nil"/>
              <w:bottom w:val="nil"/>
              <w:right w:val="nil"/>
            </w:tcBorders>
            <w:shd w:val="clear" w:color="auto" w:fill="ECECEC"/>
            <w:tcMar>
              <w:left w:w="0" w:type="dxa"/>
            </w:tcMar>
          </w:tcPr>
          <w:p w:rsidR="007A30ED" w:rsidRPr="00094F7C" w:rsidRDefault="007A30ED" w:rsidP="00FA6027">
            <w:pPr>
              <w:pStyle w:val="Box"/>
              <w:spacing w:before="0" w:line="120" w:lineRule="exact"/>
              <w:rPr>
                <w:sz w:val="8"/>
                <w:szCs w:val="8"/>
              </w:rPr>
            </w:pPr>
          </w:p>
        </w:tc>
        <w:tc>
          <w:tcPr>
            <w:tcW w:w="7209" w:type="dxa"/>
            <w:tcBorders>
              <w:top w:val="nil"/>
              <w:left w:val="nil"/>
              <w:bottom w:val="nil"/>
              <w:right w:val="nil"/>
            </w:tcBorders>
            <w:shd w:val="clear" w:color="auto" w:fill="ECECEC"/>
          </w:tcPr>
          <w:p w:rsidR="007A30ED" w:rsidRDefault="007A30ED" w:rsidP="00FA6027">
            <w:pPr>
              <w:pStyle w:val="Box"/>
              <w:spacing w:before="0" w:line="120" w:lineRule="exact"/>
            </w:pPr>
          </w:p>
        </w:tc>
      </w:tr>
    </w:tbl>
    <w:p w:rsidR="00800E6A" w:rsidRDefault="00800E6A" w:rsidP="007712FC">
      <w:pPr>
        <w:pStyle w:val="BodyText"/>
        <w:sectPr w:rsidR="00800E6A" w:rsidSect="00961692">
          <w:headerReference w:type="even" r:id="rId32"/>
          <w:headerReference w:type="default" r:id="rId33"/>
          <w:footerReference w:type="even" r:id="rId34"/>
          <w:footerReference w:type="default" r:id="rId35"/>
          <w:pgSz w:w="11907" w:h="16840" w:code="9"/>
          <w:pgMar w:top="1332" w:right="1304" w:bottom="1418" w:left="1814" w:header="1701" w:footer="567" w:gutter="0"/>
          <w:pgNumType w:fmt="lowerRoman"/>
          <w:cols w:space="720"/>
        </w:sectPr>
      </w:pPr>
      <w:bookmarkStart w:id="32" w:name="Glossary"/>
      <w:bookmarkEnd w:id="32"/>
    </w:p>
    <w:p w:rsidR="00800E6A" w:rsidRDefault="00800E6A" w:rsidP="00800E6A">
      <w:pPr>
        <w:pStyle w:val="Heading1"/>
      </w:pPr>
      <w:bookmarkStart w:id="33" w:name="_Toc341970580"/>
      <w:r>
        <w:lastRenderedPageBreak/>
        <w:t>Glossary</w:t>
      </w:r>
      <w:bookmarkEnd w:id="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84"/>
        <w:gridCol w:w="6634"/>
      </w:tblGrid>
      <w:tr w:rsidR="00800E6A" w:rsidTr="00B24039">
        <w:tc>
          <w:tcPr>
            <w:tcW w:w="2284" w:type="dxa"/>
          </w:tcPr>
          <w:p w:rsidR="00800E6A" w:rsidRPr="00F26B40" w:rsidRDefault="00800E6A" w:rsidP="00B24039">
            <w:pPr>
              <w:pStyle w:val="BodyText"/>
              <w:spacing w:before="200"/>
              <w:jc w:val="left"/>
              <w:rPr>
                <w:b/>
              </w:rPr>
            </w:pPr>
            <w:r w:rsidRPr="0070520C">
              <w:rPr>
                <w:b/>
              </w:rPr>
              <w:t>Agglomeration economies</w:t>
            </w:r>
          </w:p>
        </w:tc>
        <w:tc>
          <w:tcPr>
            <w:tcW w:w="6634" w:type="dxa"/>
          </w:tcPr>
          <w:p w:rsidR="00800E6A" w:rsidRDefault="00800E6A" w:rsidP="00B24039">
            <w:pPr>
              <w:pStyle w:val="BodyText"/>
              <w:keepLines/>
              <w:spacing w:before="200"/>
            </w:pPr>
            <w:r w:rsidRPr="0070520C">
              <w:t>A decrease in costs arising from the co-</w:t>
            </w:r>
            <w:r>
              <w:t>location of firms and/or people.</w:t>
            </w:r>
            <w:r w:rsidRPr="0070520C">
              <w:t xml:space="preserve"> </w:t>
            </w:r>
            <w:r>
              <w:t>F</w:t>
            </w:r>
            <w:r w:rsidRPr="0070520C">
              <w:t>or example both employers and labour benefit from markets with more potential employees and jobs. Cities form and grow to exploit economies of agglomeration.</w:t>
            </w:r>
          </w:p>
        </w:tc>
      </w:tr>
      <w:tr w:rsidR="000B099E" w:rsidTr="00B600C7">
        <w:tc>
          <w:tcPr>
            <w:tcW w:w="2284" w:type="dxa"/>
          </w:tcPr>
          <w:p w:rsidR="000B099E" w:rsidRPr="00F26B40" w:rsidRDefault="000B099E" w:rsidP="00B600C7">
            <w:pPr>
              <w:pStyle w:val="BodyText"/>
              <w:spacing w:before="200"/>
              <w:jc w:val="left"/>
              <w:rPr>
                <w:b/>
              </w:rPr>
            </w:pPr>
            <w:r w:rsidRPr="00F26B40">
              <w:rPr>
                <w:b/>
              </w:rPr>
              <w:t>Airline designation</w:t>
            </w:r>
          </w:p>
        </w:tc>
        <w:tc>
          <w:tcPr>
            <w:tcW w:w="6634" w:type="dxa"/>
          </w:tcPr>
          <w:p w:rsidR="000B099E" w:rsidRDefault="000B099E" w:rsidP="00B600C7">
            <w:pPr>
              <w:pStyle w:val="BodyText"/>
              <w:keepLines/>
              <w:spacing w:before="200"/>
            </w:pPr>
            <w:r>
              <w:t xml:space="preserve">An airline is designated under an air services agreement if it meets certain provisions intended to restrict the benefits of the agreement to the airlines of the signatory countries. </w:t>
            </w:r>
          </w:p>
        </w:tc>
      </w:tr>
      <w:tr w:rsidR="00800E6A" w:rsidTr="00B24039">
        <w:tc>
          <w:tcPr>
            <w:tcW w:w="2284" w:type="dxa"/>
          </w:tcPr>
          <w:p w:rsidR="00800E6A" w:rsidRPr="00F26B40" w:rsidRDefault="00800E6A" w:rsidP="00B24039">
            <w:pPr>
              <w:pStyle w:val="BodyText"/>
              <w:spacing w:before="200"/>
              <w:jc w:val="left"/>
              <w:rPr>
                <w:b/>
              </w:rPr>
            </w:pPr>
            <w:r w:rsidRPr="00F26B40">
              <w:rPr>
                <w:b/>
              </w:rPr>
              <w:t>Air service</w:t>
            </w:r>
            <w:r>
              <w:rPr>
                <w:b/>
              </w:rPr>
              <w:t>s</w:t>
            </w:r>
            <w:r w:rsidRPr="00F26B40">
              <w:rPr>
                <w:b/>
              </w:rPr>
              <w:t xml:space="preserve"> agreement</w:t>
            </w:r>
            <w:r>
              <w:rPr>
                <w:b/>
              </w:rPr>
              <w:t xml:space="preserve"> (ASA)</w:t>
            </w:r>
          </w:p>
        </w:tc>
        <w:tc>
          <w:tcPr>
            <w:tcW w:w="6634" w:type="dxa"/>
          </w:tcPr>
          <w:p w:rsidR="00800E6A" w:rsidRDefault="00800E6A" w:rsidP="00B24039">
            <w:pPr>
              <w:pStyle w:val="BodyText"/>
              <w:keepLines/>
              <w:spacing w:before="200"/>
            </w:pPr>
            <w:r>
              <w:t>A</w:t>
            </w:r>
            <w:r w:rsidRPr="00B774D2">
              <w:t xml:space="preserve">n agreement </w:t>
            </w:r>
            <w:r>
              <w:t>b</w:t>
            </w:r>
            <w:r w:rsidRPr="00B774D2">
              <w:t>etween governments regulating international air services</w:t>
            </w:r>
            <w:r>
              <w:t xml:space="preserve"> between their countries. The agreement sets out the terms and conditions under which airlines can fly.</w:t>
            </w:r>
          </w:p>
        </w:tc>
      </w:tr>
      <w:tr w:rsidR="00800E6A" w:rsidTr="00B24039">
        <w:tc>
          <w:tcPr>
            <w:tcW w:w="2284" w:type="dxa"/>
          </w:tcPr>
          <w:p w:rsidR="00800E6A" w:rsidRPr="002E5B12" w:rsidRDefault="00800E6A" w:rsidP="00B24039">
            <w:pPr>
              <w:pStyle w:val="BodyText"/>
              <w:spacing w:before="200"/>
              <w:jc w:val="left"/>
              <w:rPr>
                <w:b/>
              </w:rPr>
            </w:pPr>
            <w:proofErr w:type="spellStart"/>
            <w:r w:rsidRPr="002E5B12">
              <w:rPr>
                <w:b/>
              </w:rPr>
              <w:t>Allocative</w:t>
            </w:r>
            <w:proofErr w:type="spellEnd"/>
            <w:r w:rsidRPr="002E5B12">
              <w:rPr>
                <w:b/>
              </w:rPr>
              <w:t xml:space="preserve"> efficiency</w:t>
            </w:r>
          </w:p>
        </w:tc>
        <w:tc>
          <w:tcPr>
            <w:tcW w:w="6634" w:type="dxa"/>
          </w:tcPr>
          <w:p w:rsidR="00800E6A" w:rsidRPr="002E5B12" w:rsidRDefault="00800E6A" w:rsidP="00B24039">
            <w:pPr>
              <w:pStyle w:val="BodyText"/>
              <w:keepLines/>
              <w:spacing w:before="200"/>
            </w:pPr>
            <w:r w:rsidRPr="002E5B12">
              <w:t>How well resources are allocated across different uses so as to generate the greatest community wellbeing at a given point in time.</w:t>
            </w:r>
          </w:p>
        </w:tc>
      </w:tr>
      <w:tr w:rsidR="00800E6A" w:rsidTr="00B24039">
        <w:tc>
          <w:tcPr>
            <w:tcW w:w="2284" w:type="dxa"/>
          </w:tcPr>
          <w:p w:rsidR="00800E6A" w:rsidRPr="0070520C" w:rsidRDefault="00800E6A" w:rsidP="00B24039">
            <w:pPr>
              <w:pStyle w:val="BodyText"/>
              <w:spacing w:before="200"/>
              <w:jc w:val="left"/>
              <w:rPr>
                <w:b/>
              </w:rPr>
            </w:pPr>
            <w:r>
              <w:rPr>
                <w:b/>
              </w:rPr>
              <w:t>Anti-dumping system</w:t>
            </w:r>
          </w:p>
        </w:tc>
        <w:tc>
          <w:tcPr>
            <w:tcW w:w="6634" w:type="dxa"/>
          </w:tcPr>
          <w:p w:rsidR="00800E6A" w:rsidRPr="0070520C" w:rsidRDefault="00800E6A" w:rsidP="00B24039">
            <w:pPr>
              <w:pStyle w:val="BodyText"/>
              <w:keepLines/>
              <w:spacing w:before="200"/>
            </w:pPr>
            <w:r>
              <w:t xml:space="preserve">An anti-dumping system seeks to counter the effects of ‘dumped’ or subsidised imports on competing domestic industries. Dumping occurs when an overseas supplier exports goods to a country at a price below the normal value of the goods in the supplier’s home market. </w:t>
            </w:r>
          </w:p>
        </w:tc>
      </w:tr>
      <w:tr w:rsidR="00800E6A" w:rsidTr="00B24039">
        <w:tc>
          <w:tcPr>
            <w:tcW w:w="2284" w:type="dxa"/>
          </w:tcPr>
          <w:p w:rsidR="00800E6A" w:rsidRPr="00F26B40" w:rsidRDefault="00800E6A" w:rsidP="00B24039">
            <w:pPr>
              <w:pStyle w:val="BodyText"/>
              <w:spacing w:before="200"/>
              <w:jc w:val="left"/>
              <w:rPr>
                <w:b/>
              </w:rPr>
            </w:pPr>
            <w:r>
              <w:rPr>
                <w:b/>
              </w:rPr>
              <w:t>At the border barriers</w:t>
            </w:r>
          </w:p>
        </w:tc>
        <w:tc>
          <w:tcPr>
            <w:tcW w:w="6634" w:type="dxa"/>
          </w:tcPr>
          <w:p w:rsidR="00800E6A" w:rsidRDefault="00800E6A" w:rsidP="00B24039">
            <w:pPr>
              <w:pStyle w:val="BodyText"/>
              <w:keepLines/>
              <w:spacing w:before="200"/>
            </w:pPr>
            <w:r>
              <w:t>Measures that create transaction costs at the border. These commonly include tariffs, customs duties, biosecurity measures, and taxes and other levies on goods.</w:t>
            </w:r>
          </w:p>
        </w:tc>
      </w:tr>
      <w:tr w:rsidR="00800E6A" w:rsidTr="00B24039">
        <w:tc>
          <w:tcPr>
            <w:tcW w:w="2284" w:type="dxa"/>
          </w:tcPr>
          <w:p w:rsidR="00800E6A" w:rsidRPr="00F26B40" w:rsidRDefault="00800E6A" w:rsidP="00B24039">
            <w:pPr>
              <w:pStyle w:val="BodyText"/>
              <w:spacing w:before="200"/>
              <w:jc w:val="left"/>
              <w:rPr>
                <w:b/>
              </w:rPr>
            </w:pPr>
            <w:r>
              <w:rPr>
                <w:b/>
              </w:rPr>
              <w:t>Australia New Zealand Economic Analysis (</w:t>
            </w:r>
            <w:proofErr w:type="spellStart"/>
            <w:r>
              <w:rPr>
                <w:b/>
              </w:rPr>
              <w:t>ANZEA</w:t>
            </w:r>
            <w:proofErr w:type="spellEnd"/>
            <w:r>
              <w:rPr>
                <w:b/>
              </w:rPr>
              <w:t>) model</w:t>
            </w:r>
          </w:p>
        </w:tc>
        <w:tc>
          <w:tcPr>
            <w:tcW w:w="6634" w:type="dxa"/>
          </w:tcPr>
          <w:p w:rsidR="00800E6A" w:rsidRDefault="00800E6A" w:rsidP="00B24039">
            <w:pPr>
              <w:pStyle w:val="BodyText"/>
              <w:keepLines/>
              <w:spacing w:before="200"/>
            </w:pPr>
            <w:r>
              <w:t xml:space="preserve">A global general equilibrium model derived from the </w:t>
            </w:r>
            <w:proofErr w:type="spellStart"/>
            <w:r>
              <w:t>GTAP</w:t>
            </w:r>
            <w:proofErr w:type="spellEnd"/>
            <w:r>
              <w:t xml:space="preserve"> model (see below) and database. It is simpler than the </w:t>
            </w:r>
            <w:proofErr w:type="spellStart"/>
            <w:r>
              <w:t>GTAP</w:t>
            </w:r>
            <w:proofErr w:type="spellEnd"/>
            <w:r>
              <w:t xml:space="preserve"> model, and is used to illustrate the economic implications (such as changes in prices, output and economic welfare) of integration.</w:t>
            </w:r>
          </w:p>
        </w:tc>
      </w:tr>
      <w:tr w:rsidR="00800E6A" w:rsidTr="00B24039">
        <w:tc>
          <w:tcPr>
            <w:tcW w:w="2284" w:type="dxa"/>
          </w:tcPr>
          <w:p w:rsidR="00800E6A" w:rsidRPr="00F26B40" w:rsidRDefault="00800E6A" w:rsidP="00E81409">
            <w:pPr>
              <w:pStyle w:val="BodyText"/>
              <w:keepNext/>
              <w:spacing w:before="200"/>
              <w:jc w:val="left"/>
              <w:rPr>
                <w:b/>
              </w:rPr>
            </w:pPr>
            <w:r w:rsidRPr="00F26B40">
              <w:rPr>
                <w:b/>
              </w:rPr>
              <w:lastRenderedPageBreak/>
              <w:t>Behind</w:t>
            </w:r>
            <w:r>
              <w:rPr>
                <w:b/>
              </w:rPr>
              <w:t xml:space="preserve"> </w:t>
            </w:r>
            <w:r w:rsidRPr="00F26B40">
              <w:rPr>
                <w:b/>
              </w:rPr>
              <w:t>the</w:t>
            </w:r>
            <w:r>
              <w:rPr>
                <w:b/>
              </w:rPr>
              <w:t xml:space="preserve"> </w:t>
            </w:r>
            <w:r w:rsidRPr="00F26B40">
              <w:rPr>
                <w:b/>
              </w:rPr>
              <w:t xml:space="preserve">border </w:t>
            </w:r>
            <w:r>
              <w:rPr>
                <w:b/>
              </w:rPr>
              <w:t>barriers</w:t>
            </w:r>
          </w:p>
        </w:tc>
        <w:tc>
          <w:tcPr>
            <w:tcW w:w="6634" w:type="dxa"/>
          </w:tcPr>
          <w:p w:rsidR="00800E6A" w:rsidRDefault="00800E6A" w:rsidP="00E81409">
            <w:pPr>
              <w:pStyle w:val="BodyText"/>
              <w:keepNext/>
              <w:keepLines/>
              <w:spacing w:before="200"/>
            </w:pPr>
            <w:r>
              <w:t xml:space="preserve">Barriers to trade that </w:t>
            </w:r>
            <w:r w:rsidRPr="00D056A8">
              <w:t xml:space="preserve">operate inside </w:t>
            </w:r>
            <w:r>
              <w:t>a country, including: costs of complying with domestic regulation such as</w:t>
            </w:r>
            <w:r w:rsidRPr="00D056A8">
              <w:t xml:space="preserve"> labelling requirements</w:t>
            </w:r>
            <w:r>
              <w:t>; or restrictions on foreign companies’ operations and investment.</w:t>
            </w:r>
          </w:p>
        </w:tc>
      </w:tr>
      <w:tr w:rsidR="00800E6A" w:rsidTr="00B24039">
        <w:tc>
          <w:tcPr>
            <w:tcW w:w="2284" w:type="dxa"/>
          </w:tcPr>
          <w:p w:rsidR="00800E6A" w:rsidRDefault="00800E6A" w:rsidP="00E81409">
            <w:pPr>
              <w:pStyle w:val="BodyText"/>
              <w:keepNext/>
              <w:spacing w:before="200"/>
              <w:jc w:val="left"/>
              <w:rPr>
                <w:b/>
              </w:rPr>
            </w:pPr>
            <w:r>
              <w:rPr>
                <w:b/>
              </w:rPr>
              <w:t>Benchmarking</w:t>
            </w:r>
          </w:p>
        </w:tc>
        <w:tc>
          <w:tcPr>
            <w:tcW w:w="6634" w:type="dxa"/>
          </w:tcPr>
          <w:p w:rsidR="00800E6A" w:rsidRDefault="00800E6A" w:rsidP="00E81409">
            <w:pPr>
              <w:pStyle w:val="BodyText"/>
              <w:keepNext/>
              <w:keepLines/>
              <w:spacing w:before="200"/>
            </w:pPr>
            <w:r>
              <w:t xml:space="preserve">Identification and analysis of policies and processes that are leading practice in order for jurisdictions or organisations to learn from one another. </w:t>
            </w:r>
          </w:p>
        </w:tc>
      </w:tr>
      <w:tr w:rsidR="00800E6A" w:rsidTr="00B24039">
        <w:trPr>
          <w:cantSplit/>
        </w:trPr>
        <w:tc>
          <w:tcPr>
            <w:tcW w:w="2284" w:type="dxa"/>
          </w:tcPr>
          <w:p w:rsidR="00800E6A" w:rsidRDefault="00800E6A" w:rsidP="00B24039">
            <w:pPr>
              <w:pStyle w:val="BodyText"/>
              <w:spacing w:before="200"/>
              <w:jc w:val="left"/>
              <w:rPr>
                <w:b/>
              </w:rPr>
            </w:pPr>
            <w:r>
              <w:rPr>
                <w:b/>
              </w:rPr>
              <w:t>Between the border barriers</w:t>
            </w:r>
          </w:p>
        </w:tc>
        <w:tc>
          <w:tcPr>
            <w:tcW w:w="6634" w:type="dxa"/>
          </w:tcPr>
          <w:p w:rsidR="00800E6A" w:rsidRDefault="00800E6A" w:rsidP="00B24039">
            <w:pPr>
              <w:pStyle w:val="BodyText"/>
              <w:keepLines/>
              <w:spacing w:before="200"/>
            </w:pPr>
            <w:r>
              <w:t>Barriers that increase the transaction costs involved in moving a good or service between two countries. These barriers relate mostly to transport costs and may include regulations that protect shipping or air services from competition.</w:t>
            </w:r>
          </w:p>
        </w:tc>
      </w:tr>
      <w:tr w:rsidR="00800E6A" w:rsidTr="00B24039">
        <w:tc>
          <w:tcPr>
            <w:tcW w:w="2284" w:type="dxa"/>
          </w:tcPr>
          <w:p w:rsidR="00800E6A" w:rsidRDefault="00800E6A" w:rsidP="00B24039">
            <w:pPr>
              <w:pStyle w:val="BodyText"/>
              <w:spacing w:before="200"/>
              <w:jc w:val="left"/>
              <w:rPr>
                <w:b/>
              </w:rPr>
            </w:pPr>
            <w:proofErr w:type="spellStart"/>
            <w:r>
              <w:rPr>
                <w:b/>
              </w:rPr>
              <w:t>Cabotage</w:t>
            </w:r>
            <w:proofErr w:type="spellEnd"/>
          </w:p>
        </w:tc>
        <w:tc>
          <w:tcPr>
            <w:tcW w:w="6634" w:type="dxa"/>
          </w:tcPr>
          <w:p w:rsidR="00800E6A" w:rsidRDefault="00800E6A" w:rsidP="00B24039">
            <w:pPr>
              <w:pStyle w:val="BodyText"/>
              <w:keepLines/>
              <w:spacing w:before="200"/>
            </w:pPr>
            <w:r>
              <w:t xml:space="preserve">In the context of air services and shipping, </w:t>
            </w:r>
            <w:proofErr w:type="spellStart"/>
            <w:r>
              <w:t>cabotage</w:t>
            </w:r>
            <w:proofErr w:type="spellEnd"/>
            <w:r>
              <w:t xml:space="preserve"> refers to the reservation of a country’s domestic trade — that is trade directly between domestic ports — for </w:t>
            </w:r>
            <w:r w:rsidRPr="003D4BB9">
              <w:t>operators from that country.</w:t>
            </w:r>
          </w:p>
        </w:tc>
      </w:tr>
      <w:tr w:rsidR="00800E6A" w:rsidTr="00B24039">
        <w:tc>
          <w:tcPr>
            <w:tcW w:w="2284" w:type="dxa"/>
          </w:tcPr>
          <w:p w:rsidR="00800E6A" w:rsidRPr="002E5B12" w:rsidRDefault="00800E6A" w:rsidP="00B24039">
            <w:pPr>
              <w:pStyle w:val="BodyText"/>
              <w:spacing w:before="200"/>
              <w:jc w:val="left"/>
              <w:rPr>
                <w:b/>
              </w:rPr>
            </w:pPr>
            <w:r w:rsidRPr="002E5B12">
              <w:rPr>
                <w:b/>
              </w:rPr>
              <w:t>Dynamic efficiency</w:t>
            </w:r>
          </w:p>
        </w:tc>
        <w:tc>
          <w:tcPr>
            <w:tcW w:w="6634" w:type="dxa"/>
          </w:tcPr>
          <w:p w:rsidR="00800E6A" w:rsidRPr="002E5B12" w:rsidRDefault="00800E6A" w:rsidP="00B24039">
            <w:pPr>
              <w:pStyle w:val="BodyText"/>
              <w:keepLines/>
              <w:spacing w:before="200"/>
            </w:pPr>
            <w:r w:rsidRPr="002E5B12">
              <w:t>How well resources are allocated to achieve the greatest possible community wellbeing over time.</w:t>
            </w:r>
          </w:p>
        </w:tc>
      </w:tr>
      <w:tr w:rsidR="00800E6A" w:rsidTr="00B24039">
        <w:tc>
          <w:tcPr>
            <w:tcW w:w="2284" w:type="dxa"/>
          </w:tcPr>
          <w:p w:rsidR="00800E6A" w:rsidRDefault="00800E6A" w:rsidP="00B24039">
            <w:pPr>
              <w:pStyle w:val="BodyText"/>
              <w:spacing w:before="200"/>
              <w:jc w:val="left"/>
              <w:rPr>
                <w:b/>
              </w:rPr>
            </w:pPr>
            <w:r>
              <w:rPr>
                <w:b/>
              </w:rPr>
              <w:t>Economies of scale</w:t>
            </w:r>
          </w:p>
        </w:tc>
        <w:tc>
          <w:tcPr>
            <w:tcW w:w="6634" w:type="dxa"/>
          </w:tcPr>
          <w:p w:rsidR="00800E6A" w:rsidRDefault="00800E6A" w:rsidP="00B24039">
            <w:pPr>
              <w:pStyle w:val="BodyText"/>
              <w:keepLines/>
              <w:spacing w:before="200"/>
            </w:pPr>
            <w:r>
              <w:t>A decrease in the cost of production per unit of output as the volume of production increases.</w:t>
            </w:r>
          </w:p>
        </w:tc>
      </w:tr>
      <w:tr w:rsidR="00800E6A" w:rsidTr="00B24039">
        <w:tc>
          <w:tcPr>
            <w:tcW w:w="2284" w:type="dxa"/>
          </w:tcPr>
          <w:p w:rsidR="00800E6A" w:rsidRPr="00F26B40" w:rsidRDefault="00800E6A" w:rsidP="00B24039">
            <w:pPr>
              <w:pStyle w:val="BodyText"/>
              <w:spacing w:before="200"/>
              <w:jc w:val="left"/>
              <w:rPr>
                <w:b/>
              </w:rPr>
            </w:pPr>
            <w:r>
              <w:rPr>
                <w:b/>
              </w:rPr>
              <w:t>Franked dividend</w:t>
            </w:r>
          </w:p>
        </w:tc>
        <w:tc>
          <w:tcPr>
            <w:tcW w:w="6634" w:type="dxa"/>
          </w:tcPr>
          <w:p w:rsidR="00800E6A" w:rsidRDefault="00800E6A" w:rsidP="00B24039">
            <w:pPr>
              <w:pStyle w:val="BodyText"/>
              <w:keepLines/>
              <w:spacing w:before="200"/>
            </w:pPr>
            <w:r>
              <w:t>Payments by a company to shareholders on which the company has already paid tax. These payments carry imputation (also known as franking) credits.</w:t>
            </w:r>
          </w:p>
        </w:tc>
      </w:tr>
      <w:tr w:rsidR="00800E6A" w:rsidTr="00B24039">
        <w:tc>
          <w:tcPr>
            <w:tcW w:w="2284" w:type="dxa"/>
          </w:tcPr>
          <w:p w:rsidR="00800E6A" w:rsidRDefault="00800E6A" w:rsidP="00B24039">
            <w:pPr>
              <w:pStyle w:val="BodyText"/>
              <w:spacing w:before="200"/>
              <w:jc w:val="left"/>
              <w:rPr>
                <w:b/>
              </w:rPr>
            </w:pPr>
            <w:r>
              <w:rPr>
                <w:b/>
              </w:rPr>
              <w:t>Freedoms of the air</w:t>
            </w:r>
          </w:p>
        </w:tc>
        <w:tc>
          <w:tcPr>
            <w:tcW w:w="6634" w:type="dxa"/>
          </w:tcPr>
          <w:p w:rsidR="00800E6A" w:rsidRDefault="00800E6A" w:rsidP="00B24039">
            <w:pPr>
              <w:pStyle w:val="BodyText"/>
              <w:keepLines/>
              <w:spacing w:before="200"/>
            </w:pPr>
            <w:r>
              <w:t>The basis of rights exchanged in air services negotiations, allowing designated airlines to fly to, from, beyond and between bilateral partners and other countries.</w:t>
            </w:r>
          </w:p>
        </w:tc>
      </w:tr>
      <w:tr w:rsidR="00800E6A" w:rsidTr="00B24039">
        <w:tc>
          <w:tcPr>
            <w:tcW w:w="2284" w:type="dxa"/>
          </w:tcPr>
          <w:p w:rsidR="00800E6A" w:rsidRDefault="00800E6A" w:rsidP="00B24039">
            <w:pPr>
              <w:pStyle w:val="BodyText"/>
              <w:spacing w:before="200"/>
              <w:jc w:val="left"/>
              <w:rPr>
                <w:b/>
              </w:rPr>
            </w:pPr>
            <w:r>
              <w:rPr>
                <w:b/>
              </w:rPr>
              <w:t>Global Trade Analysis Project (</w:t>
            </w:r>
            <w:proofErr w:type="spellStart"/>
            <w:r>
              <w:rPr>
                <w:b/>
              </w:rPr>
              <w:t>GTAP</w:t>
            </w:r>
            <w:proofErr w:type="spellEnd"/>
            <w:r>
              <w:rPr>
                <w:b/>
              </w:rPr>
              <w:t>) model</w:t>
            </w:r>
          </w:p>
        </w:tc>
        <w:tc>
          <w:tcPr>
            <w:tcW w:w="6634" w:type="dxa"/>
          </w:tcPr>
          <w:p w:rsidR="00800E6A" w:rsidRDefault="00800E6A" w:rsidP="00B24039">
            <w:pPr>
              <w:pStyle w:val="BodyText"/>
              <w:keepLines/>
              <w:spacing w:before="200"/>
            </w:pPr>
            <w:r>
              <w:t xml:space="preserve">A global computable general equilibrium model based on assumptions of perfect competition and constant returns to scale. The model can be used to analyse the economic effects of policy changes. </w:t>
            </w:r>
          </w:p>
        </w:tc>
      </w:tr>
      <w:tr w:rsidR="00800E6A" w:rsidTr="00B24039">
        <w:tc>
          <w:tcPr>
            <w:tcW w:w="2284" w:type="dxa"/>
          </w:tcPr>
          <w:p w:rsidR="00800E6A" w:rsidRPr="00F26B40" w:rsidRDefault="00800E6A" w:rsidP="00B24039">
            <w:pPr>
              <w:pStyle w:val="BodyText"/>
              <w:spacing w:before="200"/>
              <w:jc w:val="left"/>
              <w:rPr>
                <w:b/>
              </w:rPr>
            </w:pPr>
            <w:r>
              <w:rPr>
                <w:b/>
              </w:rPr>
              <w:t>Imputation credit</w:t>
            </w:r>
          </w:p>
        </w:tc>
        <w:tc>
          <w:tcPr>
            <w:tcW w:w="6634" w:type="dxa"/>
          </w:tcPr>
          <w:p w:rsidR="00800E6A" w:rsidRDefault="00800E6A" w:rsidP="00B24039">
            <w:pPr>
              <w:pStyle w:val="BodyText"/>
              <w:keepLines/>
              <w:spacing w:before="200"/>
            </w:pPr>
            <w:r>
              <w:t>A credit received by shareholders for the tax that has already been paid on their dividends by the issuing company. Also known as franking credits.</w:t>
            </w:r>
          </w:p>
        </w:tc>
      </w:tr>
      <w:tr w:rsidR="00800E6A" w:rsidTr="00B24039">
        <w:tc>
          <w:tcPr>
            <w:tcW w:w="2284" w:type="dxa"/>
          </w:tcPr>
          <w:p w:rsidR="00800E6A" w:rsidRDefault="00800E6A" w:rsidP="00E81409">
            <w:pPr>
              <w:pStyle w:val="BodyText"/>
              <w:keepNext/>
              <w:spacing w:before="200"/>
              <w:jc w:val="left"/>
              <w:rPr>
                <w:b/>
              </w:rPr>
            </w:pPr>
            <w:r>
              <w:rPr>
                <w:b/>
              </w:rPr>
              <w:lastRenderedPageBreak/>
              <w:t>Liner shipping</w:t>
            </w:r>
          </w:p>
        </w:tc>
        <w:tc>
          <w:tcPr>
            <w:tcW w:w="6634" w:type="dxa"/>
          </w:tcPr>
          <w:p w:rsidR="00800E6A" w:rsidRDefault="00800E6A" w:rsidP="00E81409">
            <w:pPr>
              <w:pStyle w:val="BodyText"/>
              <w:keepNext/>
              <w:keepLines/>
              <w:spacing w:before="200"/>
            </w:pPr>
            <w:r>
              <w:t xml:space="preserve">A shipping service that provides carriage for general cargo, in regularly scheduled services, between specified ports. Liners typically transport goods in modular containers. </w:t>
            </w:r>
          </w:p>
        </w:tc>
      </w:tr>
      <w:tr w:rsidR="00800E6A" w:rsidTr="00B24039">
        <w:trPr>
          <w:cantSplit/>
        </w:trPr>
        <w:tc>
          <w:tcPr>
            <w:tcW w:w="2284" w:type="dxa"/>
          </w:tcPr>
          <w:p w:rsidR="00800E6A" w:rsidRDefault="00800E6A" w:rsidP="00E81409">
            <w:pPr>
              <w:pStyle w:val="BodyText"/>
              <w:keepNext/>
              <w:spacing w:before="200"/>
              <w:jc w:val="left"/>
              <w:rPr>
                <w:b/>
              </w:rPr>
            </w:pPr>
            <w:r w:rsidRPr="00EA4E33">
              <w:rPr>
                <w:b/>
              </w:rPr>
              <w:t>Māori</w:t>
            </w:r>
            <w:r>
              <w:rPr>
                <w:b/>
              </w:rPr>
              <w:t xml:space="preserve"> terms</w:t>
            </w:r>
          </w:p>
        </w:tc>
        <w:tc>
          <w:tcPr>
            <w:tcW w:w="6634" w:type="dxa"/>
          </w:tcPr>
          <w:p w:rsidR="00800E6A" w:rsidRDefault="00800E6A" w:rsidP="00E81409">
            <w:pPr>
              <w:pStyle w:val="BodyText"/>
              <w:keepNext/>
              <w:keepLines/>
              <w:spacing w:before="200"/>
            </w:pPr>
            <w:proofErr w:type="spellStart"/>
            <w:r w:rsidRPr="00652FE0">
              <w:rPr>
                <w:i/>
              </w:rPr>
              <w:t>Hapū</w:t>
            </w:r>
            <w:proofErr w:type="spellEnd"/>
            <w:r>
              <w:t>:</w:t>
            </w:r>
            <w:r w:rsidRPr="00935FFC">
              <w:t xml:space="preserve"> kinship group, clan, tribe, </w:t>
            </w:r>
            <w:r>
              <w:t xml:space="preserve">or </w:t>
            </w:r>
            <w:proofErr w:type="spellStart"/>
            <w:r w:rsidRPr="00935FFC">
              <w:t>subtribe</w:t>
            </w:r>
            <w:proofErr w:type="spellEnd"/>
            <w:r>
              <w:t xml:space="preserve"> (</w:t>
            </w:r>
            <w:r w:rsidRPr="00935FFC">
              <w:t>section of a large kinship group</w:t>
            </w:r>
            <w:r>
              <w:t>).</w:t>
            </w:r>
            <w:r w:rsidRPr="00935FFC">
              <w:t xml:space="preserve"> </w:t>
            </w:r>
          </w:p>
          <w:p w:rsidR="00800E6A" w:rsidRDefault="00800E6A" w:rsidP="00E81409">
            <w:pPr>
              <w:pStyle w:val="BodyText"/>
              <w:keepNext/>
              <w:keepLines/>
              <w:spacing w:before="200"/>
            </w:pPr>
            <w:r w:rsidRPr="00935FFC">
              <w:rPr>
                <w:i/>
              </w:rPr>
              <w:t>Mana</w:t>
            </w:r>
            <w:r>
              <w:t xml:space="preserve">: </w:t>
            </w:r>
            <w:r w:rsidRPr="00935FFC">
              <w:t xml:space="preserve">prestige, authority, control, power, influence, status, spiritual power, charisma; </w:t>
            </w:r>
            <w:r>
              <w:t xml:space="preserve">as well as </w:t>
            </w:r>
            <w:r w:rsidRPr="00935FFC">
              <w:t xml:space="preserve">jurisdiction, mandate, </w:t>
            </w:r>
            <w:r>
              <w:t>or freedom.</w:t>
            </w:r>
          </w:p>
          <w:p w:rsidR="00800E6A" w:rsidRDefault="00800E6A" w:rsidP="00E81409">
            <w:pPr>
              <w:pStyle w:val="BodyText"/>
              <w:keepNext/>
              <w:keepLines/>
              <w:spacing w:before="200"/>
            </w:pPr>
            <w:r>
              <w:rPr>
                <w:i/>
              </w:rPr>
              <w:t>M</w:t>
            </w:r>
            <w:r w:rsidRPr="00935FFC">
              <w:rPr>
                <w:i/>
              </w:rPr>
              <w:t>arae</w:t>
            </w:r>
            <w:r w:rsidRPr="00935FFC">
              <w:t xml:space="preserve">: </w:t>
            </w:r>
            <w:r>
              <w:t xml:space="preserve">courtyard – the open area in front of the </w:t>
            </w:r>
            <w:proofErr w:type="spellStart"/>
            <w:r w:rsidRPr="00935FFC">
              <w:rPr>
                <w:i/>
              </w:rPr>
              <w:t>wharenui</w:t>
            </w:r>
            <w:proofErr w:type="spellEnd"/>
            <w:r w:rsidRPr="00935FFC">
              <w:t xml:space="preserve"> (meeting house) where formal </w:t>
            </w:r>
            <w:r>
              <w:t xml:space="preserve">greetings and discussions take place. Often also used to include the complex of buildings around the </w:t>
            </w:r>
            <w:r w:rsidRPr="00652FE0">
              <w:rPr>
                <w:i/>
              </w:rPr>
              <w:t>marae</w:t>
            </w:r>
            <w:r>
              <w:t xml:space="preserve">. </w:t>
            </w:r>
          </w:p>
          <w:p w:rsidR="00800E6A" w:rsidRDefault="00800E6A" w:rsidP="00E81409">
            <w:pPr>
              <w:pStyle w:val="BodyText"/>
              <w:keepNext/>
              <w:keepLines/>
              <w:spacing w:before="200"/>
            </w:pPr>
            <w:proofErr w:type="spellStart"/>
            <w:r>
              <w:rPr>
                <w:i/>
              </w:rPr>
              <w:t>T</w:t>
            </w:r>
            <w:r w:rsidRPr="00935FFC">
              <w:rPr>
                <w:i/>
              </w:rPr>
              <w:t>ino</w:t>
            </w:r>
            <w:proofErr w:type="spellEnd"/>
            <w:r w:rsidRPr="00935FFC">
              <w:rPr>
                <w:i/>
              </w:rPr>
              <w:t xml:space="preserve"> </w:t>
            </w:r>
            <w:proofErr w:type="spellStart"/>
            <w:r w:rsidRPr="00935FFC">
              <w:rPr>
                <w:i/>
              </w:rPr>
              <w:t>rangatiratanga</w:t>
            </w:r>
            <w:proofErr w:type="spellEnd"/>
            <w:r w:rsidRPr="00935FFC">
              <w:t>: self-determination</w:t>
            </w:r>
            <w:r>
              <w:t>.</w:t>
            </w:r>
            <w:r w:rsidRPr="00935FFC">
              <w:t xml:space="preserve"> </w:t>
            </w:r>
          </w:p>
          <w:p w:rsidR="00800E6A" w:rsidRDefault="00800E6A" w:rsidP="00E81409">
            <w:pPr>
              <w:pStyle w:val="BodyText"/>
              <w:keepNext/>
              <w:keepLines/>
              <w:spacing w:before="200"/>
            </w:pPr>
            <w:r>
              <w:rPr>
                <w:i/>
              </w:rPr>
              <w:t>T</w:t>
            </w:r>
            <w:r w:rsidRPr="00935FFC">
              <w:rPr>
                <w:i/>
              </w:rPr>
              <w:t>ohunga</w:t>
            </w:r>
            <w:r w:rsidRPr="00935FFC">
              <w:t xml:space="preserve">: </w:t>
            </w:r>
            <w:r>
              <w:t xml:space="preserve">a </w:t>
            </w:r>
            <w:r w:rsidRPr="00935FFC">
              <w:t>skilled person, chosen expert</w:t>
            </w:r>
            <w:r>
              <w:t xml:space="preserve"> or</w:t>
            </w:r>
            <w:r w:rsidRPr="00935FFC">
              <w:t xml:space="preserve"> priest</w:t>
            </w:r>
            <w:r>
              <w:t>. A</w:t>
            </w:r>
            <w:r w:rsidRPr="00935FFC">
              <w:t xml:space="preserve"> person chosen </w:t>
            </w:r>
            <w:r>
              <w:t>a</w:t>
            </w:r>
            <w:r w:rsidRPr="00935FFC">
              <w:t>s a leader in a particular fie</w:t>
            </w:r>
            <w:r>
              <w:t>ld.</w:t>
            </w:r>
          </w:p>
          <w:p w:rsidR="00800E6A" w:rsidRDefault="00800E6A" w:rsidP="00E81409">
            <w:pPr>
              <w:pStyle w:val="BodyText"/>
              <w:keepNext/>
              <w:keepLines/>
              <w:spacing w:before="200"/>
            </w:pPr>
            <w:proofErr w:type="spellStart"/>
            <w:r w:rsidRPr="00652FE0">
              <w:rPr>
                <w:i/>
              </w:rPr>
              <w:t>Whānau</w:t>
            </w:r>
            <w:proofErr w:type="spellEnd"/>
            <w:r w:rsidRPr="00935FFC">
              <w:t>: extended family</w:t>
            </w:r>
            <w:r>
              <w:t xml:space="preserve"> or family group.</w:t>
            </w:r>
          </w:p>
        </w:tc>
      </w:tr>
      <w:tr w:rsidR="00800E6A" w:rsidTr="00B24039">
        <w:tc>
          <w:tcPr>
            <w:tcW w:w="2284" w:type="dxa"/>
          </w:tcPr>
          <w:p w:rsidR="00800E6A" w:rsidRPr="00F26B40" w:rsidRDefault="00800E6A" w:rsidP="00B24039">
            <w:pPr>
              <w:pStyle w:val="BodyText"/>
              <w:spacing w:before="200"/>
              <w:jc w:val="left"/>
              <w:rPr>
                <w:b/>
              </w:rPr>
            </w:pPr>
            <w:r w:rsidRPr="00A934FD">
              <w:rPr>
                <w:b/>
              </w:rPr>
              <w:t>Most</w:t>
            </w:r>
            <w:r>
              <w:rPr>
                <w:b/>
              </w:rPr>
              <w:t xml:space="preserve"> favoured </w:t>
            </w:r>
            <w:r w:rsidRPr="00A934FD">
              <w:rPr>
                <w:b/>
              </w:rPr>
              <w:t>nation</w:t>
            </w:r>
            <w:r>
              <w:t xml:space="preserve"> </w:t>
            </w:r>
            <w:r w:rsidRPr="0021360B">
              <w:rPr>
                <w:b/>
              </w:rPr>
              <w:t>(MFN) status</w:t>
            </w:r>
          </w:p>
        </w:tc>
        <w:tc>
          <w:tcPr>
            <w:tcW w:w="6634" w:type="dxa"/>
          </w:tcPr>
          <w:p w:rsidR="00800E6A" w:rsidRDefault="00800E6A" w:rsidP="00B24039">
            <w:pPr>
              <w:pStyle w:val="BodyText"/>
              <w:keepLines/>
              <w:spacing w:before="200"/>
            </w:pPr>
            <w:r>
              <w:t xml:space="preserve">Allows the </w:t>
            </w:r>
            <w:r w:rsidRPr="00A934FD">
              <w:t xml:space="preserve">recipient </w:t>
            </w:r>
            <w:r>
              <w:t xml:space="preserve">country to </w:t>
            </w:r>
            <w:r w:rsidRPr="00A934FD">
              <w:t>receive trade advantages</w:t>
            </w:r>
            <w:r>
              <w:t xml:space="preserve"> no less than those received by the ‘most favoured’ trading partner. This ensures that no country receives preferential treatment. </w:t>
            </w:r>
          </w:p>
        </w:tc>
      </w:tr>
      <w:tr w:rsidR="00800E6A" w:rsidTr="00B24039">
        <w:tc>
          <w:tcPr>
            <w:tcW w:w="2284" w:type="dxa"/>
          </w:tcPr>
          <w:p w:rsidR="00800E6A" w:rsidRPr="00F26B40" w:rsidRDefault="00800E6A" w:rsidP="00B24039">
            <w:pPr>
              <w:pStyle w:val="BodyText"/>
              <w:spacing w:before="200"/>
              <w:jc w:val="left"/>
              <w:rPr>
                <w:b/>
              </w:rPr>
            </w:pPr>
            <w:r w:rsidRPr="00F26B40">
              <w:rPr>
                <w:b/>
              </w:rPr>
              <w:t xml:space="preserve">Mutual recognition </w:t>
            </w:r>
          </w:p>
        </w:tc>
        <w:tc>
          <w:tcPr>
            <w:tcW w:w="6634" w:type="dxa"/>
          </w:tcPr>
          <w:p w:rsidR="00800E6A" w:rsidRDefault="00800E6A" w:rsidP="00B24039">
            <w:pPr>
              <w:pStyle w:val="BodyText"/>
              <w:keepLines/>
              <w:spacing w:before="200"/>
            </w:pPr>
            <w:r>
              <w:t xml:space="preserve">Recognising compliance with another jurisdiction’s laws or regulations. For example, under mutual recognition, if a product meets sale requirements in one jurisdiction it can be sold in the other jurisdiction without needing to meet that jurisdiction’s regulatory requirements. </w:t>
            </w:r>
          </w:p>
        </w:tc>
      </w:tr>
      <w:tr w:rsidR="00800E6A" w:rsidTr="00B24039">
        <w:tc>
          <w:tcPr>
            <w:tcW w:w="2284" w:type="dxa"/>
          </w:tcPr>
          <w:p w:rsidR="00800E6A" w:rsidRPr="00F26B40" w:rsidRDefault="00800E6A" w:rsidP="00B24039">
            <w:pPr>
              <w:pStyle w:val="BodyText"/>
              <w:spacing w:before="200"/>
              <w:jc w:val="left"/>
              <w:rPr>
                <w:b/>
              </w:rPr>
            </w:pPr>
            <w:r w:rsidRPr="00394AA9">
              <w:rPr>
                <w:b/>
              </w:rPr>
              <w:t>National treatment</w:t>
            </w:r>
          </w:p>
        </w:tc>
        <w:tc>
          <w:tcPr>
            <w:tcW w:w="6634" w:type="dxa"/>
          </w:tcPr>
          <w:p w:rsidR="00800E6A" w:rsidRDefault="00800E6A" w:rsidP="00B24039">
            <w:pPr>
              <w:pStyle w:val="BodyText"/>
              <w:keepLines/>
              <w:spacing w:before="200"/>
            </w:pPr>
            <w:r>
              <w:t xml:space="preserve">Foreign goods, services and factors are granted the same treatment under government provisions as those of domestic goods, services and factors. Departures from national treatment discriminate against foreign suppliers. </w:t>
            </w:r>
          </w:p>
        </w:tc>
      </w:tr>
      <w:tr w:rsidR="00800E6A" w:rsidTr="00B24039">
        <w:tc>
          <w:tcPr>
            <w:tcW w:w="2284" w:type="dxa"/>
          </w:tcPr>
          <w:p w:rsidR="00800E6A" w:rsidRPr="00F26B40" w:rsidRDefault="00800E6A" w:rsidP="00B24039">
            <w:pPr>
              <w:pStyle w:val="BodyText"/>
              <w:spacing w:before="200"/>
              <w:jc w:val="left"/>
              <w:rPr>
                <w:b/>
              </w:rPr>
            </w:pPr>
            <w:r w:rsidRPr="00F26B40">
              <w:rPr>
                <w:b/>
              </w:rPr>
              <w:t>Occupational licensing</w:t>
            </w:r>
          </w:p>
        </w:tc>
        <w:tc>
          <w:tcPr>
            <w:tcW w:w="6634" w:type="dxa"/>
          </w:tcPr>
          <w:p w:rsidR="00800E6A" w:rsidRDefault="00800E6A" w:rsidP="00B24039">
            <w:pPr>
              <w:pStyle w:val="BodyText"/>
              <w:keepLines/>
              <w:spacing w:before="200"/>
            </w:pPr>
            <w:r>
              <w:t xml:space="preserve">A system which controls entry and standards of practice within a particular occupation to those that meet a set of requirements or guidelines. </w:t>
            </w:r>
          </w:p>
        </w:tc>
      </w:tr>
      <w:tr w:rsidR="00800E6A" w:rsidTr="00B240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284" w:type="dxa"/>
            <w:tcBorders>
              <w:top w:val="nil"/>
              <w:left w:val="nil"/>
              <w:bottom w:val="nil"/>
              <w:right w:val="nil"/>
            </w:tcBorders>
          </w:tcPr>
          <w:p w:rsidR="00800E6A" w:rsidRPr="00F26B40" w:rsidRDefault="00800E6A" w:rsidP="00E81409">
            <w:pPr>
              <w:pStyle w:val="BodyText"/>
              <w:keepNext/>
              <w:spacing w:before="200"/>
              <w:jc w:val="left"/>
              <w:rPr>
                <w:b/>
              </w:rPr>
            </w:pPr>
            <w:r>
              <w:rPr>
                <w:b/>
              </w:rPr>
              <w:lastRenderedPageBreak/>
              <w:t>Preferential trade agreement (PTA)</w:t>
            </w:r>
          </w:p>
        </w:tc>
        <w:tc>
          <w:tcPr>
            <w:tcW w:w="6634" w:type="dxa"/>
            <w:tcBorders>
              <w:top w:val="nil"/>
              <w:left w:val="nil"/>
              <w:bottom w:val="nil"/>
              <w:right w:val="nil"/>
            </w:tcBorders>
          </w:tcPr>
          <w:p w:rsidR="00800E6A" w:rsidRPr="00FA7146" w:rsidRDefault="00800E6A" w:rsidP="00E81409">
            <w:pPr>
              <w:pStyle w:val="BodyText"/>
              <w:keepNext/>
              <w:keepLines/>
              <w:spacing w:before="200"/>
            </w:pPr>
            <w:r>
              <w:t>An</w:t>
            </w:r>
            <w:r w:rsidRPr="00FA7146">
              <w:t xml:space="preserve"> agreement to lower (not necessarily eliminate) tariffs and other barriers to trade among the countries party to the agreement. PTAs usually include clauses that affect trade in goods and services, as well as investment.</w:t>
            </w:r>
          </w:p>
        </w:tc>
      </w:tr>
      <w:tr w:rsidR="00800E6A" w:rsidTr="00B24039">
        <w:trPr>
          <w:cantSplit/>
        </w:trPr>
        <w:tc>
          <w:tcPr>
            <w:tcW w:w="2284" w:type="dxa"/>
          </w:tcPr>
          <w:p w:rsidR="00800E6A" w:rsidRPr="00F26B40" w:rsidRDefault="00800E6A" w:rsidP="00E81409">
            <w:pPr>
              <w:pStyle w:val="BodyText"/>
              <w:keepNext/>
              <w:spacing w:before="200"/>
              <w:jc w:val="left"/>
              <w:rPr>
                <w:b/>
              </w:rPr>
            </w:pPr>
            <w:r w:rsidRPr="00F26B40">
              <w:rPr>
                <w:b/>
              </w:rPr>
              <w:t>Prudential regulation</w:t>
            </w:r>
          </w:p>
        </w:tc>
        <w:tc>
          <w:tcPr>
            <w:tcW w:w="6634" w:type="dxa"/>
          </w:tcPr>
          <w:p w:rsidR="00800E6A" w:rsidRDefault="00800E6A" w:rsidP="00E81409">
            <w:pPr>
              <w:pStyle w:val="BodyText"/>
              <w:keepNext/>
              <w:keepLines/>
              <w:spacing w:before="200"/>
            </w:pPr>
            <w:r>
              <w:t>Regulation on the operations of deposit-taking institutions such as banks, superannuation funds and other financial organisations, including insurance. Prudential regulations are designed to manage risks in the financial system, including ensuring the safety of depositor funds and the stability of the financial system.</w:t>
            </w:r>
          </w:p>
        </w:tc>
      </w:tr>
      <w:tr w:rsidR="00800E6A" w:rsidTr="00B24039">
        <w:tc>
          <w:tcPr>
            <w:tcW w:w="2284" w:type="dxa"/>
          </w:tcPr>
          <w:p w:rsidR="00800E6A" w:rsidRDefault="00800E6A" w:rsidP="00B24039">
            <w:pPr>
              <w:pStyle w:val="BodyText"/>
              <w:spacing w:before="200"/>
              <w:jc w:val="left"/>
              <w:rPr>
                <w:b/>
              </w:rPr>
            </w:pPr>
            <w:r>
              <w:rPr>
                <w:b/>
              </w:rPr>
              <w:t>Quantitative restrictions</w:t>
            </w:r>
          </w:p>
        </w:tc>
        <w:tc>
          <w:tcPr>
            <w:tcW w:w="6634" w:type="dxa"/>
          </w:tcPr>
          <w:p w:rsidR="00800E6A" w:rsidRDefault="00800E6A" w:rsidP="00B24039">
            <w:pPr>
              <w:pStyle w:val="BodyText"/>
              <w:keepLines/>
              <w:spacing w:before="200"/>
            </w:pPr>
            <w:r>
              <w:t>Limits on the physical amounts of particular commodities that can be imported by a country.</w:t>
            </w:r>
          </w:p>
        </w:tc>
      </w:tr>
      <w:tr w:rsidR="00800E6A" w:rsidTr="00B24039">
        <w:tc>
          <w:tcPr>
            <w:tcW w:w="2284" w:type="dxa"/>
          </w:tcPr>
          <w:p w:rsidR="00800E6A" w:rsidRPr="00F26B40" w:rsidRDefault="00800E6A" w:rsidP="00B24039">
            <w:pPr>
              <w:pStyle w:val="BodyText"/>
              <w:spacing w:before="200"/>
              <w:jc w:val="left"/>
              <w:rPr>
                <w:b/>
              </w:rPr>
            </w:pPr>
            <w:r w:rsidRPr="00F26B40">
              <w:rPr>
                <w:b/>
              </w:rPr>
              <w:t>Ratemaking agreements</w:t>
            </w:r>
          </w:p>
        </w:tc>
        <w:tc>
          <w:tcPr>
            <w:tcW w:w="6634" w:type="dxa"/>
          </w:tcPr>
          <w:p w:rsidR="00800E6A" w:rsidRDefault="00800E6A" w:rsidP="00B24039">
            <w:pPr>
              <w:pStyle w:val="BodyText"/>
              <w:keepLines/>
              <w:spacing w:before="200"/>
            </w:pPr>
            <w:r w:rsidRPr="001B0B7E">
              <w:t>International liner shipping agreements that include agreement to set or manage freight rates on a route and/or to limit capacity in order to raise rates above what they would be in the absence of the agreement.</w:t>
            </w:r>
          </w:p>
        </w:tc>
      </w:tr>
      <w:tr w:rsidR="00800E6A" w:rsidTr="00B24039">
        <w:tc>
          <w:tcPr>
            <w:tcW w:w="2284" w:type="dxa"/>
          </w:tcPr>
          <w:p w:rsidR="00800E6A" w:rsidRPr="00F26B40" w:rsidRDefault="00800E6A" w:rsidP="00B24039">
            <w:pPr>
              <w:pStyle w:val="BodyText"/>
              <w:spacing w:before="200"/>
              <w:jc w:val="left"/>
              <w:rPr>
                <w:b/>
              </w:rPr>
            </w:pPr>
            <w:r w:rsidRPr="00F26B40">
              <w:rPr>
                <w:b/>
              </w:rPr>
              <w:t>Regulatory harmonisation</w:t>
            </w:r>
          </w:p>
        </w:tc>
        <w:tc>
          <w:tcPr>
            <w:tcW w:w="6634" w:type="dxa"/>
          </w:tcPr>
          <w:p w:rsidR="00800E6A" w:rsidRDefault="00800E6A" w:rsidP="00B24039">
            <w:pPr>
              <w:pStyle w:val="BodyText"/>
              <w:keepLines/>
              <w:spacing w:before="200"/>
            </w:pPr>
            <w:r>
              <w:t>Alignment of differing regulations across jurisdictions. Regulatory harmonisation does not necessarily mean regulations are identical in each jurisdiction, but that they are consistent or compatible to the extent they do not result in barriers to trade, investment or labour mobility. Harmonisation is a more integrated method of regulatory coordination than mutual recognition, which recognises compliance across jurisdictions.</w:t>
            </w:r>
          </w:p>
        </w:tc>
      </w:tr>
      <w:tr w:rsidR="00800E6A" w:rsidTr="00B24039">
        <w:tc>
          <w:tcPr>
            <w:tcW w:w="2284" w:type="dxa"/>
          </w:tcPr>
          <w:p w:rsidR="00800E6A" w:rsidRPr="00F26B40" w:rsidRDefault="00800E6A" w:rsidP="00B24039">
            <w:pPr>
              <w:pStyle w:val="BodyText"/>
              <w:spacing w:before="200"/>
              <w:jc w:val="left"/>
              <w:rPr>
                <w:b/>
              </w:rPr>
            </w:pPr>
            <w:r>
              <w:rPr>
                <w:b/>
              </w:rPr>
              <w:t>Rules of Origin (</w:t>
            </w:r>
            <w:proofErr w:type="spellStart"/>
            <w:r>
              <w:rPr>
                <w:b/>
              </w:rPr>
              <w:t>RoO</w:t>
            </w:r>
            <w:proofErr w:type="spellEnd"/>
            <w:r>
              <w:rPr>
                <w:b/>
              </w:rPr>
              <w:t>)</w:t>
            </w:r>
          </w:p>
        </w:tc>
        <w:tc>
          <w:tcPr>
            <w:tcW w:w="6634" w:type="dxa"/>
          </w:tcPr>
          <w:p w:rsidR="00800E6A" w:rsidRDefault="00800E6A" w:rsidP="00B24039">
            <w:pPr>
              <w:pStyle w:val="BodyText"/>
              <w:keepLines/>
              <w:spacing w:before="200"/>
            </w:pPr>
            <w:r>
              <w:t xml:space="preserve">Rules of Origin are used to define where a product was made and determine whether it qualifies for preferential treatment in the context of a PTA. </w:t>
            </w:r>
          </w:p>
        </w:tc>
      </w:tr>
      <w:tr w:rsidR="00800E6A" w:rsidTr="00B24039">
        <w:tc>
          <w:tcPr>
            <w:tcW w:w="2284" w:type="dxa"/>
          </w:tcPr>
          <w:p w:rsidR="00800E6A" w:rsidRPr="00F26B40" w:rsidRDefault="00800E6A" w:rsidP="00B24039">
            <w:pPr>
              <w:pStyle w:val="BodyText"/>
              <w:spacing w:before="200"/>
              <w:jc w:val="left"/>
              <w:rPr>
                <w:b/>
              </w:rPr>
            </w:pPr>
            <w:r>
              <w:rPr>
                <w:b/>
              </w:rPr>
              <w:t>Sensitive land</w:t>
            </w:r>
          </w:p>
        </w:tc>
        <w:tc>
          <w:tcPr>
            <w:tcW w:w="6634" w:type="dxa"/>
          </w:tcPr>
          <w:p w:rsidR="00800E6A" w:rsidRPr="009C6E6E" w:rsidRDefault="00800E6A" w:rsidP="00B24039">
            <w:pPr>
              <w:pStyle w:val="BodyText"/>
              <w:keepLines/>
              <w:spacing w:before="200"/>
            </w:pPr>
            <w:r>
              <w:t>La</w:t>
            </w:r>
            <w:r w:rsidRPr="009C6E6E">
              <w:t>nd of a particular type, such as farm land, that exceeds a particular area threshold, as detailed in New Zealand</w:t>
            </w:r>
            <w:r>
              <w:t>’</w:t>
            </w:r>
            <w:r w:rsidRPr="009C6E6E">
              <w:t xml:space="preserve">s </w:t>
            </w:r>
            <w:r w:rsidRPr="009C6E6E">
              <w:rPr>
                <w:i/>
              </w:rPr>
              <w:t>Overseas Investment Act 2005</w:t>
            </w:r>
            <w:r>
              <w:t>.</w:t>
            </w:r>
          </w:p>
        </w:tc>
      </w:tr>
      <w:tr w:rsidR="00800E6A" w:rsidTr="00B24039">
        <w:tc>
          <w:tcPr>
            <w:tcW w:w="2284" w:type="dxa"/>
          </w:tcPr>
          <w:p w:rsidR="00800E6A" w:rsidRPr="00F26B40" w:rsidRDefault="00800E6A" w:rsidP="00B24039">
            <w:pPr>
              <w:pStyle w:val="BodyText"/>
              <w:spacing w:before="200"/>
              <w:jc w:val="left"/>
              <w:rPr>
                <w:b/>
              </w:rPr>
            </w:pPr>
            <w:r w:rsidRPr="00F26B40">
              <w:rPr>
                <w:b/>
              </w:rPr>
              <w:t xml:space="preserve">Seventh </w:t>
            </w:r>
            <w:r>
              <w:rPr>
                <w:b/>
              </w:rPr>
              <w:t>f</w:t>
            </w:r>
            <w:r w:rsidRPr="00F26B40">
              <w:rPr>
                <w:b/>
              </w:rPr>
              <w:t>reedom rights</w:t>
            </w:r>
          </w:p>
        </w:tc>
        <w:tc>
          <w:tcPr>
            <w:tcW w:w="6634" w:type="dxa"/>
          </w:tcPr>
          <w:p w:rsidR="00800E6A" w:rsidRDefault="00800E6A" w:rsidP="00B24039">
            <w:pPr>
              <w:pStyle w:val="BodyText"/>
              <w:keepLines/>
              <w:spacing w:before="200"/>
            </w:pPr>
            <w:r>
              <w:t>The right given to a designated airline to carry freight and passengers between two countries by an airline of a third country on a route with no connection in its home country.</w:t>
            </w:r>
          </w:p>
        </w:tc>
      </w:tr>
      <w:tr w:rsidR="00800E6A" w:rsidTr="00B24039">
        <w:tc>
          <w:tcPr>
            <w:tcW w:w="2284" w:type="dxa"/>
          </w:tcPr>
          <w:p w:rsidR="00800E6A" w:rsidRDefault="00800E6A" w:rsidP="00B24039">
            <w:pPr>
              <w:pStyle w:val="BodyText"/>
              <w:spacing w:before="200"/>
              <w:jc w:val="left"/>
              <w:rPr>
                <w:b/>
              </w:rPr>
            </w:pPr>
            <w:r>
              <w:rPr>
                <w:b/>
              </w:rPr>
              <w:t>Structural adjustment</w:t>
            </w:r>
          </w:p>
        </w:tc>
        <w:tc>
          <w:tcPr>
            <w:tcW w:w="6634" w:type="dxa"/>
          </w:tcPr>
          <w:p w:rsidR="00800E6A" w:rsidRDefault="00800E6A" w:rsidP="00D83338">
            <w:pPr>
              <w:pStyle w:val="BodyText"/>
              <w:keepLines/>
              <w:spacing w:before="200"/>
            </w:pPr>
            <w:r>
              <w:t>Compositional shifts in the economy, such as changes in the relative size of industries, characteristics of the workforce and in the size and mix of activities within regions.</w:t>
            </w:r>
          </w:p>
        </w:tc>
      </w:tr>
      <w:tr w:rsidR="00800E6A" w:rsidTr="00B24039">
        <w:tc>
          <w:tcPr>
            <w:tcW w:w="2284" w:type="dxa"/>
          </w:tcPr>
          <w:p w:rsidR="00800E6A" w:rsidRPr="00F26B40" w:rsidRDefault="00800E6A" w:rsidP="00B24039">
            <w:pPr>
              <w:pStyle w:val="BodyText"/>
              <w:spacing w:before="200"/>
              <w:jc w:val="left"/>
              <w:rPr>
                <w:b/>
              </w:rPr>
            </w:pPr>
            <w:r>
              <w:rPr>
                <w:b/>
              </w:rPr>
              <w:lastRenderedPageBreak/>
              <w:t>Trade creation</w:t>
            </w:r>
          </w:p>
        </w:tc>
        <w:tc>
          <w:tcPr>
            <w:tcW w:w="6634" w:type="dxa"/>
          </w:tcPr>
          <w:p w:rsidR="00800E6A" w:rsidRDefault="00800E6A" w:rsidP="00B24039">
            <w:pPr>
              <w:pStyle w:val="BodyText"/>
              <w:keepLines/>
              <w:spacing w:before="200"/>
            </w:pPr>
            <w:r>
              <w:t xml:space="preserve">A trade increase between partners in a PTA as a result of a preferential lowering of trade barriers. </w:t>
            </w:r>
          </w:p>
        </w:tc>
      </w:tr>
      <w:tr w:rsidR="00800E6A" w:rsidTr="00B24039">
        <w:tc>
          <w:tcPr>
            <w:tcW w:w="2284" w:type="dxa"/>
          </w:tcPr>
          <w:p w:rsidR="00800E6A" w:rsidRPr="00F26B40" w:rsidRDefault="00800E6A" w:rsidP="00E81409">
            <w:pPr>
              <w:pStyle w:val="BodyText"/>
              <w:keepNext/>
              <w:keepLines/>
              <w:spacing w:before="200"/>
              <w:jc w:val="left"/>
              <w:rPr>
                <w:b/>
              </w:rPr>
            </w:pPr>
            <w:r w:rsidRPr="00F26B40">
              <w:rPr>
                <w:b/>
              </w:rPr>
              <w:t>Trade diversion</w:t>
            </w:r>
          </w:p>
        </w:tc>
        <w:tc>
          <w:tcPr>
            <w:tcW w:w="6634" w:type="dxa"/>
          </w:tcPr>
          <w:p w:rsidR="00800E6A" w:rsidRDefault="00800E6A" w:rsidP="00E81409">
            <w:pPr>
              <w:pStyle w:val="BodyText"/>
              <w:keepNext/>
              <w:keepLines/>
              <w:spacing w:before="200"/>
            </w:pPr>
            <w:r>
              <w:t xml:space="preserve">A decrease in imports between a PTA partner and third countries. This occurs when a tariff preference induces a PTA country to shift imports from a low cost third country supplier to a higher cost supplier from its PTA partner. </w:t>
            </w:r>
          </w:p>
        </w:tc>
      </w:tr>
      <w:tr w:rsidR="00800E6A" w:rsidTr="00B24039">
        <w:tc>
          <w:tcPr>
            <w:tcW w:w="2284" w:type="dxa"/>
          </w:tcPr>
          <w:p w:rsidR="00800E6A" w:rsidRPr="00F26B40" w:rsidRDefault="00800E6A" w:rsidP="00B24039">
            <w:pPr>
              <w:pStyle w:val="BodyText"/>
              <w:spacing w:before="200"/>
              <w:jc w:val="left"/>
              <w:rPr>
                <w:b/>
              </w:rPr>
            </w:pPr>
            <w:r w:rsidRPr="00F26B40">
              <w:rPr>
                <w:b/>
              </w:rPr>
              <w:t>Transaction costs</w:t>
            </w:r>
          </w:p>
        </w:tc>
        <w:tc>
          <w:tcPr>
            <w:tcW w:w="6634" w:type="dxa"/>
          </w:tcPr>
          <w:p w:rsidR="00800E6A" w:rsidRDefault="00800E6A" w:rsidP="00B24039">
            <w:pPr>
              <w:pStyle w:val="BodyText"/>
              <w:keepLines/>
              <w:spacing w:before="200"/>
            </w:pPr>
            <w:r>
              <w:t>The costs involved in exchange, such as transport costs, taxes, costs of regulatory compliance, and administrative costs.</w:t>
            </w:r>
          </w:p>
        </w:tc>
      </w:tr>
    </w:tbl>
    <w:p w:rsidR="003477EA" w:rsidRPr="0084245A" w:rsidRDefault="003477EA" w:rsidP="0084245A">
      <w:pPr>
        <w:pStyle w:val="BodyText"/>
        <w:rPr>
          <w:rStyle w:val="CommentReference"/>
          <w:b w:val="0"/>
          <w:vanish w:val="0"/>
          <w:color w:val="1C1C1C"/>
          <w:sz w:val="24"/>
        </w:rPr>
      </w:pPr>
    </w:p>
    <w:sectPr w:rsidR="003477EA" w:rsidRPr="0084245A" w:rsidSect="00961692">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2E" w:rsidRDefault="0017002E">
      <w:r>
        <w:separator/>
      </w:r>
    </w:p>
    <w:p w:rsidR="0017002E" w:rsidRDefault="0017002E"/>
    <w:p w:rsidR="0017002E" w:rsidRDefault="0017002E"/>
  </w:endnote>
  <w:endnote w:type="continuationSeparator" w:id="0">
    <w:p w:rsidR="0017002E" w:rsidRDefault="0017002E">
      <w:r>
        <w:continuationSeparator/>
      </w:r>
    </w:p>
    <w:p w:rsidR="0017002E" w:rsidRDefault="0017002E"/>
    <w:p w:rsidR="0017002E" w:rsidRDefault="00170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2E" w:rsidRDefault="0017002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8" w:type="dxa"/>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17002E" w:rsidRPr="00135D87" w:rsidTr="00961692">
      <w:trPr>
        <w:trHeight w:hRule="exact" w:val="740"/>
      </w:trPr>
      <w:tc>
        <w:tcPr>
          <w:tcW w:w="510" w:type="dxa"/>
        </w:tcPr>
        <w:p w:rsidR="0017002E" w:rsidRPr="00135D87" w:rsidRDefault="0017002E" w:rsidP="00961692">
          <w:pPr>
            <w:pStyle w:val="Footer"/>
            <w:tabs>
              <w:tab w:val="left" w:pos="0"/>
            </w:tabs>
            <w:ind w:right="0"/>
            <w:rPr>
              <w:rStyle w:val="PageNumber"/>
              <w:rFonts w:cs="Arial"/>
            </w:rPr>
          </w:pPr>
          <w:r w:rsidRPr="00961692">
            <w:rPr>
              <w:rStyle w:val="PageNumber"/>
              <w:caps w:val="0"/>
              <w:noProof/>
            </w:rPr>
            <w:fldChar w:fldCharType="begin"/>
          </w:r>
          <w:r w:rsidRPr="00961692">
            <w:rPr>
              <w:rStyle w:val="PageNumber"/>
              <w:caps w:val="0"/>
              <w:noProof/>
            </w:rPr>
            <w:instrText xml:space="preserve"> PAGE   \* MERGEFORMAT </w:instrText>
          </w:r>
          <w:r w:rsidRPr="00961692">
            <w:rPr>
              <w:rStyle w:val="PageNumber"/>
              <w:caps w:val="0"/>
              <w:noProof/>
            </w:rPr>
            <w:fldChar w:fldCharType="separate"/>
          </w:r>
          <w:r w:rsidR="00AC6B02">
            <w:rPr>
              <w:rStyle w:val="PageNumber"/>
              <w:caps w:val="0"/>
              <w:noProof/>
            </w:rPr>
            <w:t>xvi</w:t>
          </w:r>
          <w:r w:rsidRPr="00961692">
            <w:rPr>
              <w:rStyle w:val="PageNumber"/>
              <w:caps w:val="0"/>
              <w:noProof/>
            </w:rPr>
            <w:fldChar w:fldCharType="end"/>
          </w:r>
        </w:p>
      </w:tc>
      <w:tc>
        <w:tcPr>
          <w:tcW w:w="8278" w:type="dxa"/>
        </w:tcPr>
        <w:p w:rsidR="0017002E" w:rsidRPr="00135D87" w:rsidRDefault="0017002E" w:rsidP="00EF30BF">
          <w:pPr>
            <w:pStyle w:val="Footer"/>
            <w:rPr>
              <w:rFonts w:cs="Arial"/>
            </w:rPr>
          </w:pPr>
          <w:r w:rsidRPr="00961692">
            <w:rPr>
              <w:caps w:val="0"/>
              <w:noProof/>
            </w:rPr>
            <w:fldChar w:fldCharType="begin"/>
          </w:r>
          <w:r w:rsidRPr="00961692">
            <w:rPr>
              <w:caps w:val="0"/>
              <w:noProof/>
            </w:rPr>
            <w:instrText xml:space="preserve"> STYLEREF "Heading 1" \* MERGEFORMAT </w:instrText>
          </w:r>
          <w:r w:rsidRPr="00961692">
            <w:rPr>
              <w:caps w:val="0"/>
              <w:noProof/>
            </w:rPr>
            <w:fldChar w:fldCharType="separate"/>
          </w:r>
          <w:r w:rsidR="00AC6B02">
            <w:rPr>
              <w:caps w:val="0"/>
              <w:noProof/>
            </w:rPr>
            <w:t>Glossary</w:t>
          </w:r>
          <w:r w:rsidRPr="00961692">
            <w:rPr>
              <w:caps w:val="0"/>
              <w:noProof/>
            </w:rPr>
            <w:fldChar w:fldCharType="end"/>
          </w:r>
        </w:p>
      </w:tc>
    </w:tr>
  </w:tbl>
  <w:p w:rsidR="0017002E" w:rsidRDefault="0017002E">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17002E" w:rsidRPr="00135D87" w:rsidTr="00FA6027">
      <w:trPr>
        <w:trHeight w:hRule="exact" w:val="740"/>
      </w:trPr>
      <w:tc>
        <w:tcPr>
          <w:tcW w:w="8278" w:type="dxa"/>
        </w:tcPr>
        <w:p w:rsidR="0017002E" w:rsidRPr="005B2079" w:rsidRDefault="0017002E" w:rsidP="005B2079">
          <w:pPr>
            <w:pStyle w:val="Footer"/>
            <w:jc w:val="right"/>
            <w:rPr>
              <w:rFonts w:cs="Arial"/>
            </w:rPr>
          </w:pPr>
          <w:r w:rsidRPr="005B2079">
            <w:rPr>
              <w:caps w:val="0"/>
              <w:noProof/>
            </w:rPr>
            <w:fldChar w:fldCharType="begin"/>
          </w:r>
          <w:r w:rsidRPr="005B2079">
            <w:rPr>
              <w:caps w:val="0"/>
              <w:noProof/>
            </w:rPr>
            <w:instrText xml:space="preserve"> STYLEREF "Heading 1" \* MERGEFORMAT </w:instrText>
          </w:r>
          <w:r w:rsidRPr="005B2079">
            <w:rPr>
              <w:caps w:val="0"/>
              <w:noProof/>
            </w:rPr>
            <w:fldChar w:fldCharType="separate"/>
          </w:r>
          <w:r w:rsidR="00AC6B02" w:rsidRPr="00AC6B02">
            <w:rPr>
              <w:bCs/>
              <w:caps w:val="0"/>
              <w:noProof/>
              <w:lang w:val="en-US"/>
            </w:rPr>
            <w:t>Glossary</w:t>
          </w:r>
          <w:r w:rsidRPr="005B2079">
            <w:rPr>
              <w:caps w:val="0"/>
              <w:noProof/>
            </w:rPr>
            <w:fldChar w:fldCharType="end"/>
          </w:r>
        </w:p>
      </w:tc>
      <w:tc>
        <w:tcPr>
          <w:tcW w:w="510" w:type="dxa"/>
        </w:tcPr>
        <w:p w:rsidR="0017002E" w:rsidRPr="00961692" w:rsidRDefault="0017002E" w:rsidP="00FA6027">
          <w:pPr>
            <w:pStyle w:val="Footer"/>
            <w:jc w:val="right"/>
            <w:rPr>
              <w:rFonts w:cs="Arial"/>
              <w:caps w:val="0"/>
            </w:rPr>
          </w:pPr>
          <w:r w:rsidRPr="00961692">
            <w:rPr>
              <w:rStyle w:val="PageNumber"/>
              <w:rFonts w:cs="Arial"/>
              <w:caps w:val="0"/>
            </w:rPr>
            <w:fldChar w:fldCharType="begin"/>
          </w:r>
          <w:r w:rsidRPr="00961692">
            <w:rPr>
              <w:rStyle w:val="PageNumber"/>
              <w:rFonts w:cs="Arial"/>
              <w:caps w:val="0"/>
            </w:rPr>
            <w:instrText xml:space="preserve">PAGE  </w:instrText>
          </w:r>
          <w:r w:rsidRPr="00961692">
            <w:rPr>
              <w:rStyle w:val="PageNumber"/>
              <w:rFonts w:cs="Arial"/>
              <w:caps w:val="0"/>
            </w:rPr>
            <w:fldChar w:fldCharType="separate"/>
          </w:r>
          <w:r w:rsidR="00AC6B02">
            <w:rPr>
              <w:rStyle w:val="PageNumber"/>
              <w:rFonts w:cs="Arial"/>
              <w:caps w:val="0"/>
              <w:noProof/>
            </w:rPr>
            <w:t>xv</w:t>
          </w:r>
          <w:r w:rsidRPr="00961692">
            <w:rPr>
              <w:rStyle w:val="PageNumber"/>
              <w:rFonts w:cs="Arial"/>
              <w:caps w:val="0"/>
            </w:rPr>
            <w:fldChar w:fldCharType="end"/>
          </w:r>
        </w:p>
      </w:tc>
    </w:tr>
  </w:tbl>
  <w:p w:rsidR="0017002E" w:rsidRDefault="0017002E"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2E" w:rsidRDefault="001700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2E" w:rsidRDefault="001700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8" w:type="dxa"/>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17002E" w:rsidRPr="00135D87" w:rsidTr="00FA6027">
      <w:trPr>
        <w:trHeight w:hRule="exact" w:val="740"/>
      </w:trPr>
      <w:tc>
        <w:tcPr>
          <w:tcW w:w="510" w:type="dxa"/>
        </w:tcPr>
        <w:p w:rsidR="0017002E" w:rsidRPr="00135D87" w:rsidRDefault="0017002E" w:rsidP="00FA6027">
          <w:pPr>
            <w:pStyle w:val="Footer"/>
            <w:tabs>
              <w:tab w:val="left" w:pos="0"/>
            </w:tabs>
            <w:ind w:right="0"/>
            <w:rPr>
              <w:rStyle w:val="PageNumber"/>
              <w:rFonts w:cs="Arial"/>
            </w:rPr>
          </w:pPr>
          <w:r w:rsidRPr="00961692">
            <w:rPr>
              <w:rStyle w:val="PageNumber"/>
              <w:caps w:val="0"/>
              <w:noProof/>
            </w:rPr>
            <w:fldChar w:fldCharType="begin"/>
          </w:r>
          <w:r w:rsidRPr="00961692">
            <w:rPr>
              <w:rStyle w:val="PageNumber"/>
              <w:caps w:val="0"/>
              <w:noProof/>
            </w:rPr>
            <w:instrText xml:space="preserve"> PAGE   \* MERGEFORMAT </w:instrText>
          </w:r>
          <w:r w:rsidRPr="00961692">
            <w:rPr>
              <w:rStyle w:val="PageNumber"/>
              <w:caps w:val="0"/>
              <w:noProof/>
            </w:rPr>
            <w:fldChar w:fldCharType="separate"/>
          </w:r>
          <w:r>
            <w:rPr>
              <w:rStyle w:val="PageNumber"/>
              <w:caps w:val="0"/>
              <w:noProof/>
            </w:rPr>
            <w:t>iv</w:t>
          </w:r>
          <w:r w:rsidRPr="00961692">
            <w:rPr>
              <w:rStyle w:val="PageNumber"/>
              <w:caps w:val="0"/>
              <w:noProof/>
            </w:rPr>
            <w:fldChar w:fldCharType="end"/>
          </w:r>
        </w:p>
      </w:tc>
      <w:tc>
        <w:tcPr>
          <w:tcW w:w="8278" w:type="dxa"/>
        </w:tcPr>
        <w:p w:rsidR="0017002E" w:rsidRPr="00135D87" w:rsidRDefault="0017002E" w:rsidP="00FA6027">
          <w:pPr>
            <w:pStyle w:val="Footer"/>
            <w:rPr>
              <w:rFonts w:cs="Arial"/>
            </w:rPr>
          </w:pPr>
          <w:r w:rsidRPr="00961692">
            <w:rPr>
              <w:caps w:val="0"/>
              <w:noProof/>
            </w:rPr>
            <w:fldChar w:fldCharType="begin"/>
          </w:r>
          <w:r w:rsidRPr="00961692">
            <w:rPr>
              <w:caps w:val="0"/>
              <w:noProof/>
            </w:rPr>
            <w:instrText xml:space="preserve"> STYLEREF "Heading 1" \* MERGEFORMAT </w:instrText>
          </w:r>
          <w:r w:rsidRPr="00961692">
            <w:rPr>
              <w:caps w:val="0"/>
              <w:noProof/>
            </w:rPr>
            <w:fldChar w:fldCharType="separate"/>
          </w:r>
          <w:r w:rsidR="004D536C">
            <w:rPr>
              <w:caps w:val="0"/>
              <w:noProof/>
            </w:rPr>
            <w:t>Foreword</w:t>
          </w:r>
          <w:r w:rsidRPr="00961692">
            <w:rPr>
              <w:caps w:val="0"/>
              <w:noProof/>
            </w:rPr>
            <w:fldChar w:fldCharType="end"/>
          </w:r>
        </w:p>
      </w:tc>
    </w:tr>
  </w:tbl>
  <w:p w:rsidR="0017002E" w:rsidRDefault="0017002E">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17002E" w:rsidRPr="00135D87" w:rsidTr="00FA6027">
      <w:trPr>
        <w:trHeight w:hRule="exact" w:val="740"/>
      </w:trPr>
      <w:tc>
        <w:tcPr>
          <w:tcW w:w="8278" w:type="dxa"/>
        </w:tcPr>
        <w:p w:rsidR="0017002E" w:rsidRPr="001646FC" w:rsidRDefault="0017002E" w:rsidP="00FA6027">
          <w:pPr>
            <w:pStyle w:val="Footer"/>
            <w:jc w:val="right"/>
            <w:rPr>
              <w:rFonts w:cs="Arial"/>
            </w:rPr>
          </w:pPr>
          <w:r w:rsidRPr="001646FC">
            <w:rPr>
              <w:caps w:val="0"/>
              <w:noProof/>
            </w:rPr>
            <w:fldChar w:fldCharType="begin"/>
          </w:r>
          <w:r w:rsidRPr="001646FC">
            <w:rPr>
              <w:caps w:val="0"/>
              <w:noProof/>
            </w:rPr>
            <w:instrText xml:space="preserve"> STYLEREF "Heading 1" \* MERGEFORMAT </w:instrText>
          </w:r>
          <w:r w:rsidRPr="001646FC">
            <w:rPr>
              <w:caps w:val="0"/>
              <w:noProof/>
            </w:rPr>
            <w:fldChar w:fldCharType="separate"/>
          </w:r>
          <w:r w:rsidR="00AC6B02" w:rsidRPr="00AC6B02">
            <w:rPr>
              <w:bCs/>
              <w:caps w:val="0"/>
              <w:noProof/>
              <w:lang w:val="en-US"/>
            </w:rPr>
            <w:t>Foreword</w:t>
          </w:r>
          <w:r w:rsidRPr="001646FC">
            <w:rPr>
              <w:caps w:val="0"/>
              <w:noProof/>
            </w:rPr>
            <w:fldChar w:fldCharType="end"/>
          </w:r>
        </w:p>
      </w:tc>
      <w:tc>
        <w:tcPr>
          <w:tcW w:w="510" w:type="dxa"/>
        </w:tcPr>
        <w:p w:rsidR="0017002E" w:rsidRPr="00961692" w:rsidRDefault="0017002E" w:rsidP="00FA6027">
          <w:pPr>
            <w:pStyle w:val="Footer"/>
            <w:jc w:val="right"/>
            <w:rPr>
              <w:rFonts w:cs="Arial"/>
              <w:caps w:val="0"/>
            </w:rPr>
          </w:pPr>
          <w:r w:rsidRPr="00961692">
            <w:rPr>
              <w:rStyle w:val="PageNumber"/>
              <w:rFonts w:cs="Arial"/>
              <w:caps w:val="0"/>
            </w:rPr>
            <w:fldChar w:fldCharType="begin"/>
          </w:r>
          <w:r w:rsidRPr="00961692">
            <w:rPr>
              <w:rStyle w:val="PageNumber"/>
              <w:rFonts w:cs="Arial"/>
              <w:caps w:val="0"/>
            </w:rPr>
            <w:instrText xml:space="preserve">PAGE  </w:instrText>
          </w:r>
          <w:r w:rsidRPr="00961692">
            <w:rPr>
              <w:rStyle w:val="PageNumber"/>
              <w:rFonts w:cs="Arial"/>
              <w:caps w:val="0"/>
            </w:rPr>
            <w:fldChar w:fldCharType="separate"/>
          </w:r>
          <w:r w:rsidR="00AC6B02">
            <w:rPr>
              <w:rStyle w:val="PageNumber"/>
              <w:rFonts w:cs="Arial"/>
              <w:caps w:val="0"/>
              <w:noProof/>
            </w:rPr>
            <w:t>iii</w:t>
          </w:r>
          <w:r w:rsidRPr="00961692">
            <w:rPr>
              <w:rStyle w:val="PageNumber"/>
              <w:rFonts w:cs="Arial"/>
              <w:caps w:val="0"/>
            </w:rPr>
            <w:fldChar w:fldCharType="end"/>
          </w:r>
        </w:p>
      </w:tc>
    </w:tr>
  </w:tbl>
  <w:p w:rsidR="0017002E" w:rsidRDefault="0017002E">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8" w:type="dxa"/>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17002E" w:rsidRPr="00135D87" w:rsidTr="00FA6027">
      <w:trPr>
        <w:trHeight w:hRule="exact" w:val="740"/>
      </w:trPr>
      <w:tc>
        <w:tcPr>
          <w:tcW w:w="510" w:type="dxa"/>
        </w:tcPr>
        <w:p w:rsidR="0017002E" w:rsidRPr="00135D87" w:rsidRDefault="0017002E" w:rsidP="00FA6027">
          <w:pPr>
            <w:pStyle w:val="Footer"/>
            <w:tabs>
              <w:tab w:val="left" w:pos="0"/>
            </w:tabs>
            <w:ind w:right="0"/>
            <w:rPr>
              <w:rStyle w:val="PageNumber"/>
              <w:rFonts w:cs="Arial"/>
            </w:rPr>
          </w:pPr>
          <w:r w:rsidRPr="00961692">
            <w:rPr>
              <w:rStyle w:val="PageNumber"/>
              <w:caps w:val="0"/>
              <w:noProof/>
            </w:rPr>
            <w:fldChar w:fldCharType="begin"/>
          </w:r>
          <w:r w:rsidRPr="00961692">
            <w:rPr>
              <w:rStyle w:val="PageNumber"/>
              <w:caps w:val="0"/>
              <w:noProof/>
            </w:rPr>
            <w:instrText xml:space="preserve"> PAGE   \* MERGEFORMAT </w:instrText>
          </w:r>
          <w:r w:rsidRPr="00961692">
            <w:rPr>
              <w:rStyle w:val="PageNumber"/>
              <w:caps w:val="0"/>
              <w:noProof/>
            </w:rPr>
            <w:fldChar w:fldCharType="separate"/>
          </w:r>
          <w:r w:rsidR="00AC6B02">
            <w:rPr>
              <w:rStyle w:val="PageNumber"/>
              <w:caps w:val="0"/>
              <w:noProof/>
            </w:rPr>
            <w:t>iv</w:t>
          </w:r>
          <w:r w:rsidRPr="00961692">
            <w:rPr>
              <w:rStyle w:val="PageNumber"/>
              <w:caps w:val="0"/>
              <w:noProof/>
            </w:rPr>
            <w:fldChar w:fldCharType="end"/>
          </w:r>
        </w:p>
      </w:tc>
      <w:tc>
        <w:tcPr>
          <w:tcW w:w="8278" w:type="dxa"/>
        </w:tcPr>
        <w:p w:rsidR="0017002E" w:rsidRPr="00135D87" w:rsidRDefault="0017002E" w:rsidP="00FA6027">
          <w:pPr>
            <w:pStyle w:val="Footer"/>
            <w:rPr>
              <w:rFonts w:cs="Arial"/>
            </w:rPr>
          </w:pPr>
          <w:r w:rsidRPr="00961692">
            <w:rPr>
              <w:caps w:val="0"/>
              <w:noProof/>
            </w:rPr>
            <w:fldChar w:fldCharType="begin"/>
          </w:r>
          <w:r w:rsidRPr="00961692">
            <w:rPr>
              <w:caps w:val="0"/>
              <w:noProof/>
            </w:rPr>
            <w:instrText xml:space="preserve"> STYLEREF "Heading 1" \* MERGEFORMAT </w:instrText>
          </w:r>
          <w:r w:rsidRPr="00961692">
            <w:rPr>
              <w:caps w:val="0"/>
              <w:noProof/>
            </w:rPr>
            <w:fldChar w:fldCharType="separate"/>
          </w:r>
          <w:r w:rsidR="00AC6B02">
            <w:rPr>
              <w:caps w:val="0"/>
              <w:noProof/>
            </w:rPr>
            <w:t>Terms of reference</w:t>
          </w:r>
          <w:r w:rsidRPr="00961692">
            <w:rPr>
              <w:caps w:val="0"/>
              <w:noProof/>
            </w:rPr>
            <w:fldChar w:fldCharType="end"/>
          </w:r>
        </w:p>
      </w:tc>
    </w:tr>
  </w:tbl>
  <w:p w:rsidR="0017002E" w:rsidRDefault="0017002E">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17002E" w:rsidRPr="00135D87" w:rsidTr="00586559">
      <w:trPr>
        <w:trHeight w:hRule="exact" w:val="740"/>
      </w:trPr>
      <w:tc>
        <w:tcPr>
          <w:tcW w:w="8278" w:type="dxa"/>
        </w:tcPr>
        <w:p w:rsidR="0017002E" w:rsidRPr="00961692" w:rsidRDefault="0017002E" w:rsidP="00586559">
          <w:pPr>
            <w:pStyle w:val="Footer"/>
            <w:jc w:val="right"/>
            <w:rPr>
              <w:rFonts w:cs="Arial"/>
            </w:rPr>
          </w:pPr>
          <w:r w:rsidRPr="00961692">
            <w:rPr>
              <w:caps w:val="0"/>
              <w:noProof/>
            </w:rPr>
            <w:fldChar w:fldCharType="begin"/>
          </w:r>
          <w:r w:rsidRPr="00961692">
            <w:rPr>
              <w:caps w:val="0"/>
              <w:noProof/>
            </w:rPr>
            <w:instrText xml:space="preserve"> STYLEREF "Heading 1" \* MERGEFORMAT </w:instrText>
          </w:r>
          <w:r w:rsidRPr="00961692">
            <w:rPr>
              <w:caps w:val="0"/>
              <w:noProof/>
            </w:rPr>
            <w:fldChar w:fldCharType="separate"/>
          </w:r>
          <w:r w:rsidR="00AC6B02">
            <w:rPr>
              <w:caps w:val="0"/>
              <w:noProof/>
            </w:rPr>
            <w:t>Terms of reference</w:t>
          </w:r>
          <w:r w:rsidRPr="00961692">
            <w:rPr>
              <w:caps w:val="0"/>
              <w:noProof/>
            </w:rPr>
            <w:fldChar w:fldCharType="end"/>
          </w:r>
        </w:p>
      </w:tc>
      <w:tc>
        <w:tcPr>
          <w:tcW w:w="510" w:type="dxa"/>
        </w:tcPr>
        <w:p w:rsidR="0017002E" w:rsidRPr="00961692" w:rsidRDefault="0017002E" w:rsidP="00586559">
          <w:pPr>
            <w:pStyle w:val="Footer"/>
            <w:jc w:val="right"/>
            <w:rPr>
              <w:rFonts w:cs="Arial"/>
              <w:caps w:val="0"/>
            </w:rPr>
          </w:pPr>
          <w:r w:rsidRPr="00961692">
            <w:rPr>
              <w:rStyle w:val="PageNumber"/>
              <w:rFonts w:cs="Arial"/>
              <w:caps w:val="0"/>
            </w:rPr>
            <w:fldChar w:fldCharType="begin"/>
          </w:r>
          <w:r w:rsidRPr="00961692">
            <w:rPr>
              <w:rStyle w:val="PageNumber"/>
              <w:rFonts w:cs="Arial"/>
              <w:caps w:val="0"/>
            </w:rPr>
            <w:instrText xml:space="preserve">PAGE  </w:instrText>
          </w:r>
          <w:r w:rsidRPr="00961692">
            <w:rPr>
              <w:rStyle w:val="PageNumber"/>
              <w:rFonts w:cs="Arial"/>
              <w:caps w:val="0"/>
            </w:rPr>
            <w:fldChar w:fldCharType="separate"/>
          </w:r>
          <w:r w:rsidR="00AC6B02">
            <w:rPr>
              <w:rStyle w:val="PageNumber"/>
              <w:rFonts w:cs="Arial"/>
              <w:caps w:val="0"/>
              <w:noProof/>
            </w:rPr>
            <w:t>v</w:t>
          </w:r>
          <w:r w:rsidRPr="00961692">
            <w:rPr>
              <w:rStyle w:val="PageNumber"/>
              <w:rFonts w:cs="Arial"/>
              <w:caps w:val="0"/>
            </w:rPr>
            <w:fldChar w:fldCharType="end"/>
          </w:r>
        </w:p>
      </w:tc>
    </w:tr>
  </w:tbl>
  <w:p w:rsidR="0017002E" w:rsidRDefault="0017002E">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8" w:type="dxa"/>
      <w:tblBorders>
        <w:top w:val="single" w:sz="2" w:space="0" w:color="333333"/>
      </w:tblBorders>
      <w:tblLayout w:type="fixed"/>
      <w:tblCellMar>
        <w:left w:w="0" w:type="dxa"/>
        <w:right w:w="0" w:type="dxa"/>
      </w:tblCellMar>
      <w:tblLook w:val="0000" w:firstRow="0" w:lastRow="0" w:firstColumn="0" w:lastColumn="0" w:noHBand="0" w:noVBand="0"/>
    </w:tblPr>
    <w:tblGrid>
      <w:gridCol w:w="510"/>
      <w:gridCol w:w="8278"/>
    </w:tblGrid>
    <w:tr w:rsidR="0017002E" w:rsidRPr="00135D87" w:rsidTr="007712FC">
      <w:trPr>
        <w:trHeight w:hRule="exact" w:val="740"/>
      </w:trPr>
      <w:tc>
        <w:tcPr>
          <w:tcW w:w="510" w:type="dxa"/>
        </w:tcPr>
        <w:p w:rsidR="0017002E" w:rsidRPr="00135D87" w:rsidRDefault="0017002E" w:rsidP="00FA6027">
          <w:pPr>
            <w:pStyle w:val="Footer"/>
            <w:tabs>
              <w:tab w:val="left" w:pos="0"/>
            </w:tabs>
            <w:ind w:right="0"/>
            <w:rPr>
              <w:rStyle w:val="PageNumber"/>
              <w:rFonts w:cs="Arial"/>
            </w:rPr>
          </w:pPr>
          <w:r w:rsidRPr="00961692">
            <w:rPr>
              <w:rStyle w:val="PageNumber"/>
              <w:caps w:val="0"/>
              <w:noProof/>
            </w:rPr>
            <w:fldChar w:fldCharType="begin"/>
          </w:r>
          <w:r w:rsidRPr="00961692">
            <w:rPr>
              <w:rStyle w:val="PageNumber"/>
              <w:caps w:val="0"/>
              <w:noProof/>
            </w:rPr>
            <w:instrText xml:space="preserve"> PAGE   \* MERGEFORMAT </w:instrText>
          </w:r>
          <w:r w:rsidRPr="00961692">
            <w:rPr>
              <w:rStyle w:val="PageNumber"/>
              <w:caps w:val="0"/>
              <w:noProof/>
            </w:rPr>
            <w:fldChar w:fldCharType="separate"/>
          </w:r>
          <w:r w:rsidR="00AC6B02">
            <w:rPr>
              <w:rStyle w:val="PageNumber"/>
              <w:caps w:val="0"/>
              <w:noProof/>
            </w:rPr>
            <w:t>viii</w:t>
          </w:r>
          <w:r w:rsidRPr="00961692">
            <w:rPr>
              <w:rStyle w:val="PageNumber"/>
              <w:caps w:val="0"/>
              <w:noProof/>
            </w:rPr>
            <w:fldChar w:fldCharType="end"/>
          </w:r>
        </w:p>
      </w:tc>
      <w:tc>
        <w:tcPr>
          <w:tcW w:w="8278" w:type="dxa"/>
        </w:tcPr>
        <w:p w:rsidR="0017002E" w:rsidRPr="00135D87" w:rsidRDefault="0017002E" w:rsidP="00FA6027">
          <w:pPr>
            <w:pStyle w:val="Footer"/>
            <w:rPr>
              <w:rFonts w:cs="Arial"/>
            </w:rPr>
          </w:pPr>
          <w:r w:rsidRPr="00961692">
            <w:rPr>
              <w:caps w:val="0"/>
              <w:noProof/>
            </w:rPr>
            <w:fldChar w:fldCharType="begin"/>
          </w:r>
          <w:r w:rsidRPr="00961692">
            <w:rPr>
              <w:caps w:val="0"/>
              <w:noProof/>
            </w:rPr>
            <w:instrText xml:space="preserve"> STYLEREF "Heading 1</w:instrText>
          </w:r>
          <w:r>
            <w:rPr>
              <w:caps w:val="0"/>
              <w:noProof/>
            </w:rPr>
            <w:instrText xml:space="preserve"> not TOC</w:instrText>
          </w:r>
          <w:r w:rsidRPr="00961692">
            <w:rPr>
              <w:caps w:val="0"/>
              <w:noProof/>
            </w:rPr>
            <w:instrText xml:space="preserve">" \* MERGEFORMAT </w:instrText>
          </w:r>
          <w:r w:rsidRPr="00961692">
            <w:rPr>
              <w:caps w:val="0"/>
              <w:noProof/>
            </w:rPr>
            <w:fldChar w:fldCharType="separate"/>
          </w:r>
          <w:r w:rsidR="00AC6B02">
            <w:rPr>
              <w:caps w:val="0"/>
              <w:noProof/>
            </w:rPr>
            <w:t>Contents</w:t>
          </w:r>
          <w:r w:rsidRPr="00961692">
            <w:rPr>
              <w:caps w:val="0"/>
              <w:noProof/>
            </w:rPr>
            <w:fldChar w:fldCharType="end"/>
          </w:r>
        </w:p>
      </w:tc>
    </w:tr>
  </w:tbl>
  <w:p w:rsidR="0017002E" w:rsidRDefault="0017002E">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333333"/>
      </w:tblBorders>
      <w:tblLayout w:type="fixed"/>
      <w:tblCellMar>
        <w:left w:w="0" w:type="dxa"/>
        <w:right w:w="0" w:type="dxa"/>
      </w:tblCellMar>
      <w:tblLook w:val="0000" w:firstRow="0" w:lastRow="0" w:firstColumn="0" w:lastColumn="0" w:noHBand="0" w:noVBand="0"/>
    </w:tblPr>
    <w:tblGrid>
      <w:gridCol w:w="8278"/>
      <w:gridCol w:w="510"/>
    </w:tblGrid>
    <w:tr w:rsidR="0017002E" w:rsidRPr="00135D87" w:rsidTr="00961692">
      <w:trPr>
        <w:trHeight w:hRule="exact" w:val="740"/>
      </w:trPr>
      <w:tc>
        <w:tcPr>
          <w:tcW w:w="8278" w:type="dxa"/>
        </w:tcPr>
        <w:p w:rsidR="0017002E" w:rsidRPr="00961692" w:rsidRDefault="0017002E" w:rsidP="00961692">
          <w:pPr>
            <w:pStyle w:val="Footer"/>
            <w:jc w:val="right"/>
            <w:rPr>
              <w:rFonts w:cs="Arial"/>
            </w:rPr>
          </w:pPr>
          <w:r w:rsidRPr="00961692">
            <w:rPr>
              <w:caps w:val="0"/>
              <w:noProof/>
            </w:rPr>
            <w:fldChar w:fldCharType="begin"/>
          </w:r>
          <w:r w:rsidRPr="00961692">
            <w:rPr>
              <w:caps w:val="0"/>
              <w:noProof/>
            </w:rPr>
            <w:instrText xml:space="preserve"> STYLEREF "Heading 1 Not TOC" \* MERGEFORMAT </w:instrText>
          </w:r>
          <w:r w:rsidRPr="00961692">
            <w:rPr>
              <w:caps w:val="0"/>
              <w:noProof/>
            </w:rPr>
            <w:fldChar w:fldCharType="separate"/>
          </w:r>
          <w:r w:rsidR="00AC6B02">
            <w:rPr>
              <w:caps w:val="0"/>
              <w:noProof/>
            </w:rPr>
            <w:t>Contents</w:t>
          </w:r>
          <w:r w:rsidRPr="00961692">
            <w:rPr>
              <w:caps w:val="0"/>
              <w:noProof/>
            </w:rPr>
            <w:fldChar w:fldCharType="end"/>
          </w:r>
        </w:p>
      </w:tc>
      <w:tc>
        <w:tcPr>
          <w:tcW w:w="510" w:type="dxa"/>
        </w:tcPr>
        <w:p w:rsidR="0017002E" w:rsidRPr="00961692" w:rsidRDefault="0017002E" w:rsidP="00961692">
          <w:pPr>
            <w:pStyle w:val="Footer"/>
            <w:jc w:val="right"/>
            <w:rPr>
              <w:rFonts w:cs="Arial"/>
              <w:caps w:val="0"/>
            </w:rPr>
          </w:pPr>
          <w:r w:rsidRPr="00961692">
            <w:rPr>
              <w:rStyle w:val="PageNumber"/>
              <w:rFonts w:cs="Arial"/>
              <w:caps w:val="0"/>
            </w:rPr>
            <w:fldChar w:fldCharType="begin"/>
          </w:r>
          <w:r w:rsidRPr="00961692">
            <w:rPr>
              <w:rStyle w:val="PageNumber"/>
              <w:rFonts w:cs="Arial"/>
              <w:caps w:val="0"/>
            </w:rPr>
            <w:instrText xml:space="preserve">PAGE  </w:instrText>
          </w:r>
          <w:r w:rsidRPr="00961692">
            <w:rPr>
              <w:rStyle w:val="PageNumber"/>
              <w:rFonts w:cs="Arial"/>
              <w:caps w:val="0"/>
            </w:rPr>
            <w:fldChar w:fldCharType="separate"/>
          </w:r>
          <w:r w:rsidR="00AC6B02">
            <w:rPr>
              <w:rStyle w:val="PageNumber"/>
              <w:rFonts w:cs="Arial"/>
              <w:caps w:val="0"/>
              <w:noProof/>
            </w:rPr>
            <w:t>vii</w:t>
          </w:r>
          <w:r w:rsidRPr="00961692">
            <w:rPr>
              <w:rStyle w:val="PageNumber"/>
              <w:rFonts w:cs="Arial"/>
              <w:caps w:val="0"/>
            </w:rPr>
            <w:fldChar w:fldCharType="end"/>
          </w:r>
        </w:p>
      </w:tc>
    </w:tr>
  </w:tbl>
  <w:p w:rsidR="0017002E" w:rsidRDefault="0017002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2E" w:rsidRDefault="0017002E">
      <w:r>
        <w:separator/>
      </w:r>
    </w:p>
    <w:p w:rsidR="0017002E" w:rsidRDefault="0017002E"/>
    <w:p w:rsidR="0017002E" w:rsidRDefault="0017002E"/>
  </w:footnote>
  <w:footnote w:type="continuationSeparator" w:id="0">
    <w:p w:rsidR="0017002E" w:rsidRDefault="0017002E">
      <w:r>
        <w:continuationSeparator/>
      </w:r>
    </w:p>
    <w:p w:rsidR="0017002E" w:rsidRDefault="0017002E"/>
    <w:p w:rsidR="0017002E" w:rsidRDefault="001700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2E" w:rsidRDefault="0017002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7002E" w:rsidTr="00961692">
      <w:tc>
        <w:tcPr>
          <w:tcW w:w="2155" w:type="dxa"/>
          <w:tcBorders>
            <w:top w:val="single" w:sz="24" w:space="0" w:color="86A20B"/>
          </w:tcBorders>
        </w:tcPr>
        <w:p w:rsidR="0017002E" w:rsidRDefault="0017002E" w:rsidP="00961692">
          <w:pPr>
            <w:pStyle w:val="HeaderEven"/>
          </w:pPr>
        </w:p>
      </w:tc>
      <w:tc>
        <w:tcPr>
          <w:tcW w:w="6634" w:type="dxa"/>
          <w:tcBorders>
            <w:top w:val="dotted" w:sz="18" w:space="0" w:color="B2B2B2"/>
          </w:tcBorders>
        </w:tcPr>
        <w:p w:rsidR="0017002E" w:rsidRDefault="0017002E" w:rsidP="00961692">
          <w:pPr>
            <w:pStyle w:val="HeaderEven"/>
          </w:pPr>
        </w:p>
      </w:tc>
    </w:tr>
  </w:tbl>
  <w:p w:rsidR="0017002E" w:rsidRDefault="0017002E" w:rsidP="00D732FE">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002E" w:rsidTr="00FA6027">
      <w:tc>
        <w:tcPr>
          <w:tcW w:w="6634" w:type="dxa"/>
          <w:tcBorders>
            <w:top w:val="dotted" w:sz="18" w:space="0" w:color="B2B2B2"/>
          </w:tcBorders>
        </w:tcPr>
        <w:p w:rsidR="0017002E" w:rsidRDefault="0017002E" w:rsidP="00FA6027">
          <w:pPr>
            <w:pStyle w:val="HeaderOdd"/>
          </w:pPr>
        </w:p>
      </w:tc>
      <w:tc>
        <w:tcPr>
          <w:tcW w:w="2155" w:type="dxa"/>
          <w:tcBorders>
            <w:top w:val="single" w:sz="24" w:space="0" w:color="86A20B"/>
          </w:tcBorders>
        </w:tcPr>
        <w:p w:rsidR="0017002E" w:rsidRDefault="0017002E" w:rsidP="00FA6027">
          <w:pPr>
            <w:pStyle w:val="HeaderOdd"/>
          </w:pPr>
        </w:p>
      </w:tc>
    </w:tr>
  </w:tbl>
  <w:p w:rsidR="0017002E" w:rsidRDefault="0017002E"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2E" w:rsidRDefault="001700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2E" w:rsidRDefault="0017002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17002E" w:rsidTr="00FA6027">
      <w:tc>
        <w:tcPr>
          <w:tcW w:w="2155" w:type="dxa"/>
          <w:tcBorders>
            <w:top w:val="single" w:sz="24" w:space="0" w:color="86A20B"/>
          </w:tcBorders>
        </w:tcPr>
        <w:p w:rsidR="0017002E" w:rsidRDefault="0017002E" w:rsidP="00FA6027">
          <w:pPr>
            <w:pStyle w:val="HeaderEven"/>
          </w:pPr>
        </w:p>
      </w:tc>
      <w:tc>
        <w:tcPr>
          <w:tcW w:w="6634" w:type="dxa"/>
          <w:tcBorders>
            <w:top w:val="dotted" w:sz="18" w:space="0" w:color="B2B2B2"/>
          </w:tcBorders>
        </w:tcPr>
        <w:p w:rsidR="0017002E" w:rsidRDefault="0017002E" w:rsidP="00FA6027">
          <w:pPr>
            <w:pStyle w:val="HeaderEven"/>
          </w:pPr>
        </w:p>
      </w:tc>
    </w:tr>
  </w:tbl>
  <w:p w:rsidR="0017002E" w:rsidRDefault="0017002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002E" w:rsidTr="00FA6027">
      <w:tc>
        <w:tcPr>
          <w:tcW w:w="6634" w:type="dxa"/>
          <w:tcBorders>
            <w:top w:val="dotted" w:sz="18" w:space="0" w:color="B2B2B2"/>
          </w:tcBorders>
        </w:tcPr>
        <w:p w:rsidR="0017002E" w:rsidRDefault="0017002E" w:rsidP="00FA6027">
          <w:pPr>
            <w:pStyle w:val="HeaderOdd"/>
          </w:pPr>
        </w:p>
      </w:tc>
      <w:tc>
        <w:tcPr>
          <w:tcW w:w="2155" w:type="dxa"/>
          <w:tcBorders>
            <w:top w:val="single" w:sz="24" w:space="0" w:color="86A20B"/>
          </w:tcBorders>
        </w:tcPr>
        <w:p w:rsidR="0017002E" w:rsidRDefault="0017002E" w:rsidP="00FA6027">
          <w:pPr>
            <w:pStyle w:val="HeaderOdd"/>
          </w:pPr>
        </w:p>
      </w:tc>
    </w:tr>
  </w:tbl>
  <w:p w:rsidR="0017002E" w:rsidRDefault="0017002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17002E" w:rsidTr="00FA6027">
      <w:tc>
        <w:tcPr>
          <w:tcW w:w="2155" w:type="dxa"/>
          <w:tcBorders>
            <w:top w:val="single" w:sz="24" w:space="0" w:color="86A20B"/>
          </w:tcBorders>
        </w:tcPr>
        <w:p w:rsidR="0017002E" w:rsidRDefault="0017002E" w:rsidP="00FA6027">
          <w:pPr>
            <w:pStyle w:val="HeaderEven"/>
          </w:pPr>
        </w:p>
      </w:tc>
      <w:tc>
        <w:tcPr>
          <w:tcW w:w="6634" w:type="dxa"/>
          <w:tcBorders>
            <w:top w:val="dotted" w:sz="18" w:space="0" w:color="B2B2B2"/>
          </w:tcBorders>
        </w:tcPr>
        <w:p w:rsidR="0017002E" w:rsidRDefault="0017002E" w:rsidP="00FA6027">
          <w:pPr>
            <w:pStyle w:val="HeaderEven"/>
          </w:pPr>
        </w:p>
      </w:tc>
    </w:tr>
  </w:tbl>
  <w:p w:rsidR="0017002E" w:rsidRDefault="0017002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002E" w:rsidTr="00586559">
      <w:tc>
        <w:tcPr>
          <w:tcW w:w="6634" w:type="dxa"/>
          <w:tcBorders>
            <w:top w:val="dotted" w:sz="18" w:space="0" w:color="B2B2B2"/>
          </w:tcBorders>
        </w:tcPr>
        <w:p w:rsidR="0017002E" w:rsidRDefault="0017002E" w:rsidP="00586559">
          <w:pPr>
            <w:pStyle w:val="HeaderOdd"/>
          </w:pPr>
        </w:p>
      </w:tc>
      <w:tc>
        <w:tcPr>
          <w:tcW w:w="2155" w:type="dxa"/>
          <w:tcBorders>
            <w:top w:val="single" w:sz="24" w:space="0" w:color="86A20B"/>
          </w:tcBorders>
        </w:tcPr>
        <w:p w:rsidR="0017002E" w:rsidRDefault="0017002E" w:rsidP="00586559">
          <w:pPr>
            <w:pStyle w:val="HeaderOdd"/>
          </w:pPr>
        </w:p>
      </w:tc>
    </w:tr>
  </w:tbl>
  <w:p w:rsidR="0017002E" w:rsidRDefault="0017002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7002E" w:rsidTr="00FA6027">
      <w:tc>
        <w:tcPr>
          <w:tcW w:w="2155" w:type="dxa"/>
          <w:tcBorders>
            <w:top w:val="single" w:sz="24" w:space="0" w:color="86A20B"/>
          </w:tcBorders>
        </w:tcPr>
        <w:p w:rsidR="0017002E" w:rsidRDefault="0017002E" w:rsidP="00FA6027">
          <w:pPr>
            <w:pStyle w:val="HeaderEven"/>
          </w:pPr>
        </w:p>
      </w:tc>
      <w:tc>
        <w:tcPr>
          <w:tcW w:w="6634" w:type="dxa"/>
          <w:tcBorders>
            <w:top w:val="dotted" w:sz="18" w:space="0" w:color="B2B2B2"/>
          </w:tcBorders>
        </w:tcPr>
        <w:p w:rsidR="0017002E" w:rsidRDefault="0017002E" w:rsidP="00FA6027">
          <w:pPr>
            <w:pStyle w:val="HeaderEven"/>
          </w:pPr>
        </w:p>
      </w:tc>
    </w:tr>
  </w:tbl>
  <w:p w:rsidR="0017002E" w:rsidRDefault="0017002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002E" w:rsidTr="00961692">
      <w:tc>
        <w:tcPr>
          <w:tcW w:w="6634" w:type="dxa"/>
          <w:tcBorders>
            <w:top w:val="dotted" w:sz="18" w:space="0" w:color="B2B2B2"/>
          </w:tcBorders>
        </w:tcPr>
        <w:p w:rsidR="0017002E" w:rsidRDefault="0017002E" w:rsidP="00961692">
          <w:pPr>
            <w:pStyle w:val="HeaderOdd"/>
          </w:pPr>
        </w:p>
      </w:tc>
      <w:tc>
        <w:tcPr>
          <w:tcW w:w="2155" w:type="dxa"/>
          <w:tcBorders>
            <w:top w:val="single" w:sz="24" w:space="0" w:color="86A20B"/>
          </w:tcBorders>
        </w:tcPr>
        <w:p w:rsidR="0017002E" w:rsidRDefault="0017002E" w:rsidP="00961692">
          <w:pPr>
            <w:pStyle w:val="HeaderOdd"/>
          </w:pPr>
        </w:p>
      </w:tc>
    </w:tr>
  </w:tbl>
  <w:p w:rsidR="0017002E" w:rsidRPr="005C68FE" w:rsidRDefault="0017002E" w:rsidP="005C68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2">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3">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4">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5">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6">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7">
    <w:nsid w:val="6B740744"/>
    <w:multiLevelType w:val="singleLevel"/>
    <w:tmpl w:val="B4744B66"/>
    <w:lvl w:ilvl="0">
      <w:start w:val="1"/>
      <w:numFmt w:val="decimal"/>
      <w:lvlText w:val="%1."/>
      <w:legacy w:legacy="1" w:legacySpace="0" w:legacyIndent="340"/>
      <w:lvlJc w:val="left"/>
      <w:pPr>
        <w:ind w:left="340" w:hanging="340"/>
      </w:pPr>
    </w:lvl>
  </w:abstractNum>
  <w:abstractNum w:abstractNumId="18">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19">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7"/>
  </w:num>
  <w:num w:numId="13">
    <w:abstractNumId w:val="12"/>
  </w:num>
  <w:num w:numId="14">
    <w:abstractNumId w:val="8"/>
  </w:num>
  <w:num w:numId="15">
    <w:abstractNumId w:val="18"/>
  </w:num>
  <w:num w:numId="16">
    <w:abstractNumId w:val="13"/>
  </w:num>
  <w:num w:numId="17">
    <w:abstractNumId w:val="7"/>
  </w:num>
  <w:num w:numId="18">
    <w:abstractNumId w:val="16"/>
  </w:num>
  <w:num w:numId="19">
    <w:abstractNumId w:val="15"/>
  </w:num>
  <w:num w:numId="20">
    <w:abstractNumId w:val="19"/>
  </w:num>
  <w:num w:numId="21">
    <w:abstractNumId w:val="11"/>
  </w:num>
  <w:num w:numId="22">
    <w:abstractNumId w:val="9"/>
  </w:num>
  <w:num w:numId="23">
    <w:abstractNumId w:val="14"/>
  </w:num>
  <w:num w:numId="24">
    <w:abstractNumId w:val="1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2F8"/>
    <w:rsid w:val="00017AFC"/>
    <w:rsid w:val="00025878"/>
    <w:rsid w:val="00026B38"/>
    <w:rsid w:val="00043018"/>
    <w:rsid w:val="000502D3"/>
    <w:rsid w:val="000623BF"/>
    <w:rsid w:val="00095EEA"/>
    <w:rsid w:val="00097C15"/>
    <w:rsid w:val="000B099E"/>
    <w:rsid w:val="000F185F"/>
    <w:rsid w:val="001027DA"/>
    <w:rsid w:val="00106041"/>
    <w:rsid w:val="0013399B"/>
    <w:rsid w:val="0017002E"/>
    <w:rsid w:val="00181F4B"/>
    <w:rsid w:val="00191FD3"/>
    <w:rsid w:val="00196FB3"/>
    <w:rsid w:val="001A5071"/>
    <w:rsid w:val="001B4E73"/>
    <w:rsid w:val="001B7F1E"/>
    <w:rsid w:val="001C365A"/>
    <w:rsid w:val="001D4B1F"/>
    <w:rsid w:val="001D6629"/>
    <w:rsid w:val="001E7838"/>
    <w:rsid w:val="001F2270"/>
    <w:rsid w:val="00205A82"/>
    <w:rsid w:val="00211BEE"/>
    <w:rsid w:val="002179C6"/>
    <w:rsid w:val="00227BD5"/>
    <w:rsid w:val="00227C8D"/>
    <w:rsid w:val="00255A69"/>
    <w:rsid w:val="00261607"/>
    <w:rsid w:val="00264D3B"/>
    <w:rsid w:val="00265685"/>
    <w:rsid w:val="00281D5F"/>
    <w:rsid w:val="002923AD"/>
    <w:rsid w:val="00296592"/>
    <w:rsid w:val="002A0A4B"/>
    <w:rsid w:val="002B636E"/>
    <w:rsid w:val="002B64D6"/>
    <w:rsid w:val="002D6FCE"/>
    <w:rsid w:val="00303948"/>
    <w:rsid w:val="00332B48"/>
    <w:rsid w:val="003477EA"/>
    <w:rsid w:val="00350BDE"/>
    <w:rsid w:val="00397BDE"/>
    <w:rsid w:val="003A7580"/>
    <w:rsid w:val="003B41E0"/>
    <w:rsid w:val="003D624D"/>
    <w:rsid w:val="003E7802"/>
    <w:rsid w:val="00420364"/>
    <w:rsid w:val="00433C81"/>
    <w:rsid w:val="00446D6B"/>
    <w:rsid w:val="00457B3F"/>
    <w:rsid w:val="00463022"/>
    <w:rsid w:val="00481CF0"/>
    <w:rsid w:val="004B3917"/>
    <w:rsid w:val="004B492A"/>
    <w:rsid w:val="004C0B0C"/>
    <w:rsid w:val="004D536C"/>
    <w:rsid w:val="004E52E2"/>
    <w:rsid w:val="004E6BB4"/>
    <w:rsid w:val="00504F8E"/>
    <w:rsid w:val="0051228E"/>
    <w:rsid w:val="00515D43"/>
    <w:rsid w:val="0052544D"/>
    <w:rsid w:val="00551FB8"/>
    <w:rsid w:val="005568D9"/>
    <w:rsid w:val="00560F43"/>
    <w:rsid w:val="00586559"/>
    <w:rsid w:val="005B17AB"/>
    <w:rsid w:val="005B2079"/>
    <w:rsid w:val="005C68FE"/>
    <w:rsid w:val="00607D8A"/>
    <w:rsid w:val="0061590F"/>
    <w:rsid w:val="00636497"/>
    <w:rsid w:val="00641AE2"/>
    <w:rsid w:val="0064456A"/>
    <w:rsid w:val="00650DDA"/>
    <w:rsid w:val="0065126A"/>
    <w:rsid w:val="006802D4"/>
    <w:rsid w:val="00683849"/>
    <w:rsid w:val="00691AB5"/>
    <w:rsid w:val="006C07CE"/>
    <w:rsid w:val="006E1E6B"/>
    <w:rsid w:val="006F0EAC"/>
    <w:rsid w:val="006F6A85"/>
    <w:rsid w:val="0070328D"/>
    <w:rsid w:val="007162A5"/>
    <w:rsid w:val="00731F96"/>
    <w:rsid w:val="00734127"/>
    <w:rsid w:val="00735FEA"/>
    <w:rsid w:val="00743460"/>
    <w:rsid w:val="00753DC6"/>
    <w:rsid w:val="0075578C"/>
    <w:rsid w:val="007712FC"/>
    <w:rsid w:val="007734B5"/>
    <w:rsid w:val="007809B8"/>
    <w:rsid w:val="00792317"/>
    <w:rsid w:val="007A30ED"/>
    <w:rsid w:val="00800E6A"/>
    <w:rsid w:val="008214B1"/>
    <w:rsid w:val="00831630"/>
    <w:rsid w:val="00836ED7"/>
    <w:rsid w:val="0084245A"/>
    <w:rsid w:val="008453AC"/>
    <w:rsid w:val="00860D09"/>
    <w:rsid w:val="00862044"/>
    <w:rsid w:val="00876B21"/>
    <w:rsid w:val="008B1A76"/>
    <w:rsid w:val="008C305F"/>
    <w:rsid w:val="008C3AD2"/>
    <w:rsid w:val="008C7C3D"/>
    <w:rsid w:val="008D6F66"/>
    <w:rsid w:val="008E1BEA"/>
    <w:rsid w:val="008E43D2"/>
    <w:rsid w:val="008F04C9"/>
    <w:rsid w:val="008F7DB7"/>
    <w:rsid w:val="009064D3"/>
    <w:rsid w:val="00915300"/>
    <w:rsid w:val="00933B0C"/>
    <w:rsid w:val="00934519"/>
    <w:rsid w:val="00935676"/>
    <w:rsid w:val="00950E4F"/>
    <w:rsid w:val="00956529"/>
    <w:rsid w:val="00956808"/>
    <w:rsid w:val="00961692"/>
    <w:rsid w:val="00965928"/>
    <w:rsid w:val="0098401D"/>
    <w:rsid w:val="009A789F"/>
    <w:rsid w:val="009B12EF"/>
    <w:rsid w:val="009B6185"/>
    <w:rsid w:val="009E1E78"/>
    <w:rsid w:val="009F0E00"/>
    <w:rsid w:val="00A21117"/>
    <w:rsid w:val="00A409E1"/>
    <w:rsid w:val="00A46989"/>
    <w:rsid w:val="00A55167"/>
    <w:rsid w:val="00A6241A"/>
    <w:rsid w:val="00A71CE9"/>
    <w:rsid w:val="00A72A19"/>
    <w:rsid w:val="00A75A30"/>
    <w:rsid w:val="00AB2363"/>
    <w:rsid w:val="00AB2A48"/>
    <w:rsid w:val="00AC3236"/>
    <w:rsid w:val="00AC6B02"/>
    <w:rsid w:val="00AD4874"/>
    <w:rsid w:val="00AE1F8A"/>
    <w:rsid w:val="00B036B2"/>
    <w:rsid w:val="00B153C3"/>
    <w:rsid w:val="00B22087"/>
    <w:rsid w:val="00B24039"/>
    <w:rsid w:val="00B722F2"/>
    <w:rsid w:val="00B95339"/>
    <w:rsid w:val="00BB334E"/>
    <w:rsid w:val="00BB5DCF"/>
    <w:rsid w:val="00BF59EA"/>
    <w:rsid w:val="00BF79CD"/>
    <w:rsid w:val="00BF7DDC"/>
    <w:rsid w:val="00C32EE6"/>
    <w:rsid w:val="00C34C8C"/>
    <w:rsid w:val="00C50792"/>
    <w:rsid w:val="00C52EDA"/>
    <w:rsid w:val="00C904D9"/>
    <w:rsid w:val="00C94C06"/>
    <w:rsid w:val="00C97B59"/>
    <w:rsid w:val="00CA48BF"/>
    <w:rsid w:val="00CB3ACC"/>
    <w:rsid w:val="00CB4745"/>
    <w:rsid w:val="00CD2163"/>
    <w:rsid w:val="00CD391C"/>
    <w:rsid w:val="00CD4FE7"/>
    <w:rsid w:val="00CE7344"/>
    <w:rsid w:val="00CF26EE"/>
    <w:rsid w:val="00CF5C09"/>
    <w:rsid w:val="00D310F0"/>
    <w:rsid w:val="00D500A9"/>
    <w:rsid w:val="00D55C20"/>
    <w:rsid w:val="00D5694B"/>
    <w:rsid w:val="00D732FE"/>
    <w:rsid w:val="00D772E9"/>
    <w:rsid w:val="00D83338"/>
    <w:rsid w:val="00DA31AB"/>
    <w:rsid w:val="00DA3281"/>
    <w:rsid w:val="00DA6D3E"/>
    <w:rsid w:val="00DC02E8"/>
    <w:rsid w:val="00DC75C7"/>
    <w:rsid w:val="00DF4592"/>
    <w:rsid w:val="00E13941"/>
    <w:rsid w:val="00E2651B"/>
    <w:rsid w:val="00E472F8"/>
    <w:rsid w:val="00E6632E"/>
    <w:rsid w:val="00E81409"/>
    <w:rsid w:val="00E90CF2"/>
    <w:rsid w:val="00E928D1"/>
    <w:rsid w:val="00EE73E1"/>
    <w:rsid w:val="00EF30BF"/>
    <w:rsid w:val="00EF55F4"/>
    <w:rsid w:val="00F007D2"/>
    <w:rsid w:val="00F04D74"/>
    <w:rsid w:val="00F12107"/>
    <w:rsid w:val="00F13165"/>
    <w:rsid w:val="00F7477E"/>
    <w:rsid w:val="00F85393"/>
    <w:rsid w:val="00FA355B"/>
    <w:rsid w:val="00FA6027"/>
    <w:rsid w:val="00FB2C7D"/>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559"/>
    <w:rPr>
      <w:sz w:val="26"/>
      <w:lang w:eastAsia="en-US"/>
    </w:rPr>
  </w:style>
  <w:style w:type="paragraph" w:styleId="Heading1">
    <w:name w:val="heading 1"/>
    <w:basedOn w:val="BodyText"/>
    <w:next w:val="BodyText"/>
    <w:link w:val="Heading1Char"/>
    <w:rsid w:val="00332B48"/>
    <w:pPr>
      <w:keepNext/>
      <w:spacing w:before="160" w:after="1360" w:line="600" w:lineRule="exact"/>
      <w:ind w:left="907" w:hanging="907"/>
      <w:jc w:val="left"/>
      <w:outlineLvl w:val="0"/>
    </w:pPr>
    <w:rPr>
      <w:b/>
      <w:color w:val="86A20B"/>
      <w:sz w:val="52"/>
    </w:rPr>
  </w:style>
  <w:style w:type="paragraph" w:styleId="Heading2">
    <w:name w:val="heading 2"/>
    <w:basedOn w:val="Normal"/>
    <w:next w:val="BodyText"/>
    <w:link w:val="Heading2Char"/>
    <w:qFormat/>
    <w:rsid w:val="00332B48"/>
    <w:pPr>
      <w:keepNext/>
      <w:spacing w:before="600" w:line="480" w:lineRule="exact"/>
      <w:ind w:left="907" w:hanging="907"/>
      <w:outlineLvl w:val="1"/>
    </w:pPr>
    <w:rPr>
      <w:rFonts w:ascii="Arial" w:hAnsi="Arial"/>
      <w:b/>
      <w:color w:val="4298B5"/>
      <w:sz w:val="40"/>
      <w:lang w:eastAsia="en-AU"/>
    </w:rPr>
  </w:style>
  <w:style w:type="paragraph" w:styleId="Heading3">
    <w:name w:val="heading 3"/>
    <w:basedOn w:val="Heading2"/>
    <w:next w:val="BodyText"/>
    <w:link w:val="Heading3Char"/>
    <w:qFormat/>
    <w:rsid w:val="00332B48"/>
    <w:pPr>
      <w:spacing w:before="560" w:line="380" w:lineRule="exact"/>
      <w:ind w:left="0" w:firstLine="0"/>
      <w:outlineLvl w:val="2"/>
    </w:pPr>
    <w:rPr>
      <w:color w:val="auto"/>
      <w:sz w:val="32"/>
    </w:rPr>
  </w:style>
  <w:style w:type="paragraph" w:styleId="Heading4">
    <w:name w:val="heading 4"/>
    <w:basedOn w:val="Heading3"/>
    <w:next w:val="BodyText"/>
    <w:link w:val="Heading4Char"/>
    <w:qFormat/>
    <w:rsid w:val="00332B48"/>
    <w:pPr>
      <w:spacing w:before="480" w:line="360" w:lineRule="exact"/>
      <w:outlineLvl w:val="3"/>
    </w:pPr>
    <w:rPr>
      <w:b w:val="0"/>
      <w:i/>
      <w:sz w:val="28"/>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32B48"/>
    <w:pPr>
      <w:spacing w:before="240" w:line="320" w:lineRule="atLeast"/>
      <w:jc w:val="both"/>
    </w:pPr>
    <w:rPr>
      <w:rFonts w:ascii="Arial" w:hAnsi="Arial"/>
      <w:color w:val="1C1C1C"/>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pPr>
      <w:keepNext/>
      <w:spacing w:before="120" w:line="280" w:lineRule="atLeast"/>
    </w:pPr>
    <w:rPr>
      <w:sz w:val="22"/>
    </w:rPr>
  </w:style>
  <w:style w:type="paragraph" w:customStyle="1" w:styleId="Note">
    <w:name w:val="Note"/>
    <w:basedOn w:val="BodyText"/>
    <w:next w:val="Normal"/>
    <w:pPr>
      <w:keepLines/>
      <w:spacing w:before="80" w:line="220" w:lineRule="exact"/>
    </w:pPr>
    <w:rPr>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BodyText"/>
    <w:link w:val="FooterChar"/>
    <w:uiPriority w:val="99"/>
    <w:rsid w:val="00961692"/>
    <w:pPr>
      <w:spacing w:before="80" w:line="200" w:lineRule="exact"/>
      <w:ind w:right="6"/>
      <w:jc w:val="left"/>
    </w:pPr>
    <w:rPr>
      <w:caps/>
      <w:color w:val="333333"/>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332B48"/>
    <w:rPr>
      <w:szCs w:val="24"/>
      <w:lang w:eastAsia="en-AU"/>
    </w:rPr>
  </w:style>
  <w:style w:type="paragraph" w:styleId="Subtitle">
    <w:name w:val="Subtitle"/>
    <w:basedOn w:val="Normal"/>
    <w:next w:val="Normal"/>
    <w:link w:val="SubtitleChar"/>
    <w:qFormat/>
    <w:rsid w:val="00332B48"/>
    <w:pPr>
      <w:numPr>
        <w:ilvl w:val="1"/>
      </w:numPr>
    </w:pPr>
    <w:rPr>
      <w:rFonts w:asciiTheme="majorHAnsi" w:eastAsiaTheme="majorEastAsia" w:hAnsiTheme="majorHAnsi" w:cstheme="majorBidi"/>
      <w:i/>
      <w:iCs/>
      <w:color w:val="4F81BD" w:themeColor="accent1"/>
      <w:spacing w:val="15"/>
      <w:sz w:val="24"/>
      <w:szCs w:val="24"/>
      <w:lang w:eastAsia="en-AU"/>
    </w:rPr>
  </w:style>
  <w:style w:type="paragraph" w:customStyle="1" w:styleId="Finding">
    <w:name w:val="Finding"/>
    <w:basedOn w:val="BodyText"/>
    <w:rsid w:val="00332B48"/>
    <w:pPr>
      <w:keepLines/>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rsid w:val="00332B48"/>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1027DA"/>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style>
  <w:style w:type="paragraph" w:customStyle="1" w:styleId="Rec">
    <w:name w:val="Rec"/>
    <w:basedOn w:val="BodyText"/>
    <w:rsid w:val="00332B48"/>
    <w:pPr>
      <w:keepLines/>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332B48"/>
    <w:rPr>
      <w:rFonts w:ascii="Arial" w:hAnsi="Arial"/>
      <w:color w:val="1C1C1C"/>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character" w:customStyle="1" w:styleId="Heading1Char">
    <w:name w:val="Heading 1 Char"/>
    <w:basedOn w:val="DefaultParagraphFont"/>
    <w:link w:val="Heading1"/>
    <w:rsid w:val="00332B48"/>
    <w:rPr>
      <w:rFonts w:ascii="Arial" w:hAnsi="Arial"/>
      <w:b/>
      <w:color w:val="86A20B"/>
      <w:sz w:val="52"/>
    </w:rPr>
  </w:style>
  <w:style w:type="character" w:customStyle="1" w:styleId="Heading2Char">
    <w:name w:val="Heading 2 Char"/>
    <w:basedOn w:val="DefaultParagraphFont"/>
    <w:link w:val="Heading2"/>
    <w:rsid w:val="00332B48"/>
    <w:rPr>
      <w:rFonts w:ascii="Arial" w:hAnsi="Arial"/>
      <w:b/>
      <w:color w:val="4298B5"/>
      <w:sz w:val="40"/>
    </w:rPr>
  </w:style>
  <w:style w:type="character" w:customStyle="1" w:styleId="Heading3Char">
    <w:name w:val="Heading 3 Char"/>
    <w:basedOn w:val="DefaultParagraphFont"/>
    <w:link w:val="Heading3"/>
    <w:rsid w:val="00332B48"/>
    <w:rPr>
      <w:rFonts w:ascii="Arial" w:hAnsi="Arial"/>
      <w:b/>
      <w:sz w:val="32"/>
    </w:rPr>
  </w:style>
  <w:style w:type="character" w:customStyle="1" w:styleId="Heading4Char">
    <w:name w:val="Heading 4 Char"/>
    <w:basedOn w:val="DefaultParagraphFont"/>
    <w:link w:val="Heading4"/>
    <w:rsid w:val="00332B48"/>
    <w:rPr>
      <w:rFonts w:ascii="Arial" w:hAnsi="Arial"/>
      <w:i/>
      <w:sz w:val="28"/>
    </w:rPr>
  </w:style>
  <w:style w:type="paragraph" w:customStyle="1" w:styleId="OZNZQuestion">
    <w:name w:val="OZNZ Question"/>
    <w:basedOn w:val="Normal"/>
    <w:uiPriority w:val="99"/>
    <w:qFormat/>
    <w:rsid w:val="00332B48"/>
    <w:pPr>
      <w:spacing w:line="320" w:lineRule="atLeast"/>
      <w:jc w:val="both"/>
    </w:pPr>
    <w:rPr>
      <w:rFonts w:ascii="Arial" w:hAnsi="Arial" w:cs="Arial"/>
      <w:sz w:val="24"/>
      <w:szCs w:val="24"/>
      <w:lang w:eastAsia="en-AU"/>
    </w:rPr>
  </w:style>
  <w:style w:type="character" w:customStyle="1" w:styleId="SubtitleChar">
    <w:name w:val="Subtitle Char"/>
    <w:basedOn w:val="DefaultParagraphFont"/>
    <w:link w:val="Subtitle"/>
    <w:rsid w:val="00332B48"/>
    <w:rPr>
      <w:rFonts w:asciiTheme="majorHAnsi" w:eastAsiaTheme="majorEastAsia" w:hAnsiTheme="majorHAnsi" w:cstheme="majorBidi"/>
      <w:i/>
      <w:iCs/>
      <w:color w:val="4F81BD" w:themeColor="accent1"/>
      <w:spacing w:val="15"/>
      <w:sz w:val="24"/>
      <w:szCs w:val="24"/>
    </w:rPr>
  </w:style>
  <w:style w:type="character" w:customStyle="1" w:styleId="FooterChar">
    <w:name w:val="Footer Char"/>
    <w:basedOn w:val="DefaultParagraphFont"/>
    <w:link w:val="Footer"/>
    <w:uiPriority w:val="99"/>
    <w:rsid w:val="00961692"/>
    <w:rPr>
      <w:rFonts w:ascii="Arial" w:hAnsi="Arial"/>
      <w:caps/>
      <w:color w:val="333333"/>
      <w:spacing w:val="-4"/>
      <w:sz w:val="16"/>
    </w:rPr>
  </w:style>
  <w:style w:type="character" w:styleId="Hyperlink">
    <w:name w:val="Hyperlink"/>
    <w:basedOn w:val="DefaultParagraphFont"/>
    <w:uiPriority w:val="99"/>
    <w:unhideWhenUsed/>
    <w:rsid w:val="00C97B59"/>
    <w:rPr>
      <w:rFonts w:ascii="Times New Roman" w:hAnsi="Times New Roman" w:cs="Times New Roman" w:hint="default"/>
      <w:color w:val="000000"/>
      <w:u w:val="single"/>
    </w:rPr>
  </w:style>
  <w:style w:type="character" w:styleId="PlaceholderText">
    <w:name w:val="Placeholder Text"/>
    <w:basedOn w:val="DefaultParagraphFont"/>
    <w:uiPriority w:val="99"/>
    <w:semiHidden/>
    <w:rsid w:val="00950E4F"/>
    <w:rPr>
      <w:color w:val="808080"/>
    </w:rPr>
  </w:style>
  <w:style w:type="table" w:styleId="TableGrid">
    <w:name w:val="Table Grid"/>
    <w:basedOn w:val="TableNormal"/>
    <w:rsid w:val="00800E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559"/>
    <w:rPr>
      <w:sz w:val="26"/>
      <w:lang w:eastAsia="en-US"/>
    </w:rPr>
  </w:style>
  <w:style w:type="paragraph" w:styleId="Heading1">
    <w:name w:val="heading 1"/>
    <w:basedOn w:val="BodyText"/>
    <w:next w:val="BodyText"/>
    <w:link w:val="Heading1Char"/>
    <w:rsid w:val="00332B48"/>
    <w:pPr>
      <w:keepNext/>
      <w:spacing w:before="160" w:after="1360" w:line="600" w:lineRule="exact"/>
      <w:ind w:left="907" w:hanging="907"/>
      <w:jc w:val="left"/>
      <w:outlineLvl w:val="0"/>
    </w:pPr>
    <w:rPr>
      <w:b/>
      <w:color w:val="86A20B"/>
      <w:sz w:val="52"/>
    </w:rPr>
  </w:style>
  <w:style w:type="paragraph" w:styleId="Heading2">
    <w:name w:val="heading 2"/>
    <w:basedOn w:val="Normal"/>
    <w:next w:val="BodyText"/>
    <w:link w:val="Heading2Char"/>
    <w:qFormat/>
    <w:rsid w:val="00332B48"/>
    <w:pPr>
      <w:keepNext/>
      <w:spacing w:before="600" w:line="480" w:lineRule="exact"/>
      <w:ind w:left="907" w:hanging="907"/>
      <w:outlineLvl w:val="1"/>
    </w:pPr>
    <w:rPr>
      <w:rFonts w:ascii="Arial" w:hAnsi="Arial"/>
      <w:b/>
      <w:color w:val="4298B5"/>
      <w:sz w:val="40"/>
      <w:lang w:eastAsia="en-AU"/>
    </w:rPr>
  </w:style>
  <w:style w:type="paragraph" w:styleId="Heading3">
    <w:name w:val="heading 3"/>
    <w:basedOn w:val="Heading2"/>
    <w:next w:val="BodyText"/>
    <w:link w:val="Heading3Char"/>
    <w:qFormat/>
    <w:rsid w:val="00332B48"/>
    <w:pPr>
      <w:spacing w:before="560" w:line="380" w:lineRule="exact"/>
      <w:ind w:left="0" w:firstLine="0"/>
      <w:outlineLvl w:val="2"/>
    </w:pPr>
    <w:rPr>
      <w:color w:val="auto"/>
      <w:sz w:val="32"/>
    </w:rPr>
  </w:style>
  <w:style w:type="paragraph" w:styleId="Heading4">
    <w:name w:val="heading 4"/>
    <w:basedOn w:val="Heading3"/>
    <w:next w:val="BodyText"/>
    <w:link w:val="Heading4Char"/>
    <w:qFormat/>
    <w:rsid w:val="00332B48"/>
    <w:pPr>
      <w:spacing w:before="480" w:line="360" w:lineRule="exact"/>
      <w:outlineLvl w:val="3"/>
    </w:pPr>
    <w:rPr>
      <w:b w:val="0"/>
      <w:i/>
      <w:sz w:val="28"/>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32B48"/>
    <w:pPr>
      <w:spacing w:before="240" w:line="320" w:lineRule="atLeast"/>
      <w:jc w:val="both"/>
    </w:pPr>
    <w:rPr>
      <w:rFonts w:ascii="Arial" w:hAnsi="Arial"/>
      <w:color w:val="1C1C1C"/>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pPr>
      <w:keepNext/>
      <w:spacing w:before="120" w:line="280" w:lineRule="atLeast"/>
    </w:pPr>
    <w:rPr>
      <w:sz w:val="22"/>
    </w:rPr>
  </w:style>
  <w:style w:type="paragraph" w:customStyle="1" w:styleId="Note">
    <w:name w:val="Note"/>
    <w:basedOn w:val="BodyText"/>
    <w:next w:val="Normal"/>
    <w:pPr>
      <w:keepLines/>
      <w:spacing w:before="80" w:line="220" w:lineRule="exact"/>
    </w:pPr>
    <w:rPr>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BodyText"/>
    <w:link w:val="FooterChar"/>
    <w:uiPriority w:val="99"/>
    <w:rsid w:val="00961692"/>
    <w:pPr>
      <w:spacing w:before="80" w:line="200" w:lineRule="exact"/>
      <w:ind w:right="6"/>
      <w:jc w:val="left"/>
    </w:pPr>
    <w:rPr>
      <w:caps/>
      <w:color w:val="333333"/>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332B48"/>
    <w:rPr>
      <w:szCs w:val="24"/>
      <w:lang w:eastAsia="en-AU"/>
    </w:rPr>
  </w:style>
  <w:style w:type="paragraph" w:styleId="Subtitle">
    <w:name w:val="Subtitle"/>
    <w:basedOn w:val="Normal"/>
    <w:next w:val="Normal"/>
    <w:link w:val="SubtitleChar"/>
    <w:qFormat/>
    <w:rsid w:val="00332B48"/>
    <w:pPr>
      <w:numPr>
        <w:ilvl w:val="1"/>
      </w:numPr>
    </w:pPr>
    <w:rPr>
      <w:rFonts w:asciiTheme="majorHAnsi" w:eastAsiaTheme="majorEastAsia" w:hAnsiTheme="majorHAnsi" w:cstheme="majorBidi"/>
      <w:i/>
      <w:iCs/>
      <w:color w:val="4F81BD" w:themeColor="accent1"/>
      <w:spacing w:val="15"/>
      <w:sz w:val="24"/>
      <w:szCs w:val="24"/>
      <w:lang w:eastAsia="en-AU"/>
    </w:rPr>
  </w:style>
  <w:style w:type="paragraph" w:customStyle="1" w:styleId="Finding">
    <w:name w:val="Finding"/>
    <w:basedOn w:val="BodyText"/>
    <w:rsid w:val="00332B48"/>
    <w:pPr>
      <w:keepLines/>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rsid w:val="00332B48"/>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1027DA"/>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style>
  <w:style w:type="paragraph" w:customStyle="1" w:styleId="Rec">
    <w:name w:val="Rec"/>
    <w:basedOn w:val="BodyText"/>
    <w:rsid w:val="00332B48"/>
    <w:pPr>
      <w:keepLines/>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332B48"/>
    <w:rPr>
      <w:rFonts w:ascii="Arial" w:hAnsi="Arial"/>
      <w:color w:val="1C1C1C"/>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character" w:customStyle="1" w:styleId="Heading1Char">
    <w:name w:val="Heading 1 Char"/>
    <w:basedOn w:val="DefaultParagraphFont"/>
    <w:link w:val="Heading1"/>
    <w:rsid w:val="00332B48"/>
    <w:rPr>
      <w:rFonts w:ascii="Arial" w:hAnsi="Arial"/>
      <w:b/>
      <w:color w:val="86A20B"/>
      <w:sz w:val="52"/>
    </w:rPr>
  </w:style>
  <w:style w:type="character" w:customStyle="1" w:styleId="Heading2Char">
    <w:name w:val="Heading 2 Char"/>
    <w:basedOn w:val="DefaultParagraphFont"/>
    <w:link w:val="Heading2"/>
    <w:rsid w:val="00332B48"/>
    <w:rPr>
      <w:rFonts w:ascii="Arial" w:hAnsi="Arial"/>
      <w:b/>
      <w:color w:val="4298B5"/>
      <w:sz w:val="40"/>
    </w:rPr>
  </w:style>
  <w:style w:type="character" w:customStyle="1" w:styleId="Heading3Char">
    <w:name w:val="Heading 3 Char"/>
    <w:basedOn w:val="DefaultParagraphFont"/>
    <w:link w:val="Heading3"/>
    <w:rsid w:val="00332B48"/>
    <w:rPr>
      <w:rFonts w:ascii="Arial" w:hAnsi="Arial"/>
      <w:b/>
      <w:sz w:val="32"/>
    </w:rPr>
  </w:style>
  <w:style w:type="character" w:customStyle="1" w:styleId="Heading4Char">
    <w:name w:val="Heading 4 Char"/>
    <w:basedOn w:val="DefaultParagraphFont"/>
    <w:link w:val="Heading4"/>
    <w:rsid w:val="00332B48"/>
    <w:rPr>
      <w:rFonts w:ascii="Arial" w:hAnsi="Arial"/>
      <w:i/>
      <w:sz w:val="28"/>
    </w:rPr>
  </w:style>
  <w:style w:type="paragraph" w:customStyle="1" w:styleId="OZNZQuestion">
    <w:name w:val="OZNZ Question"/>
    <w:basedOn w:val="Normal"/>
    <w:uiPriority w:val="99"/>
    <w:qFormat/>
    <w:rsid w:val="00332B48"/>
    <w:pPr>
      <w:spacing w:line="320" w:lineRule="atLeast"/>
      <w:jc w:val="both"/>
    </w:pPr>
    <w:rPr>
      <w:rFonts w:ascii="Arial" w:hAnsi="Arial" w:cs="Arial"/>
      <w:sz w:val="24"/>
      <w:szCs w:val="24"/>
      <w:lang w:eastAsia="en-AU"/>
    </w:rPr>
  </w:style>
  <w:style w:type="character" w:customStyle="1" w:styleId="SubtitleChar">
    <w:name w:val="Subtitle Char"/>
    <w:basedOn w:val="DefaultParagraphFont"/>
    <w:link w:val="Subtitle"/>
    <w:rsid w:val="00332B48"/>
    <w:rPr>
      <w:rFonts w:asciiTheme="majorHAnsi" w:eastAsiaTheme="majorEastAsia" w:hAnsiTheme="majorHAnsi" w:cstheme="majorBidi"/>
      <w:i/>
      <w:iCs/>
      <w:color w:val="4F81BD" w:themeColor="accent1"/>
      <w:spacing w:val="15"/>
      <w:sz w:val="24"/>
      <w:szCs w:val="24"/>
    </w:rPr>
  </w:style>
  <w:style w:type="character" w:customStyle="1" w:styleId="FooterChar">
    <w:name w:val="Footer Char"/>
    <w:basedOn w:val="DefaultParagraphFont"/>
    <w:link w:val="Footer"/>
    <w:uiPriority w:val="99"/>
    <w:rsid w:val="00961692"/>
    <w:rPr>
      <w:rFonts w:ascii="Arial" w:hAnsi="Arial"/>
      <w:caps/>
      <w:color w:val="333333"/>
      <w:spacing w:val="-4"/>
      <w:sz w:val="16"/>
    </w:rPr>
  </w:style>
  <w:style w:type="character" w:styleId="Hyperlink">
    <w:name w:val="Hyperlink"/>
    <w:basedOn w:val="DefaultParagraphFont"/>
    <w:uiPriority w:val="99"/>
    <w:unhideWhenUsed/>
    <w:rsid w:val="00C97B59"/>
    <w:rPr>
      <w:rFonts w:ascii="Times New Roman" w:hAnsi="Times New Roman" w:cs="Times New Roman" w:hint="default"/>
      <w:color w:val="000000"/>
      <w:u w:val="single"/>
    </w:rPr>
  </w:style>
  <w:style w:type="character" w:styleId="PlaceholderText">
    <w:name w:val="Placeholder Text"/>
    <w:basedOn w:val="DefaultParagraphFont"/>
    <w:uiPriority w:val="99"/>
    <w:semiHidden/>
    <w:rsid w:val="00950E4F"/>
    <w:rPr>
      <w:color w:val="808080"/>
    </w:rPr>
  </w:style>
  <w:style w:type="table" w:styleId="TableGrid">
    <w:name w:val="Table Grid"/>
    <w:basedOn w:val="TableNormal"/>
    <w:rsid w:val="00800E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312754321">
      <w:bodyDiv w:val="1"/>
      <w:marLeft w:val="0"/>
      <w:marRight w:val="0"/>
      <w:marTop w:val="0"/>
      <w:marBottom w:val="0"/>
      <w:divBdr>
        <w:top w:val="none" w:sz="0" w:space="0" w:color="auto"/>
        <w:left w:val="none" w:sz="0" w:space="0" w:color="auto"/>
        <w:bottom w:val="none" w:sz="0" w:space="0" w:color="auto"/>
        <w:right w:val="none" w:sz="0" w:space="0" w:color="auto"/>
      </w:divBdr>
    </w:div>
    <w:div w:id="174183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reativecommons.org/licenses/by/3.0/" TargetMode="Externa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yperlink" Target="http://creativecommons.org/licenses/by/3.0/" TargetMode="Externa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rans-tasman-review.productivity.govt.nz"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3.xml"/><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ANZPC\template2010\prelimsANZ.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3BF71-E8BF-49B0-8900-77CD33D85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prelimsANZ.dotm</Template>
  <TotalTime>247</TotalTime>
  <Pages>16</Pages>
  <Words>2903</Words>
  <Characters>17339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20202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
  <cp:lastModifiedBy>Productivity Commission</cp:lastModifiedBy>
  <cp:revision>34</cp:revision>
  <cp:lastPrinted>2012-12-04T05:32:00Z</cp:lastPrinted>
  <dcterms:created xsi:type="dcterms:W3CDTF">2012-11-22T00:56:00Z</dcterms:created>
  <dcterms:modified xsi:type="dcterms:W3CDTF">2012-12-11T02:01:00Z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1489188883</vt:i4>
  </property>
  <property fmtid="{D5CDD505-2E9C-101B-9397-08002B2CF9AE}" pid="3" name="_NewReviewCycle">
    <vt:lpwstr/>
  </property>
  <property fmtid="{D5CDD505-2E9C-101B-9397-08002B2CF9AE}" pid="4" name="_EmailSubject">
    <vt:lpwstr>Web files for the OZ-NZ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