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884" w:rsidRPr="00E06ED4" w:rsidRDefault="00D46884">
      <w:pPr>
        <w:pStyle w:val="PartNumber"/>
        <w:rPr>
          <w:lang w:val="en-NZ"/>
        </w:rPr>
      </w:pPr>
      <w:bookmarkStart w:id="0" w:name="ChapterNumber"/>
    </w:p>
    <w:p w:rsidR="00D46884" w:rsidRPr="00E06ED4" w:rsidRDefault="00D46884">
      <w:pPr>
        <w:pStyle w:val="PartDivider"/>
        <w:rPr>
          <w:lang w:val="en-NZ"/>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6884" w:rsidRPr="00DE5D11" w:rsidTr="00862F29">
        <w:trPr>
          <w:trHeight w:val="45"/>
        </w:trPr>
        <w:tc>
          <w:tcPr>
            <w:tcW w:w="6634" w:type="dxa"/>
            <w:tcBorders>
              <w:top w:val="dotted" w:sz="18" w:space="0" w:color="B2B2B2"/>
            </w:tcBorders>
          </w:tcPr>
          <w:p w:rsidR="00D46884" w:rsidRPr="00E06ED4" w:rsidRDefault="00D46884" w:rsidP="00862F29">
            <w:pPr>
              <w:pStyle w:val="PartDivider"/>
              <w:rPr>
                <w:lang w:val="en-NZ"/>
              </w:rPr>
            </w:pPr>
          </w:p>
        </w:tc>
        <w:tc>
          <w:tcPr>
            <w:tcW w:w="2155" w:type="dxa"/>
            <w:tcBorders>
              <w:top w:val="single" w:sz="24" w:space="0" w:color="86A20B"/>
            </w:tcBorders>
          </w:tcPr>
          <w:p w:rsidR="00D46884" w:rsidRPr="00E06ED4" w:rsidRDefault="00D46884" w:rsidP="00862F29">
            <w:pPr>
              <w:pStyle w:val="PartDivider"/>
              <w:rPr>
                <w:lang w:val="en-NZ"/>
              </w:rPr>
            </w:pPr>
          </w:p>
        </w:tc>
      </w:tr>
    </w:tbl>
    <w:p w:rsidR="00D46884" w:rsidRPr="00E06ED4" w:rsidRDefault="00D46884" w:rsidP="00862F29">
      <w:pPr>
        <w:pStyle w:val="PartTitle"/>
        <w:ind w:right="0"/>
        <w:rPr>
          <w:b/>
          <w:smallCaps w:val="0"/>
          <w:color w:val="86A20B"/>
          <w:lang w:val="en-NZ"/>
        </w:rPr>
      </w:pPr>
      <w:r w:rsidRPr="00E06ED4">
        <w:rPr>
          <w:b/>
          <w:smallCaps w:val="0"/>
          <w:color w:val="86A20B"/>
          <w:lang w:val="en-NZ"/>
        </w:rPr>
        <w:t>Overview</w:t>
      </w:r>
    </w:p>
    <w:p w:rsidR="00D46884" w:rsidRPr="00E06ED4" w:rsidRDefault="00D46884">
      <w:pPr>
        <w:rPr>
          <w:sz w:val="52"/>
          <w:lang w:val="en-NZ"/>
        </w:rPr>
      </w:pPr>
      <w:r w:rsidRPr="00E06ED4">
        <w:rPr>
          <w:lang w:val="en-NZ"/>
        </w:rPr>
        <w:br w:type="page"/>
      </w:r>
    </w:p>
    <w:p w:rsidR="00D46884" w:rsidRPr="00E06ED4" w:rsidRDefault="00D46884">
      <w:pPr>
        <w:pStyle w:val="BoxSpace"/>
        <w:rPr>
          <w:lang w:val="en-NZ"/>
        </w:rPr>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D46884" w:rsidRPr="00DE5D11" w:rsidTr="00862F29">
        <w:tc>
          <w:tcPr>
            <w:tcW w:w="8771" w:type="dxa"/>
            <w:shd w:val="clear" w:color="auto" w:fill="E7ECCE"/>
          </w:tcPr>
          <w:p w:rsidR="00D46884" w:rsidRPr="00E06ED4" w:rsidRDefault="00D46884" w:rsidP="00862F29">
            <w:pPr>
              <w:pStyle w:val="BoxTitle"/>
              <w:rPr>
                <w:lang w:val="en-NZ"/>
              </w:rPr>
            </w:pPr>
            <w:r w:rsidRPr="00E06ED4">
              <w:rPr>
                <w:lang w:val="en-NZ"/>
              </w:rPr>
              <w:t>Key points</w:t>
            </w:r>
          </w:p>
        </w:tc>
      </w:tr>
      <w:tr w:rsidR="00FC7F8A" w:rsidRPr="00DE5D11" w:rsidTr="00862F29">
        <w:trPr>
          <w:cantSplit/>
        </w:trPr>
        <w:tc>
          <w:tcPr>
            <w:tcW w:w="8771" w:type="dxa"/>
            <w:shd w:val="clear" w:color="auto" w:fill="E7ECCE"/>
          </w:tcPr>
          <w:p w:rsidR="00FC7F8A" w:rsidRPr="00B6206D" w:rsidRDefault="00FC7F8A" w:rsidP="00B6206D">
            <w:pPr>
              <w:pStyle w:val="BoxListBullet"/>
            </w:pPr>
            <w:r w:rsidRPr="00B6206D">
              <w:t xml:space="preserve">The Australian and New Zealand economies have become closely integrated, beyond what </w:t>
            </w:r>
            <w:r w:rsidR="00FC62BD" w:rsidRPr="00B6206D">
              <w:t>could be expected</w:t>
            </w:r>
            <w:r w:rsidRPr="00B6206D">
              <w:t xml:space="preserve"> with </w:t>
            </w:r>
            <w:r w:rsidR="007F7BB8" w:rsidRPr="00B6206D">
              <w:t>an</w:t>
            </w:r>
            <w:r w:rsidR="00CB0FB4" w:rsidRPr="00B6206D">
              <w:t>y</w:t>
            </w:r>
            <w:r w:rsidR="007F7BB8" w:rsidRPr="00B6206D">
              <w:t xml:space="preserve"> third country</w:t>
            </w:r>
            <w:r w:rsidRPr="00B6206D">
              <w:t>. This has been facilitated by institutional, legal and cultural similarities, as well as geographic proximity.</w:t>
            </w:r>
          </w:p>
          <w:p w:rsidR="00FC7F8A" w:rsidRPr="00B6206D" w:rsidRDefault="00FC7F8A" w:rsidP="00B6206D">
            <w:pPr>
              <w:pStyle w:val="BoxListBullet"/>
            </w:pPr>
            <w:r w:rsidRPr="00B6206D">
              <w:t>Closer Economic Relations (</w:t>
            </w:r>
            <w:proofErr w:type="spellStart"/>
            <w:r w:rsidRPr="00B6206D">
              <w:t>CER</w:t>
            </w:r>
            <w:proofErr w:type="spellEnd"/>
            <w:r w:rsidRPr="00B6206D">
              <w:t>) initiatives have contributed significantly to trans</w:t>
            </w:r>
            <w:r w:rsidR="00AD4AF4" w:rsidRPr="00B6206D">
              <w:noBreakHyphen/>
            </w:r>
            <w:r w:rsidRPr="00B6206D">
              <w:t xml:space="preserve">Tasman integration over the past 30 years. Tariffs and quantitative restrictions have been eliminated on virtually all goods traded between the two countries; people move freely </w:t>
            </w:r>
            <w:r w:rsidR="00525E05">
              <w:t>across the Tasman</w:t>
            </w:r>
            <w:r w:rsidRPr="00B6206D">
              <w:t xml:space="preserve">; and the </w:t>
            </w:r>
            <w:proofErr w:type="spellStart"/>
            <w:r w:rsidRPr="00B6206D">
              <w:t>CER</w:t>
            </w:r>
            <w:proofErr w:type="spellEnd"/>
            <w:r w:rsidRPr="00B6206D">
              <w:t xml:space="preserve"> agenda has expanded into new areas, such as services trade and behind-</w:t>
            </w:r>
            <w:r w:rsidR="00631019" w:rsidRPr="00B6206D">
              <w:t>the-border regulatory barriers.</w:t>
            </w:r>
          </w:p>
          <w:p w:rsidR="00FC7F8A" w:rsidRPr="00B6206D" w:rsidRDefault="00FC7F8A" w:rsidP="00B6206D">
            <w:pPr>
              <w:pStyle w:val="BoxListBullet"/>
            </w:pPr>
            <w:r w:rsidRPr="00B6206D">
              <w:t xml:space="preserve">The Commissions’ assessment is that </w:t>
            </w:r>
            <w:proofErr w:type="spellStart"/>
            <w:r w:rsidRPr="00462545">
              <w:t>CER</w:t>
            </w:r>
            <w:proofErr w:type="spellEnd"/>
            <w:r w:rsidRPr="00B6206D">
              <w:t xml:space="preserve"> has produced benefits overall for Australia and New Zealand, </w:t>
            </w:r>
            <w:r w:rsidR="00347E6A" w:rsidRPr="00B6206D">
              <w:t>even though evidence is limited in some areas</w:t>
            </w:r>
            <w:r w:rsidRPr="00B6206D">
              <w:t>.</w:t>
            </w:r>
          </w:p>
          <w:p w:rsidR="00FC7F8A" w:rsidRPr="00B6206D" w:rsidRDefault="00DE5D11" w:rsidP="00B6206D">
            <w:pPr>
              <w:pStyle w:val="BoxListBullet"/>
            </w:pPr>
            <w:r w:rsidRPr="00B6206D">
              <w:t>B</w:t>
            </w:r>
            <w:r w:rsidR="00FC7F8A" w:rsidRPr="00B6206D">
              <w:t xml:space="preserve">arriers to further integration remain and new issues will emerge. Addressing them is becoming more challenging, as the focus shifts to more complex areas, </w:t>
            </w:r>
            <w:r w:rsidR="00B52D78" w:rsidRPr="00B6206D">
              <w:t xml:space="preserve">including </w:t>
            </w:r>
            <w:r w:rsidR="00631019" w:rsidRPr="00B6206D">
              <w:t>the regulation of services.</w:t>
            </w:r>
          </w:p>
          <w:p w:rsidR="00FC7F8A" w:rsidRPr="00B6206D" w:rsidRDefault="00FC7F8A" w:rsidP="00B6206D">
            <w:pPr>
              <w:pStyle w:val="BoxListBullet"/>
            </w:pPr>
            <w:r w:rsidRPr="00B6206D">
              <w:t xml:space="preserve">To ensure that integration policies make the biggest contribution to both economies, future </w:t>
            </w:r>
            <w:proofErr w:type="spellStart"/>
            <w:r w:rsidRPr="00B6206D">
              <w:t>CER</w:t>
            </w:r>
            <w:proofErr w:type="spellEnd"/>
            <w:r w:rsidRPr="00B6206D">
              <w:t xml:space="preserve"> initiatives should continue to</w:t>
            </w:r>
            <w:r w:rsidR="00525E05">
              <w:t>:</w:t>
            </w:r>
            <w:r w:rsidRPr="00B6206D">
              <w:t xml:space="preserve"> be outward looking</w:t>
            </w:r>
            <w:r w:rsidR="00AD4AF4" w:rsidRPr="00B6206D">
              <w:t>;</w:t>
            </w:r>
            <w:r w:rsidRPr="00B6206D">
              <w:t xml:space="preserve"> take account of linkages with other agreements</w:t>
            </w:r>
            <w:r w:rsidR="00AD4AF4" w:rsidRPr="00B6206D">
              <w:t>;</w:t>
            </w:r>
            <w:r w:rsidRPr="00B6206D">
              <w:t xml:space="preserve"> and complement domestic policy </w:t>
            </w:r>
            <w:r w:rsidR="00631019" w:rsidRPr="00B6206D">
              <w:t>improvement.</w:t>
            </w:r>
          </w:p>
          <w:p w:rsidR="00FC7F8A" w:rsidRPr="00B6206D" w:rsidRDefault="00FC7F8A" w:rsidP="00B6206D">
            <w:pPr>
              <w:pStyle w:val="BoxListBullet"/>
            </w:pPr>
            <w:r w:rsidRPr="00B6206D">
              <w:t xml:space="preserve">A ‘direction of travel’ </w:t>
            </w:r>
            <w:r w:rsidR="00D845C9" w:rsidRPr="00B6206D">
              <w:t xml:space="preserve">towards a single economic market </w:t>
            </w:r>
            <w:r w:rsidRPr="00B6206D">
              <w:t xml:space="preserve">has been characterised by </w:t>
            </w:r>
            <w:r w:rsidR="007F7BB8" w:rsidRPr="00B6206D">
              <w:t>Prime Ministers</w:t>
            </w:r>
            <w:r w:rsidRPr="00B6206D">
              <w:t xml:space="preserve"> in terms of a seamless market in which people and businesses can have a ‘domestic-like’ experience in either country.</w:t>
            </w:r>
            <w:r w:rsidR="00DE5D11" w:rsidRPr="00B6206D">
              <w:t xml:space="preserve"> </w:t>
            </w:r>
            <w:r w:rsidRPr="00B6206D">
              <w:t>How far Australia and New Zealand go in this direction should emerge from good public policy processes focused on the achievement of net benefits</w:t>
            </w:r>
            <w:r w:rsidR="00B52D78" w:rsidRPr="00B6206D">
              <w:t>.</w:t>
            </w:r>
          </w:p>
          <w:p w:rsidR="00FC7F8A" w:rsidRPr="00B6206D" w:rsidRDefault="00FC7F8A" w:rsidP="00B6206D">
            <w:pPr>
              <w:pStyle w:val="BoxListBullet"/>
            </w:pPr>
            <w:r w:rsidRPr="00B6206D">
              <w:t xml:space="preserve">This scoping study identifies </w:t>
            </w:r>
            <w:r w:rsidR="00F23230" w:rsidRPr="00B6206D">
              <w:t xml:space="preserve">more than </w:t>
            </w:r>
            <w:r w:rsidR="006534A9" w:rsidRPr="00B6206D">
              <w:t>30</w:t>
            </w:r>
            <w:r w:rsidR="00C82F07" w:rsidRPr="00B6206D">
              <w:t xml:space="preserve"> </w:t>
            </w:r>
            <w:r w:rsidRPr="00B6206D">
              <w:t>initiatives</w:t>
            </w:r>
            <w:r w:rsidR="005649E7" w:rsidRPr="00B6206D">
              <w:t xml:space="preserve"> </w:t>
            </w:r>
            <w:r w:rsidRPr="00B6206D">
              <w:t>to promote</w:t>
            </w:r>
            <w:r w:rsidR="00B52D78" w:rsidRPr="00B6206D">
              <w:t xml:space="preserve"> beneficial</w:t>
            </w:r>
            <w:r w:rsidRPr="00B6206D">
              <w:t xml:space="preserve"> integration</w:t>
            </w:r>
            <w:r w:rsidR="00DE5D11" w:rsidRPr="00B6206D">
              <w:t xml:space="preserve">. </w:t>
            </w:r>
            <w:r w:rsidRPr="00B6206D">
              <w:t>Most address regulatory barriers to services trade and commercial presence, and some remaining impediments to integration in goo</w:t>
            </w:r>
            <w:r w:rsidR="00631019" w:rsidRPr="00B6206D">
              <w:t>ds, capital and labour markets.</w:t>
            </w:r>
            <w:bookmarkStart w:id="1" w:name="_GoBack"/>
            <w:bookmarkEnd w:id="1"/>
          </w:p>
          <w:p w:rsidR="00DE5D11" w:rsidRPr="00B6206D" w:rsidRDefault="00DE5D11" w:rsidP="00B6206D">
            <w:pPr>
              <w:pStyle w:val="BoxListBullet"/>
            </w:pPr>
            <w:r w:rsidRPr="00B6206D">
              <w:t>Some of these initiatives will require more detailed consideration</w:t>
            </w:r>
            <w:r w:rsidR="009962BF" w:rsidRPr="00B6206D">
              <w:t>.</w:t>
            </w:r>
          </w:p>
          <w:p w:rsidR="00FC7F8A" w:rsidRPr="00B6206D" w:rsidRDefault="00FC7F8A" w:rsidP="00B6206D">
            <w:pPr>
              <w:pStyle w:val="BoxListBullet"/>
            </w:pPr>
            <w:r w:rsidRPr="00B6206D">
              <w:t xml:space="preserve">There is </w:t>
            </w:r>
            <w:r w:rsidR="00B52D78" w:rsidRPr="00B6206D">
              <w:t>further</w:t>
            </w:r>
            <w:r w:rsidRPr="00B6206D">
              <w:t xml:space="preserve"> potential for each government to cooperate with and learn from the other in policy development</w:t>
            </w:r>
            <w:r w:rsidR="00D3123F" w:rsidRPr="00B6206D">
              <w:t>,</w:t>
            </w:r>
            <w:r w:rsidR="002E6D5D" w:rsidRPr="00B6206D">
              <w:t xml:space="preserve"> </w:t>
            </w:r>
            <w:r w:rsidRPr="00B6206D">
              <w:t>service delivery</w:t>
            </w:r>
            <w:r w:rsidR="00D3123F" w:rsidRPr="00B6206D">
              <w:t xml:space="preserve"> and regulatory approaches</w:t>
            </w:r>
            <w:r w:rsidRPr="00B6206D">
              <w:t>.</w:t>
            </w:r>
          </w:p>
          <w:p w:rsidR="003727B0" w:rsidRPr="001C3F02" w:rsidRDefault="00FD5F8E" w:rsidP="00B6206D">
            <w:pPr>
              <w:pStyle w:val="BoxListBullet"/>
              <w:rPr>
                <w:lang w:val="en-NZ"/>
              </w:rPr>
            </w:pPr>
            <w:r w:rsidRPr="00B6206D">
              <w:t xml:space="preserve">Current governance approaches for </w:t>
            </w:r>
            <w:proofErr w:type="spellStart"/>
            <w:r w:rsidRPr="00B6206D">
              <w:t>CER</w:t>
            </w:r>
            <w:proofErr w:type="spellEnd"/>
            <w:r w:rsidRPr="00B6206D">
              <w:t xml:space="preserve"> are informal and flexible, and appear reasonably effective. </w:t>
            </w:r>
            <w:r w:rsidR="00DE5D11" w:rsidRPr="00B6206D">
              <w:t>T</w:t>
            </w:r>
            <w:r w:rsidRPr="00B6206D">
              <w:t>his scoping study identifies some opportunities for improvement.</w:t>
            </w:r>
          </w:p>
        </w:tc>
      </w:tr>
      <w:tr w:rsidR="00FC7F8A" w:rsidRPr="00DE5D11" w:rsidTr="00862F29">
        <w:trPr>
          <w:cantSplit/>
        </w:trPr>
        <w:tc>
          <w:tcPr>
            <w:tcW w:w="8771" w:type="dxa"/>
            <w:shd w:val="clear" w:color="auto" w:fill="E7ECCE"/>
          </w:tcPr>
          <w:p w:rsidR="00FC7F8A" w:rsidRPr="00E06ED4" w:rsidRDefault="00FC7F8A">
            <w:pPr>
              <w:pStyle w:val="Box"/>
              <w:spacing w:before="0" w:line="120" w:lineRule="exact"/>
              <w:rPr>
                <w:lang w:val="en-NZ"/>
              </w:rPr>
            </w:pPr>
          </w:p>
        </w:tc>
      </w:tr>
      <w:tr w:rsidR="00631019" w:rsidRPr="00DE5D11" w:rsidTr="00862F29">
        <w:tc>
          <w:tcPr>
            <w:tcW w:w="8771" w:type="dxa"/>
          </w:tcPr>
          <w:p w:rsidR="00FC7F8A" w:rsidRPr="00E06ED4" w:rsidRDefault="00FC7F8A">
            <w:pPr>
              <w:pStyle w:val="Box"/>
              <w:keepNext w:val="0"/>
              <w:spacing w:before="60" w:after="60" w:line="80" w:lineRule="exact"/>
              <w:rPr>
                <w:b/>
                <w:color w:val="auto"/>
                <w:sz w:val="14"/>
                <w:lang w:val="en-NZ"/>
              </w:rPr>
            </w:pPr>
          </w:p>
        </w:tc>
      </w:tr>
    </w:tbl>
    <w:p w:rsidR="00D46884" w:rsidRPr="00E06ED4" w:rsidRDefault="00D46884" w:rsidP="00FC7F8A">
      <w:pPr>
        <w:pStyle w:val="BodyText"/>
        <w:rPr>
          <w:lang w:val="en-NZ"/>
        </w:rPr>
      </w:pPr>
      <w:r w:rsidRPr="00E06ED4">
        <w:rPr>
          <w:lang w:val="en-NZ"/>
        </w:rPr>
        <w:br w:type="page"/>
      </w:r>
    </w:p>
    <w:p w:rsidR="00A33DFF" w:rsidRPr="00E06ED4" w:rsidRDefault="00D46884" w:rsidP="00D46884">
      <w:pPr>
        <w:pStyle w:val="Heading1"/>
        <w:spacing w:before="0" w:line="300" w:lineRule="atLeast"/>
        <w:rPr>
          <w:lang w:val="en-NZ"/>
        </w:rPr>
      </w:pPr>
      <w:bookmarkStart w:id="2" w:name="ChapterTitle"/>
      <w:bookmarkEnd w:id="0"/>
      <w:r w:rsidRPr="00E06ED4">
        <w:rPr>
          <w:lang w:val="en-NZ"/>
        </w:rPr>
        <w:lastRenderedPageBreak/>
        <w:t>Overview</w:t>
      </w:r>
      <w:bookmarkEnd w:id="2"/>
    </w:p>
    <w:p w:rsidR="00FC7F8A" w:rsidRPr="006974F0" w:rsidRDefault="00C82F07" w:rsidP="00FC7F8A">
      <w:pPr>
        <w:pStyle w:val="BodyText"/>
        <w:rPr>
          <w:lang w:val="en-NZ"/>
        </w:rPr>
      </w:pPr>
      <w:bookmarkStart w:id="3" w:name="Begin"/>
      <w:bookmarkEnd w:id="3"/>
      <w:r>
        <w:rPr>
          <w:lang w:val="en-NZ"/>
        </w:rPr>
        <w:t>The</w:t>
      </w:r>
      <w:r w:rsidRPr="00E06ED4">
        <w:rPr>
          <w:lang w:val="en-NZ"/>
        </w:rPr>
        <w:t xml:space="preserve"> </w:t>
      </w:r>
      <w:r w:rsidR="00FC7F8A" w:rsidRPr="00E06ED4">
        <w:rPr>
          <w:lang w:val="en-NZ"/>
        </w:rPr>
        <w:t>year</w:t>
      </w:r>
      <w:r>
        <w:rPr>
          <w:lang w:val="en-NZ"/>
        </w:rPr>
        <w:t xml:space="preserve"> 2013</w:t>
      </w:r>
      <w:r w:rsidR="00FC7F8A" w:rsidRPr="00E06ED4">
        <w:rPr>
          <w:lang w:val="en-NZ"/>
        </w:rPr>
        <w:t xml:space="preserve"> marks the 30</w:t>
      </w:r>
      <w:r w:rsidR="00FC7F8A" w:rsidRPr="00F34F6E">
        <w:rPr>
          <w:vertAlign w:val="superscript"/>
          <w:lang w:val="en-NZ"/>
        </w:rPr>
        <w:t>th</w:t>
      </w:r>
      <w:r w:rsidR="00FC7F8A" w:rsidRPr="00E06ED4">
        <w:rPr>
          <w:lang w:val="en-NZ"/>
        </w:rPr>
        <w:t xml:space="preserve"> anniversary of the historic Closer Economic Relations (CER) agreement between Australia and New Zealand. The close relationship </w:t>
      </w:r>
      <w:r w:rsidR="00FC7F8A" w:rsidRPr="006974F0">
        <w:rPr>
          <w:lang w:val="en-NZ"/>
        </w:rPr>
        <w:t>goes back much further, with people moving freely across the Tasman since colonial times. Integration has increased over the past three decades, with trade, investment and people movement yielding benefits for both countries</w:t>
      </w:r>
      <w:r w:rsidR="007F7BB8" w:rsidRPr="006974F0">
        <w:rPr>
          <w:lang w:val="en-NZ"/>
        </w:rPr>
        <w:t>.</w:t>
      </w:r>
    </w:p>
    <w:p w:rsidR="00DA0E3F" w:rsidRDefault="00B77B65" w:rsidP="00FC7F8A">
      <w:pPr>
        <w:pStyle w:val="BodyText"/>
        <w:rPr>
          <w:lang w:val="en-NZ"/>
        </w:rPr>
      </w:pPr>
      <w:r w:rsidRPr="00DE5D11">
        <w:rPr>
          <w:lang w:val="en-NZ"/>
        </w:rPr>
        <w:t>Personal ties are extensive and deep, w</w:t>
      </w:r>
      <w:r w:rsidR="00FC7F8A" w:rsidRPr="00DE5D11">
        <w:rPr>
          <w:lang w:val="en-NZ"/>
        </w:rPr>
        <w:t>ith</w:t>
      </w:r>
      <w:r w:rsidR="00FC7F8A" w:rsidRPr="006974F0">
        <w:rPr>
          <w:lang w:val="en-NZ"/>
        </w:rPr>
        <w:t xml:space="preserve"> some </w:t>
      </w:r>
      <w:r w:rsidR="004010C3" w:rsidRPr="006974F0">
        <w:rPr>
          <w:lang w:val="en-NZ"/>
        </w:rPr>
        <w:t>480</w:t>
      </w:r>
      <w:r w:rsidR="0089580D" w:rsidRPr="006974F0">
        <w:rPr>
          <w:lang w:val="en-NZ"/>
        </w:rPr>
        <w:t> 000 New Zealand-</w:t>
      </w:r>
      <w:r w:rsidR="004010C3" w:rsidRPr="006974F0">
        <w:rPr>
          <w:lang w:val="en-NZ"/>
        </w:rPr>
        <w:t>born people</w:t>
      </w:r>
      <w:r w:rsidR="00FC7F8A" w:rsidRPr="006974F0">
        <w:rPr>
          <w:lang w:val="en-NZ"/>
        </w:rPr>
        <w:t xml:space="preserve"> living in Australia and </w:t>
      </w:r>
      <w:r w:rsidR="0089580D" w:rsidRPr="006974F0">
        <w:rPr>
          <w:lang w:val="en-NZ"/>
        </w:rPr>
        <w:t>around 65 000 Australian-</w:t>
      </w:r>
      <w:r w:rsidR="004010C3" w:rsidRPr="006974F0">
        <w:rPr>
          <w:lang w:val="en-NZ"/>
        </w:rPr>
        <w:t xml:space="preserve">born people living </w:t>
      </w:r>
      <w:r w:rsidR="00F175CC" w:rsidRPr="006974F0">
        <w:rPr>
          <w:lang w:val="en-NZ"/>
        </w:rPr>
        <w:t>in New Zealand</w:t>
      </w:r>
      <w:r w:rsidR="00FC7F8A" w:rsidRPr="00DE5D11">
        <w:rPr>
          <w:lang w:val="en-NZ"/>
        </w:rPr>
        <w:t xml:space="preserve">. The two countries have similar political, legal and economic institutions, as well as language and culture, leading to a relationship that </w:t>
      </w:r>
      <w:r w:rsidR="007F7BB8" w:rsidRPr="00DE5D11">
        <w:rPr>
          <w:lang w:val="en-NZ"/>
        </w:rPr>
        <w:t>the</w:t>
      </w:r>
      <w:r w:rsidR="00FC7F8A" w:rsidRPr="00DE5D11">
        <w:rPr>
          <w:lang w:val="en-NZ"/>
        </w:rPr>
        <w:t xml:space="preserve"> two Prime Ministers have recently described as being ‘like no other’ (Key</w:t>
      </w:r>
      <w:r w:rsidR="00A37C30">
        <w:rPr>
          <w:lang w:val="en-NZ"/>
        </w:rPr>
        <w:t> </w:t>
      </w:r>
      <w:r w:rsidR="00FC7F8A" w:rsidRPr="00DE5D11">
        <w:rPr>
          <w:lang w:val="en-NZ"/>
        </w:rPr>
        <w:t>20</w:t>
      </w:r>
      <w:r w:rsidR="00861B23" w:rsidRPr="00DE5D11">
        <w:rPr>
          <w:lang w:val="en-NZ"/>
        </w:rPr>
        <w:t>11</w:t>
      </w:r>
      <w:r w:rsidR="00AA0B13" w:rsidRPr="00DE5D11">
        <w:rPr>
          <w:lang w:val="en-NZ"/>
        </w:rPr>
        <w:t>) and ‘family’ (Gillard</w:t>
      </w:r>
      <w:r w:rsidR="00A37C30">
        <w:rPr>
          <w:lang w:val="en-NZ"/>
        </w:rPr>
        <w:t> </w:t>
      </w:r>
      <w:r w:rsidR="00FC7F8A" w:rsidRPr="00DE5D11">
        <w:rPr>
          <w:lang w:val="en-NZ"/>
        </w:rPr>
        <w:t>2011</w:t>
      </w:r>
      <w:r w:rsidR="005A7ACC" w:rsidRPr="00DE5D11">
        <w:rPr>
          <w:lang w:val="en-NZ"/>
        </w:rPr>
        <w:t>a</w:t>
      </w:r>
      <w:r w:rsidR="00FC7F8A" w:rsidRPr="00DE5D11">
        <w:rPr>
          <w:lang w:val="en-NZ"/>
        </w:rPr>
        <w:t>).</w:t>
      </w:r>
    </w:p>
    <w:p w:rsidR="00FC7F8A" w:rsidRPr="006974F0" w:rsidRDefault="00DA0E3F" w:rsidP="00FC7F8A">
      <w:pPr>
        <w:pStyle w:val="BodyText"/>
        <w:rPr>
          <w:lang w:val="en-NZ"/>
        </w:rPr>
      </w:pPr>
      <w:r>
        <w:rPr>
          <w:lang w:val="en-NZ"/>
        </w:rPr>
        <w:t xml:space="preserve">The CER agreement </w:t>
      </w:r>
      <w:r w:rsidR="000A29B7">
        <w:rPr>
          <w:lang w:val="en-NZ"/>
        </w:rPr>
        <w:t>has a</w:t>
      </w:r>
      <w:r>
        <w:rPr>
          <w:lang w:val="en-NZ"/>
        </w:rPr>
        <w:t xml:space="preserve"> more prominent </w:t>
      </w:r>
      <w:r w:rsidR="000A29B7">
        <w:rPr>
          <w:lang w:val="en-NZ"/>
        </w:rPr>
        <w:t xml:space="preserve">place </w:t>
      </w:r>
      <w:r>
        <w:rPr>
          <w:lang w:val="en-NZ"/>
        </w:rPr>
        <w:t>in New Zealand</w:t>
      </w:r>
      <w:r w:rsidRPr="006974F0">
        <w:rPr>
          <w:lang w:val="en-NZ"/>
        </w:rPr>
        <w:t xml:space="preserve"> </w:t>
      </w:r>
      <w:r>
        <w:rPr>
          <w:lang w:val="en-NZ"/>
        </w:rPr>
        <w:t xml:space="preserve">than in Australia. </w:t>
      </w:r>
      <w:r w:rsidR="00525E05">
        <w:rPr>
          <w:lang w:val="en-NZ"/>
        </w:rPr>
        <w:t>M</w:t>
      </w:r>
      <w:r w:rsidR="00F175CC" w:rsidRPr="006974F0">
        <w:rPr>
          <w:lang w:val="en-NZ"/>
        </w:rPr>
        <w:t xml:space="preserve">ore than half of </w:t>
      </w:r>
      <w:r w:rsidR="00525E05">
        <w:rPr>
          <w:lang w:val="en-NZ"/>
        </w:rPr>
        <w:t xml:space="preserve">New Zealand’s </w:t>
      </w:r>
      <w:r w:rsidR="00F175CC" w:rsidRPr="006974F0">
        <w:rPr>
          <w:lang w:val="en-NZ"/>
        </w:rPr>
        <w:t>foreign direct investment comes from Australia</w:t>
      </w:r>
      <w:r w:rsidR="00525E05">
        <w:rPr>
          <w:lang w:val="en-NZ"/>
        </w:rPr>
        <w:t xml:space="preserve"> and </w:t>
      </w:r>
      <w:r w:rsidR="00525E05" w:rsidRPr="006974F0">
        <w:rPr>
          <w:lang w:val="en-NZ"/>
        </w:rPr>
        <w:t>Australia is New Zealand’s largest export market</w:t>
      </w:r>
      <w:r w:rsidR="00F175CC" w:rsidRPr="006974F0">
        <w:rPr>
          <w:lang w:val="en-NZ"/>
        </w:rPr>
        <w:t xml:space="preserve">. Australia’s economy is over </w:t>
      </w:r>
      <w:r w:rsidR="00926A7E">
        <w:rPr>
          <w:lang w:val="en-NZ"/>
        </w:rPr>
        <w:t>seven</w:t>
      </w:r>
      <w:r w:rsidR="00F175CC" w:rsidRPr="006974F0">
        <w:rPr>
          <w:lang w:val="en-NZ"/>
        </w:rPr>
        <w:t xml:space="preserve"> times the size of New Zealand’s,</w:t>
      </w:r>
      <w:r w:rsidR="00F175CC" w:rsidRPr="00DE5D11">
        <w:rPr>
          <w:lang w:val="en-NZ"/>
        </w:rPr>
        <w:t xml:space="preserve"> so</w:t>
      </w:r>
      <w:r w:rsidR="00F175CC" w:rsidRPr="006974F0">
        <w:rPr>
          <w:lang w:val="en-NZ"/>
        </w:rPr>
        <w:t xml:space="preserve"> the commercial significance of New Zealand for Australia is smaller</w:t>
      </w:r>
      <w:r>
        <w:rPr>
          <w:lang w:val="en-NZ"/>
        </w:rPr>
        <w:t>.</w:t>
      </w:r>
      <w:r w:rsidR="00193662">
        <w:rPr>
          <w:lang w:val="en-NZ"/>
        </w:rPr>
        <w:t xml:space="preserve"> </w:t>
      </w:r>
      <w:r w:rsidR="00F175CC" w:rsidRPr="006974F0">
        <w:rPr>
          <w:lang w:val="en-NZ"/>
        </w:rPr>
        <w:t xml:space="preserve">New Zealand is </w:t>
      </w:r>
      <w:r>
        <w:rPr>
          <w:lang w:val="en-NZ"/>
        </w:rPr>
        <w:t xml:space="preserve">nevertheless </w:t>
      </w:r>
      <w:r w:rsidR="00F175CC" w:rsidRPr="006974F0">
        <w:rPr>
          <w:lang w:val="en-NZ"/>
        </w:rPr>
        <w:t xml:space="preserve">a major market for Australia’s manufactured exports </w:t>
      </w:r>
      <w:r w:rsidR="00CD39AE">
        <w:rPr>
          <w:lang w:val="en-NZ"/>
        </w:rPr>
        <w:t>and tourism industry</w:t>
      </w:r>
      <w:r w:rsidR="00A258B9">
        <w:rPr>
          <w:lang w:val="en-NZ"/>
        </w:rPr>
        <w:t>,</w:t>
      </w:r>
      <w:r w:rsidR="00CD39AE">
        <w:rPr>
          <w:lang w:val="en-NZ"/>
        </w:rPr>
        <w:t xml:space="preserve"> </w:t>
      </w:r>
      <w:r w:rsidR="00F175CC" w:rsidRPr="006974F0">
        <w:rPr>
          <w:lang w:val="en-NZ"/>
        </w:rPr>
        <w:t xml:space="preserve">and Australians </w:t>
      </w:r>
      <w:r w:rsidR="00F175CC" w:rsidRPr="00DE5D11">
        <w:rPr>
          <w:lang w:val="en-NZ"/>
        </w:rPr>
        <w:t>hold</w:t>
      </w:r>
      <w:r w:rsidR="00F175CC" w:rsidRPr="006974F0">
        <w:rPr>
          <w:lang w:val="en-NZ"/>
        </w:rPr>
        <w:t xml:space="preserve"> investments in New Zealand worth around A$74 billion</w:t>
      </w:r>
      <w:r w:rsidR="00F175CC" w:rsidRPr="00DE5D11">
        <w:rPr>
          <w:lang w:val="en-NZ"/>
        </w:rPr>
        <w:t>.</w:t>
      </w:r>
    </w:p>
    <w:p w:rsidR="00FC7F8A" w:rsidRPr="006974F0" w:rsidRDefault="00FC7F8A" w:rsidP="00FC7F8A">
      <w:pPr>
        <w:pStyle w:val="BodyText"/>
        <w:rPr>
          <w:lang w:val="en-NZ"/>
        </w:rPr>
      </w:pPr>
      <w:r w:rsidRPr="006974F0">
        <w:rPr>
          <w:lang w:val="en-NZ"/>
        </w:rPr>
        <w:t>Against this backdrop, the Prime Ministers requested that the two Productivity Commissions jointly conduct a ‘scoping study’ to identify further initiatives to strengthen the trans-Tasman economic relationship and improve economic outcomes</w:t>
      </w:r>
      <w:r w:rsidRPr="00DE5D11">
        <w:rPr>
          <w:lang w:val="en-NZ"/>
        </w:rPr>
        <w:t>.</w:t>
      </w:r>
      <w:r w:rsidRPr="006974F0">
        <w:rPr>
          <w:lang w:val="en-NZ"/>
        </w:rPr>
        <w:t xml:space="preserve"> The Commissions were asked to identify </w:t>
      </w:r>
      <w:r w:rsidR="00B77B65" w:rsidRPr="00DE5D11">
        <w:rPr>
          <w:lang w:val="en-NZ"/>
        </w:rPr>
        <w:t>initiatives</w:t>
      </w:r>
      <w:r w:rsidR="00B77B65" w:rsidRPr="006974F0">
        <w:rPr>
          <w:lang w:val="en-NZ"/>
        </w:rPr>
        <w:t xml:space="preserve"> </w:t>
      </w:r>
      <w:r w:rsidRPr="006974F0">
        <w:rPr>
          <w:lang w:val="en-NZ"/>
        </w:rPr>
        <w:t xml:space="preserve">where joint net benefits would be highest and how they might best be </w:t>
      </w:r>
      <w:r w:rsidR="00B77B65" w:rsidRPr="00DE5D11">
        <w:rPr>
          <w:lang w:val="en-NZ"/>
        </w:rPr>
        <w:t>implemented</w:t>
      </w:r>
      <w:r w:rsidRPr="006974F0">
        <w:rPr>
          <w:lang w:val="en-NZ"/>
        </w:rPr>
        <w:t xml:space="preserve">, noting any </w:t>
      </w:r>
      <w:r w:rsidR="000A29B7">
        <w:rPr>
          <w:lang w:val="en-NZ"/>
        </w:rPr>
        <w:t xml:space="preserve">potentially </w:t>
      </w:r>
      <w:r w:rsidRPr="006974F0">
        <w:rPr>
          <w:lang w:val="en-NZ"/>
        </w:rPr>
        <w:t>significant transition and adjustment costs.</w:t>
      </w:r>
    </w:p>
    <w:p w:rsidR="00FC7F8A" w:rsidRDefault="00685E25" w:rsidP="00FC7F8A">
      <w:pPr>
        <w:pStyle w:val="BodyText"/>
        <w:rPr>
          <w:lang w:val="en-NZ"/>
        </w:rPr>
      </w:pPr>
      <w:r>
        <w:rPr>
          <w:lang w:val="en-NZ"/>
        </w:rPr>
        <w:t>T</w:t>
      </w:r>
      <w:r w:rsidR="00056101">
        <w:rPr>
          <w:lang w:val="en-NZ"/>
        </w:rPr>
        <w:t>able</w:t>
      </w:r>
      <w:r>
        <w:rPr>
          <w:lang w:val="en-NZ"/>
        </w:rPr>
        <w:t>s</w:t>
      </w:r>
      <w:r w:rsidR="00056101">
        <w:rPr>
          <w:lang w:val="en-NZ"/>
        </w:rPr>
        <w:t xml:space="preserve"> at the end of </w:t>
      </w:r>
      <w:r w:rsidR="00056101" w:rsidRPr="006974F0">
        <w:rPr>
          <w:lang w:val="en-NZ"/>
        </w:rPr>
        <w:t xml:space="preserve">this </w:t>
      </w:r>
      <w:r w:rsidR="00D845C9">
        <w:rPr>
          <w:lang w:val="en-NZ"/>
        </w:rPr>
        <w:t>overview outline</w:t>
      </w:r>
      <w:r w:rsidR="00056101">
        <w:rPr>
          <w:lang w:val="en-NZ"/>
        </w:rPr>
        <w:t xml:space="preserve"> the Commissions’</w:t>
      </w:r>
      <w:r w:rsidR="007A73B5">
        <w:rPr>
          <w:lang w:val="en-NZ"/>
        </w:rPr>
        <w:t xml:space="preserve"> </w:t>
      </w:r>
      <w:r w:rsidR="00056101">
        <w:rPr>
          <w:lang w:val="en-NZ"/>
        </w:rPr>
        <w:t>proposals</w:t>
      </w:r>
      <w:r>
        <w:rPr>
          <w:lang w:val="en-NZ"/>
        </w:rPr>
        <w:t xml:space="preserve"> for strengthening economic relations between Australia and New Zealand</w:t>
      </w:r>
      <w:r w:rsidR="00056101">
        <w:rPr>
          <w:lang w:val="en-NZ"/>
        </w:rPr>
        <w:t xml:space="preserve">. </w:t>
      </w:r>
      <w:r w:rsidR="00D849E3" w:rsidRPr="00DE5D11">
        <w:rPr>
          <w:lang w:val="en-NZ"/>
        </w:rPr>
        <w:t>T</w:t>
      </w:r>
      <w:r w:rsidR="00FC7F8A" w:rsidRPr="00DE5D11">
        <w:rPr>
          <w:lang w:val="en-NZ"/>
        </w:rPr>
        <w:t xml:space="preserve">he </w:t>
      </w:r>
      <w:r w:rsidR="00FC7F8A" w:rsidRPr="006974F0">
        <w:rPr>
          <w:lang w:val="en-NZ"/>
        </w:rPr>
        <w:t xml:space="preserve">Commissions </w:t>
      </w:r>
      <w:r w:rsidR="00C82F07">
        <w:rPr>
          <w:lang w:val="en-NZ"/>
        </w:rPr>
        <w:t>scoped</w:t>
      </w:r>
      <w:r w:rsidR="00FC7F8A" w:rsidRPr="006974F0">
        <w:rPr>
          <w:lang w:val="en-NZ"/>
        </w:rPr>
        <w:t xml:space="preserve"> a wide range of issues</w:t>
      </w:r>
      <w:r w:rsidR="00E252F1">
        <w:rPr>
          <w:lang w:val="en-NZ"/>
        </w:rPr>
        <w:t xml:space="preserve"> and focused on those most likely to offer joint net benefits. The broad scope of the study has</w:t>
      </w:r>
      <w:r w:rsidR="00FC7F8A" w:rsidRPr="006974F0">
        <w:rPr>
          <w:lang w:val="en-NZ"/>
        </w:rPr>
        <w:t xml:space="preserve"> inevitably limited the </w:t>
      </w:r>
      <w:r w:rsidR="00E252F1">
        <w:rPr>
          <w:lang w:val="en-NZ"/>
        </w:rPr>
        <w:t>feasibility of undertaking an in-</w:t>
      </w:r>
      <w:r w:rsidR="00FC7F8A" w:rsidRPr="006974F0">
        <w:rPr>
          <w:lang w:val="en-NZ"/>
        </w:rPr>
        <w:t xml:space="preserve">depth analysis </w:t>
      </w:r>
      <w:r w:rsidR="00E252F1">
        <w:rPr>
          <w:lang w:val="en-NZ"/>
        </w:rPr>
        <w:t>of all the areas identified</w:t>
      </w:r>
      <w:r w:rsidR="00FC7F8A" w:rsidRPr="006974F0">
        <w:rPr>
          <w:lang w:val="en-NZ"/>
        </w:rPr>
        <w:t xml:space="preserve">. </w:t>
      </w:r>
      <w:r w:rsidR="00E252F1">
        <w:rPr>
          <w:lang w:val="en-NZ"/>
        </w:rPr>
        <w:t>Some of these</w:t>
      </w:r>
      <w:r w:rsidR="00E252F1" w:rsidRPr="006974F0">
        <w:rPr>
          <w:lang w:val="en-NZ"/>
        </w:rPr>
        <w:t xml:space="preserve"> </w:t>
      </w:r>
      <w:r w:rsidR="00FC7F8A" w:rsidRPr="006974F0">
        <w:rPr>
          <w:lang w:val="en-NZ"/>
        </w:rPr>
        <w:t>will need more detailed consideration.</w:t>
      </w:r>
    </w:p>
    <w:p w:rsidR="003C441D" w:rsidRPr="006974F0" w:rsidRDefault="00F162E8" w:rsidP="00076BAE">
      <w:pPr>
        <w:pStyle w:val="BodyText"/>
        <w:rPr>
          <w:lang w:val="en-NZ"/>
        </w:rPr>
      </w:pPr>
      <w:r>
        <w:rPr>
          <w:lang w:val="en-NZ"/>
        </w:rPr>
        <w:lastRenderedPageBreak/>
        <w:t xml:space="preserve">While the </w:t>
      </w:r>
      <w:r w:rsidR="00E252F1">
        <w:rPr>
          <w:lang w:val="en-NZ"/>
        </w:rPr>
        <w:t>Commissions</w:t>
      </w:r>
      <w:r w:rsidR="00B24FAB">
        <w:rPr>
          <w:lang w:val="en-NZ"/>
        </w:rPr>
        <w:t xml:space="preserve"> </w:t>
      </w:r>
      <w:r w:rsidR="00E252F1">
        <w:rPr>
          <w:lang w:val="en-NZ"/>
        </w:rPr>
        <w:t>have used filtering criteria to identify the most promising initiatives,</w:t>
      </w:r>
      <w:r w:rsidR="00B24FAB">
        <w:rPr>
          <w:lang w:val="en-NZ"/>
        </w:rPr>
        <w:t xml:space="preserve"> r</w:t>
      </w:r>
      <w:r w:rsidR="004A3782">
        <w:rPr>
          <w:lang w:val="en-NZ"/>
        </w:rPr>
        <w:t>anking</w:t>
      </w:r>
      <w:r w:rsidR="003C441D">
        <w:rPr>
          <w:lang w:val="en-NZ"/>
        </w:rPr>
        <w:t xml:space="preserve"> </w:t>
      </w:r>
      <w:r w:rsidR="004A3782">
        <w:rPr>
          <w:lang w:val="en-NZ"/>
        </w:rPr>
        <w:t>reform</w:t>
      </w:r>
      <w:r w:rsidR="00B24FAB">
        <w:rPr>
          <w:lang w:val="en-NZ"/>
        </w:rPr>
        <w:t>s</w:t>
      </w:r>
      <w:r w:rsidR="004A3782">
        <w:rPr>
          <w:lang w:val="en-NZ"/>
        </w:rPr>
        <w:t xml:space="preserve"> according to the</w:t>
      </w:r>
      <w:r>
        <w:rPr>
          <w:lang w:val="en-NZ"/>
        </w:rPr>
        <w:t>ir</w:t>
      </w:r>
      <w:r w:rsidR="004A3782">
        <w:rPr>
          <w:lang w:val="en-NZ"/>
        </w:rPr>
        <w:t xml:space="preserve"> likely joint net benefits </w:t>
      </w:r>
      <w:r w:rsidR="003C441D">
        <w:rPr>
          <w:lang w:val="en-NZ"/>
        </w:rPr>
        <w:t xml:space="preserve">is difficult to do with precision in </w:t>
      </w:r>
      <w:r w:rsidR="00E252F1">
        <w:rPr>
          <w:lang w:val="en-NZ"/>
        </w:rPr>
        <w:t xml:space="preserve">such </w:t>
      </w:r>
      <w:r w:rsidR="003C441D">
        <w:rPr>
          <w:lang w:val="en-NZ"/>
        </w:rPr>
        <w:t>a broad-ranging scoping</w:t>
      </w:r>
      <w:r w:rsidR="002E6D5D">
        <w:rPr>
          <w:lang w:val="en-NZ"/>
        </w:rPr>
        <w:t xml:space="preserve"> study</w:t>
      </w:r>
      <w:r w:rsidR="00E252F1">
        <w:rPr>
          <w:lang w:val="en-NZ"/>
        </w:rPr>
        <w:t>.</w:t>
      </w:r>
      <w:r w:rsidR="003C441D">
        <w:rPr>
          <w:lang w:val="en-NZ"/>
        </w:rPr>
        <w:t xml:space="preserve"> </w:t>
      </w:r>
      <w:r w:rsidR="006A18A1">
        <w:rPr>
          <w:lang w:val="en-NZ"/>
        </w:rPr>
        <w:t>Indeed, f</w:t>
      </w:r>
      <w:r w:rsidR="00076BAE" w:rsidRPr="00076BAE">
        <w:rPr>
          <w:lang w:val="en-NZ"/>
        </w:rPr>
        <w:t xml:space="preserve">eedback </w:t>
      </w:r>
      <w:r w:rsidR="00076BAE">
        <w:rPr>
          <w:lang w:val="en-NZ"/>
        </w:rPr>
        <w:t xml:space="preserve">on the two grade </w:t>
      </w:r>
      <w:r w:rsidR="006A18A1">
        <w:rPr>
          <w:lang w:val="en-NZ"/>
        </w:rPr>
        <w:t xml:space="preserve">star </w:t>
      </w:r>
      <w:r w:rsidR="00076BAE">
        <w:rPr>
          <w:lang w:val="en-NZ"/>
        </w:rPr>
        <w:t xml:space="preserve">rating of recommendations in the draft report suggested that </w:t>
      </w:r>
      <w:r w:rsidR="00D027D9">
        <w:rPr>
          <w:rFonts w:cs="Arial"/>
          <w:szCs w:val="24"/>
          <w:lang w:val="en-NZ"/>
        </w:rPr>
        <w:t>it would be of limited value for determining priorities for a future integration agenda</w:t>
      </w:r>
      <w:r w:rsidR="00076BAE">
        <w:rPr>
          <w:lang w:val="en-NZ"/>
        </w:rPr>
        <w:t>. Moreover, no recommendations stand out</w:t>
      </w:r>
      <w:r w:rsidR="00076BAE" w:rsidRPr="00076BAE">
        <w:rPr>
          <w:lang w:val="en-NZ"/>
        </w:rPr>
        <w:t xml:space="preserve"> in terms of </w:t>
      </w:r>
      <w:r w:rsidR="00076BAE">
        <w:rPr>
          <w:lang w:val="en-NZ"/>
        </w:rPr>
        <w:t xml:space="preserve">providing markedly higher </w:t>
      </w:r>
      <w:r w:rsidR="00076BAE" w:rsidRPr="00076BAE">
        <w:rPr>
          <w:lang w:val="en-NZ"/>
        </w:rPr>
        <w:t xml:space="preserve">likely benefits, </w:t>
      </w:r>
      <w:r w:rsidR="00076BAE">
        <w:rPr>
          <w:lang w:val="en-NZ"/>
        </w:rPr>
        <w:t>al</w:t>
      </w:r>
      <w:r w:rsidR="00076BAE" w:rsidRPr="00076BAE">
        <w:rPr>
          <w:lang w:val="en-NZ"/>
        </w:rPr>
        <w:t>though some w</w:t>
      </w:r>
      <w:r w:rsidR="00076BAE">
        <w:rPr>
          <w:lang w:val="en-NZ"/>
        </w:rPr>
        <w:t xml:space="preserve">ill obviously be </w:t>
      </w:r>
      <w:r w:rsidR="00D027D9">
        <w:rPr>
          <w:lang w:val="en-NZ"/>
        </w:rPr>
        <w:t>more significant</w:t>
      </w:r>
      <w:r w:rsidR="00076BAE">
        <w:rPr>
          <w:lang w:val="en-NZ"/>
        </w:rPr>
        <w:t xml:space="preserve">. </w:t>
      </w:r>
      <w:r w:rsidR="00FD494A">
        <w:rPr>
          <w:lang w:val="en-NZ"/>
        </w:rPr>
        <w:t xml:space="preserve">The </w:t>
      </w:r>
      <w:r w:rsidR="006A18A1">
        <w:rPr>
          <w:lang w:val="en-NZ"/>
        </w:rPr>
        <w:t xml:space="preserve">star </w:t>
      </w:r>
      <w:r w:rsidR="00FD494A">
        <w:rPr>
          <w:lang w:val="en-NZ"/>
        </w:rPr>
        <w:t xml:space="preserve">rating system has therefore been </w:t>
      </w:r>
      <w:r w:rsidR="002B65E5">
        <w:rPr>
          <w:lang w:val="en-NZ"/>
        </w:rPr>
        <w:t xml:space="preserve">removed </w:t>
      </w:r>
      <w:r w:rsidR="00FD494A">
        <w:rPr>
          <w:lang w:val="en-NZ"/>
        </w:rPr>
        <w:t>from th</w:t>
      </w:r>
      <w:r>
        <w:rPr>
          <w:lang w:val="en-NZ"/>
        </w:rPr>
        <w:t>e final</w:t>
      </w:r>
      <w:r w:rsidR="00FD494A">
        <w:rPr>
          <w:lang w:val="en-NZ"/>
        </w:rPr>
        <w:t xml:space="preserve"> report.</w:t>
      </w:r>
      <w:r w:rsidR="00D027D9">
        <w:rPr>
          <w:lang w:val="en-NZ"/>
        </w:rPr>
        <w:t xml:space="preserve"> </w:t>
      </w:r>
      <w:r w:rsidR="00D027D9">
        <w:rPr>
          <w:rFonts w:cs="Arial"/>
          <w:szCs w:val="24"/>
          <w:lang w:val="en-NZ"/>
        </w:rPr>
        <w:t>The packaging of initiatives into a coherent forward agenda that benefits both countries is primarily a</w:t>
      </w:r>
      <w:r w:rsidR="00525E05">
        <w:rPr>
          <w:rFonts w:cs="Arial"/>
          <w:szCs w:val="24"/>
          <w:lang w:val="en-NZ"/>
        </w:rPr>
        <w:t xml:space="preserve"> matter for political judgment.</w:t>
      </w:r>
    </w:p>
    <w:p w:rsidR="00FC7F8A" w:rsidRPr="006974F0" w:rsidRDefault="00FC7F8A" w:rsidP="00FC7F8A">
      <w:pPr>
        <w:pStyle w:val="Heading2"/>
        <w:rPr>
          <w:lang w:val="en-NZ"/>
        </w:rPr>
      </w:pPr>
      <w:r w:rsidRPr="006974F0">
        <w:rPr>
          <w:lang w:val="en-NZ"/>
        </w:rPr>
        <w:t>What has been achieved?</w:t>
      </w:r>
    </w:p>
    <w:p w:rsidR="00FC7F8A" w:rsidRPr="001B20F8" w:rsidRDefault="00FC7F8A" w:rsidP="00FC7F8A">
      <w:pPr>
        <w:pStyle w:val="BodyText"/>
      </w:pPr>
      <w:r w:rsidRPr="006974F0">
        <w:rPr>
          <w:lang w:val="en-NZ"/>
        </w:rPr>
        <w:t xml:space="preserve">The genesis of CER </w:t>
      </w:r>
      <w:r w:rsidR="00C20E05" w:rsidRPr="00DE5D11">
        <w:rPr>
          <w:lang w:val="en-NZ"/>
        </w:rPr>
        <w:t>was</w:t>
      </w:r>
      <w:r w:rsidRPr="006974F0">
        <w:rPr>
          <w:lang w:val="en-NZ"/>
        </w:rPr>
        <w:t xml:space="preserve"> a meeting of Prime Ministers Fraser and Muldoon in Wellington in 1980, whe</w:t>
      </w:r>
      <w:r w:rsidR="00661BF8">
        <w:rPr>
          <w:lang w:val="en-NZ"/>
        </w:rPr>
        <w:t>re</w:t>
      </w:r>
      <w:r w:rsidRPr="006974F0">
        <w:rPr>
          <w:lang w:val="en-NZ"/>
        </w:rPr>
        <w:t xml:space="preserve"> it was </w:t>
      </w:r>
      <w:r>
        <w:t>agreed</w:t>
      </w:r>
      <w:r w:rsidR="00D030BF" w:rsidRPr="006974F0">
        <w:rPr>
          <w:lang w:val="en-NZ"/>
        </w:rPr>
        <w:t xml:space="preserve"> </w:t>
      </w:r>
      <w:r w:rsidRPr="001B20F8">
        <w:t>that</w:t>
      </w:r>
      <w:r>
        <w:t>, as the Australi</w:t>
      </w:r>
      <w:r w:rsidR="00AA0B13">
        <w:t>an Prime Minister expressed it:</w:t>
      </w:r>
    </w:p>
    <w:p w:rsidR="00FC7F8A" w:rsidRPr="001B20F8" w:rsidRDefault="00FC7F8A" w:rsidP="00FC7F8A">
      <w:pPr>
        <w:pStyle w:val="Quote"/>
        <w:rPr>
          <w:sz w:val="22"/>
        </w:rPr>
      </w:pPr>
      <w:r w:rsidRPr="001B20F8">
        <w:rPr>
          <w:sz w:val="22"/>
        </w:rPr>
        <w:t xml:space="preserve">If the two countries can cooperate more closely in their own trading relationship, with each concentrating on what it </w:t>
      </w:r>
      <w:r w:rsidR="00371B53" w:rsidRPr="001B20F8">
        <w:rPr>
          <w:sz w:val="22"/>
        </w:rPr>
        <w:t>can do</w:t>
      </w:r>
      <w:r w:rsidRPr="001B20F8">
        <w:rPr>
          <w:sz w:val="22"/>
        </w:rPr>
        <w:t xml:space="preserve"> best, it will help both countries to grow stronger and to compete in wider markets. </w:t>
      </w:r>
      <w:r w:rsidRPr="004A6548">
        <w:rPr>
          <w:sz w:val="22"/>
          <w:szCs w:val="22"/>
        </w:rPr>
        <w:t>We agreed in Wellington that any closer economic relati</w:t>
      </w:r>
      <w:r w:rsidR="00E65944" w:rsidRPr="004A6548">
        <w:rPr>
          <w:sz w:val="22"/>
          <w:szCs w:val="22"/>
        </w:rPr>
        <w:t>onship must be outward</w:t>
      </w:r>
      <w:r w:rsidR="00E65944" w:rsidRPr="004A6548">
        <w:rPr>
          <w:sz w:val="22"/>
          <w:szCs w:val="22"/>
        </w:rPr>
        <w:noBreakHyphen/>
        <w:t>looking</w:t>
      </w:r>
      <w:r w:rsidR="00B6206D">
        <w:rPr>
          <w:sz w:val="22"/>
          <w:szCs w:val="22"/>
        </w:rPr>
        <w:t xml:space="preserve"> </w:t>
      </w:r>
      <w:r w:rsidR="00E65944" w:rsidRPr="004A6548">
        <w:rPr>
          <w:sz w:val="22"/>
          <w:szCs w:val="22"/>
        </w:rPr>
        <w:t>…</w:t>
      </w:r>
    </w:p>
    <w:p w:rsidR="00FC7F8A" w:rsidRPr="006974F0" w:rsidRDefault="00FC7F8A" w:rsidP="00FC7F8A">
      <w:pPr>
        <w:pStyle w:val="BodyText"/>
        <w:rPr>
          <w:lang w:val="en-NZ"/>
        </w:rPr>
      </w:pPr>
      <w:r w:rsidRPr="006974F0">
        <w:rPr>
          <w:lang w:val="en-NZ"/>
        </w:rPr>
        <w:t xml:space="preserve">The early years of CER saw major changes. Notably, tariffs and quantitative restrictions </w:t>
      </w:r>
      <w:r w:rsidR="00C20E05" w:rsidRPr="00DE5D11">
        <w:rPr>
          <w:lang w:val="en-NZ"/>
        </w:rPr>
        <w:t xml:space="preserve">were eliminated </w:t>
      </w:r>
      <w:r w:rsidRPr="006974F0">
        <w:rPr>
          <w:lang w:val="en-NZ"/>
        </w:rPr>
        <w:t>on virtually all goods traded between the two countries by 1990, five years ahead of schedule. The CER agenda was extended from its initial focus on merchandise trade to cover trade in services, business regulation, taxation and government procurement. Provision was also made for greater cooperation between government agencies and engagement of New Zealand officials in meetings of the Council of Australian Governments (COAG). By 2004, these extensions were encompassed in the ambition of creating a ‘single economic market’ in which businesses, consumers and investors could operate ‘seamlessly’ across the Tasman.</w:t>
      </w:r>
    </w:p>
    <w:p w:rsidR="00FC7F8A" w:rsidRPr="006974F0" w:rsidRDefault="00D030BF" w:rsidP="00FC7F8A">
      <w:pPr>
        <w:pStyle w:val="BodyText"/>
        <w:rPr>
          <w:lang w:val="en-NZ"/>
        </w:rPr>
      </w:pPr>
      <w:r w:rsidRPr="00DE5D11">
        <w:rPr>
          <w:lang w:val="en-NZ"/>
        </w:rPr>
        <w:t>Generally</w:t>
      </w:r>
      <w:r w:rsidR="00FC7F8A" w:rsidRPr="00DE5D11">
        <w:rPr>
          <w:lang w:val="en-NZ"/>
        </w:rPr>
        <w:t>,</w:t>
      </w:r>
      <w:r w:rsidR="00FC7F8A" w:rsidRPr="006974F0">
        <w:rPr>
          <w:lang w:val="en-NZ"/>
        </w:rPr>
        <w:t xml:space="preserve"> economic integration</w:t>
      </w:r>
      <w:r w:rsidRPr="00DE5D11">
        <w:rPr>
          <w:lang w:val="en-NZ"/>
        </w:rPr>
        <w:t xml:space="preserve"> </w:t>
      </w:r>
      <w:r w:rsidR="0028275C">
        <w:rPr>
          <w:lang w:val="en-NZ"/>
        </w:rPr>
        <w:t>increases</w:t>
      </w:r>
      <w:r w:rsidR="00FC7F8A" w:rsidRPr="006974F0">
        <w:rPr>
          <w:lang w:val="en-NZ"/>
        </w:rPr>
        <w:t xml:space="preserve"> the size of </w:t>
      </w:r>
      <w:r w:rsidR="00FC7F8A" w:rsidRPr="00DE5D11">
        <w:rPr>
          <w:lang w:val="en-NZ"/>
        </w:rPr>
        <w:t>market</w:t>
      </w:r>
      <w:r w:rsidRPr="00DE5D11">
        <w:rPr>
          <w:lang w:val="en-NZ"/>
        </w:rPr>
        <w:t>s</w:t>
      </w:r>
      <w:r w:rsidR="007A73B5">
        <w:rPr>
          <w:lang w:val="en-NZ"/>
        </w:rPr>
        <w:t>,</w:t>
      </w:r>
      <w:r w:rsidRPr="00DE5D11">
        <w:rPr>
          <w:lang w:val="en-NZ"/>
        </w:rPr>
        <w:t xml:space="preserve"> which</w:t>
      </w:r>
      <w:r w:rsidR="00FC7F8A" w:rsidRPr="006974F0">
        <w:rPr>
          <w:lang w:val="en-NZ"/>
        </w:rPr>
        <w:t xml:space="preserve"> enables countries to capture scal</w:t>
      </w:r>
      <w:r w:rsidR="000A3349" w:rsidRPr="006974F0">
        <w:rPr>
          <w:lang w:val="en-NZ"/>
        </w:rPr>
        <w:t xml:space="preserve">e advantages and specialise in </w:t>
      </w:r>
      <w:r w:rsidR="00C20E05" w:rsidRPr="00DE5D11">
        <w:rPr>
          <w:lang w:val="en-NZ"/>
        </w:rPr>
        <w:t>activities</w:t>
      </w:r>
      <w:r w:rsidR="00C20E05" w:rsidRPr="006974F0">
        <w:rPr>
          <w:lang w:val="en-NZ"/>
        </w:rPr>
        <w:t xml:space="preserve"> </w:t>
      </w:r>
      <w:r w:rsidR="00FC7F8A" w:rsidRPr="006974F0">
        <w:rPr>
          <w:lang w:val="en-NZ"/>
        </w:rPr>
        <w:t xml:space="preserve">they do relatively well. Consumers benefit from lower prices and </w:t>
      </w:r>
      <w:r w:rsidR="00C20E05" w:rsidRPr="00DE5D11">
        <w:rPr>
          <w:lang w:val="en-NZ"/>
        </w:rPr>
        <w:t>increased</w:t>
      </w:r>
      <w:r w:rsidR="00C20E05" w:rsidRPr="006974F0">
        <w:rPr>
          <w:lang w:val="en-NZ"/>
        </w:rPr>
        <w:t xml:space="preserve"> </w:t>
      </w:r>
      <w:r w:rsidR="00FC7F8A" w:rsidRPr="006974F0">
        <w:rPr>
          <w:lang w:val="en-NZ"/>
        </w:rPr>
        <w:t>choice</w:t>
      </w:r>
      <w:r w:rsidR="00915592" w:rsidRPr="006974F0">
        <w:rPr>
          <w:lang w:val="en-NZ"/>
        </w:rPr>
        <w:t>,</w:t>
      </w:r>
      <w:r w:rsidR="00FC7F8A" w:rsidRPr="006974F0">
        <w:rPr>
          <w:lang w:val="en-NZ"/>
        </w:rPr>
        <w:t xml:space="preserve"> as </w:t>
      </w:r>
      <w:r w:rsidR="000A29B7">
        <w:rPr>
          <w:lang w:val="en-NZ"/>
        </w:rPr>
        <w:t>cheaper</w:t>
      </w:r>
      <w:r w:rsidR="00FC7F8A" w:rsidRPr="006974F0">
        <w:rPr>
          <w:lang w:val="en-NZ"/>
        </w:rPr>
        <w:t xml:space="preserve"> imports take the place of more costly domestically</w:t>
      </w:r>
      <w:r w:rsidR="00AD4AF4" w:rsidRPr="006974F0">
        <w:rPr>
          <w:lang w:val="en-NZ"/>
        </w:rPr>
        <w:t>-</w:t>
      </w:r>
      <w:r w:rsidR="00FC7F8A" w:rsidRPr="006974F0">
        <w:rPr>
          <w:lang w:val="en-NZ"/>
        </w:rPr>
        <w:t xml:space="preserve">produced goods and services </w:t>
      </w:r>
      <w:r w:rsidR="00915592" w:rsidRPr="006974F0">
        <w:rPr>
          <w:lang w:val="en-NZ"/>
        </w:rPr>
        <w:t>with</w:t>
      </w:r>
      <w:r w:rsidR="00FC7F8A" w:rsidRPr="006974F0">
        <w:rPr>
          <w:lang w:val="en-NZ"/>
        </w:rPr>
        <w:t xml:space="preserve">in more competitive market settings. There </w:t>
      </w:r>
      <w:r w:rsidR="00661BF8">
        <w:rPr>
          <w:lang w:val="en-NZ"/>
        </w:rPr>
        <w:t>are</w:t>
      </w:r>
      <w:r w:rsidR="00661BF8" w:rsidRPr="006974F0">
        <w:rPr>
          <w:lang w:val="en-NZ"/>
        </w:rPr>
        <w:t xml:space="preserve"> </w:t>
      </w:r>
      <w:r w:rsidR="00FC7F8A" w:rsidRPr="006974F0">
        <w:rPr>
          <w:lang w:val="en-NZ"/>
        </w:rPr>
        <w:t>also increased transfer</w:t>
      </w:r>
      <w:r w:rsidR="000A29B7">
        <w:rPr>
          <w:lang w:val="en-NZ"/>
        </w:rPr>
        <w:t>s</w:t>
      </w:r>
      <w:r w:rsidR="00FC7F8A" w:rsidRPr="006974F0">
        <w:rPr>
          <w:lang w:val="en-NZ"/>
        </w:rPr>
        <w:t xml:space="preserve"> of knowledge. </w:t>
      </w:r>
      <w:r w:rsidRPr="00DE5D11">
        <w:rPr>
          <w:lang w:val="en-NZ"/>
        </w:rPr>
        <w:t>L</w:t>
      </w:r>
      <w:r w:rsidR="00FC7F8A" w:rsidRPr="00DE5D11">
        <w:rPr>
          <w:lang w:val="en-NZ"/>
        </w:rPr>
        <w:t>abour</w:t>
      </w:r>
      <w:r w:rsidR="00FC7F8A" w:rsidRPr="006974F0">
        <w:rPr>
          <w:lang w:val="en-NZ"/>
        </w:rPr>
        <w:t xml:space="preserve"> mobility </w:t>
      </w:r>
      <w:r w:rsidRPr="00DE5D11">
        <w:rPr>
          <w:lang w:val="en-NZ"/>
        </w:rPr>
        <w:t>provides workers with a wider range of employment</w:t>
      </w:r>
      <w:r w:rsidRPr="006974F0">
        <w:rPr>
          <w:lang w:val="en-NZ"/>
        </w:rPr>
        <w:t xml:space="preserve"> </w:t>
      </w:r>
      <w:r w:rsidR="00FC7F8A" w:rsidRPr="006974F0">
        <w:rPr>
          <w:lang w:val="en-NZ"/>
        </w:rPr>
        <w:t>opportunities</w:t>
      </w:r>
      <w:r w:rsidRPr="006974F0">
        <w:rPr>
          <w:lang w:val="en-NZ"/>
        </w:rPr>
        <w:t xml:space="preserve"> </w:t>
      </w:r>
      <w:r w:rsidR="006974F0">
        <w:rPr>
          <w:lang w:val="en-NZ"/>
        </w:rPr>
        <w:t xml:space="preserve">and </w:t>
      </w:r>
      <w:r w:rsidRPr="00DE5D11">
        <w:rPr>
          <w:lang w:val="en-NZ"/>
        </w:rPr>
        <w:t xml:space="preserve">creates flexibility </w:t>
      </w:r>
      <w:r w:rsidR="00C20E05" w:rsidRPr="00DE5D11">
        <w:rPr>
          <w:lang w:val="en-NZ"/>
        </w:rPr>
        <w:t>in the economy</w:t>
      </w:r>
      <w:r w:rsidR="00C20E05" w:rsidRPr="006974F0">
        <w:rPr>
          <w:lang w:val="en-NZ"/>
        </w:rPr>
        <w:t xml:space="preserve"> </w:t>
      </w:r>
      <w:r w:rsidRPr="006974F0">
        <w:rPr>
          <w:lang w:val="en-NZ"/>
        </w:rPr>
        <w:t xml:space="preserve">to </w:t>
      </w:r>
      <w:r w:rsidRPr="00DE5D11">
        <w:rPr>
          <w:lang w:val="en-NZ"/>
        </w:rPr>
        <w:t>respond</w:t>
      </w:r>
      <w:r w:rsidRPr="006974F0">
        <w:rPr>
          <w:lang w:val="en-NZ"/>
        </w:rPr>
        <w:t xml:space="preserve"> to structural shocks and cyclical </w:t>
      </w:r>
      <w:r w:rsidRPr="00DE5D11">
        <w:rPr>
          <w:lang w:val="en-NZ"/>
        </w:rPr>
        <w:t>changes</w:t>
      </w:r>
      <w:r w:rsidRPr="006974F0">
        <w:rPr>
          <w:lang w:val="en-NZ"/>
        </w:rPr>
        <w:t>.</w:t>
      </w:r>
    </w:p>
    <w:p w:rsidR="00FC7F8A" w:rsidRPr="006974F0" w:rsidRDefault="00FC7F8A" w:rsidP="00FC7F8A">
      <w:pPr>
        <w:pStyle w:val="BodyText"/>
        <w:rPr>
          <w:lang w:val="en-NZ"/>
        </w:rPr>
      </w:pPr>
      <w:r w:rsidRPr="006974F0">
        <w:rPr>
          <w:lang w:val="en-NZ"/>
        </w:rPr>
        <w:lastRenderedPageBreak/>
        <w:t xml:space="preserve">Further, CER appears to have helped change opinions about trade protection for manufacturing and thereby paved the way for unilateral reductions in </w:t>
      </w:r>
      <w:r w:rsidR="00C74B12">
        <w:rPr>
          <w:lang w:val="en-NZ"/>
        </w:rPr>
        <w:t xml:space="preserve">general </w:t>
      </w:r>
      <w:r w:rsidRPr="006974F0">
        <w:rPr>
          <w:lang w:val="en-NZ"/>
        </w:rPr>
        <w:t xml:space="preserve">tariffs, particularly in New Zealand. In this way, </w:t>
      </w:r>
      <w:r w:rsidR="00C56187" w:rsidRPr="006974F0">
        <w:rPr>
          <w:lang w:val="en-NZ"/>
        </w:rPr>
        <w:t>CER</w:t>
      </w:r>
      <w:r w:rsidRPr="006974F0">
        <w:rPr>
          <w:lang w:val="en-NZ"/>
        </w:rPr>
        <w:t xml:space="preserve"> </w:t>
      </w:r>
      <w:r w:rsidR="006974F0">
        <w:rPr>
          <w:lang w:val="en-NZ"/>
        </w:rPr>
        <w:t xml:space="preserve">bilateral trade arrangements, unlike many other preferential arrangements, </w:t>
      </w:r>
      <w:r w:rsidRPr="006974F0">
        <w:rPr>
          <w:lang w:val="en-NZ"/>
        </w:rPr>
        <w:t>may have acted more as a ‘building block’ than ‘stumbling block’ in the pursuit of wider reform and economic integration.</w:t>
      </w:r>
    </w:p>
    <w:p w:rsidR="00FC7F8A" w:rsidRPr="006974F0" w:rsidRDefault="00FC7F8A" w:rsidP="00FC7F8A">
      <w:pPr>
        <w:pStyle w:val="BodyText"/>
        <w:rPr>
          <w:lang w:val="en-NZ"/>
        </w:rPr>
      </w:pPr>
      <w:r w:rsidRPr="006974F0">
        <w:rPr>
          <w:lang w:val="en-NZ"/>
        </w:rPr>
        <w:t>Overall, there is sufficient evidence to conclude that CER has produced benefits for both Australia and New Zealand</w:t>
      </w:r>
      <w:r>
        <w:t>, even though there is un</w:t>
      </w:r>
      <w:r w:rsidR="00E65944">
        <w:t>certainty about the magnitudes</w:t>
      </w:r>
      <w:r w:rsidR="00E65944" w:rsidRPr="006974F0">
        <w:rPr>
          <w:lang w:val="en-NZ"/>
        </w:rPr>
        <w:t>.</w:t>
      </w:r>
    </w:p>
    <w:p w:rsidR="00FC7F8A" w:rsidRPr="006974F0" w:rsidRDefault="00FC7F8A" w:rsidP="00FC7F8A">
      <w:pPr>
        <w:pStyle w:val="Heading2"/>
        <w:rPr>
          <w:lang w:val="en-NZ"/>
        </w:rPr>
      </w:pPr>
      <w:r w:rsidRPr="006974F0">
        <w:rPr>
          <w:lang w:val="en-NZ"/>
        </w:rPr>
        <w:t>Key themes in further integration</w:t>
      </w:r>
    </w:p>
    <w:p w:rsidR="00FC7F8A" w:rsidRPr="006974F0" w:rsidRDefault="00E80B7F" w:rsidP="00FC7F8A">
      <w:pPr>
        <w:pStyle w:val="Heading3"/>
        <w:rPr>
          <w:lang w:val="en-NZ"/>
        </w:rPr>
      </w:pPr>
      <w:r w:rsidRPr="006974F0">
        <w:rPr>
          <w:lang w:val="en-NZ"/>
        </w:rPr>
        <w:t>‘</w:t>
      </w:r>
      <w:r w:rsidR="00FC7F8A" w:rsidRPr="006974F0">
        <w:rPr>
          <w:lang w:val="en-NZ"/>
        </w:rPr>
        <w:t>Closer’, but still politically separate</w:t>
      </w:r>
    </w:p>
    <w:p w:rsidR="00FC7F8A" w:rsidRPr="006974F0" w:rsidRDefault="005C40C2" w:rsidP="00FC7F8A">
      <w:pPr>
        <w:pStyle w:val="BodyText"/>
        <w:rPr>
          <w:lang w:val="en-NZ"/>
        </w:rPr>
      </w:pPr>
      <w:r w:rsidRPr="006974F0">
        <w:rPr>
          <w:lang w:val="en-NZ"/>
        </w:rPr>
        <w:t>G</w:t>
      </w:r>
      <w:r w:rsidR="00FC7F8A" w:rsidRPr="006974F0">
        <w:rPr>
          <w:lang w:val="en-NZ"/>
        </w:rPr>
        <w:t xml:space="preserve">eographic proximity </w:t>
      </w:r>
      <w:r w:rsidRPr="006974F0">
        <w:rPr>
          <w:lang w:val="en-NZ"/>
        </w:rPr>
        <w:t xml:space="preserve">and commonalities </w:t>
      </w:r>
      <w:r w:rsidR="00FC7F8A" w:rsidRPr="006974F0">
        <w:rPr>
          <w:lang w:val="en-NZ"/>
        </w:rPr>
        <w:t xml:space="preserve">between the two countries have enabled governments to pursue economic integration beyond what </w:t>
      </w:r>
      <w:r w:rsidR="00FC62BD" w:rsidRPr="00DE5D11">
        <w:rPr>
          <w:lang w:val="en-NZ"/>
        </w:rPr>
        <w:t>could be expected</w:t>
      </w:r>
      <w:r w:rsidRPr="006974F0">
        <w:rPr>
          <w:lang w:val="en-NZ"/>
        </w:rPr>
        <w:t xml:space="preserve"> with any third country</w:t>
      </w:r>
      <w:r w:rsidR="007A73B5">
        <w:rPr>
          <w:lang w:val="en-NZ"/>
        </w:rPr>
        <w:t xml:space="preserve">, while </w:t>
      </w:r>
      <w:r w:rsidR="000A29B7">
        <w:rPr>
          <w:lang w:val="en-NZ"/>
        </w:rPr>
        <w:t>preserving</w:t>
      </w:r>
      <w:r w:rsidR="007A73B5">
        <w:rPr>
          <w:lang w:val="en-NZ"/>
        </w:rPr>
        <w:t xml:space="preserve"> </w:t>
      </w:r>
      <w:r w:rsidR="00FC7F8A" w:rsidRPr="006974F0">
        <w:rPr>
          <w:lang w:val="en-NZ"/>
        </w:rPr>
        <w:t>the national interests of both countries. Australia and New Zealand are separate countries: political union is</w:t>
      </w:r>
      <w:r w:rsidR="0028275C" w:rsidRPr="006974F0">
        <w:rPr>
          <w:lang w:val="en-NZ"/>
        </w:rPr>
        <w:t xml:space="preserve"> not a live option and this </w:t>
      </w:r>
      <w:r w:rsidR="00FC7F8A" w:rsidRPr="006974F0">
        <w:rPr>
          <w:lang w:val="en-NZ"/>
        </w:rPr>
        <w:t xml:space="preserve">rules out </w:t>
      </w:r>
      <w:r w:rsidRPr="006974F0">
        <w:rPr>
          <w:lang w:val="en-NZ"/>
        </w:rPr>
        <w:t xml:space="preserve">some </w:t>
      </w:r>
      <w:r w:rsidR="00FC7F8A" w:rsidRPr="006974F0">
        <w:rPr>
          <w:lang w:val="en-NZ"/>
        </w:rPr>
        <w:t>higher forms of integration. In particular, proposals for a monetary union would take integration to the point where it started to generate net costs</w:t>
      </w:r>
      <w:r w:rsidR="00B65440" w:rsidRPr="006974F0">
        <w:rPr>
          <w:lang w:val="en-NZ"/>
        </w:rPr>
        <w:t>. F</w:t>
      </w:r>
      <w:r w:rsidR="00FC7F8A" w:rsidRPr="006974F0">
        <w:rPr>
          <w:lang w:val="en-NZ"/>
        </w:rPr>
        <w:t xml:space="preserve">ollowing the recent euro area experience, </w:t>
      </w:r>
      <w:r w:rsidR="00390496" w:rsidRPr="006974F0">
        <w:rPr>
          <w:lang w:val="en-NZ"/>
        </w:rPr>
        <w:t>such proposals</w:t>
      </w:r>
      <w:r w:rsidR="00B65440" w:rsidRPr="006974F0">
        <w:rPr>
          <w:lang w:val="en-NZ"/>
        </w:rPr>
        <w:t xml:space="preserve"> </w:t>
      </w:r>
      <w:r w:rsidR="000A29B7">
        <w:rPr>
          <w:lang w:val="en-NZ"/>
        </w:rPr>
        <w:t xml:space="preserve">would in any case </w:t>
      </w:r>
      <w:r w:rsidR="00FC7F8A" w:rsidRPr="006974F0">
        <w:rPr>
          <w:lang w:val="en-NZ"/>
        </w:rPr>
        <w:t>have little support today.</w:t>
      </w:r>
    </w:p>
    <w:p w:rsidR="00876033" w:rsidRPr="00C82F07" w:rsidRDefault="00876033" w:rsidP="00876033">
      <w:pPr>
        <w:pStyle w:val="BodyText"/>
        <w:rPr>
          <w:lang w:val="en-NZ"/>
        </w:rPr>
      </w:pPr>
      <w:r>
        <w:rPr>
          <w:lang w:val="en-NZ"/>
        </w:rPr>
        <w:t>The political autonomy of the two countries has implications for the way the Commissions have applied ‘joint net benefits’ in this study (a term used interchangeably wi</w:t>
      </w:r>
      <w:r w:rsidR="00C82F07">
        <w:rPr>
          <w:lang w:val="en-NZ"/>
        </w:rPr>
        <w:t xml:space="preserve">th net trans-Tasman benefits). </w:t>
      </w:r>
      <w:r>
        <w:rPr>
          <w:lang w:val="en-NZ"/>
        </w:rPr>
        <w:t xml:space="preserve">The Commissions </w:t>
      </w:r>
      <w:r w:rsidRPr="00C82F07">
        <w:rPr>
          <w:lang w:val="en-NZ"/>
        </w:rPr>
        <w:t>recommend</w:t>
      </w:r>
      <w:r>
        <w:rPr>
          <w:lang w:val="en-NZ"/>
        </w:rPr>
        <w:t xml:space="preserve"> </w:t>
      </w:r>
      <w:r w:rsidRPr="00C82F07">
        <w:rPr>
          <w:lang w:val="en-NZ"/>
        </w:rPr>
        <w:t xml:space="preserve">policy initiatives which </w:t>
      </w:r>
      <w:r w:rsidR="002E59E7">
        <w:rPr>
          <w:lang w:val="en-NZ"/>
        </w:rPr>
        <w:t xml:space="preserve">are likely to </w:t>
      </w:r>
      <w:r w:rsidRPr="00C82F07">
        <w:rPr>
          <w:lang w:val="en-NZ"/>
        </w:rPr>
        <w:t>benefit both countries, even where the distribution of the benefits favours one country. They have made no attempt to rank recommendations on the basis of how these benefits would be distributed between or within each country.</w:t>
      </w:r>
      <w:r w:rsidR="00C82F07">
        <w:rPr>
          <w:lang w:val="en-NZ"/>
        </w:rPr>
        <w:t xml:space="preserve"> </w:t>
      </w:r>
      <w:r>
        <w:rPr>
          <w:lang w:val="en-NZ"/>
        </w:rPr>
        <w:t>In cases where a policy initiative wou</w:t>
      </w:r>
      <w:r w:rsidR="00C82F07">
        <w:rPr>
          <w:lang w:val="en-NZ"/>
        </w:rPr>
        <w:t xml:space="preserve">ld provide joint net benefits, </w:t>
      </w:r>
      <w:r>
        <w:rPr>
          <w:lang w:val="en-NZ"/>
        </w:rPr>
        <w:t xml:space="preserve">but would likely involve a net cost for one country, the Commissions </w:t>
      </w:r>
      <w:r w:rsidRPr="00C82F07">
        <w:rPr>
          <w:lang w:val="en-NZ"/>
        </w:rPr>
        <w:t>report</w:t>
      </w:r>
      <w:r>
        <w:rPr>
          <w:lang w:val="en-NZ"/>
        </w:rPr>
        <w:t xml:space="preserve"> that finding for </w:t>
      </w:r>
      <w:r w:rsidR="000A29B7">
        <w:rPr>
          <w:lang w:val="en-NZ"/>
        </w:rPr>
        <w:t xml:space="preserve">possible </w:t>
      </w:r>
      <w:r>
        <w:rPr>
          <w:lang w:val="en-NZ"/>
        </w:rPr>
        <w:t>consideration by governments as part o</w:t>
      </w:r>
      <w:r w:rsidR="00C82F07">
        <w:rPr>
          <w:lang w:val="en-NZ"/>
        </w:rPr>
        <w:t>f a wider package of actions.</w:t>
      </w:r>
    </w:p>
    <w:p w:rsidR="00FC7F8A" w:rsidRPr="006974F0" w:rsidRDefault="00FC7F8A" w:rsidP="00FC7F8A">
      <w:pPr>
        <w:pStyle w:val="Heading3"/>
        <w:rPr>
          <w:lang w:val="en-NZ"/>
        </w:rPr>
      </w:pPr>
      <w:r w:rsidRPr="006974F0">
        <w:rPr>
          <w:lang w:val="en-NZ"/>
        </w:rPr>
        <w:t>Deeper integration requires careful assessment</w:t>
      </w:r>
    </w:p>
    <w:p w:rsidR="00FC7F8A" w:rsidRPr="006974F0" w:rsidRDefault="00FC7F8A" w:rsidP="00FC7F8A">
      <w:pPr>
        <w:pStyle w:val="BodyText"/>
        <w:rPr>
          <w:lang w:val="en-NZ"/>
        </w:rPr>
      </w:pPr>
      <w:r w:rsidRPr="006974F0">
        <w:rPr>
          <w:lang w:val="en-NZ"/>
        </w:rPr>
        <w:t>Implementing agreem</w:t>
      </w:r>
      <w:r w:rsidR="000A3349" w:rsidRPr="006974F0">
        <w:rPr>
          <w:lang w:val="en-NZ"/>
        </w:rPr>
        <w:t xml:space="preserve">ents to reduce </w:t>
      </w:r>
      <w:r w:rsidR="000A3349" w:rsidRPr="00DE5D11">
        <w:rPr>
          <w:lang w:val="en-NZ"/>
        </w:rPr>
        <w:t>behind</w:t>
      </w:r>
      <w:r w:rsidR="00FC62BD" w:rsidRPr="00DE5D11">
        <w:rPr>
          <w:lang w:val="en-NZ"/>
        </w:rPr>
        <w:t>-</w:t>
      </w:r>
      <w:r w:rsidR="000A3349" w:rsidRPr="00DE5D11">
        <w:rPr>
          <w:lang w:val="en-NZ"/>
        </w:rPr>
        <w:t>the</w:t>
      </w:r>
      <w:r w:rsidR="00FC62BD" w:rsidRPr="00DE5D11">
        <w:rPr>
          <w:lang w:val="en-NZ"/>
        </w:rPr>
        <w:t>-</w:t>
      </w:r>
      <w:r w:rsidR="000A3349" w:rsidRPr="00DE5D11">
        <w:rPr>
          <w:lang w:val="en-NZ"/>
        </w:rPr>
        <w:t>border</w:t>
      </w:r>
      <w:r w:rsidRPr="00DE5D11">
        <w:rPr>
          <w:lang w:val="en-NZ"/>
        </w:rPr>
        <w:t xml:space="preserve"> </w:t>
      </w:r>
      <w:r w:rsidR="00FC62BD" w:rsidRPr="006974F0">
        <w:rPr>
          <w:lang w:val="en-NZ"/>
        </w:rPr>
        <w:t xml:space="preserve">barriers </w:t>
      </w:r>
      <w:r w:rsidRPr="006974F0">
        <w:rPr>
          <w:lang w:val="en-NZ"/>
        </w:rPr>
        <w:t>— typically regulatory in nature — is more complicated than reducing tariffs</w:t>
      </w:r>
      <w:r w:rsidRPr="00DE5D11">
        <w:rPr>
          <w:lang w:val="en-NZ"/>
        </w:rPr>
        <w:t xml:space="preserve">. </w:t>
      </w:r>
      <w:r w:rsidR="00FC62BD" w:rsidRPr="00DE5D11">
        <w:rPr>
          <w:lang w:val="en-NZ"/>
        </w:rPr>
        <w:t>Work</w:t>
      </w:r>
      <w:r w:rsidR="00FC62BD" w:rsidRPr="006974F0">
        <w:rPr>
          <w:lang w:val="en-NZ"/>
        </w:rPr>
        <w:t xml:space="preserve"> </w:t>
      </w:r>
      <w:r w:rsidRPr="006974F0">
        <w:rPr>
          <w:lang w:val="en-NZ"/>
        </w:rPr>
        <w:t xml:space="preserve">programs </w:t>
      </w:r>
      <w:r w:rsidRPr="006974F0">
        <w:rPr>
          <w:lang w:val="en-NZ"/>
        </w:rPr>
        <w:lastRenderedPageBreak/>
        <w:t>have taken many years</w:t>
      </w:r>
      <w:r w:rsidR="00FC62BD" w:rsidRPr="00DE5D11">
        <w:rPr>
          <w:lang w:val="en-NZ"/>
        </w:rPr>
        <w:t xml:space="preserve"> in some cases</w:t>
      </w:r>
      <w:r w:rsidRPr="00DE5D11">
        <w:rPr>
          <w:lang w:val="en-NZ"/>
        </w:rPr>
        <w:t>.</w:t>
      </w:r>
      <w:r w:rsidRPr="006974F0">
        <w:rPr>
          <w:lang w:val="en-NZ"/>
        </w:rPr>
        <w:t xml:space="preserve"> For example, the first consultation paper on establishing a joint therapeutic product</w:t>
      </w:r>
      <w:r w:rsidR="00C56187" w:rsidRPr="006974F0">
        <w:rPr>
          <w:lang w:val="en-NZ"/>
        </w:rPr>
        <w:t>s</w:t>
      </w:r>
      <w:r w:rsidRPr="006974F0">
        <w:rPr>
          <w:lang w:val="en-NZ"/>
        </w:rPr>
        <w:t xml:space="preserve"> agency was released in 2000, yet the new agency is not due to be operational until 2016. In other areas — such as a mooted merger of stock exchanges and the integration of banking supervision and competition policy regimes — deeper int</w:t>
      </w:r>
      <w:r w:rsidR="00E65944" w:rsidRPr="006974F0">
        <w:rPr>
          <w:lang w:val="en-NZ"/>
        </w:rPr>
        <w:t>egration has not been achieved.</w:t>
      </w:r>
    </w:p>
    <w:p w:rsidR="00FC7F8A" w:rsidRPr="006974F0" w:rsidRDefault="00FC7F8A" w:rsidP="00FC7F8A">
      <w:pPr>
        <w:pStyle w:val="BodyText"/>
        <w:rPr>
          <w:lang w:val="en-NZ"/>
        </w:rPr>
      </w:pPr>
      <w:r w:rsidRPr="006974F0">
        <w:rPr>
          <w:lang w:val="en-NZ"/>
        </w:rPr>
        <w:t xml:space="preserve">In contrast, </w:t>
      </w:r>
      <w:r w:rsidR="00B40B97" w:rsidRPr="006974F0">
        <w:rPr>
          <w:lang w:val="en-NZ"/>
        </w:rPr>
        <w:t>there is an ambitious agenda</w:t>
      </w:r>
      <w:r w:rsidRPr="006974F0">
        <w:rPr>
          <w:lang w:val="en-NZ"/>
        </w:rPr>
        <w:t xml:space="preserve"> </w:t>
      </w:r>
      <w:r w:rsidR="00B40B97" w:rsidRPr="006974F0">
        <w:rPr>
          <w:lang w:val="en-NZ"/>
        </w:rPr>
        <w:t xml:space="preserve">and </w:t>
      </w:r>
      <w:r w:rsidRPr="006974F0">
        <w:rPr>
          <w:lang w:val="en-NZ"/>
        </w:rPr>
        <w:t>progress has been made</w:t>
      </w:r>
      <w:r w:rsidR="00331D2B" w:rsidRPr="00DE5D11">
        <w:rPr>
          <w:lang w:val="en-NZ"/>
        </w:rPr>
        <w:t xml:space="preserve"> for areas such as business law reform</w:t>
      </w:r>
      <w:r w:rsidRPr="00DE5D11">
        <w:rPr>
          <w:lang w:val="en-NZ"/>
        </w:rPr>
        <w:t>.</w:t>
      </w:r>
      <w:r w:rsidR="00C66D15" w:rsidRPr="006974F0">
        <w:rPr>
          <w:lang w:val="en-NZ"/>
        </w:rPr>
        <w:t xml:space="preserve"> </w:t>
      </w:r>
      <w:r w:rsidRPr="006974F0">
        <w:rPr>
          <w:lang w:val="en-NZ"/>
        </w:rPr>
        <w:t xml:space="preserve">Some existing initiatives may need to be revisited as circumstances change. However, as advances are made, new integration opportunities </w:t>
      </w:r>
      <w:r w:rsidR="0006409D">
        <w:rPr>
          <w:lang w:val="en-NZ"/>
        </w:rPr>
        <w:t>will</w:t>
      </w:r>
      <w:r w:rsidRPr="006974F0">
        <w:rPr>
          <w:lang w:val="en-NZ"/>
        </w:rPr>
        <w:t xml:space="preserve"> become </w:t>
      </w:r>
      <w:r w:rsidR="001575FF" w:rsidRPr="006974F0">
        <w:rPr>
          <w:lang w:val="en-NZ"/>
        </w:rPr>
        <w:t xml:space="preserve">less </w:t>
      </w:r>
      <w:r w:rsidR="00BC7AB4" w:rsidRPr="006974F0">
        <w:rPr>
          <w:lang w:val="en-NZ"/>
        </w:rPr>
        <w:t>obvious, and judg</w:t>
      </w:r>
      <w:r w:rsidRPr="006974F0">
        <w:rPr>
          <w:lang w:val="en-NZ"/>
        </w:rPr>
        <w:t>ments will require well executed public policy analysis.</w:t>
      </w:r>
    </w:p>
    <w:p w:rsidR="00FC7F8A" w:rsidRPr="006974F0" w:rsidRDefault="00FC7F8A" w:rsidP="00FC7F8A">
      <w:pPr>
        <w:pStyle w:val="Heading3"/>
        <w:rPr>
          <w:lang w:val="en-NZ"/>
        </w:rPr>
      </w:pPr>
      <w:r w:rsidRPr="006974F0">
        <w:rPr>
          <w:lang w:val="en-NZ"/>
        </w:rPr>
        <w:t>The ‘direction of travel’ matters more than the destination</w:t>
      </w:r>
    </w:p>
    <w:p w:rsidR="00FC7F8A" w:rsidRPr="006974F0" w:rsidRDefault="00FC7F8A" w:rsidP="00FC7F8A">
      <w:pPr>
        <w:pStyle w:val="BodyText"/>
        <w:rPr>
          <w:lang w:val="en-NZ"/>
        </w:rPr>
      </w:pPr>
      <w:r w:rsidRPr="006974F0">
        <w:rPr>
          <w:lang w:val="en-NZ"/>
        </w:rPr>
        <w:t xml:space="preserve">The benefits and costs of </w:t>
      </w:r>
      <w:r w:rsidR="000468E9" w:rsidRPr="006974F0">
        <w:rPr>
          <w:lang w:val="en-NZ"/>
        </w:rPr>
        <w:t xml:space="preserve">integration </w:t>
      </w:r>
      <w:r w:rsidRPr="00DE5D11">
        <w:rPr>
          <w:lang w:val="en-NZ"/>
        </w:rPr>
        <w:t>initiatives</w:t>
      </w:r>
      <w:r w:rsidRPr="006974F0">
        <w:rPr>
          <w:lang w:val="en-NZ"/>
        </w:rPr>
        <w:t xml:space="preserve"> alter as technology, preferences and other factors change. This means that the end point — in terms of the extent of economic integration</w:t>
      </w:r>
      <w:r w:rsidR="006974F0">
        <w:rPr>
          <w:lang w:val="en-NZ"/>
        </w:rPr>
        <w:t xml:space="preserve"> that provides the largest net benefits</w:t>
      </w:r>
      <w:r w:rsidR="00F175CC" w:rsidRPr="006974F0">
        <w:rPr>
          <w:lang w:val="en-NZ"/>
        </w:rPr>
        <w:t xml:space="preserve"> </w:t>
      </w:r>
      <w:r w:rsidRPr="006974F0">
        <w:rPr>
          <w:lang w:val="en-NZ"/>
        </w:rPr>
        <w:t xml:space="preserve">— cannot be specified in advance. It </w:t>
      </w:r>
      <w:r w:rsidR="00BD1711">
        <w:rPr>
          <w:lang w:val="en-NZ"/>
        </w:rPr>
        <w:t>should</w:t>
      </w:r>
      <w:r w:rsidRPr="006974F0">
        <w:rPr>
          <w:lang w:val="en-NZ"/>
        </w:rPr>
        <w:t xml:space="preserve"> evolve with changing circumstances</w:t>
      </w:r>
      <w:r w:rsidR="00BD1711" w:rsidRPr="006974F0">
        <w:rPr>
          <w:lang w:val="en-NZ"/>
        </w:rPr>
        <w:t xml:space="preserve"> and </w:t>
      </w:r>
      <w:r w:rsidR="0006409D">
        <w:rPr>
          <w:lang w:val="en-NZ"/>
        </w:rPr>
        <w:t xml:space="preserve">be </w:t>
      </w:r>
      <w:r w:rsidR="00BD1711">
        <w:rPr>
          <w:lang w:val="en-NZ"/>
        </w:rPr>
        <w:t>based on</w:t>
      </w:r>
      <w:r w:rsidR="00BD1711" w:rsidRPr="006974F0">
        <w:rPr>
          <w:lang w:val="en-NZ"/>
        </w:rPr>
        <w:t xml:space="preserve"> </w:t>
      </w:r>
      <w:r w:rsidRPr="006974F0">
        <w:rPr>
          <w:lang w:val="en-NZ"/>
        </w:rPr>
        <w:t>good public policy processes focused on the achievement of net benefits.</w:t>
      </w:r>
    </w:p>
    <w:p w:rsidR="00FC7F8A" w:rsidRPr="006974F0" w:rsidRDefault="00F175CC" w:rsidP="002764A3">
      <w:pPr>
        <w:pStyle w:val="BodyText"/>
        <w:rPr>
          <w:rFonts w:eastAsia="Calibri"/>
          <w:lang w:val="en-NZ"/>
        </w:rPr>
      </w:pPr>
      <w:r>
        <w:rPr>
          <w:rFonts w:eastAsia="Calibri"/>
          <w:lang w:val="en-NZ" w:eastAsia="en-US"/>
        </w:rPr>
        <w:t>A</w:t>
      </w:r>
      <w:r w:rsidR="000468E9" w:rsidRPr="00DE5D11">
        <w:rPr>
          <w:rFonts w:eastAsia="Calibri"/>
          <w:lang w:val="en-NZ" w:eastAsia="en-US"/>
        </w:rPr>
        <w:t xml:space="preserve"> set of principles</w:t>
      </w:r>
      <w:r w:rsidR="006974F0">
        <w:rPr>
          <w:rFonts w:eastAsia="Calibri"/>
          <w:lang w:val="en-NZ" w:eastAsia="en-US"/>
        </w:rPr>
        <w:t>,</w:t>
      </w:r>
      <w:r w:rsidR="000468E9" w:rsidRPr="00DE5D11">
        <w:rPr>
          <w:rFonts w:eastAsia="Calibri"/>
          <w:lang w:val="en-NZ" w:eastAsia="en-US"/>
        </w:rPr>
        <w:t xml:space="preserve"> which provides a </w:t>
      </w:r>
      <w:r w:rsidR="000468E9" w:rsidRPr="006974F0">
        <w:rPr>
          <w:rFonts w:eastAsia="Calibri"/>
          <w:lang w:val="en-NZ"/>
        </w:rPr>
        <w:t>broad</w:t>
      </w:r>
      <w:r w:rsidR="00FC7F8A" w:rsidRPr="006974F0">
        <w:rPr>
          <w:rFonts w:eastAsia="Calibri"/>
          <w:lang w:val="en-NZ"/>
        </w:rPr>
        <w:t xml:space="preserve"> direction of </w:t>
      </w:r>
      <w:r w:rsidR="00FC7F8A" w:rsidRPr="00DE5D11">
        <w:rPr>
          <w:rFonts w:eastAsia="Calibri"/>
          <w:lang w:val="en-NZ" w:eastAsia="en-US"/>
        </w:rPr>
        <w:t>travel</w:t>
      </w:r>
      <w:r w:rsidR="00FC7F8A" w:rsidRPr="006974F0">
        <w:rPr>
          <w:rFonts w:eastAsia="Calibri"/>
          <w:lang w:val="en-NZ"/>
        </w:rPr>
        <w:t xml:space="preserve"> for</w:t>
      </w:r>
      <w:r w:rsidR="00FC7F8A" w:rsidRPr="00DE5D11">
        <w:rPr>
          <w:rFonts w:eastAsia="Calibri"/>
          <w:lang w:val="en-NZ" w:eastAsia="en-US"/>
        </w:rPr>
        <w:t xml:space="preserve"> </w:t>
      </w:r>
      <w:r w:rsidR="000468E9" w:rsidRPr="00DE5D11">
        <w:rPr>
          <w:rFonts w:eastAsia="Calibri"/>
          <w:lang w:val="en-NZ" w:eastAsia="en-US"/>
        </w:rPr>
        <w:t>trans-Tasman</w:t>
      </w:r>
      <w:r w:rsidR="000468E9" w:rsidRPr="006974F0">
        <w:rPr>
          <w:rFonts w:eastAsia="Calibri"/>
          <w:lang w:val="en-NZ"/>
        </w:rPr>
        <w:t xml:space="preserve"> </w:t>
      </w:r>
      <w:r w:rsidR="00FC7F8A" w:rsidRPr="006974F0">
        <w:rPr>
          <w:rFonts w:eastAsia="Calibri"/>
          <w:lang w:val="en-NZ"/>
        </w:rPr>
        <w:t>integration</w:t>
      </w:r>
      <w:r w:rsidR="006974F0">
        <w:rPr>
          <w:rFonts w:eastAsia="Calibri"/>
          <w:lang w:val="en-NZ"/>
        </w:rPr>
        <w:t>,</w:t>
      </w:r>
      <w:r w:rsidR="00FC7F8A" w:rsidRPr="006974F0">
        <w:rPr>
          <w:rFonts w:eastAsia="Calibri"/>
          <w:lang w:val="en-NZ"/>
        </w:rPr>
        <w:t xml:space="preserve"> </w:t>
      </w:r>
      <w:r w:rsidR="006974F0">
        <w:rPr>
          <w:rFonts w:eastAsia="Calibri"/>
          <w:lang w:val="en-NZ" w:eastAsia="en-US"/>
        </w:rPr>
        <w:t>was</w:t>
      </w:r>
      <w:r w:rsidR="00FC7F8A" w:rsidRPr="00DE5D11">
        <w:rPr>
          <w:rFonts w:eastAsia="Calibri"/>
          <w:lang w:val="en-NZ" w:eastAsia="en-US"/>
        </w:rPr>
        <w:t xml:space="preserve"> </w:t>
      </w:r>
      <w:r w:rsidR="00FC7F8A" w:rsidRPr="006974F0">
        <w:rPr>
          <w:rFonts w:eastAsia="Calibri"/>
          <w:lang w:val="en-NZ"/>
        </w:rPr>
        <w:t xml:space="preserve">endorsed by Prime Ministers in 2009. They point to a single economic market </w:t>
      </w:r>
      <w:r w:rsidR="00347E6A">
        <w:rPr>
          <w:rFonts w:eastAsia="Calibri"/>
          <w:lang w:val="en-NZ"/>
        </w:rPr>
        <w:t xml:space="preserve">(SEM) </w:t>
      </w:r>
      <w:r w:rsidR="00FC7F8A" w:rsidRPr="006974F0">
        <w:rPr>
          <w:rFonts w:eastAsia="Calibri"/>
          <w:lang w:val="en-NZ"/>
        </w:rPr>
        <w:t>characterised by features such as:</w:t>
      </w:r>
    </w:p>
    <w:p w:rsidR="00FC7F8A" w:rsidRPr="006974F0" w:rsidRDefault="00FC7F8A" w:rsidP="00AD4AF4">
      <w:pPr>
        <w:pStyle w:val="ListBullet"/>
        <w:rPr>
          <w:rFonts w:eastAsia="Calibri"/>
          <w:lang w:val="en-NZ"/>
        </w:rPr>
      </w:pPr>
      <w:r w:rsidRPr="006974F0">
        <w:rPr>
          <w:rFonts w:eastAsia="Calibri"/>
          <w:lang w:val="en-NZ"/>
        </w:rPr>
        <w:t>substantively the same regulatory outcomes in both countries</w:t>
      </w:r>
      <w:r w:rsidR="000A29B7">
        <w:rPr>
          <w:rFonts w:eastAsia="Calibri"/>
          <w:lang w:val="en-NZ"/>
        </w:rPr>
        <w:t>,</w:t>
      </w:r>
      <w:r w:rsidRPr="006974F0">
        <w:rPr>
          <w:rFonts w:eastAsia="Calibri"/>
          <w:lang w:val="en-NZ"/>
        </w:rPr>
        <w:t xml:space="preserve"> </w:t>
      </w:r>
      <w:r w:rsidR="00B40B97" w:rsidRPr="006974F0">
        <w:rPr>
          <w:rFonts w:eastAsia="Calibri"/>
          <w:lang w:val="en-NZ"/>
        </w:rPr>
        <w:t xml:space="preserve">achieved </w:t>
      </w:r>
      <w:r w:rsidRPr="006974F0">
        <w:rPr>
          <w:rFonts w:eastAsia="Calibri"/>
          <w:lang w:val="en-NZ"/>
        </w:rPr>
        <w:t>in the most efficient manner</w:t>
      </w:r>
    </w:p>
    <w:p w:rsidR="00FC7F8A" w:rsidRPr="006974F0" w:rsidRDefault="00FC7F8A" w:rsidP="00AD4AF4">
      <w:pPr>
        <w:pStyle w:val="ListBullet"/>
        <w:rPr>
          <w:rFonts w:eastAsia="Calibri"/>
          <w:lang w:val="en-NZ"/>
        </w:rPr>
      </w:pPr>
      <w:r w:rsidRPr="006974F0">
        <w:rPr>
          <w:rFonts w:eastAsia="Calibri"/>
          <w:lang w:val="en-NZ"/>
        </w:rPr>
        <w:t>regulated occupations operating seamlessly between each country</w:t>
      </w:r>
    </w:p>
    <w:p w:rsidR="00FC7F8A" w:rsidRPr="006974F0" w:rsidRDefault="00331D2B" w:rsidP="00AD4AF4">
      <w:pPr>
        <w:pStyle w:val="ListBullet"/>
        <w:rPr>
          <w:rFonts w:eastAsia="Calibri"/>
          <w:lang w:val="en-NZ"/>
        </w:rPr>
      </w:pPr>
      <w:r w:rsidRPr="00DE5D11">
        <w:rPr>
          <w:rFonts w:eastAsia="Calibri"/>
          <w:lang w:val="en-NZ"/>
        </w:rPr>
        <w:t>achieving</w:t>
      </w:r>
      <w:r w:rsidR="00FC7F8A" w:rsidRPr="006974F0">
        <w:rPr>
          <w:rFonts w:eastAsia="Calibri"/>
          <w:lang w:val="en-NZ"/>
        </w:rPr>
        <w:t xml:space="preserve"> economies of scale in regulatory design and implementation</w:t>
      </w:r>
    </w:p>
    <w:p w:rsidR="00FC7F8A" w:rsidRPr="006974F0" w:rsidRDefault="00FC7F8A" w:rsidP="00AD4AF4">
      <w:pPr>
        <w:pStyle w:val="ListBullet"/>
        <w:rPr>
          <w:rFonts w:eastAsia="Calibri"/>
          <w:lang w:val="en-NZ"/>
        </w:rPr>
      </w:pPr>
      <w:r w:rsidRPr="006974F0">
        <w:rPr>
          <w:rFonts w:eastAsia="Calibri"/>
          <w:lang w:val="en-NZ"/>
        </w:rPr>
        <w:t>products or services supplied in one jurisdiction being able to be supplied in the other.</w:t>
      </w:r>
    </w:p>
    <w:p w:rsidR="00FC7F8A" w:rsidRDefault="00FC7F8A" w:rsidP="00AD4AF4">
      <w:pPr>
        <w:pStyle w:val="BodyText"/>
        <w:rPr>
          <w:rFonts w:eastAsia="Calibri"/>
          <w:lang w:val="en-NZ"/>
        </w:rPr>
      </w:pPr>
      <w:r w:rsidRPr="006974F0">
        <w:rPr>
          <w:rFonts w:eastAsia="Calibri"/>
          <w:lang w:val="en-NZ"/>
        </w:rPr>
        <w:t>Importantly, the Prime Ministers specified that in moving towards a single economic market, policy initiatives would ne</w:t>
      </w:r>
      <w:r w:rsidR="00E65944" w:rsidRPr="006974F0">
        <w:rPr>
          <w:rFonts w:eastAsia="Calibri"/>
          <w:lang w:val="en-NZ"/>
        </w:rPr>
        <w:t>ed to pass a cost</w:t>
      </w:r>
      <w:r w:rsidR="00672667">
        <w:rPr>
          <w:rFonts w:eastAsia="Calibri"/>
          <w:lang w:val="en-NZ"/>
        </w:rPr>
        <w:t>-</w:t>
      </w:r>
      <w:r w:rsidR="00E65944" w:rsidRPr="006974F0">
        <w:rPr>
          <w:rFonts w:eastAsia="Calibri"/>
          <w:lang w:val="en-NZ"/>
        </w:rPr>
        <w:t>benefit test.</w:t>
      </w:r>
    </w:p>
    <w:p w:rsidR="00287AFA" w:rsidRDefault="00287AFA" w:rsidP="00AD4AF4">
      <w:pPr>
        <w:pStyle w:val="BodyText"/>
        <w:rPr>
          <w:rFonts w:eastAsia="Calibri"/>
          <w:lang w:val="en-NZ"/>
        </w:rPr>
      </w:pPr>
      <w:r>
        <w:rPr>
          <w:rFonts w:eastAsia="Calibri"/>
          <w:lang w:val="en-NZ"/>
        </w:rPr>
        <w:t>The history of the relationship shows that it is better to anchor the future of CER and SEM in sound governance arrangements that can quickly and effectively identify and address issues as they arise, than in a vision.</w:t>
      </w:r>
    </w:p>
    <w:p w:rsidR="00FC7F8A" w:rsidRPr="00CC58CD" w:rsidRDefault="00FC7F8A" w:rsidP="00FC7F8A">
      <w:pPr>
        <w:pStyle w:val="Heading3"/>
        <w:rPr>
          <w:color w:val="000000" w:themeColor="text1"/>
          <w:lang w:val="en-NZ"/>
        </w:rPr>
      </w:pPr>
      <w:r w:rsidRPr="00CC58CD">
        <w:rPr>
          <w:color w:val="000000" w:themeColor="text1"/>
          <w:lang w:val="en-NZ"/>
        </w:rPr>
        <w:lastRenderedPageBreak/>
        <w:t>The bigger regional picture is important</w:t>
      </w:r>
    </w:p>
    <w:p w:rsidR="00FC7F8A" w:rsidRPr="00231E32" w:rsidRDefault="002366D9" w:rsidP="00FC7F8A">
      <w:pPr>
        <w:pStyle w:val="BodyText"/>
        <w:rPr>
          <w:lang w:val="en-NZ"/>
        </w:rPr>
      </w:pPr>
      <w:r w:rsidRPr="00231E32">
        <w:rPr>
          <w:lang w:val="en-NZ"/>
        </w:rPr>
        <w:t xml:space="preserve">CER </w:t>
      </w:r>
      <w:r w:rsidR="007A73B5" w:rsidRPr="00231E32">
        <w:rPr>
          <w:lang w:val="en-NZ"/>
        </w:rPr>
        <w:t xml:space="preserve">should </w:t>
      </w:r>
      <w:r w:rsidR="00FC7F8A" w:rsidRPr="00231E32">
        <w:rPr>
          <w:lang w:val="en-NZ"/>
        </w:rPr>
        <w:t xml:space="preserve">remain outward-oriented, and not become too narrowly focused on the bilateral relationship. </w:t>
      </w:r>
      <w:r w:rsidR="000468E9" w:rsidRPr="00231E32">
        <w:rPr>
          <w:lang w:val="en-NZ"/>
        </w:rPr>
        <w:t>This</w:t>
      </w:r>
      <w:r w:rsidR="00FC7F8A" w:rsidRPr="00231E32">
        <w:rPr>
          <w:lang w:val="en-NZ"/>
        </w:rPr>
        <w:t xml:space="preserve"> was recognised by the</w:t>
      </w:r>
      <w:r w:rsidRPr="00231E32">
        <w:rPr>
          <w:lang w:val="en-NZ"/>
        </w:rPr>
        <w:t xml:space="preserve"> original</w:t>
      </w:r>
      <w:r w:rsidR="00FC7F8A" w:rsidRPr="00231E32">
        <w:rPr>
          <w:lang w:val="en-NZ"/>
        </w:rPr>
        <w:t xml:space="preserve"> architects of CER</w:t>
      </w:r>
      <w:r w:rsidR="00CD50CF" w:rsidRPr="00231E32">
        <w:rPr>
          <w:lang w:val="en-NZ"/>
        </w:rPr>
        <w:t xml:space="preserve"> —</w:t>
      </w:r>
      <w:r w:rsidR="0018238D" w:rsidRPr="00231E32">
        <w:rPr>
          <w:lang w:val="en-NZ"/>
        </w:rPr>
        <w:t xml:space="preserve"> they</w:t>
      </w:r>
      <w:r w:rsidR="00FC7F8A" w:rsidRPr="00231E32">
        <w:rPr>
          <w:lang w:val="en-NZ"/>
        </w:rPr>
        <w:t xml:space="preserve"> understood that </w:t>
      </w:r>
      <w:r w:rsidR="00F175CC" w:rsidRPr="00231E32">
        <w:rPr>
          <w:lang w:val="en-NZ"/>
        </w:rPr>
        <w:t>it</w:t>
      </w:r>
      <w:r w:rsidR="00FC7F8A" w:rsidRPr="00231E32">
        <w:rPr>
          <w:lang w:val="en-NZ"/>
        </w:rPr>
        <w:t xml:space="preserve"> should not get in the way of either country securing beneficial wider integra</w:t>
      </w:r>
      <w:r w:rsidR="00E65944" w:rsidRPr="00231E32">
        <w:rPr>
          <w:lang w:val="en-NZ"/>
        </w:rPr>
        <w:t>tion opportunities.</w:t>
      </w:r>
    </w:p>
    <w:p w:rsidR="00FC7F8A" w:rsidRPr="00231E32" w:rsidRDefault="00475337" w:rsidP="00FC7F8A">
      <w:pPr>
        <w:pStyle w:val="BodyText"/>
        <w:rPr>
          <w:rFonts w:eastAsia="Calibri"/>
          <w:lang w:val="en-NZ"/>
        </w:rPr>
      </w:pPr>
      <w:r w:rsidRPr="00231E32">
        <w:rPr>
          <w:lang w:val="en-NZ"/>
        </w:rPr>
        <w:t xml:space="preserve">The fact that multilateral </w:t>
      </w:r>
      <w:r w:rsidR="00FC7F8A" w:rsidRPr="00231E32">
        <w:rPr>
          <w:lang w:val="en-NZ"/>
        </w:rPr>
        <w:t>efforts to promote trade liberalisation have lost momentum</w:t>
      </w:r>
      <w:r w:rsidRPr="00231E32">
        <w:rPr>
          <w:lang w:val="en-NZ"/>
        </w:rPr>
        <w:t xml:space="preserve"> reinforces </w:t>
      </w:r>
      <w:r w:rsidR="00FC7F8A" w:rsidRPr="00231E32">
        <w:rPr>
          <w:lang w:val="en-NZ"/>
        </w:rPr>
        <w:t xml:space="preserve">the need to consider trans-Tasman integration in a regional </w:t>
      </w:r>
      <w:r w:rsidRPr="00231E32">
        <w:rPr>
          <w:lang w:val="en-NZ"/>
        </w:rPr>
        <w:t>and</w:t>
      </w:r>
      <w:r w:rsidR="00FC7F8A" w:rsidRPr="00231E32">
        <w:rPr>
          <w:lang w:val="en-NZ"/>
        </w:rPr>
        <w:t xml:space="preserve"> global context. That means generally avoiding actions that would impede trade or investment with othe</w:t>
      </w:r>
      <w:r w:rsidR="0004478B" w:rsidRPr="00231E32">
        <w:rPr>
          <w:lang w:val="en-NZ"/>
        </w:rPr>
        <w:t xml:space="preserve">r countries and </w:t>
      </w:r>
      <w:r w:rsidRPr="00231E32">
        <w:rPr>
          <w:lang w:val="en-NZ"/>
        </w:rPr>
        <w:t xml:space="preserve">being alert to opportunities to extend </w:t>
      </w:r>
      <w:r w:rsidR="0004478B" w:rsidRPr="00231E32">
        <w:rPr>
          <w:lang w:val="en-NZ"/>
        </w:rPr>
        <w:t>trans-</w:t>
      </w:r>
      <w:r w:rsidR="00FC7F8A" w:rsidRPr="00231E32">
        <w:rPr>
          <w:lang w:val="en-NZ"/>
        </w:rPr>
        <w:t xml:space="preserve">Tasman initiatives </w:t>
      </w:r>
      <w:r w:rsidRPr="00231E32">
        <w:rPr>
          <w:lang w:val="en-NZ"/>
        </w:rPr>
        <w:t xml:space="preserve">into broader </w:t>
      </w:r>
      <w:r w:rsidR="00FC7F8A" w:rsidRPr="00231E32">
        <w:rPr>
          <w:rFonts w:eastAsia="Calibri"/>
          <w:lang w:val="en-NZ"/>
        </w:rPr>
        <w:t xml:space="preserve">regional and multilateral </w:t>
      </w:r>
      <w:r w:rsidR="00E65944" w:rsidRPr="00231E32">
        <w:rPr>
          <w:rFonts w:eastAsia="Calibri"/>
          <w:lang w:val="en-NZ"/>
        </w:rPr>
        <w:t>fora.</w:t>
      </w:r>
    </w:p>
    <w:p w:rsidR="00FC7F8A" w:rsidRPr="00231E32" w:rsidRDefault="00DE5D11" w:rsidP="00FC7F8A">
      <w:pPr>
        <w:pStyle w:val="BodyText"/>
        <w:rPr>
          <w:lang w:val="en-NZ"/>
        </w:rPr>
      </w:pPr>
      <w:r w:rsidRPr="00231E32">
        <w:rPr>
          <w:lang w:val="en-NZ"/>
        </w:rPr>
        <w:t>F</w:t>
      </w:r>
      <w:r w:rsidR="00597977" w:rsidRPr="00231E32">
        <w:rPr>
          <w:lang w:val="en-NZ"/>
        </w:rPr>
        <w:t xml:space="preserve">uture </w:t>
      </w:r>
      <w:r w:rsidR="0004478B" w:rsidRPr="00231E32">
        <w:rPr>
          <w:lang w:val="en-NZ"/>
        </w:rPr>
        <w:t>trans-</w:t>
      </w:r>
      <w:r w:rsidR="00FC7F8A" w:rsidRPr="00231E32">
        <w:rPr>
          <w:lang w:val="en-NZ"/>
        </w:rPr>
        <w:t xml:space="preserve">Tasman economic </w:t>
      </w:r>
      <w:r w:rsidR="00597977" w:rsidRPr="00231E32">
        <w:rPr>
          <w:lang w:val="en-NZ"/>
        </w:rPr>
        <w:t xml:space="preserve">integration </w:t>
      </w:r>
      <w:r w:rsidR="00FC7F8A" w:rsidRPr="00231E32">
        <w:rPr>
          <w:lang w:val="en-NZ"/>
        </w:rPr>
        <w:t xml:space="preserve">needs to </w:t>
      </w:r>
      <w:r w:rsidR="0018238D" w:rsidRPr="00231E32">
        <w:rPr>
          <w:lang w:val="en-NZ"/>
        </w:rPr>
        <w:t>fit well</w:t>
      </w:r>
      <w:r w:rsidR="00FC7F8A" w:rsidRPr="00231E32">
        <w:rPr>
          <w:lang w:val="en-NZ"/>
        </w:rPr>
        <w:t xml:space="preserve"> with the broader challenges</w:t>
      </w:r>
      <w:r w:rsidR="00F473E2" w:rsidRPr="00231E32">
        <w:rPr>
          <w:lang w:val="en-NZ"/>
        </w:rPr>
        <w:t xml:space="preserve"> and opportunities presented by</w:t>
      </w:r>
      <w:r w:rsidR="00FC7F8A" w:rsidRPr="00231E32">
        <w:rPr>
          <w:lang w:val="en-NZ"/>
        </w:rPr>
        <w:t xml:space="preserve"> the ‘Asian century’. </w:t>
      </w:r>
      <w:r w:rsidR="002366D9" w:rsidRPr="00231E32">
        <w:rPr>
          <w:lang w:val="en-NZ"/>
        </w:rPr>
        <w:t xml:space="preserve">Asia accounts for </w:t>
      </w:r>
      <w:r w:rsidR="00535B8A" w:rsidRPr="00231E32">
        <w:rPr>
          <w:lang w:val="en-NZ"/>
        </w:rPr>
        <w:t>one third</w:t>
      </w:r>
      <w:r w:rsidR="002366D9" w:rsidRPr="00231E32">
        <w:rPr>
          <w:lang w:val="en-NZ"/>
        </w:rPr>
        <w:t xml:space="preserve"> of global GDP, double what it was 50 years ago</w:t>
      </w:r>
      <w:r w:rsidR="00FC7F8A" w:rsidRPr="00231E32">
        <w:t xml:space="preserve">. </w:t>
      </w:r>
      <w:r w:rsidR="00FC7F8A" w:rsidRPr="00231E32">
        <w:rPr>
          <w:lang w:val="en-NZ"/>
        </w:rPr>
        <w:t>The</w:t>
      </w:r>
      <w:r w:rsidR="00597977" w:rsidRPr="00231E32">
        <w:rPr>
          <w:lang w:val="en-NZ"/>
        </w:rPr>
        <w:t xml:space="preserve"> continued</w:t>
      </w:r>
      <w:r w:rsidR="00FC7F8A" w:rsidRPr="00231E32">
        <w:rPr>
          <w:rFonts w:eastAsia="Calibri"/>
          <w:lang w:val="en-NZ"/>
        </w:rPr>
        <w:t xml:space="preserve"> rise of Asia presents important opportunities for both countries — with benefits that potentially greatly outweigh those on offer through further trans</w:t>
      </w:r>
      <w:r w:rsidR="00AD4AF4" w:rsidRPr="00231E32">
        <w:rPr>
          <w:rFonts w:eastAsia="Calibri"/>
          <w:lang w:val="en-NZ"/>
        </w:rPr>
        <w:noBreakHyphen/>
      </w:r>
      <w:r w:rsidR="00FC7F8A" w:rsidRPr="00231E32">
        <w:rPr>
          <w:rFonts w:eastAsia="Calibri"/>
          <w:lang w:val="en-NZ"/>
        </w:rPr>
        <w:t xml:space="preserve">Tasman integration, significant though these may be. </w:t>
      </w:r>
      <w:r w:rsidR="00FC7F8A" w:rsidRPr="00231E32">
        <w:rPr>
          <w:rFonts w:eastAsia="Calibri" w:cs="Arial"/>
          <w:szCs w:val="24"/>
          <w:lang w:eastAsia="en-US"/>
        </w:rPr>
        <w:t xml:space="preserve">The best way for the two governments to position their economies to benefit from the ‘Asian </w:t>
      </w:r>
      <w:r w:rsidR="00020156" w:rsidRPr="00231E32">
        <w:rPr>
          <w:rFonts w:eastAsia="Calibri" w:cs="Arial"/>
          <w:szCs w:val="24"/>
          <w:lang w:eastAsia="en-US"/>
        </w:rPr>
        <w:t>c</w:t>
      </w:r>
      <w:r w:rsidR="00FC7F8A" w:rsidRPr="00231E32">
        <w:rPr>
          <w:rFonts w:eastAsia="Calibri" w:cs="Arial"/>
          <w:szCs w:val="24"/>
          <w:lang w:eastAsia="en-US"/>
        </w:rPr>
        <w:t>entury’ will be to enhance their productivity and competitiveness.</w:t>
      </w:r>
    </w:p>
    <w:p w:rsidR="00FC7F8A" w:rsidRPr="006974F0" w:rsidRDefault="00FC7F8A" w:rsidP="00FC7F8A">
      <w:pPr>
        <w:pStyle w:val="Heading3"/>
        <w:rPr>
          <w:lang w:val="en-NZ"/>
        </w:rPr>
      </w:pPr>
      <w:r w:rsidRPr="006974F0">
        <w:rPr>
          <w:lang w:val="en-NZ"/>
        </w:rPr>
        <w:t>Domestic policy has trans-Tasman effects</w:t>
      </w:r>
    </w:p>
    <w:p w:rsidR="00FC7F8A" w:rsidRPr="00231E32" w:rsidRDefault="00FC7F8A" w:rsidP="00FC7F8A">
      <w:pPr>
        <w:pStyle w:val="BodyText"/>
        <w:rPr>
          <w:rFonts w:eastAsia="Calibri"/>
          <w:lang w:val="en-NZ"/>
        </w:rPr>
      </w:pPr>
      <w:r w:rsidRPr="00231E32">
        <w:rPr>
          <w:rFonts w:eastAsia="Calibri"/>
          <w:lang w:val="en-NZ"/>
        </w:rPr>
        <w:t xml:space="preserve">Closer economic integration is </w:t>
      </w:r>
      <w:r w:rsidR="0006409D" w:rsidRPr="00231E32">
        <w:rPr>
          <w:rFonts w:eastAsia="Calibri"/>
          <w:lang w:val="en-NZ"/>
        </w:rPr>
        <w:t>one</w:t>
      </w:r>
      <w:r w:rsidR="000A29B7" w:rsidRPr="00231E32">
        <w:rPr>
          <w:rFonts w:eastAsia="Calibri"/>
          <w:lang w:val="en-NZ"/>
        </w:rPr>
        <w:t xml:space="preserve"> potential</w:t>
      </w:r>
      <w:r w:rsidRPr="00231E32">
        <w:rPr>
          <w:rFonts w:eastAsia="Calibri"/>
          <w:lang w:val="en-NZ"/>
        </w:rPr>
        <w:t xml:space="preserve"> source of productivity gains. </w:t>
      </w:r>
      <w:r w:rsidR="00347E6A" w:rsidRPr="00231E32">
        <w:rPr>
          <w:rFonts w:eastAsia="Calibri"/>
          <w:lang w:val="en-NZ"/>
        </w:rPr>
        <w:t>Larger</w:t>
      </w:r>
      <w:r w:rsidR="002B65E5" w:rsidRPr="00231E32">
        <w:rPr>
          <w:rFonts w:eastAsia="Calibri"/>
          <w:lang w:val="en-NZ"/>
        </w:rPr>
        <w:t xml:space="preserve"> </w:t>
      </w:r>
      <w:r w:rsidRPr="00231E32">
        <w:rPr>
          <w:rFonts w:eastAsia="Calibri"/>
          <w:lang w:val="en-NZ"/>
        </w:rPr>
        <w:t>gains, however, will come from domestic policy and regulatory reforms</w:t>
      </w:r>
      <w:r w:rsidR="00254990" w:rsidRPr="00231E32">
        <w:rPr>
          <w:rFonts w:eastAsia="Calibri"/>
          <w:lang w:val="en-NZ"/>
        </w:rPr>
        <w:t>.</w:t>
      </w:r>
      <w:r w:rsidRPr="00231E32">
        <w:rPr>
          <w:rFonts w:eastAsia="Calibri"/>
          <w:lang w:val="en-NZ"/>
        </w:rPr>
        <w:t xml:space="preserve"> </w:t>
      </w:r>
      <w:r w:rsidR="0018238D" w:rsidRPr="00231E32">
        <w:rPr>
          <w:rFonts w:eastAsia="Calibri" w:cs="Arial"/>
          <w:szCs w:val="24"/>
          <w:lang w:val="en-NZ" w:eastAsia="en-US"/>
        </w:rPr>
        <w:t>P</w:t>
      </w:r>
      <w:r w:rsidRPr="00231E32">
        <w:rPr>
          <w:rFonts w:eastAsia="Calibri" w:cs="Arial"/>
          <w:szCs w:val="24"/>
          <w:lang w:val="en-NZ" w:eastAsia="en-US"/>
        </w:rPr>
        <w:t>olicy</w:t>
      </w:r>
      <w:r w:rsidRPr="00231E32">
        <w:rPr>
          <w:rFonts w:eastAsia="Calibri"/>
          <w:lang w:val="en-NZ"/>
        </w:rPr>
        <w:t xml:space="preserve"> actions by </w:t>
      </w:r>
      <w:r w:rsidR="0018238D" w:rsidRPr="00231E32">
        <w:rPr>
          <w:rFonts w:eastAsia="Calibri" w:cs="Arial"/>
          <w:szCs w:val="24"/>
          <w:lang w:val="en-NZ" w:eastAsia="en-US"/>
        </w:rPr>
        <w:t>one</w:t>
      </w:r>
      <w:r w:rsidR="0018238D" w:rsidRPr="00231E32">
        <w:rPr>
          <w:rFonts w:eastAsia="Calibri"/>
          <w:lang w:val="en-NZ"/>
        </w:rPr>
        <w:t xml:space="preserve"> </w:t>
      </w:r>
      <w:r w:rsidRPr="00231E32">
        <w:rPr>
          <w:rFonts w:eastAsia="Calibri"/>
          <w:lang w:val="en-NZ"/>
        </w:rPr>
        <w:t>country to increase national income also bring benefits to the other country</w:t>
      </w:r>
      <w:r w:rsidR="000A29B7" w:rsidRPr="00231E32">
        <w:rPr>
          <w:rFonts w:eastAsia="Calibri"/>
          <w:lang w:val="en-NZ"/>
        </w:rPr>
        <w:t>,</w:t>
      </w:r>
      <w:r w:rsidRPr="00231E32">
        <w:rPr>
          <w:rFonts w:eastAsia="Calibri"/>
          <w:lang w:val="en-NZ"/>
        </w:rPr>
        <w:t xml:space="preserve"> through trade and investment. For example, for every 1 percent expansion in Australia’s economy, New Zealand’s exports are estimated to increase by 0.2 percent and it</w:t>
      </w:r>
      <w:r w:rsidR="00BC7AB4" w:rsidRPr="00231E32">
        <w:rPr>
          <w:rFonts w:eastAsia="Calibri"/>
          <w:lang w:val="en-NZ"/>
        </w:rPr>
        <w:t>s economy</w:t>
      </w:r>
      <w:r w:rsidRPr="00231E32">
        <w:rPr>
          <w:rFonts w:eastAsia="Calibri"/>
          <w:lang w:val="en-NZ"/>
        </w:rPr>
        <w:t xml:space="preserve"> to expand by nearly 0.1</w:t>
      </w:r>
      <w:r w:rsidR="0044109C" w:rsidRPr="00231E32">
        <w:rPr>
          <w:rFonts w:eastAsia="Calibri"/>
          <w:lang w:val="en-NZ"/>
        </w:rPr>
        <w:t> </w:t>
      </w:r>
      <w:r w:rsidR="00E65944" w:rsidRPr="00231E32">
        <w:rPr>
          <w:rFonts w:eastAsia="Calibri"/>
          <w:lang w:val="en-NZ"/>
        </w:rPr>
        <w:t>percent.</w:t>
      </w:r>
    </w:p>
    <w:p w:rsidR="00FC7F8A" w:rsidRPr="00231E32" w:rsidRDefault="00FC7F8A" w:rsidP="00FC7F8A">
      <w:pPr>
        <w:pStyle w:val="BodyText"/>
        <w:rPr>
          <w:lang w:val="en-NZ"/>
        </w:rPr>
      </w:pPr>
      <w:r w:rsidRPr="00231E32">
        <w:rPr>
          <w:rFonts w:eastAsia="Calibri"/>
          <w:lang w:val="en-NZ"/>
        </w:rPr>
        <w:t xml:space="preserve">Domestic productivity improvements </w:t>
      </w:r>
      <w:r w:rsidR="00254990" w:rsidRPr="00231E32">
        <w:rPr>
          <w:rFonts w:eastAsia="Calibri"/>
          <w:lang w:val="en-NZ"/>
        </w:rPr>
        <w:t xml:space="preserve">that are </w:t>
      </w:r>
      <w:r w:rsidRPr="00231E32">
        <w:rPr>
          <w:rFonts w:eastAsia="Calibri"/>
          <w:lang w:val="en-NZ"/>
        </w:rPr>
        <w:t xml:space="preserve">encouraged by good policy in one economy often place competitive pressures on the other. </w:t>
      </w:r>
      <w:r w:rsidRPr="00231E32">
        <w:rPr>
          <w:lang w:val="en-NZ"/>
        </w:rPr>
        <w:t xml:space="preserve">Greater openness to trade and in capital and labour markets </w:t>
      </w:r>
      <w:r w:rsidR="00254990" w:rsidRPr="00231E32">
        <w:rPr>
          <w:lang w:val="en-NZ"/>
        </w:rPr>
        <w:t xml:space="preserve">by one party </w:t>
      </w:r>
      <w:r w:rsidRPr="00231E32">
        <w:rPr>
          <w:lang w:val="en-NZ"/>
        </w:rPr>
        <w:t xml:space="preserve">can expose rigidities that impede adjustment and thus put pressure on </w:t>
      </w:r>
      <w:r w:rsidR="00254990" w:rsidRPr="00231E32">
        <w:rPr>
          <w:lang w:val="en-NZ"/>
        </w:rPr>
        <w:t xml:space="preserve">the other </w:t>
      </w:r>
      <w:r w:rsidRPr="00231E32">
        <w:rPr>
          <w:lang w:val="en-NZ"/>
        </w:rPr>
        <w:t>government to address the</w:t>
      </w:r>
      <w:r w:rsidR="001575FF" w:rsidRPr="00231E32">
        <w:rPr>
          <w:lang w:val="en-NZ"/>
        </w:rPr>
        <w:t>se</w:t>
      </w:r>
      <w:r w:rsidR="00E65944" w:rsidRPr="00231E32">
        <w:rPr>
          <w:lang w:val="en-NZ"/>
        </w:rPr>
        <w:t>.</w:t>
      </w:r>
    </w:p>
    <w:p w:rsidR="00FC7F8A" w:rsidRPr="006974F0" w:rsidRDefault="00FC7F8A" w:rsidP="00FC7F8A">
      <w:pPr>
        <w:pStyle w:val="Heading3"/>
        <w:rPr>
          <w:lang w:val="en-NZ"/>
        </w:rPr>
      </w:pPr>
      <w:r w:rsidRPr="006974F0">
        <w:rPr>
          <w:lang w:val="en-NZ"/>
        </w:rPr>
        <w:t>Good process matters</w:t>
      </w:r>
    </w:p>
    <w:p w:rsidR="00FC7F8A" w:rsidRPr="006974F0" w:rsidRDefault="00FC7F8A" w:rsidP="00FC7F8A">
      <w:pPr>
        <w:pStyle w:val="BodyText"/>
        <w:rPr>
          <w:rFonts w:eastAsia="Calibri"/>
          <w:lang w:val="en-NZ"/>
        </w:rPr>
      </w:pPr>
      <w:r w:rsidRPr="006974F0">
        <w:rPr>
          <w:lang w:val="en-NZ"/>
        </w:rPr>
        <w:t xml:space="preserve">Advancing the integration agenda will </w:t>
      </w:r>
      <w:r w:rsidR="00C66D15" w:rsidRPr="006974F0">
        <w:rPr>
          <w:lang w:val="en-NZ"/>
        </w:rPr>
        <w:t>require</w:t>
      </w:r>
      <w:r w:rsidRPr="006974F0">
        <w:rPr>
          <w:rFonts w:eastAsia="Calibri"/>
          <w:lang w:val="en-NZ"/>
        </w:rPr>
        <w:t xml:space="preserve"> good policy processes — both for selecting those initiatives that are likely to generate the largest net benefits and for </w:t>
      </w:r>
      <w:r w:rsidRPr="006974F0">
        <w:rPr>
          <w:rFonts w:eastAsia="Calibri"/>
          <w:lang w:val="en-NZ"/>
        </w:rPr>
        <w:lastRenderedPageBreak/>
        <w:t xml:space="preserve">avoiding any that would be costly or too difficult to implement. </w:t>
      </w:r>
      <w:r>
        <w:rPr>
          <w:rStyle w:val="BodyTextChar"/>
        </w:rPr>
        <w:t>In order to</w:t>
      </w:r>
      <w:r w:rsidRPr="00BA0DE3">
        <w:rPr>
          <w:rStyle w:val="BodyTextChar"/>
        </w:rPr>
        <w:t xml:space="preserve"> make the biggest contribution to both economies, </w:t>
      </w:r>
      <w:r>
        <w:rPr>
          <w:rStyle w:val="BodyTextChar"/>
        </w:rPr>
        <w:t>CER</w:t>
      </w:r>
      <w:r w:rsidRPr="00BA0DE3">
        <w:rPr>
          <w:rStyle w:val="BodyTextChar"/>
        </w:rPr>
        <w:t xml:space="preserve"> initiatives should</w:t>
      </w:r>
      <w:r w:rsidR="00053E7F">
        <w:rPr>
          <w:rStyle w:val="BodyTextChar"/>
        </w:rPr>
        <w:t>:</w:t>
      </w:r>
      <w:r>
        <w:rPr>
          <w:rStyle w:val="BodyTextChar"/>
        </w:rPr>
        <w:t xml:space="preserve"> continue to </w:t>
      </w:r>
      <w:r w:rsidRPr="00BA0DE3">
        <w:rPr>
          <w:rStyle w:val="BodyTextChar"/>
        </w:rPr>
        <w:t>be outward looking</w:t>
      </w:r>
      <w:r w:rsidR="00053E7F">
        <w:rPr>
          <w:rStyle w:val="BodyTextChar"/>
        </w:rPr>
        <w:t>;</w:t>
      </w:r>
      <w:r>
        <w:rPr>
          <w:rStyle w:val="BodyTextChar"/>
        </w:rPr>
        <w:t xml:space="preserve"> not impede </w:t>
      </w:r>
      <w:r w:rsidR="00347E6A">
        <w:rPr>
          <w:rStyle w:val="BodyTextChar"/>
        </w:rPr>
        <w:t xml:space="preserve">trade </w:t>
      </w:r>
      <w:r>
        <w:rPr>
          <w:rStyle w:val="BodyTextChar"/>
        </w:rPr>
        <w:t xml:space="preserve">opportunities </w:t>
      </w:r>
      <w:r w:rsidRPr="00BA0DE3">
        <w:rPr>
          <w:rStyle w:val="BodyTextChar"/>
        </w:rPr>
        <w:t>with other partners;</w:t>
      </w:r>
      <w:r>
        <w:rPr>
          <w:rStyle w:val="BodyTextChar"/>
        </w:rPr>
        <w:t xml:space="preserve"> </w:t>
      </w:r>
      <w:r w:rsidRPr="00BA0DE3">
        <w:rPr>
          <w:rStyle w:val="BodyTextChar"/>
        </w:rPr>
        <w:t>take account of linkages with other agreements; and</w:t>
      </w:r>
      <w:r w:rsidRPr="0094701F">
        <w:rPr>
          <w:rStyle w:val="BodyTextChar"/>
        </w:rPr>
        <w:t xml:space="preserve"> </w:t>
      </w:r>
      <w:r>
        <w:rPr>
          <w:rStyle w:val="BodyTextChar"/>
        </w:rPr>
        <w:t>complement</w:t>
      </w:r>
      <w:r w:rsidRPr="00BA0DE3">
        <w:rPr>
          <w:rStyle w:val="BodyTextChar"/>
        </w:rPr>
        <w:t xml:space="preserve"> </w:t>
      </w:r>
      <w:r>
        <w:rPr>
          <w:rStyle w:val="BodyTextChar"/>
        </w:rPr>
        <w:t xml:space="preserve">initiatives to enhance </w:t>
      </w:r>
      <w:r w:rsidRPr="00BA0DE3">
        <w:rPr>
          <w:rStyle w:val="BodyTextChar"/>
        </w:rPr>
        <w:t xml:space="preserve">domestic policy. Analysis of integration policy initiatives </w:t>
      </w:r>
      <w:r>
        <w:rPr>
          <w:rStyle w:val="BodyTextChar"/>
        </w:rPr>
        <w:t>need</w:t>
      </w:r>
      <w:r w:rsidR="00F0331A">
        <w:rPr>
          <w:rStyle w:val="BodyTextChar"/>
        </w:rPr>
        <w:t>s</w:t>
      </w:r>
      <w:r>
        <w:rPr>
          <w:rStyle w:val="BodyTextChar"/>
        </w:rPr>
        <w:t xml:space="preserve"> to </w:t>
      </w:r>
      <w:r w:rsidRPr="00BA0DE3">
        <w:rPr>
          <w:rStyle w:val="BodyTextChar"/>
        </w:rPr>
        <w:t>take into account</w:t>
      </w:r>
      <w:r w:rsidR="00BD1711" w:rsidRPr="001B20F8">
        <w:rPr>
          <w:rStyle w:val="BodyTextChar"/>
        </w:rPr>
        <w:t xml:space="preserve"> </w:t>
      </w:r>
      <w:r w:rsidRPr="001B20F8">
        <w:rPr>
          <w:rStyle w:val="BodyTextChar"/>
        </w:rPr>
        <w:t>the</w:t>
      </w:r>
      <w:r w:rsidRPr="006974F0">
        <w:rPr>
          <w:rStyle w:val="BodyTextChar"/>
          <w:lang w:val="en-NZ"/>
        </w:rPr>
        <w:t xml:space="preserve"> indirect as well as direct costs and benefits, be proportionate to the importance of the issue being addressed, and be publicly available</w:t>
      </w:r>
      <w:r w:rsidRPr="006974F0">
        <w:rPr>
          <w:lang w:val="en-NZ"/>
        </w:rPr>
        <w:t>.</w:t>
      </w:r>
    </w:p>
    <w:p w:rsidR="00FC7F8A" w:rsidRPr="006974F0" w:rsidRDefault="00631019" w:rsidP="00FC7F8A">
      <w:pPr>
        <w:pStyle w:val="Heading2"/>
        <w:rPr>
          <w:lang w:val="en-NZ"/>
        </w:rPr>
      </w:pPr>
      <w:r w:rsidRPr="006974F0">
        <w:rPr>
          <w:lang w:val="en-NZ"/>
        </w:rPr>
        <w:t>Scoping the future CER agenda</w:t>
      </w:r>
    </w:p>
    <w:p w:rsidR="00FC7F8A" w:rsidRPr="006974F0" w:rsidRDefault="003F7E7D" w:rsidP="00FC7F8A">
      <w:pPr>
        <w:pStyle w:val="BodyText"/>
        <w:rPr>
          <w:lang w:val="en-NZ"/>
        </w:rPr>
      </w:pPr>
      <w:r>
        <w:rPr>
          <w:lang w:val="en-NZ"/>
        </w:rPr>
        <w:t>Opportunities</w:t>
      </w:r>
      <w:r w:rsidRPr="006974F0">
        <w:rPr>
          <w:lang w:val="en-NZ"/>
        </w:rPr>
        <w:t xml:space="preserve"> to strengthen tran</w:t>
      </w:r>
      <w:r w:rsidR="00FC7F8A" w:rsidRPr="006974F0">
        <w:rPr>
          <w:lang w:val="en-NZ"/>
        </w:rPr>
        <w:t>s-Tasman economic ties</w:t>
      </w:r>
      <w:r w:rsidR="00FC7F8A" w:rsidRPr="00DE5D11">
        <w:rPr>
          <w:lang w:val="en-NZ"/>
        </w:rPr>
        <w:t xml:space="preserve"> </w:t>
      </w:r>
      <w:r w:rsidR="00AD2AAB">
        <w:rPr>
          <w:lang w:val="en-NZ"/>
        </w:rPr>
        <w:t>can be classified using</w:t>
      </w:r>
      <w:r w:rsidRPr="006974F0">
        <w:rPr>
          <w:lang w:val="en-NZ"/>
        </w:rPr>
        <w:t xml:space="preserve"> </w:t>
      </w:r>
      <w:r w:rsidR="006974F0">
        <w:rPr>
          <w:lang w:val="en-NZ"/>
        </w:rPr>
        <w:t xml:space="preserve">a framework based on what the European Union has termed </w:t>
      </w:r>
      <w:r w:rsidR="00D75E48" w:rsidRPr="006974F0">
        <w:rPr>
          <w:lang w:val="en-NZ"/>
        </w:rPr>
        <w:t>the</w:t>
      </w:r>
      <w:r w:rsidR="008F6AA9" w:rsidRPr="006974F0">
        <w:rPr>
          <w:lang w:val="en-NZ"/>
        </w:rPr>
        <w:t xml:space="preserve"> </w:t>
      </w:r>
      <w:r w:rsidR="00FC7F8A" w:rsidRPr="006974F0">
        <w:rPr>
          <w:lang w:val="en-NZ"/>
        </w:rPr>
        <w:t xml:space="preserve">‘four freedoms’ — relating to trade in goods and services, and the movement of capital and labour. </w:t>
      </w:r>
      <w:r w:rsidR="00C1207B">
        <w:rPr>
          <w:lang w:val="en-NZ"/>
        </w:rPr>
        <w:t>K</w:t>
      </w:r>
      <w:r w:rsidR="00FC7F8A" w:rsidRPr="00DE5D11">
        <w:rPr>
          <w:lang w:val="en-NZ"/>
        </w:rPr>
        <w:t>nowledge</w:t>
      </w:r>
      <w:r w:rsidR="00BC7AB4" w:rsidRPr="006974F0">
        <w:rPr>
          <w:lang w:val="en-NZ"/>
        </w:rPr>
        <w:t xml:space="preserve"> transfers</w:t>
      </w:r>
      <w:r w:rsidR="00FC7F8A" w:rsidRPr="006974F0">
        <w:rPr>
          <w:lang w:val="en-NZ"/>
        </w:rPr>
        <w:t xml:space="preserve"> and the integration or inter</w:t>
      </w:r>
      <w:r w:rsidR="00E65944" w:rsidRPr="006974F0">
        <w:rPr>
          <w:lang w:val="en-NZ"/>
        </w:rPr>
        <w:t>action of government functions</w:t>
      </w:r>
      <w:r w:rsidR="00C1207B">
        <w:rPr>
          <w:lang w:val="en-NZ"/>
        </w:rPr>
        <w:t xml:space="preserve"> are also considered</w:t>
      </w:r>
      <w:r w:rsidR="00E65944" w:rsidRPr="006974F0">
        <w:rPr>
          <w:lang w:val="en-NZ"/>
        </w:rPr>
        <w:t>.</w:t>
      </w:r>
    </w:p>
    <w:p w:rsidR="008F6AA9" w:rsidRPr="006974F0" w:rsidRDefault="00FC7F8A" w:rsidP="00FC7F8A">
      <w:pPr>
        <w:pStyle w:val="BodyText"/>
        <w:rPr>
          <w:lang w:val="en-NZ"/>
        </w:rPr>
      </w:pPr>
      <w:r w:rsidRPr="006974F0">
        <w:rPr>
          <w:lang w:val="en-NZ"/>
        </w:rPr>
        <w:t>Th</w:t>
      </w:r>
      <w:r w:rsidR="00D81374">
        <w:rPr>
          <w:lang w:val="en-NZ"/>
        </w:rPr>
        <w:t>is</w:t>
      </w:r>
      <w:r w:rsidRPr="006974F0">
        <w:rPr>
          <w:lang w:val="en-NZ"/>
        </w:rPr>
        <w:t xml:space="preserve"> study focuses on areas where there are unnecessary </w:t>
      </w:r>
      <w:r w:rsidR="00347E6A">
        <w:rPr>
          <w:lang w:val="en-NZ"/>
        </w:rPr>
        <w:t>barriers</w:t>
      </w:r>
      <w:r w:rsidRPr="006974F0">
        <w:rPr>
          <w:lang w:val="en-NZ"/>
        </w:rPr>
        <w:t xml:space="preserve"> to integration — </w:t>
      </w:r>
      <w:r w:rsidR="000A29B7">
        <w:rPr>
          <w:lang w:val="en-NZ"/>
        </w:rPr>
        <w:t xml:space="preserve">whether </w:t>
      </w:r>
      <w:r w:rsidRPr="006974F0">
        <w:rPr>
          <w:lang w:val="en-NZ"/>
        </w:rPr>
        <w:t xml:space="preserve">created intentionally or unintentionally. They may arise between the borders of Australia and New Zealand (typically affecting </w:t>
      </w:r>
      <w:r w:rsidR="00CD29C5" w:rsidRPr="006974F0">
        <w:rPr>
          <w:lang w:val="en-NZ"/>
        </w:rPr>
        <w:t xml:space="preserve">international </w:t>
      </w:r>
      <w:r w:rsidRPr="006974F0">
        <w:rPr>
          <w:lang w:val="en-NZ"/>
        </w:rPr>
        <w:t xml:space="preserve">transport costs); at the border of one or both countries (for example, tariffs and </w:t>
      </w:r>
      <w:r w:rsidR="00597977" w:rsidRPr="00DE5D11">
        <w:rPr>
          <w:lang w:val="en-NZ"/>
        </w:rPr>
        <w:t>biosecurity</w:t>
      </w:r>
      <w:r w:rsidR="00597977" w:rsidRPr="006974F0">
        <w:rPr>
          <w:lang w:val="en-NZ"/>
        </w:rPr>
        <w:t xml:space="preserve"> </w:t>
      </w:r>
      <w:r w:rsidRPr="006974F0">
        <w:rPr>
          <w:lang w:val="en-NZ"/>
        </w:rPr>
        <w:t>restrictions); and behind their borders.</w:t>
      </w:r>
    </w:p>
    <w:p w:rsidR="00FC7F8A" w:rsidRDefault="00FC7F8A" w:rsidP="00FC7F8A">
      <w:pPr>
        <w:pStyle w:val="BodyText"/>
        <w:rPr>
          <w:lang w:val="en-NZ"/>
        </w:rPr>
      </w:pPr>
      <w:r w:rsidRPr="006974F0">
        <w:rPr>
          <w:lang w:val="en-NZ"/>
        </w:rPr>
        <w:t>Th</w:t>
      </w:r>
      <w:r w:rsidR="008F6AA9" w:rsidRPr="006974F0">
        <w:rPr>
          <w:lang w:val="en-NZ"/>
        </w:rPr>
        <w:t>e</w:t>
      </w:r>
      <w:r w:rsidRPr="006974F0">
        <w:rPr>
          <w:lang w:val="en-NZ"/>
        </w:rPr>
        <w:t xml:space="preserve"> last category refers to situations where countries take different ap</w:t>
      </w:r>
      <w:r w:rsidR="006974F0">
        <w:rPr>
          <w:lang w:val="en-NZ"/>
        </w:rPr>
        <w:t>proaches to domestic regulation,</w:t>
      </w:r>
      <w:r w:rsidRPr="006974F0">
        <w:rPr>
          <w:lang w:val="en-NZ"/>
        </w:rPr>
        <w:t xml:space="preserve"> which may add to the cost of doing business across the countries. Often, this arises because foreign providers are not </w:t>
      </w:r>
      <w:r w:rsidR="00535B8A" w:rsidRPr="006974F0">
        <w:rPr>
          <w:lang w:val="en-NZ"/>
        </w:rPr>
        <w:t>afforded</w:t>
      </w:r>
      <w:r w:rsidRPr="006974F0">
        <w:rPr>
          <w:lang w:val="en-NZ"/>
        </w:rPr>
        <w:t xml:space="preserve"> national treatment; that is, they are not treated as if they were domestic firms. </w:t>
      </w:r>
      <w:r w:rsidR="00B00D7E" w:rsidRPr="00DE5D11">
        <w:rPr>
          <w:lang w:val="en-NZ"/>
        </w:rPr>
        <w:t>O</w:t>
      </w:r>
      <w:r w:rsidRPr="00DE5D11">
        <w:rPr>
          <w:lang w:val="en-NZ"/>
        </w:rPr>
        <w:t>f</w:t>
      </w:r>
      <w:r w:rsidRPr="006974F0">
        <w:rPr>
          <w:lang w:val="en-NZ"/>
        </w:rPr>
        <w:t xml:space="preserve"> the </w:t>
      </w:r>
      <w:r w:rsidR="00D027D9">
        <w:rPr>
          <w:lang w:val="en-NZ"/>
        </w:rPr>
        <w:t>28</w:t>
      </w:r>
      <w:r w:rsidR="00B6206D">
        <w:rPr>
          <w:lang w:val="en-NZ"/>
        </w:rPr>
        <w:t> </w:t>
      </w:r>
      <w:r w:rsidR="00D027D9">
        <w:rPr>
          <w:lang w:val="en-NZ"/>
        </w:rPr>
        <w:t xml:space="preserve">specific </w:t>
      </w:r>
      <w:r w:rsidR="00287AFA">
        <w:rPr>
          <w:lang w:val="en-NZ"/>
        </w:rPr>
        <w:t>initiatives</w:t>
      </w:r>
      <w:r w:rsidR="00287AFA" w:rsidRPr="006974F0">
        <w:rPr>
          <w:lang w:val="en-NZ"/>
        </w:rPr>
        <w:t xml:space="preserve"> </w:t>
      </w:r>
      <w:r w:rsidR="0018238D" w:rsidRPr="00DE5D11">
        <w:rPr>
          <w:lang w:val="en-NZ"/>
        </w:rPr>
        <w:t>considered</w:t>
      </w:r>
      <w:r w:rsidR="00212502" w:rsidRPr="00DE5D11">
        <w:rPr>
          <w:lang w:val="en-NZ"/>
        </w:rPr>
        <w:t xml:space="preserve"> in this</w:t>
      </w:r>
      <w:r w:rsidR="00212502" w:rsidRPr="006974F0">
        <w:rPr>
          <w:lang w:val="en-NZ"/>
        </w:rPr>
        <w:t xml:space="preserve"> study</w:t>
      </w:r>
      <w:r w:rsidR="008F6AA9" w:rsidRPr="006974F0">
        <w:rPr>
          <w:lang w:val="en-NZ"/>
        </w:rPr>
        <w:t>,</w:t>
      </w:r>
      <w:r w:rsidRPr="006974F0">
        <w:rPr>
          <w:lang w:val="en-NZ"/>
        </w:rPr>
        <w:t xml:space="preserve"> most involve impediments to </w:t>
      </w:r>
      <w:r w:rsidR="008F6AA9" w:rsidRPr="006974F0">
        <w:rPr>
          <w:lang w:val="en-NZ"/>
        </w:rPr>
        <w:t>trade in services</w:t>
      </w:r>
      <w:r w:rsidR="00B00D7E" w:rsidRPr="00DE5D11">
        <w:rPr>
          <w:lang w:val="en-NZ"/>
        </w:rPr>
        <w:t xml:space="preserve"> (figure</w:t>
      </w:r>
      <w:r w:rsidR="00A37C30">
        <w:rPr>
          <w:lang w:val="en-NZ"/>
        </w:rPr>
        <w:t> </w:t>
      </w:r>
      <w:r w:rsidR="00B00D7E" w:rsidRPr="00DE5D11">
        <w:rPr>
          <w:lang w:val="en-NZ"/>
        </w:rPr>
        <w:t>1)</w:t>
      </w:r>
      <w:r w:rsidR="008F6AA9" w:rsidRPr="00DE5D11">
        <w:rPr>
          <w:lang w:val="en-NZ"/>
        </w:rPr>
        <w:t xml:space="preserve">. </w:t>
      </w:r>
      <w:r w:rsidR="00212502" w:rsidRPr="00DE5D11">
        <w:rPr>
          <w:lang w:val="en-NZ"/>
        </w:rPr>
        <w:t>Behind-</w:t>
      </w:r>
      <w:r w:rsidRPr="006974F0">
        <w:rPr>
          <w:lang w:val="en-NZ"/>
        </w:rPr>
        <w:t>the</w:t>
      </w:r>
      <w:r w:rsidR="00212502" w:rsidRPr="00DE5D11">
        <w:rPr>
          <w:lang w:val="en-NZ"/>
        </w:rPr>
        <w:t>-</w:t>
      </w:r>
      <w:r w:rsidRPr="006974F0">
        <w:rPr>
          <w:lang w:val="en-NZ"/>
        </w:rPr>
        <w:t xml:space="preserve">border </w:t>
      </w:r>
      <w:r w:rsidR="00212502" w:rsidRPr="00DE5D11">
        <w:rPr>
          <w:lang w:val="en-NZ"/>
        </w:rPr>
        <w:t>regulation</w:t>
      </w:r>
      <w:r w:rsidRPr="00DE5D11">
        <w:rPr>
          <w:lang w:val="en-NZ"/>
        </w:rPr>
        <w:t xml:space="preserve"> loom</w:t>
      </w:r>
      <w:r w:rsidR="00212502" w:rsidRPr="00DE5D11">
        <w:rPr>
          <w:lang w:val="en-NZ"/>
        </w:rPr>
        <w:t>s</w:t>
      </w:r>
      <w:r w:rsidRPr="006974F0">
        <w:rPr>
          <w:lang w:val="en-NZ"/>
        </w:rPr>
        <w:t xml:space="preserve"> particularly large.</w:t>
      </w:r>
    </w:p>
    <w:p w:rsidR="00CD00C5" w:rsidRDefault="00CD00C5" w:rsidP="00CD00C5">
      <w:pPr>
        <w:pStyle w:val="BodyText"/>
        <w:rPr>
          <w:rFonts w:eastAsia="Calibri"/>
          <w:lang w:val="en-NZ"/>
        </w:rPr>
      </w:pPr>
      <w:r w:rsidRPr="006974F0">
        <w:rPr>
          <w:rFonts w:eastAsia="Calibri"/>
          <w:lang w:val="en-NZ"/>
        </w:rPr>
        <w:t>The Commissions’ proposals fall into three categories</w:t>
      </w:r>
      <w:r>
        <w:rPr>
          <w:rFonts w:eastAsia="Calibri"/>
          <w:lang w:val="en-NZ"/>
        </w:rPr>
        <w:t>.</w:t>
      </w:r>
      <w:r w:rsidRPr="006974F0">
        <w:rPr>
          <w:rFonts w:eastAsia="Calibri"/>
          <w:lang w:val="en-NZ"/>
        </w:rPr>
        <w:t xml:space="preserve"> </w:t>
      </w:r>
      <w:r>
        <w:rPr>
          <w:rFonts w:eastAsia="Calibri"/>
          <w:lang w:val="en-NZ"/>
        </w:rPr>
        <w:t xml:space="preserve">First, initiatives </w:t>
      </w:r>
      <w:r w:rsidRPr="006974F0">
        <w:rPr>
          <w:rFonts w:eastAsia="Calibri"/>
          <w:lang w:val="en-NZ"/>
        </w:rPr>
        <w:t xml:space="preserve">to which both Governments have committed and </w:t>
      </w:r>
      <w:r>
        <w:rPr>
          <w:rFonts w:eastAsia="Calibri"/>
          <w:lang w:val="en-NZ"/>
        </w:rPr>
        <w:t>are currently underway.</w:t>
      </w:r>
      <w:r w:rsidRPr="006974F0">
        <w:rPr>
          <w:rFonts w:eastAsia="Calibri"/>
          <w:lang w:val="en-NZ"/>
        </w:rPr>
        <w:t xml:space="preserve"> </w:t>
      </w:r>
      <w:r>
        <w:rPr>
          <w:rFonts w:eastAsia="Calibri"/>
          <w:lang w:val="en-NZ"/>
        </w:rPr>
        <w:t xml:space="preserve">These </w:t>
      </w:r>
      <w:r w:rsidRPr="006974F0">
        <w:rPr>
          <w:rFonts w:eastAsia="Calibri"/>
          <w:lang w:val="en-NZ"/>
        </w:rPr>
        <w:t>should be completed as soon as possible</w:t>
      </w:r>
      <w:r>
        <w:rPr>
          <w:rFonts w:eastAsia="Calibri"/>
          <w:lang w:val="en-NZ"/>
        </w:rPr>
        <w:t>.</w:t>
      </w:r>
      <w:r w:rsidRPr="006974F0">
        <w:rPr>
          <w:rFonts w:eastAsia="Calibri"/>
          <w:lang w:val="en-NZ"/>
        </w:rPr>
        <w:t xml:space="preserve"> </w:t>
      </w:r>
      <w:r>
        <w:rPr>
          <w:rFonts w:eastAsia="Calibri"/>
          <w:lang w:val="en-NZ"/>
        </w:rPr>
        <w:t xml:space="preserve">Second, recommendations for new </w:t>
      </w:r>
      <w:proofErr w:type="spellStart"/>
      <w:r>
        <w:rPr>
          <w:rFonts w:eastAsia="Calibri"/>
          <w:lang w:val="en-NZ"/>
        </w:rPr>
        <w:t>CER</w:t>
      </w:r>
      <w:proofErr w:type="spellEnd"/>
      <w:r>
        <w:rPr>
          <w:rFonts w:eastAsia="Calibri"/>
          <w:lang w:val="en-NZ"/>
        </w:rPr>
        <w:t xml:space="preserve"> initiatives assessed by this study to offer net benefits for both countries. Third, recommendations that further work be done to determine an appropriate course of action.</w:t>
      </w:r>
    </w:p>
    <w:p w:rsidR="00CD00C5" w:rsidRPr="006974F0" w:rsidRDefault="00CD00C5" w:rsidP="00CD00C5">
      <w:pPr>
        <w:pStyle w:val="BodyText"/>
        <w:rPr>
          <w:lang w:val="en-NZ"/>
        </w:rPr>
      </w:pPr>
      <w:r w:rsidRPr="006974F0">
        <w:rPr>
          <w:lang w:val="en-NZ"/>
        </w:rPr>
        <w:t xml:space="preserve">The tables at the end of this overview list the Commissions’ </w:t>
      </w:r>
      <w:r>
        <w:rPr>
          <w:lang w:val="en-NZ"/>
        </w:rPr>
        <w:t>findings and recommendations</w:t>
      </w:r>
      <w:r w:rsidRPr="006974F0">
        <w:rPr>
          <w:lang w:val="en-NZ"/>
        </w:rPr>
        <w:t xml:space="preserve"> and indicate where they are dealt with in the report. Some of the more significant </w:t>
      </w:r>
      <w:r>
        <w:rPr>
          <w:lang w:val="en-NZ"/>
        </w:rPr>
        <w:t>proposals</w:t>
      </w:r>
      <w:r w:rsidRPr="006974F0">
        <w:rPr>
          <w:lang w:val="en-NZ"/>
        </w:rPr>
        <w:t xml:space="preserve"> are </w:t>
      </w:r>
      <w:r w:rsidRPr="00DE5D11">
        <w:rPr>
          <w:lang w:val="en-NZ"/>
        </w:rPr>
        <w:t>summarised</w:t>
      </w:r>
      <w:r w:rsidRPr="006974F0">
        <w:rPr>
          <w:lang w:val="en-NZ"/>
        </w:rPr>
        <w:t xml:space="preserve"> below.</w:t>
      </w:r>
    </w:p>
    <w:p w:rsidR="00FC7F8A" w:rsidRPr="006974F0" w:rsidRDefault="00FC7F8A" w:rsidP="00FC7F8A">
      <w:pPr>
        <w:pStyle w:val="FigureTitle"/>
        <w:rPr>
          <w:lang w:val="en-NZ"/>
        </w:rPr>
      </w:pPr>
      <w:r w:rsidRPr="006974F0">
        <w:rPr>
          <w:b w:val="0"/>
          <w:lang w:val="en-NZ"/>
        </w:rPr>
        <w:lastRenderedPageBreak/>
        <w:t>Figure</w:t>
      </w:r>
      <w:r w:rsidR="00E76B37" w:rsidRPr="006974F0">
        <w:rPr>
          <w:b w:val="0"/>
          <w:lang w:val="en-NZ"/>
        </w:rPr>
        <w:t xml:space="preserve"> 1</w:t>
      </w:r>
      <w:r w:rsidRPr="006974F0">
        <w:rPr>
          <w:lang w:val="en-NZ"/>
        </w:rPr>
        <w:tab/>
      </w:r>
      <w:r w:rsidR="00212502" w:rsidRPr="00DE5D11">
        <w:rPr>
          <w:lang w:val="en-NZ"/>
        </w:rPr>
        <w:t xml:space="preserve">Areas </w:t>
      </w:r>
      <w:r w:rsidR="00096506">
        <w:rPr>
          <w:lang w:val="en-NZ"/>
        </w:rPr>
        <w:t xml:space="preserve">potentially </w:t>
      </w:r>
      <w:r w:rsidR="00212502" w:rsidRPr="00DE5D11">
        <w:rPr>
          <w:lang w:val="en-NZ"/>
        </w:rPr>
        <w:t>affected by recommendations</w:t>
      </w:r>
      <w:r w:rsidR="00E76B37" w:rsidRPr="008C1609">
        <w:rPr>
          <w:rStyle w:val="NoteLabel"/>
          <w:b/>
          <w:lang w:val="en-NZ"/>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C7F8A" w:rsidRPr="00DE5D11" w:rsidTr="00096506">
        <w:tc>
          <w:tcPr>
            <w:tcW w:w="8777" w:type="dxa"/>
          </w:tcPr>
          <w:p w:rsidR="00FC7F8A" w:rsidRPr="006974F0" w:rsidRDefault="00096506" w:rsidP="00506778">
            <w:pPr>
              <w:pStyle w:val="Figure"/>
              <w:rPr>
                <w:lang w:val="en-NZ"/>
              </w:rPr>
            </w:pPr>
            <w:r w:rsidRPr="00096506">
              <w:rPr>
                <w:noProof/>
              </w:rPr>
              <w:drawing>
                <wp:inline distT="0" distB="0" distL="0" distR="0" wp14:anchorId="5D4E26F0" wp14:editId="1A38AF5D">
                  <wp:extent cx="5360678" cy="2880000"/>
                  <wp:effectExtent l="0" t="0" r="0" b="0"/>
                  <wp:docPr id="2" name="Chart 2" descr="Figure 1: Areas potentially affected by recommendations. This figure includes all potential effects of recommendations in chapter 4 of the report. It classifies these effects as to where they occur: between, at or beyond the borders and which type of transaction they affect: goods, services, labour or capital."/>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FC7F8A" w:rsidRPr="006974F0" w:rsidRDefault="00E76B37" w:rsidP="00FC7F8A">
      <w:pPr>
        <w:pStyle w:val="Note"/>
        <w:rPr>
          <w:lang w:val="en-NZ"/>
        </w:rPr>
      </w:pPr>
      <w:r w:rsidRPr="006974F0">
        <w:rPr>
          <w:rStyle w:val="NoteLabel"/>
          <w:lang w:val="en-NZ"/>
        </w:rPr>
        <w:t>a</w:t>
      </w:r>
      <w:r w:rsidR="00FC7F8A" w:rsidRPr="006974F0">
        <w:rPr>
          <w:lang w:val="en-NZ"/>
        </w:rPr>
        <w:t xml:space="preserve"> </w:t>
      </w:r>
      <w:r w:rsidR="007D162B">
        <w:rPr>
          <w:lang w:val="en-NZ"/>
        </w:rPr>
        <w:t>Number of a</w:t>
      </w:r>
      <w:r w:rsidRPr="006974F0">
        <w:rPr>
          <w:lang w:val="en-NZ"/>
        </w:rPr>
        <w:t>reas sub</w:t>
      </w:r>
      <w:r w:rsidR="00F0331A">
        <w:rPr>
          <w:lang w:val="en-NZ"/>
        </w:rPr>
        <w:t>stantially affected by the</w:t>
      </w:r>
      <w:r w:rsidRPr="006974F0">
        <w:rPr>
          <w:lang w:val="en-NZ"/>
        </w:rPr>
        <w:t xml:space="preserve"> recommendations identified in chapter 4. Some recommendations are likely to affect </w:t>
      </w:r>
      <w:r w:rsidR="00535B8A" w:rsidRPr="006974F0">
        <w:rPr>
          <w:lang w:val="en-NZ"/>
        </w:rPr>
        <w:t>more than one area.</w:t>
      </w:r>
    </w:p>
    <w:p w:rsidR="00FC7F8A" w:rsidRPr="006974F0" w:rsidRDefault="005C4BD1" w:rsidP="006A301B">
      <w:pPr>
        <w:pStyle w:val="Heading3"/>
        <w:spacing w:before="360"/>
        <w:rPr>
          <w:lang w:val="en-NZ"/>
        </w:rPr>
      </w:pPr>
      <w:r w:rsidRPr="006974F0">
        <w:rPr>
          <w:lang w:val="en-NZ"/>
        </w:rPr>
        <w:t>‘</w:t>
      </w:r>
      <w:r w:rsidR="00FC7F8A" w:rsidRPr="006974F0">
        <w:rPr>
          <w:lang w:val="en-NZ"/>
        </w:rPr>
        <w:t>First freedom</w:t>
      </w:r>
      <w:r w:rsidRPr="006974F0">
        <w:rPr>
          <w:lang w:val="en-NZ"/>
        </w:rPr>
        <w:t>’</w:t>
      </w:r>
      <w:r w:rsidR="00FC7F8A" w:rsidRPr="006974F0">
        <w:rPr>
          <w:lang w:val="en-NZ"/>
        </w:rPr>
        <w:t>: trade in goods</w:t>
      </w:r>
    </w:p>
    <w:p w:rsidR="00CD592C" w:rsidRPr="006974F0" w:rsidRDefault="00FC7F8A" w:rsidP="006A301B">
      <w:pPr>
        <w:pStyle w:val="BodyText"/>
        <w:spacing w:before="200"/>
        <w:rPr>
          <w:lang w:val="en-NZ"/>
        </w:rPr>
      </w:pPr>
      <w:r w:rsidRPr="006974F0">
        <w:rPr>
          <w:lang w:val="en-NZ"/>
        </w:rPr>
        <w:t xml:space="preserve">The main remaining impediment to merchandise trade between Australia and </w:t>
      </w:r>
      <w:r w:rsidR="008102D3" w:rsidRPr="006974F0">
        <w:rPr>
          <w:lang w:val="en-NZ"/>
        </w:rPr>
        <w:t>New Zealand is the cost</w:t>
      </w:r>
      <w:r w:rsidRPr="006974F0">
        <w:rPr>
          <w:lang w:val="en-NZ"/>
        </w:rPr>
        <w:t xml:space="preserve"> of CER ‘rules of origin’. Waiving these for all items </w:t>
      </w:r>
      <w:r w:rsidR="00597977" w:rsidRPr="00DE5D11">
        <w:rPr>
          <w:lang w:val="en-NZ"/>
        </w:rPr>
        <w:t>where</w:t>
      </w:r>
      <w:r w:rsidR="00597977" w:rsidRPr="006974F0">
        <w:rPr>
          <w:lang w:val="en-NZ"/>
        </w:rPr>
        <w:t xml:space="preserve"> </w:t>
      </w:r>
      <w:r w:rsidRPr="006974F0">
        <w:rPr>
          <w:lang w:val="en-NZ"/>
        </w:rPr>
        <w:t xml:space="preserve">tariffs are </w:t>
      </w:r>
      <w:r w:rsidR="00597977" w:rsidRPr="00DE5D11">
        <w:rPr>
          <w:lang w:val="en-NZ"/>
        </w:rPr>
        <w:t>no greater than</w:t>
      </w:r>
      <w:r w:rsidR="00597977" w:rsidRPr="006974F0">
        <w:rPr>
          <w:lang w:val="en-NZ"/>
        </w:rPr>
        <w:t xml:space="preserve"> </w:t>
      </w:r>
      <w:r w:rsidRPr="006974F0">
        <w:rPr>
          <w:lang w:val="en-NZ"/>
        </w:rPr>
        <w:t>5</w:t>
      </w:r>
      <w:r w:rsidR="0044109C" w:rsidRPr="006974F0">
        <w:rPr>
          <w:lang w:val="en-NZ"/>
        </w:rPr>
        <w:t> percent</w:t>
      </w:r>
      <w:r w:rsidRPr="006974F0">
        <w:rPr>
          <w:lang w:val="en-NZ"/>
        </w:rPr>
        <w:t xml:space="preserve"> would reduce compliance and administrative costs for </w:t>
      </w:r>
      <w:r w:rsidR="00593E84" w:rsidRPr="006974F0">
        <w:rPr>
          <w:lang w:val="en-NZ"/>
        </w:rPr>
        <w:t>a significant proportion</w:t>
      </w:r>
      <w:r w:rsidRPr="006974F0">
        <w:rPr>
          <w:lang w:val="en-NZ"/>
        </w:rPr>
        <w:t xml:space="preserve"> of trans</w:t>
      </w:r>
      <w:r w:rsidR="00AD4AF4" w:rsidRPr="006974F0">
        <w:rPr>
          <w:lang w:val="en-NZ"/>
        </w:rPr>
        <w:noBreakHyphen/>
      </w:r>
      <w:r w:rsidRPr="006974F0">
        <w:rPr>
          <w:lang w:val="en-NZ"/>
        </w:rPr>
        <w:t>Tasman trade.</w:t>
      </w:r>
      <w:r w:rsidR="003F73D1" w:rsidRPr="003F73D1">
        <w:t xml:space="preserve"> </w:t>
      </w:r>
      <w:r w:rsidR="003F73D1" w:rsidRPr="003F73D1">
        <w:rPr>
          <w:lang w:val="en-NZ"/>
        </w:rPr>
        <w:t xml:space="preserve">This reform could be built on by reducing </w:t>
      </w:r>
      <w:r w:rsidR="00453C8B">
        <w:rPr>
          <w:lang w:val="en-NZ"/>
        </w:rPr>
        <w:t xml:space="preserve">the few remaining </w:t>
      </w:r>
      <w:r w:rsidR="003F73D1" w:rsidRPr="003F73D1">
        <w:rPr>
          <w:lang w:val="en-NZ"/>
        </w:rPr>
        <w:t>tariffs</w:t>
      </w:r>
      <w:r w:rsidR="00453C8B">
        <w:rPr>
          <w:lang w:val="en-NZ"/>
        </w:rPr>
        <w:t xml:space="preserve"> that exceed 5 percent to that level.</w:t>
      </w:r>
    </w:p>
    <w:p w:rsidR="00FC7F8A" w:rsidRPr="006974F0" w:rsidRDefault="005C4BD1" w:rsidP="006A301B">
      <w:pPr>
        <w:pStyle w:val="Heading3"/>
        <w:spacing w:before="360"/>
        <w:rPr>
          <w:lang w:val="en-NZ"/>
        </w:rPr>
      </w:pPr>
      <w:r w:rsidRPr="006974F0">
        <w:rPr>
          <w:lang w:val="en-NZ"/>
        </w:rPr>
        <w:t>‘</w:t>
      </w:r>
      <w:r w:rsidR="00FC7F8A" w:rsidRPr="006974F0">
        <w:rPr>
          <w:lang w:val="en-NZ"/>
        </w:rPr>
        <w:t>Second freedom</w:t>
      </w:r>
      <w:r w:rsidRPr="006974F0">
        <w:rPr>
          <w:lang w:val="en-NZ"/>
        </w:rPr>
        <w:t>’</w:t>
      </w:r>
      <w:r w:rsidR="00FC7F8A" w:rsidRPr="006974F0">
        <w:rPr>
          <w:lang w:val="en-NZ"/>
        </w:rPr>
        <w:t>: trade in services</w:t>
      </w:r>
    </w:p>
    <w:p w:rsidR="007A73B5" w:rsidRDefault="007A73B5" w:rsidP="00FC7F8A">
      <w:pPr>
        <w:pStyle w:val="BodyText"/>
        <w:rPr>
          <w:lang w:val="en-NZ"/>
        </w:rPr>
      </w:pPr>
      <w:r>
        <w:rPr>
          <w:lang w:val="en-NZ"/>
        </w:rPr>
        <w:t xml:space="preserve">A CER Protocol supports free trade in most services, but excludes some — more in Australia than in New Zealand. </w:t>
      </w:r>
      <w:r w:rsidR="00CB67AE">
        <w:rPr>
          <w:lang w:val="en-NZ"/>
        </w:rPr>
        <w:t>The</w:t>
      </w:r>
      <w:r w:rsidR="004A3782">
        <w:rPr>
          <w:lang w:val="en-NZ"/>
        </w:rPr>
        <w:t xml:space="preserve"> current review of the</w:t>
      </w:r>
      <w:r w:rsidR="00CB67AE">
        <w:rPr>
          <w:lang w:val="en-NZ"/>
        </w:rPr>
        <w:t xml:space="preserve">se exclusions should be </w:t>
      </w:r>
      <w:r w:rsidR="004A3782">
        <w:rPr>
          <w:lang w:val="en-NZ"/>
        </w:rPr>
        <w:t>completed and published. Exclusions should be</w:t>
      </w:r>
      <w:r w:rsidR="00CB67AE">
        <w:rPr>
          <w:lang w:val="en-NZ"/>
        </w:rPr>
        <w:t xml:space="preserve"> removed unless retention </w:t>
      </w:r>
      <w:r w:rsidR="000A29B7">
        <w:rPr>
          <w:lang w:val="en-NZ"/>
        </w:rPr>
        <w:t xml:space="preserve">is shown to </w:t>
      </w:r>
      <w:r w:rsidR="00CB67AE">
        <w:rPr>
          <w:lang w:val="en-NZ"/>
        </w:rPr>
        <w:t>generate net benefits.</w:t>
      </w:r>
    </w:p>
    <w:p w:rsidR="00CC58CD" w:rsidRDefault="00FC7F8A" w:rsidP="00E8123D">
      <w:pPr>
        <w:spacing w:before="240" w:line="320" w:lineRule="atLeast"/>
        <w:jc w:val="both"/>
        <w:rPr>
          <w:rStyle w:val="BodyTextChar"/>
        </w:rPr>
      </w:pPr>
      <w:r w:rsidRPr="006A18A1">
        <w:rPr>
          <w:rStyle w:val="BodyTextChar"/>
        </w:rPr>
        <w:t xml:space="preserve">Reducing transport and telecommunication costs would facilitate trade across the Tasman. While the trans-Tasman air route is already </w:t>
      </w:r>
      <w:r w:rsidR="005C4BD1" w:rsidRPr="006A18A1">
        <w:rPr>
          <w:rStyle w:val="BodyTextChar"/>
        </w:rPr>
        <w:t>quite</w:t>
      </w:r>
      <w:r w:rsidRPr="006A18A1">
        <w:rPr>
          <w:rStyle w:val="BodyTextChar"/>
        </w:rPr>
        <w:t xml:space="preserve"> competitive, two remaining </w:t>
      </w:r>
      <w:r w:rsidR="00153E84" w:rsidRPr="006A18A1">
        <w:rPr>
          <w:rStyle w:val="BodyTextChar"/>
        </w:rPr>
        <w:t>regulatory</w:t>
      </w:r>
      <w:r w:rsidRPr="006A18A1">
        <w:rPr>
          <w:rStyle w:val="BodyTextChar"/>
        </w:rPr>
        <w:t xml:space="preserve"> barriers to competition could usefully be removed. </w:t>
      </w:r>
      <w:r w:rsidR="00B00D7E" w:rsidRPr="006A18A1">
        <w:rPr>
          <w:rStyle w:val="BodyTextChar"/>
        </w:rPr>
        <w:t>For</w:t>
      </w:r>
      <w:r w:rsidRPr="006A18A1">
        <w:rPr>
          <w:rStyle w:val="BodyTextChar"/>
        </w:rPr>
        <w:t xml:space="preserve"> shipping, </w:t>
      </w:r>
      <w:r w:rsidR="00B00D7E" w:rsidRPr="006A18A1">
        <w:rPr>
          <w:rStyle w:val="BodyTextChar"/>
        </w:rPr>
        <w:t xml:space="preserve">the exemption of </w:t>
      </w:r>
      <w:r w:rsidRPr="006A18A1">
        <w:rPr>
          <w:rStyle w:val="BodyTextChar"/>
        </w:rPr>
        <w:t xml:space="preserve">ocean carriers from key parts of competition regulation </w:t>
      </w:r>
      <w:r w:rsidR="00B00D7E" w:rsidRPr="006A18A1">
        <w:rPr>
          <w:rStyle w:val="BodyTextChar"/>
        </w:rPr>
        <w:t xml:space="preserve">is </w:t>
      </w:r>
      <w:r w:rsidRPr="006A18A1">
        <w:rPr>
          <w:rStyle w:val="BodyTextChar"/>
        </w:rPr>
        <w:t xml:space="preserve">no longer necessary and </w:t>
      </w:r>
      <w:r w:rsidR="00630658">
        <w:rPr>
          <w:rStyle w:val="BodyTextChar"/>
        </w:rPr>
        <w:t>removing it would generate gains</w:t>
      </w:r>
      <w:r w:rsidRPr="006A18A1">
        <w:rPr>
          <w:rStyle w:val="BodyTextChar"/>
        </w:rPr>
        <w:t xml:space="preserve">. Australia has followed a different path </w:t>
      </w:r>
      <w:r w:rsidR="009467B0">
        <w:rPr>
          <w:rStyle w:val="BodyTextChar"/>
        </w:rPr>
        <w:t xml:space="preserve">from </w:t>
      </w:r>
      <w:r w:rsidRPr="006A18A1">
        <w:rPr>
          <w:rStyle w:val="BodyTextChar"/>
        </w:rPr>
        <w:t>New Zealand</w:t>
      </w:r>
      <w:r w:rsidR="00B00D7E" w:rsidRPr="006A18A1">
        <w:rPr>
          <w:rStyle w:val="BodyTextChar"/>
        </w:rPr>
        <w:t xml:space="preserve"> in regulating coastal shipping</w:t>
      </w:r>
      <w:r w:rsidRPr="006A18A1">
        <w:rPr>
          <w:rStyle w:val="BodyTextChar"/>
        </w:rPr>
        <w:t xml:space="preserve">. </w:t>
      </w:r>
      <w:r w:rsidR="00817349" w:rsidRPr="006A18A1">
        <w:rPr>
          <w:rStyle w:val="BodyTextChar"/>
        </w:rPr>
        <w:t xml:space="preserve">When reviewing the restrictions on coastal shipping, the Australian Government should </w:t>
      </w:r>
      <w:r w:rsidR="00817349" w:rsidRPr="006A18A1">
        <w:rPr>
          <w:rStyle w:val="BodyTextChar"/>
        </w:rPr>
        <w:lastRenderedPageBreak/>
        <w:t>adopt a broad cost-benefit framework and draw on the experience of New Zealand with its different regulatory approach.</w:t>
      </w:r>
    </w:p>
    <w:p w:rsidR="00E8123D" w:rsidRPr="00AF52F7" w:rsidRDefault="00E8123D" w:rsidP="00E8123D">
      <w:pPr>
        <w:spacing w:before="240" w:line="320" w:lineRule="atLeast"/>
        <w:jc w:val="both"/>
        <w:rPr>
          <w:rFonts w:ascii="Arial" w:hAnsi="Arial"/>
          <w:color w:val="1C1C1C"/>
          <w:sz w:val="24"/>
          <w:szCs w:val="20"/>
          <w:lang w:val="en-NZ"/>
        </w:rPr>
      </w:pPr>
      <w:r w:rsidRPr="00AF52F7">
        <w:rPr>
          <w:rFonts w:ascii="Arial" w:hAnsi="Arial"/>
          <w:color w:val="1C1C1C"/>
          <w:sz w:val="24"/>
          <w:szCs w:val="20"/>
          <w:lang w:val="en-NZ"/>
        </w:rPr>
        <w:t>Moves towards a more integrated telecommunications market raise complex issues. While the regulatory frameworks across the Tasman see</w:t>
      </w:r>
      <w:r w:rsidR="004A3782">
        <w:rPr>
          <w:rFonts w:ascii="Arial" w:hAnsi="Arial"/>
          <w:color w:val="1C1C1C"/>
          <w:sz w:val="24"/>
          <w:szCs w:val="20"/>
          <w:lang w:val="en-NZ"/>
        </w:rPr>
        <w:t xml:space="preserve">m reasonably aligned, </w:t>
      </w:r>
      <w:r w:rsidRPr="00AF52F7">
        <w:rPr>
          <w:rFonts w:ascii="Arial" w:hAnsi="Arial"/>
          <w:color w:val="1C1C1C"/>
          <w:sz w:val="24"/>
          <w:szCs w:val="20"/>
          <w:lang w:val="en-NZ"/>
        </w:rPr>
        <w:t xml:space="preserve">some remaining differences require closer examination. Governments should </w:t>
      </w:r>
      <w:r>
        <w:rPr>
          <w:rFonts w:ascii="Arial" w:hAnsi="Arial"/>
          <w:color w:val="1C1C1C"/>
          <w:sz w:val="24"/>
          <w:szCs w:val="20"/>
          <w:lang w:val="en-NZ"/>
        </w:rPr>
        <w:t xml:space="preserve">consider regulatory </w:t>
      </w:r>
      <w:r w:rsidRPr="00AF52F7">
        <w:rPr>
          <w:rFonts w:ascii="Arial" w:hAnsi="Arial"/>
          <w:color w:val="1C1C1C"/>
          <w:sz w:val="24"/>
          <w:szCs w:val="20"/>
          <w:lang w:val="en-NZ"/>
        </w:rPr>
        <w:t>barriers to trans</w:t>
      </w:r>
      <w:r w:rsidRPr="00AF52F7">
        <w:rPr>
          <w:rFonts w:ascii="Arial" w:hAnsi="Arial"/>
          <w:color w:val="1C1C1C"/>
          <w:sz w:val="24"/>
          <w:szCs w:val="20"/>
          <w:lang w:val="en-NZ"/>
        </w:rPr>
        <w:noBreakHyphen/>
        <w:t>Tasman trade in telecommunication service</w:t>
      </w:r>
      <w:r w:rsidR="007D162B">
        <w:rPr>
          <w:rFonts w:ascii="Arial" w:hAnsi="Arial"/>
          <w:color w:val="1C1C1C"/>
          <w:sz w:val="24"/>
          <w:szCs w:val="20"/>
          <w:lang w:val="en-NZ"/>
        </w:rPr>
        <w:t>s</w:t>
      </w:r>
      <w:r w:rsidRPr="00AF52F7">
        <w:rPr>
          <w:rFonts w:ascii="Arial" w:hAnsi="Arial"/>
          <w:color w:val="1C1C1C"/>
          <w:sz w:val="24"/>
          <w:szCs w:val="20"/>
          <w:lang w:val="en-NZ"/>
        </w:rPr>
        <w:t xml:space="preserve"> and options for their removal as part of future reviews of their respective telecommunications regulations. </w:t>
      </w:r>
      <w:r>
        <w:rPr>
          <w:rFonts w:ascii="Arial" w:hAnsi="Arial"/>
          <w:color w:val="1C1C1C"/>
          <w:sz w:val="24"/>
          <w:szCs w:val="20"/>
          <w:lang w:val="en-NZ"/>
        </w:rPr>
        <w:t>A</w:t>
      </w:r>
      <w:r w:rsidRPr="00E52997">
        <w:rPr>
          <w:rFonts w:ascii="Arial" w:hAnsi="Arial"/>
          <w:color w:val="1C1C1C"/>
          <w:sz w:val="24"/>
          <w:szCs w:val="20"/>
          <w:lang w:val="en-NZ"/>
        </w:rPr>
        <w:t xml:space="preserve"> joint departmental investigation into trans-Tasman </w:t>
      </w:r>
      <w:r>
        <w:rPr>
          <w:rFonts w:ascii="Arial" w:hAnsi="Arial"/>
          <w:color w:val="1C1C1C"/>
          <w:sz w:val="24"/>
          <w:szCs w:val="20"/>
          <w:lang w:val="en-NZ"/>
        </w:rPr>
        <w:t xml:space="preserve">mobile </w:t>
      </w:r>
      <w:r w:rsidRPr="00E52997">
        <w:rPr>
          <w:rFonts w:ascii="Arial" w:hAnsi="Arial"/>
          <w:color w:val="1C1C1C"/>
          <w:sz w:val="24"/>
          <w:szCs w:val="20"/>
          <w:lang w:val="en-NZ"/>
        </w:rPr>
        <w:t xml:space="preserve">roaming </w:t>
      </w:r>
      <w:r>
        <w:rPr>
          <w:rFonts w:ascii="Arial" w:hAnsi="Arial"/>
          <w:color w:val="1C1C1C"/>
          <w:sz w:val="24"/>
          <w:szCs w:val="20"/>
          <w:lang w:val="en-NZ"/>
        </w:rPr>
        <w:t>markets</w:t>
      </w:r>
      <w:r w:rsidRPr="00E52997">
        <w:rPr>
          <w:rFonts w:ascii="Arial" w:hAnsi="Arial"/>
          <w:color w:val="1C1C1C"/>
          <w:sz w:val="24"/>
          <w:szCs w:val="20"/>
          <w:lang w:val="en-NZ"/>
        </w:rPr>
        <w:t xml:space="preserve"> </w:t>
      </w:r>
      <w:r>
        <w:rPr>
          <w:rFonts w:ascii="Arial" w:hAnsi="Arial"/>
          <w:color w:val="1C1C1C"/>
          <w:sz w:val="24"/>
          <w:szCs w:val="20"/>
          <w:lang w:val="en-NZ"/>
        </w:rPr>
        <w:t xml:space="preserve">has found </w:t>
      </w:r>
      <w:r w:rsidRPr="00AF52F7">
        <w:rPr>
          <w:rFonts w:ascii="Arial" w:hAnsi="Arial"/>
          <w:color w:val="1C1C1C"/>
          <w:sz w:val="24"/>
          <w:szCs w:val="20"/>
          <w:lang w:val="en-NZ"/>
        </w:rPr>
        <w:t>evidence of limited competition and high prices</w:t>
      </w:r>
      <w:r>
        <w:rPr>
          <w:rFonts w:ascii="Arial" w:hAnsi="Arial"/>
          <w:color w:val="1C1C1C"/>
          <w:sz w:val="24"/>
          <w:szCs w:val="20"/>
          <w:lang w:val="en-NZ"/>
        </w:rPr>
        <w:t>.</w:t>
      </w:r>
      <w:r w:rsidRPr="00AF52F7">
        <w:rPr>
          <w:rFonts w:ascii="Arial" w:hAnsi="Arial"/>
          <w:color w:val="1C1C1C"/>
          <w:sz w:val="24"/>
          <w:szCs w:val="20"/>
          <w:lang w:val="en-NZ"/>
        </w:rPr>
        <w:t xml:space="preserve"> Governments have announced that they will respond to the </w:t>
      </w:r>
      <w:r>
        <w:rPr>
          <w:rFonts w:ascii="Arial" w:hAnsi="Arial"/>
          <w:color w:val="1C1C1C"/>
          <w:sz w:val="24"/>
          <w:szCs w:val="20"/>
          <w:lang w:val="en-NZ"/>
        </w:rPr>
        <w:t>final recommendations</w:t>
      </w:r>
      <w:r w:rsidRPr="00AF52F7">
        <w:rPr>
          <w:rFonts w:ascii="Arial" w:hAnsi="Arial"/>
          <w:color w:val="1C1C1C"/>
          <w:sz w:val="24"/>
          <w:szCs w:val="20"/>
          <w:lang w:val="en-NZ"/>
        </w:rPr>
        <w:t xml:space="preserve"> of </w:t>
      </w:r>
      <w:r>
        <w:rPr>
          <w:rFonts w:ascii="Arial" w:hAnsi="Arial"/>
          <w:color w:val="1C1C1C"/>
          <w:sz w:val="24"/>
          <w:szCs w:val="20"/>
          <w:lang w:val="en-NZ"/>
        </w:rPr>
        <w:t xml:space="preserve">the joint </w:t>
      </w:r>
      <w:r w:rsidRPr="00AF52F7">
        <w:rPr>
          <w:rFonts w:ascii="Arial" w:hAnsi="Arial"/>
          <w:color w:val="1C1C1C"/>
          <w:sz w:val="24"/>
          <w:szCs w:val="20"/>
          <w:lang w:val="en-NZ"/>
        </w:rPr>
        <w:t>investigation</w:t>
      </w:r>
      <w:r>
        <w:rPr>
          <w:rFonts w:ascii="Arial" w:hAnsi="Arial"/>
          <w:color w:val="1C1C1C"/>
          <w:sz w:val="24"/>
          <w:szCs w:val="20"/>
          <w:lang w:val="en-NZ"/>
        </w:rPr>
        <w:t xml:space="preserve"> when they are released at the end of this year.</w:t>
      </w:r>
    </w:p>
    <w:p w:rsidR="00FC7F8A" w:rsidRPr="006974F0" w:rsidRDefault="005C4BD1" w:rsidP="006A301B">
      <w:pPr>
        <w:pStyle w:val="Heading3"/>
        <w:spacing w:before="360"/>
        <w:rPr>
          <w:lang w:val="en-NZ"/>
        </w:rPr>
      </w:pPr>
      <w:r w:rsidRPr="006974F0">
        <w:rPr>
          <w:lang w:val="en-NZ"/>
        </w:rPr>
        <w:t>‘</w:t>
      </w:r>
      <w:r w:rsidR="00FC7F8A" w:rsidRPr="006974F0">
        <w:rPr>
          <w:lang w:val="en-NZ"/>
        </w:rPr>
        <w:t>Third freedom</w:t>
      </w:r>
      <w:r w:rsidRPr="006974F0">
        <w:rPr>
          <w:lang w:val="en-NZ"/>
        </w:rPr>
        <w:t>’</w:t>
      </w:r>
      <w:r w:rsidR="00FC7F8A" w:rsidRPr="006974F0">
        <w:rPr>
          <w:lang w:val="en-NZ"/>
        </w:rPr>
        <w:t>: capital flows</w:t>
      </w:r>
    </w:p>
    <w:p w:rsidR="00FC7F8A" w:rsidRPr="006974F0" w:rsidRDefault="00FC7F8A" w:rsidP="00FC7F8A">
      <w:pPr>
        <w:pStyle w:val="BodyText"/>
        <w:rPr>
          <w:lang w:val="en-NZ"/>
        </w:rPr>
      </w:pPr>
      <w:r w:rsidRPr="006974F0">
        <w:rPr>
          <w:lang w:val="en-NZ"/>
        </w:rPr>
        <w:t>The main areas of interest are foreign direct investme</w:t>
      </w:r>
      <w:r w:rsidR="00F0331A">
        <w:rPr>
          <w:lang w:val="en-NZ"/>
        </w:rPr>
        <w:t>nt</w:t>
      </w:r>
      <w:r w:rsidR="00E65944" w:rsidRPr="006974F0">
        <w:rPr>
          <w:lang w:val="en-NZ"/>
        </w:rPr>
        <w:t>, taxation</w:t>
      </w:r>
      <w:r w:rsidR="00CB67AE">
        <w:rPr>
          <w:lang w:val="en-NZ"/>
        </w:rPr>
        <w:t>,</w:t>
      </w:r>
      <w:r w:rsidR="00E65944" w:rsidRPr="006974F0">
        <w:rPr>
          <w:lang w:val="en-NZ"/>
        </w:rPr>
        <w:t xml:space="preserve"> banking</w:t>
      </w:r>
      <w:r w:rsidR="00CB67AE">
        <w:rPr>
          <w:lang w:val="en-NZ"/>
        </w:rPr>
        <w:t xml:space="preserve"> and insurance</w:t>
      </w:r>
      <w:r w:rsidR="00E65944" w:rsidRPr="006974F0">
        <w:rPr>
          <w:lang w:val="en-NZ"/>
        </w:rPr>
        <w:t>.</w:t>
      </w:r>
    </w:p>
    <w:p w:rsidR="00FC7F8A" w:rsidRPr="006974F0" w:rsidRDefault="00FC7F8A" w:rsidP="00FC7F8A">
      <w:pPr>
        <w:pStyle w:val="BodyText"/>
        <w:rPr>
          <w:lang w:val="en-NZ"/>
        </w:rPr>
      </w:pPr>
      <w:r w:rsidRPr="006974F0">
        <w:rPr>
          <w:lang w:val="en-NZ"/>
        </w:rPr>
        <w:t xml:space="preserve">The two Governments should implement the investment protocol they signed </w:t>
      </w:r>
      <w:r w:rsidR="00D3123F">
        <w:rPr>
          <w:lang w:val="en-NZ"/>
        </w:rPr>
        <w:t>in 2011</w:t>
      </w:r>
      <w:r w:rsidR="00020156">
        <w:rPr>
          <w:lang w:val="en-NZ"/>
        </w:rPr>
        <w:t>,</w:t>
      </w:r>
      <w:r w:rsidRPr="006974F0">
        <w:rPr>
          <w:lang w:val="en-NZ"/>
        </w:rPr>
        <w:t xml:space="preserve"> which increased the thresholds for screening trans-Tasman investment. There would be </w:t>
      </w:r>
      <w:r w:rsidR="00B470AC" w:rsidRPr="00DE5D11">
        <w:rPr>
          <w:lang w:val="en-NZ"/>
        </w:rPr>
        <w:t>further</w:t>
      </w:r>
      <w:r w:rsidR="00B470AC" w:rsidRPr="006974F0">
        <w:rPr>
          <w:lang w:val="en-NZ"/>
        </w:rPr>
        <w:t xml:space="preserve"> </w:t>
      </w:r>
      <w:r w:rsidRPr="006974F0">
        <w:rPr>
          <w:lang w:val="en-NZ"/>
        </w:rPr>
        <w:t xml:space="preserve">benefits from extending this protocol to lessen the remaining </w:t>
      </w:r>
      <w:r w:rsidR="000A29B7">
        <w:rPr>
          <w:lang w:val="en-NZ"/>
        </w:rPr>
        <w:t>investment</w:t>
      </w:r>
      <w:r w:rsidRPr="006974F0">
        <w:rPr>
          <w:lang w:val="en-NZ"/>
        </w:rPr>
        <w:t xml:space="preserve"> restrictions in ‘sensitive’ areas, given the closeness of the two countries.</w:t>
      </w:r>
    </w:p>
    <w:p w:rsidR="007D162B" w:rsidRDefault="00FC7F8A" w:rsidP="006534A9">
      <w:pPr>
        <w:pStyle w:val="BodyText"/>
        <w:rPr>
          <w:lang w:val="en-NZ"/>
        </w:rPr>
      </w:pPr>
      <w:r w:rsidRPr="006974F0">
        <w:rPr>
          <w:lang w:val="en-NZ"/>
        </w:rPr>
        <w:t xml:space="preserve">An issue of greater concern to most business participants is that companies are not allowed imputation credits on trans-Tasman investment, </w:t>
      </w:r>
      <w:r w:rsidR="00CD592C" w:rsidRPr="00DE5D11">
        <w:rPr>
          <w:lang w:val="en-NZ"/>
        </w:rPr>
        <w:t>meaning</w:t>
      </w:r>
      <w:r w:rsidR="00B77B65" w:rsidRPr="006974F0">
        <w:rPr>
          <w:lang w:val="en-NZ"/>
        </w:rPr>
        <w:t xml:space="preserve"> </w:t>
      </w:r>
      <w:r w:rsidRPr="006974F0">
        <w:rPr>
          <w:lang w:val="en-NZ"/>
        </w:rPr>
        <w:t xml:space="preserve">company income is taxed twice </w:t>
      </w:r>
      <w:r w:rsidR="000A29B7">
        <w:rPr>
          <w:lang w:val="en-NZ"/>
        </w:rPr>
        <w:t xml:space="preserve">in the hands of an individual </w:t>
      </w:r>
      <w:r w:rsidRPr="006974F0">
        <w:rPr>
          <w:lang w:val="en-NZ"/>
        </w:rPr>
        <w:t xml:space="preserve">if it crosses the Tasman. </w:t>
      </w:r>
      <w:r w:rsidR="00B470AC" w:rsidRPr="00DE5D11">
        <w:rPr>
          <w:lang w:val="en-NZ"/>
        </w:rPr>
        <w:t>T</w:t>
      </w:r>
      <w:r w:rsidRPr="00DE5D11">
        <w:rPr>
          <w:lang w:val="en-NZ"/>
        </w:rPr>
        <w:t xml:space="preserve">his </w:t>
      </w:r>
      <w:r w:rsidR="00B470AC" w:rsidRPr="00DE5D11">
        <w:rPr>
          <w:lang w:val="en-NZ"/>
        </w:rPr>
        <w:t>issue</w:t>
      </w:r>
      <w:r w:rsidR="00B470AC" w:rsidRPr="006974F0">
        <w:rPr>
          <w:lang w:val="en-NZ"/>
        </w:rPr>
        <w:t xml:space="preserve"> </w:t>
      </w:r>
      <w:r w:rsidRPr="006974F0">
        <w:rPr>
          <w:lang w:val="en-NZ"/>
        </w:rPr>
        <w:t xml:space="preserve">has been debated for more than 20 years, </w:t>
      </w:r>
      <w:r w:rsidR="00B470AC" w:rsidRPr="00DE5D11">
        <w:rPr>
          <w:lang w:val="en-NZ"/>
        </w:rPr>
        <w:t>signalling</w:t>
      </w:r>
      <w:r w:rsidR="00BC7AB4" w:rsidRPr="006974F0">
        <w:rPr>
          <w:lang w:val="en-NZ"/>
        </w:rPr>
        <w:t xml:space="preserve"> the complexities and judg</w:t>
      </w:r>
      <w:r w:rsidRPr="006974F0">
        <w:rPr>
          <w:lang w:val="en-NZ"/>
        </w:rPr>
        <w:t>ments involved</w:t>
      </w:r>
      <w:r w:rsidRPr="00DE5D11">
        <w:rPr>
          <w:lang w:val="en-NZ"/>
        </w:rPr>
        <w:t>.</w:t>
      </w:r>
    </w:p>
    <w:p w:rsidR="007D162B" w:rsidRDefault="00FC7F8A" w:rsidP="007D162B">
      <w:pPr>
        <w:pStyle w:val="BodyText"/>
      </w:pPr>
      <w:r w:rsidRPr="006974F0">
        <w:rPr>
          <w:lang w:val="en-NZ"/>
        </w:rPr>
        <w:t xml:space="preserve">Mutual recognition of imputation credits </w:t>
      </w:r>
      <w:r w:rsidR="00CB67AE">
        <w:rPr>
          <w:lang w:val="en-NZ"/>
        </w:rPr>
        <w:t xml:space="preserve">(MRIC) </w:t>
      </w:r>
      <w:r w:rsidRPr="006974F0">
        <w:rPr>
          <w:lang w:val="en-NZ"/>
        </w:rPr>
        <w:t xml:space="preserve">could expand investment across the Tasman and bring efficiency gains. </w:t>
      </w:r>
      <w:r w:rsidR="007D162B">
        <w:t xml:space="preserve">It could also lead to net income transfers between </w:t>
      </w:r>
      <w:smartTag w:uri="urn:schemas-microsoft-com:office:smarttags" w:element="country-region">
        <w:r w:rsidR="007D162B">
          <w:t>Australia</w:t>
        </w:r>
      </w:smartTag>
      <w:r w:rsidR="007D162B">
        <w:t xml:space="preserve"> and </w:t>
      </w:r>
      <w:smartTag w:uri="urn:schemas-microsoft-com:office:smarttags" w:element="country-region">
        <w:smartTag w:uri="urn:schemas-microsoft-com:office:smarttags" w:element="place">
          <w:r w:rsidR="007D162B">
            <w:t>New Zealand</w:t>
          </w:r>
        </w:smartTag>
      </w:smartTag>
      <w:r w:rsidR="007D162B">
        <w:t>, which are likely to be larger than the efficiency gains.</w:t>
      </w:r>
    </w:p>
    <w:p w:rsidR="007D162B" w:rsidRDefault="007D162B" w:rsidP="007D162B">
      <w:pPr>
        <w:pStyle w:val="BodyText"/>
      </w:pPr>
      <w:r>
        <w:t>A possible outcome is for one country to experience a loss in its gross national income (GNI) — an indicator of community welfare that measures the income of a country’s residents — at the same time that there is a greater gain for the other, leading to a trans-Tasman gain overall.</w:t>
      </w:r>
    </w:p>
    <w:p w:rsidR="007D162B" w:rsidRDefault="007D162B" w:rsidP="007D162B">
      <w:pPr>
        <w:pStyle w:val="BodyText"/>
      </w:pPr>
      <w:r>
        <w:t xml:space="preserve">Principally because Australian investment in </w:t>
      </w:r>
      <w:smartTag w:uri="urn:schemas-microsoft-com:office:smarttags" w:element="country-region">
        <w:r>
          <w:t>New Zealand</w:t>
        </w:r>
      </w:smartTag>
      <w:r>
        <w:t xml:space="preserve"> is larger than </w:t>
      </w:r>
      <w:smartTag w:uri="urn:schemas-microsoft-com:office:smarttags" w:element="country-region">
        <w:r>
          <w:t>New Zealand</w:t>
        </w:r>
      </w:smartTag>
      <w:r>
        <w:t xml:space="preserve"> investment in </w:t>
      </w:r>
      <w:smartTag w:uri="urn:schemas-microsoft-com:office:smarttags" w:element="country-region">
        <w:r>
          <w:t>Australia</w:t>
        </w:r>
      </w:smartTag>
      <w:r w:rsidR="003D1211">
        <w:t xml:space="preserve">, </w:t>
      </w:r>
      <w:r>
        <w:t xml:space="preserve">Australian income transfers to </w:t>
      </w:r>
      <w:smartTag w:uri="urn:schemas-microsoft-com:office:smarttags" w:element="country-region">
        <w:smartTag w:uri="urn:schemas-microsoft-com:office:smarttags" w:element="place">
          <w:r>
            <w:t>New Zealand</w:t>
          </w:r>
        </w:smartTag>
      </w:smartTag>
      <w:r>
        <w:t xml:space="preserve"> </w:t>
      </w:r>
      <w:r>
        <w:lastRenderedPageBreak/>
        <w:t xml:space="preserve">would </w:t>
      </w:r>
      <w:r w:rsidR="003D1211">
        <w:t xml:space="preserve">probably </w:t>
      </w:r>
      <w:r>
        <w:t>be greater than transfers the other way</w:t>
      </w:r>
      <w:r w:rsidR="005914A0">
        <w:t>, and Australia is likely to be made worse off</w:t>
      </w:r>
      <w:r>
        <w:t xml:space="preserve">. It is possible that both </w:t>
      </w:r>
      <w:smartTag w:uri="urn:schemas-microsoft-com:office:smarttags" w:element="country-region">
        <w:r>
          <w:t>Australia</w:t>
        </w:r>
      </w:smartTag>
      <w:r>
        <w:t xml:space="preserve"> and </w:t>
      </w:r>
      <w:smartTag w:uri="urn:schemas-microsoft-com:office:smarttags" w:element="country-region">
        <w:smartTag w:uri="urn:schemas-microsoft-com:office:smarttags" w:element="place">
          <w:r>
            <w:t>New Zealand</w:t>
          </w:r>
        </w:smartTag>
      </w:smartTag>
      <w:r>
        <w:t>'s GNI would rise, but this would require markedly asymmetric investment responses.</w:t>
      </w:r>
    </w:p>
    <w:p w:rsidR="00FC7F8A" w:rsidRPr="006974F0" w:rsidRDefault="006534A9" w:rsidP="006534A9">
      <w:pPr>
        <w:pStyle w:val="BodyText"/>
        <w:rPr>
          <w:lang w:val="en-NZ"/>
        </w:rPr>
      </w:pPr>
      <w:r>
        <w:rPr>
          <w:lang w:val="en-NZ"/>
        </w:rPr>
        <w:t xml:space="preserve">The two governments should announce either </w:t>
      </w:r>
      <w:r w:rsidRPr="006534A9">
        <w:rPr>
          <w:lang w:val="en-NZ"/>
        </w:rPr>
        <w:t>a process, preferably with a clear deadline, for determining whether there is an efficient, equitable and robust mechanism that would ensure a satisfactory distribu</w:t>
      </w:r>
      <w:r>
        <w:rPr>
          <w:lang w:val="en-NZ"/>
        </w:rPr>
        <w:t xml:space="preserve">tion of the gains from MRIC; or </w:t>
      </w:r>
      <w:r w:rsidRPr="006534A9">
        <w:rPr>
          <w:lang w:val="en-NZ"/>
        </w:rPr>
        <w:t xml:space="preserve">that MRIC will not go ahead if they consider that such </w:t>
      </w:r>
      <w:r w:rsidR="009467B0">
        <w:rPr>
          <w:lang w:val="en-NZ"/>
        </w:rPr>
        <w:t xml:space="preserve">a </w:t>
      </w:r>
      <w:r w:rsidRPr="006534A9">
        <w:rPr>
          <w:lang w:val="en-NZ"/>
        </w:rPr>
        <w:t xml:space="preserve">mechanism </w:t>
      </w:r>
      <w:r w:rsidR="009467B0">
        <w:rPr>
          <w:lang w:val="en-NZ"/>
        </w:rPr>
        <w:t xml:space="preserve">is </w:t>
      </w:r>
      <w:r w:rsidRPr="006534A9">
        <w:rPr>
          <w:lang w:val="en-NZ"/>
        </w:rPr>
        <w:t>infeasible.</w:t>
      </w:r>
    </w:p>
    <w:p w:rsidR="00FC7F8A" w:rsidRPr="006974F0" w:rsidRDefault="00FC7F8A" w:rsidP="00FC7F8A">
      <w:pPr>
        <w:pStyle w:val="BodyText"/>
        <w:rPr>
          <w:lang w:val="en-NZ"/>
        </w:rPr>
      </w:pPr>
      <w:r w:rsidRPr="006974F0">
        <w:rPr>
          <w:lang w:val="en-NZ"/>
        </w:rPr>
        <w:t xml:space="preserve">In relation to banking, the two countries have adopted </w:t>
      </w:r>
      <w:r w:rsidR="00020156">
        <w:rPr>
          <w:lang w:val="en-NZ"/>
        </w:rPr>
        <w:t xml:space="preserve">some </w:t>
      </w:r>
      <w:r w:rsidRPr="006974F0">
        <w:rPr>
          <w:lang w:val="en-NZ"/>
        </w:rPr>
        <w:t>differen</w:t>
      </w:r>
      <w:r w:rsidR="00020156">
        <w:rPr>
          <w:lang w:val="en-NZ"/>
        </w:rPr>
        <w:t>ces in</w:t>
      </w:r>
      <w:r w:rsidRPr="006974F0">
        <w:rPr>
          <w:lang w:val="en-NZ"/>
        </w:rPr>
        <w:t xml:space="preserve"> approach to prudential supervision. This area of regulation is evolving rapidly, with an existing </w:t>
      </w:r>
      <w:r w:rsidR="005C4BD1" w:rsidRPr="006974F0">
        <w:rPr>
          <w:lang w:val="en-NZ"/>
        </w:rPr>
        <w:t>trans-Tasman forum</w:t>
      </w:r>
      <w:r w:rsidRPr="006974F0">
        <w:rPr>
          <w:lang w:val="en-NZ"/>
        </w:rPr>
        <w:t xml:space="preserve"> well placed to assess integration opportunities.</w:t>
      </w:r>
    </w:p>
    <w:p w:rsidR="00FC7F8A" w:rsidRPr="006974F0" w:rsidRDefault="005C4BD1" w:rsidP="006A301B">
      <w:pPr>
        <w:pStyle w:val="Heading3"/>
        <w:spacing w:before="360"/>
        <w:rPr>
          <w:lang w:val="en-NZ"/>
        </w:rPr>
      </w:pPr>
      <w:r w:rsidRPr="006974F0">
        <w:rPr>
          <w:lang w:val="en-NZ"/>
        </w:rPr>
        <w:t>‘</w:t>
      </w:r>
      <w:r w:rsidR="00FC7F8A" w:rsidRPr="006974F0">
        <w:rPr>
          <w:lang w:val="en-NZ"/>
        </w:rPr>
        <w:t>Fourth freedom</w:t>
      </w:r>
      <w:r w:rsidRPr="006974F0">
        <w:rPr>
          <w:lang w:val="en-NZ"/>
        </w:rPr>
        <w:t>’</w:t>
      </w:r>
      <w:r w:rsidR="00FC7F8A" w:rsidRPr="006974F0">
        <w:rPr>
          <w:lang w:val="en-NZ"/>
        </w:rPr>
        <w:t>: people</w:t>
      </w:r>
      <w:r w:rsidR="00B72E06" w:rsidRPr="006974F0">
        <w:rPr>
          <w:lang w:val="en-NZ"/>
        </w:rPr>
        <w:t xml:space="preserve"> </w:t>
      </w:r>
      <w:r w:rsidR="00B72E06" w:rsidRPr="00DE5D11">
        <w:rPr>
          <w:lang w:val="en-NZ"/>
        </w:rPr>
        <w:t>movement</w:t>
      </w:r>
    </w:p>
    <w:p w:rsidR="00FC7F8A" w:rsidRPr="00D36B4D" w:rsidRDefault="00FC7F8A" w:rsidP="00FC7F8A">
      <w:pPr>
        <w:pStyle w:val="BodyText"/>
        <w:rPr>
          <w:lang w:val="en-NZ"/>
        </w:rPr>
      </w:pPr>
      <w:r w:rsidRPr="00F3357E">
        <w:rPr>
          <w:lang w:val="en-NZ"/>
        </w:rPr>
        <w:t xml:space="preserve">There are opportunities to reduce the costs and complications of trans-Tasman travel through wider implementation of SmartGate arrangements at the border, and development of a trans-Tasman tourist visa for foreigners visiting </w:t>
      </w:r>
      <w:r w:rsidR="00B72E06" w:rsidRPr="00F71FEC">
        <w:rPr>
          <w:lang w:val="en-NZ"/>
        </w:rPr>
        <w:t>both</w:t>
      </w:r>
      <w:r w:rsidRPr="00D36B4D">
        <w:rPr>
          <w:lang w:val="en-NZ"/>
        </w:rPr>
        <w:t xml:space="preserve"> countries.</w:t>
      </w:r>
    </w:p>
    <w:p w:rsidR="00733468" w:rsidRPr="00F3357E" w:rsidRDefault="00733468" w:rsidP="00733468">
      <w:pPr>
        <w:pStyle w:val="BodyText"/>
        <w:rPr>
          <w:lang w:val="en-NZ"/>
        </w:rPr>
      </w:pPr>
      <w:r w:rsidRPr="00F3357E">
        <w:rPr>
          <w:lang w:val="en-NZ"/>
        </w:rPr>
        <w:t>A high degree of integration in the trans-Tasman labour market has been an historical fact and should continue. The current arrangements provide for an efficient matching of people to job opportunities across the two countries.</w:t>
      </w:r>
    </w:p>
    <w:p w:rsidR="00733468" w:rsidRPr="00D36B4D" w:rsidRDefault="00733468" w:rsidP="00733468">
      <w:pPr>
        <w:pStyle w:val="BodyText"/>
        <w:rPr>
          <w:lang w:val="en-NZ"/>
        </w:rPr>
      </w:pPr>
      <w:r w:rsidRPr="00F3357E">
        <w:rPr>
          <w:lang w:val="en-NZ"/>
        </w:rPr>
        <w:t xml:space="preserve">However, when people move to job opportunities in the other country their residency status changes and they face different policies for welfare supports, access to services and in taxation systems and voting rights. The Commissions are not recommending integration of welfare, taxation </w:t>
      </w:r>
      <w:r w:rsidR="00F3357E">
        <w:rPr>
          <w:lang w:val="en-NZ"/>
        </w:rPr>
        <w:t>or</w:t>
      </w:r>
      <w:r w:rsidR="00F3357E" w:rsidRPr="00F3357E">
        <w:rPr>
          <w:lang w:val="en-NZ"/>
        </w:rPr>
        <w:t xml:space="preserve"> </w:t>
      </w:r>
      <w:r w:rsidRPr="00F3357E">
        <w:rPr>
          <w:lang w:val="en-NZ"/>
        </w:rPr>
        <w:t xml:space="preserve">citizenship policies. </w:t>
      </w:r>
      <w:r w:rsidR="00F3357E">
        <w:rPr>
          <w:lang w:val="en-NZ"/>
        </w:rPr>
        <w:t>However, t</w:t>
      </w:r>
      <w:r w:rsidRPr="00F3357E">
        <w:rPr>
          <w:lang w:val="en-NZ"/>
        </w:rPr>
        <w:t>he Australian and New Zealand Governments should provide clearer and more accessible information to prospective migrants, new arrivals and long term residents about their responsibilities and entitlements in their destination country. This would enable people to make better informed decisions about seeking work in the other country.</w:t>
      </w:r>
    </w:p>
    <w:p w:rsidR="00733468" w:rsidRPr="00F3357E" w:rsidRDefault="00733468" w:rsidP="00733468">
      <w:pPr>
        <w:pStyle w:val="BodyText"/>
        <w:rPr>
          <w:lang w:val="en-NZ"/>
        </w:rPr>
      </w:pPr>
      <w:r w:rsidRPr="00F3357E">
        <w:rPr>
          <w:lang w:val="en-NZ"/>
        </w:rPr>
        <w:t>The Governments could also achieve better alignment of policies that impact on the trans-Tasman labour market by addressing significant negative outcomes for long term residents and any substantive issues for temporary residents.</w:t>
      </w:r>
    </w:p>
    <w:p w:rsidR="00733468" w:rsidRPr="00F71FEC" w:rsidRDefault="00525E05" w:rsidP="00733468">
      <w:pPr>
        <w:pStyle w:val="BodyText"/>
        <w:rPr>
          <w:lang w:val="en-NZ"/>
        </w:rPr>
      </w:pPr>
      <w:r w:rsidRPr="00525E05">
        <w:rPr>
          <w:rFonts w:cs="Arial"/>
          <w:lang w:val="en-NZ"/>
        </w:rPr>
        <w:t xml:space="preserve">There are taxation issues, particularly for workers who move back and forwards between the countries and for businesses employing such workers. There are also issues about access to public services and assistance for New Zealand citizens who have been in Australia for many years, many of whom have paid taxes </w:t>
      </w:r>
      <w:r w:rsidR="001D7378">
        <w:rPr>
          <w:rFonts w:cs="Arial"/>
          <w:lang w:val="en-NZ"/>
        </w:rPr>
        <w:t>for years</w:t>
      </w:r>
      <w:r w:rsidRPr="00525E05">
        <w:rPr>
          <w:rFonts w:cs="Arial"/>
          <w:lang w:val="en-NZ"/>
        </w:rPr>
        <w:t xml:space="preserve">. </w:t>
      </w:r>
      <w:r w:rsidR="00F3357E">
        <w:rPr>
          <w:lang w:val="en-NZ"/>
        </w:rPr>
        <w:t>These</w:t>
      </w:r>
      <w:r w:rsidR="00733468" w:rsidRPr="00F3357E">
        <w:rPr>
          <w:lang w:val="en-NZ"/>
        </w:rPr>
        <w:t xml:space="preserve"> </w:t>
      </w:r>
      <w:r w:rsidR="00F3357E">
        <w:rPr>
          <w:lang w:val="en-NZ"/>
        </w:rPr>
        <w:t xml:space="preserve">mainly </w:t>
      </w:r>
      <w:r w:rsidR="00733468" w:rsidRPr="00F3357E">
        <w:rPr>
          <w:lang w:val="en-NZ"/>
        </w:rPr>
        <w:t xml:space="preserve">centre on long term resident non-Protected Special Category </w:t>
      </w:r>
      <w:r w:rsidR="00733468" w:rsidRPr="00F3357E">
        <w:rPr>
          <w:lang w:val="en-NZ"/>
        </w:rPr>
        <w:lastRenderedPageBreak/>
        <w:t>Visa holders and include</w:t>
      </w:r>
      <w:r w:rsidR="00D36B4D">
        <w:rPr>
          <w:lang w:val="en-NZ"/>
        </w:rPr>
        <w:t>:</w:t>
      </w:r>
      <w:r w:rsidR="00733468" w:rsidRPr="00F3357E">
        <w:rPr>
          <w:lang w:val="en-NZ"/>
        </w:rPr>
        <w:t xml:space="preserve"> limited pathways to Australian permanent residence and citizenship</w:t>
      </w:r>
      <w:r w:rsidR="00D36B4D">
        <w:rPr>
          <w:lang w:val="en-NZ"/>
        </w:rPr>
        <w:t>;</w:t>
      </w:r>
      <w:r w:rsidR="00D36B4D" w:rsidRPr="00F3357E">
        <w:rPr>
          <w:lang w:val="en-NZ"/>
        </w:rPr>
        <w:t xml:space="preserve"> </w:t>
      </w:r>
      <w:r w:rsidR="00733468" w:rsidRPr="00F3357E">
        <w:rPr>
          <w:lang w:val="en-NZ"/>
        </w:rPr>
        <w:t>no access to student loans for their children</w:t>
      </w:r>
      <w:r w:rsidR="00D36B4D">
        <w:rPr>
          <w:lang w:val="en-NZ"/>
        </w:rPr>
        <w:t>;</w:t>
      </w:r>
      <w:r w:rsidR="00733468" w:rsidRPr="00F3357E">
        <w:rPr>
          <w:lang w:val="en-NZ"/>
        </w:rPr>
        <w:t xml:space="preserve"> and restricted access to some social security payments and other supports</w:t>
      </w:r>
      <w:r w:rsidR="00F3357E">
        <w:rPr>
          <w:lang w:val="en-NZ"/>
        </w:rPr>
        <w:t>.</w:t>
      </w:r>
      <w:r w:rsidR="00733468" w:rsidRPr="00F3357E">
        <w:rPr>
          <w:lang w:val="en-NZ"/>
        </w:rPr>
        <w:t xml:space="preserve"> </w:t>
      </w:r>
      <w:r w:rsidR="00733468" w:rsidRPr="00F71FEC">
        <w:rPr>
          <w:lang w:val="en-NZ"/>
        </w:rPr>
        <w:t>Addressing these would require policy changes by the Australian Government, including:</w:t>
      </w:r>
    </w:p>
    <w:p w:rsidR="00733468" w:rsidRPr="00F3357E" w:rsidRDefault="00733468" w:rsidP="00733468">
      <w:pPr>
        <w:pStyle w:val="ListBullet"/>
        <w:rPr>
          <w:lang w:val="en-NZ"/>
        </w:rPr>
      </w:pPr>
      <w:r w:rsidRPr="00F3357E">
        <w:rPr>
          <w:lang w:val="en-NZ"/>
        </w:rPr>
        <w:t>developing a pathway for New Zealand citizens living long term in Australia to achieve permanent residency and/or citizenship</w:t>
      </w:r>
    </w:p>
    <w:p w:rsidR="00733468" w:rsidRPr="00F3357E" w:rsidRDefault="00733468" w:rsidP="00733468">
      <w:pPr>
        <w:pStyle w:val="ListBullet"/>
        <w:rPr>
          <w:lang w:val="en-NZ"/>
        </w:rPr>
      </w:pPr>
      <w:r w:rsidRPr="00F3357E">
        <w:rPr>
          <w:lang w:val="en-NZ"/>
        </w:rPr>
        <w:t xml:space="preserve">improving access </w:t>
      </w:r>
      <w:r w:rsidR="00D36B4D">
        <w:rPr>
          <w:lang w:val="en-NZ"/>
        </w:rPr>
        <w:t>for</w:t>
      </w:r>
      <w:r w:rsidR="00D36B4D" w:rsidRPr="00D36B4D">
        <w:rPr>
          <w:lang w:val="en-NZ"/>
        </w:rPr>
        <w:t xml:space="preserve"> </w:t>
      </w:r>
      <w:r w:rsidRPr="00D36B4D">
        <w:rPr>
          <w:lang w:val="en-NZ"/>
        </w:rPr>
        <w:t>New Zealand citizens to tertiary education and vocational training through the provision of student loans, subject to a waitin</w:t>
      </w:r>
      <w:r w:rsidRPr="00F3357E">
        <w:rPr>
          <w:lang w:val="en-NZ"/>
        </w:rPr>
        <w:t>g period and appropriate debt recovery provisions</w:t>
      </w:r>
    </w:p>
    <w:p w:rsidR="00733468" w:rsidRPr="00F3357E" w:rsidRDefault="00733468" w:rsidP="00733468">
      <w:pPr>
        <w:pStyle w:val="ListBullet"/>
        <w:rPr>
          <w:lang w:val="en-NZ"/>
        </w:rPr>
      </w:pPr>
      <w:r w:rsidRPr="00F3357E">
        <w:rPr>
          <w:lang w:val="en-NZ"/>
        </w:rPr>
        <w:t>together with the New Zealand Government, reviewing, and making more explicit, the principles governing access to social security and further develop</w:t>
      </w:r>
      <w:r w:rsidR="00D36B4D">
        <w:rPr>
          <w:lang w:val="en-NZ"/>
        </w:rPr>
        <w:t>ing</w:t>
      </w:r>
      <w:r w:rsidRPr="00D36B4D">
        <w:rPr>
          <w:lang w:val="en-NZ"/>
        </w:rPr>
        <w:t xml:space="preserve"> bilateral engagement on migration policies, within the context of CER, the single economic market and the Trans-Tasman Travel Arrangement.</w:t>
      </w:r>
    </w:p>
    <w:p w:rsidR="00733468" w:rsidRPr="002030AD" w:rsidRDefault="00733468" w:rsidP="00A214BC">
      <w:pPr>
        <w:pStyle w:val="BodyText"/>
        <w:rPr>
          <w:lang w:val="en-NZ"/>
        </w:rPr>
      </w:pPr>
      <w:r w:rsidRPr="00357583">
        <w:rPr>
          <w:lang w:val="en-NZ"/>
        </w:rPr>
        <w:t xml:space="preserve">This would continue a tradition of pragmatic responses to problems that have arisen </w:t>
      </w:r>
      <w:r w:rsidRPr="002030AD">
        <w:rPr>
          <w:lang w:val="en-NZ"/>
        </w:rPr>
        <w:t>historically in respect of the trans-Tasman relationship.</w:t>
      </w:r>
    </w:p>
    <w:p w:rsidR="00FC7F8A" w:rsidRPr="006974F0" w:rsidRDefault="004A3782" w:rsidP="006A301B">
      <w:pPr>
        <w:pStyle w:val="Heading3"/>
        <w:spacing w:before="360"/>
        <w:rPr>
          <w:lang w:val="en-NZ"/>
        </w:rPr>
      </w:pPr>
      <w:r>
        <w:rPr>
          <w:lang w:val="en-NZ"/>
        </w:rPr>
        <w:t>Benchmarking g</w:t>
      </w:r>
      <w:r w:rsidR="00FC7F8A" w:rsidRPr="006974F0">
        <w:rPr>
          <w:lang w:val="en-NZ"/>
        </w:rPr>
        <w:t xml:space="preserve">overnment </w:t>
      </w:r>
      <w:r>
        <w:rPr>
          <w:lang w:val="en-NZ"/>
        </w:rPr>
        <w:t xml:space="preserve">and regulatory </w:t>
      </w:r>
      <w:r w:rsidR="00FC7F8A" w:rsidRPr="006974F0">
        <w:rPr>
          <w:lang w:val="en-NZ"/>
        </w:rPr>
        <w:t>services</w:t>
      </w:r>
    </w:p>
    <w:p w:rsidR="00FC7F8A" w:rsidRPr="006974F0" w:rsidRDefault="00FC7F8A" w:rsidP="00FC7F8A">
      <w:pPr>
        <w:pStyle w:val="BodyText"/>
        <w:rPr>
          <w:lang w:val="en-NZ"/>
        </w:rPr>
      </w:pPr>
      <w:r w:rsidRPr="006974F0">
        <w:rPr>
          <w:lang w:val="en-NZ"/>
        </w:rPr>
        <w:t xml:space="preserve">There is considerable cooperation between the public sectors </w:t>
      </w:r>
      <w:r w:rsidR="009467B0">
        <w:rPr>
          <w:lang w:val="en-NZ"/>
        </w:rPr>
        <w:t xml:space="preserve">of </w:t>
      </w:r>
      <w:r w:rsidRPr="006974F0">
        <w:rPr>
          <w:lang w:val="en-NZ"/>
        </w:rPr>
        <w:t>Australia and New Zealand. This has developed organically as opportunities have emerged</w:t>
      </w:r>
      <w:r w:rsidR="00065AED">
        <w:rPr>
          <w:lang w:val="en-NZ"/>
        </w:rPr>
        <w:t>.</w:t>
      </w:r>
      <w:r w:rsidRPr="006974F0">
        <w:rPr>
          <w:lang w:val="en-NZ"/>
        </w:rPr>
        <w:t xml:space="preserve"> </w:t>
      </w:r>
      <w:r w:rsidR="00065AED">
        <w:rPr>
          <w:lang w:val="en-NZ"/>
        </w:rPr>
        <w:t>It</w:t>
      </w:r>
      <w:r w:rsidRPr="006974F0">
        <w:rPr>
          <w:lang w:val="en-NZ"/>
        </w:rPr>
        <w:t xml:space="preserve"> can improve regulatory outcomes and reduce the cost of providin</w:t>
      </w:r>
      <w:r w:rsidR="009971F6">
        <w:rPr>
          <w:lang w:val="en-NZ"/>
        </w:rPr>
        <w:t>g government services. The two G</w:t>
      </w:r>
      <w:r w:rsidRPr="006974F0">
        <w:rPr>
          <w:lang w:val="en-NZ"/>
        </w:rPr>
        <w:t xml:space="preserve">overnments should ensure that </w:t>
      </w:r>
      <w:r w:rsidR="00AD2AAB">
        <w:rPr>
          <w:lang w:val="en-NZ"/>
        </w:rPr>
        <w:t>their</w:t>
      </w:r>
      <w:r w:rsidRPr="006974F0">
        <w:rPr>
          <w:lang w:val="en-NZ"/>
        </w:rPr>
        <w:t xml:space="preserve"> agencies consider opportunities for </w:t>
      </w:r>
      <w:r w:rsidR="00AD2AAB">
        <w:rPr>
          <w:lang w:val="en-NZ"/>
        </w:rPr>
        <w:t>further</w:t>
      </w:r>
      <w:r w:rsidRPr="006974F0">
        <w:rPr>
          <w:lang w:val="en-NZ"/>
        </w:rPr>
        <w:t xml:space="preserve"> cooperation on a case-by-case basis. Additional performance benchmarking </w:t>
      </w:r>
      <w:r w:rsidR="004A3782">
        <w:rPr>
          <w:lang w:val="en-NZ"/>
        </w:rPr>
        <w:t xml:space="preserve">of government services and regulation </w:t>
      </w:r>
      <w:r w:rsidRPr="006974F0">
        <w:rPr>
          <w:lang w:val="en-NZ"/>
        </w:rPr>
        <w:t xml:space="preserve">could identify scope for improved service delivery </w:t>
      </w:r>
      <w:r w:rsidR="004A3782">
        <w:rPr>
          <w:lang w:val="en-NZ"/>
        </w:rPr>
        <w:t xml:space="preserve">and regulation, </w:t>
      </w:r>
      <w:r w:rsidRPr="006974F0">
        <w:rPr>
          <w:lang w:val="en-NZ"/>
        </w:rPr>
        <w:t>and enhance diffusion of best practice</w:t>
      </w:r>
      <w:r w:rsidR="00D1793F">
        <w:rPr>
          <w:lang w:val="en-NZ"/>
        </w:rPr>
        <w:t>s</w:t>
      </w:r>
      <w:r w:rsidRPr="006974F0">
        <w:rPr>
          <w:lang w:val="en-NZ"/>
        </w:rPr>
        <w:t xml:space="preserve"> across the Tasman.</w:t>
      </w:r>
    </w:p>
    <w:p w:rsidR="00FC7F8A" w:rsidRPr="006974F0" w:rsidRDefault="00FC7F8A" w:rsidP="006A301B">
      <w:pPr>
        <w:pStyle w:val="Heading2"/>
        <w:spacing w:before="480"/>
        <w:rPr>
          <w:lang w:val="en-NZ"/>
        </w:rPr>
      </w:pPr>
      <w:r w:rsidRPr="006974F0">
        <w:rPr>
          <w:lang w:val="en-NZ"/>
        </w:rPr>
        <w:t>Making it happen</w:t>
      </w:r>
    </w:p>
    <w:p w:rsidR="00FC7F8A" w:rsidRPr="006974F0" w:rsidRDefault="00FC7F8A" w:rsidP="00FC7F8A">
      <w:pPr>
        <w:pStyle w:val="BodyText"/>
        <w:rPr>
          <w:lang w:val="en-NZ"/>
        </w:rPr>
      </w:pPr>
      <w:r w:rsidRPr="006974F0">
        <w:rPr>
          <w:lang w:val="en-NZ"/>
        </w:rPr>
        <w:t>The areas identified for further policy action vary in their significance, complexity and time</w:t>
      </w:r>
      <w:r w:rsidR="00001C50" w:rsidRPr="006974F0">
        <w:rPr>
          <w:lang w:val="en-NZ"/>
        </w:rPr>
        <w:t xml:space="preserve">scales (see summary list in </w:t>
      </w:r>
      <w:r w:rsidRPr="006974F0">
        <w:rPr>
          <w:lang w:val="en-NZ"/>
        </w:rPr>
        <w:t xml:space="preserve">tables below). </w:t>
      </w:r>
      <w:r w:rsidR="00193662">
        <w:rPr>
          <w:lang w:val="en-NZ"/>
        </w:rPr>
        <w:t xml:space="preserve">Some </w:t>
      </w:r>
      <w:r w:rsidRPr="006974F0">
        <w:rPr>
          <w:lang w:val="en-NZ"/>
        </w:rPr>
        <w:t xml:space="preserve">proposals require more in-depth examination than </w:t>
      </w:r>
      <w:r w:rsidR="00065AED">
        <w:rPr>
          <w:lang w:val="en-NZ"/>
        </w:rPr>
        <w:t>has been</w:t>
      </w:r>
      <w:r w:rsidRPr="006974F0">
        <w:rPr>
          <w:lang w:val="en-NZ"/>
        </w:rPr>
        <w:t xml:space="preserve"> practical in a scoping study</w:t>
      </w:r>
      <w:r w:rsidR="00065AED">
        <w:rPr>
          <w:lang w:val="en-NZ"/>
        </w:rPr>
        <w:t xml:space="preserve"> of this breadth</w:t>
      </w:r>
      <w:r w:rsidRPr="006974F0">
        <w:rPr>
          <w:lang w:val="en-NZ"/>
        </w:rPr>
        <w:t xml:space="preserve">. </w:t>
      </w:r>
      <w:r w:rsidR="006974F0">
        <w:rPr>
          <w:lang w:val="en-NZ"/>
        </w:rPr>
        <w:t>Th</w:t>
      </w:r>
      <w:r w:rsidR="00D1793F">
        <w:rPr>
          <w:lang w:val="en-NZ"/>
        </w:rPr>
        <w:t>is</w:t>
      </w:r>
      <w:r w:rsidR="00C20E05" w:rsidRPr="006974F0">
        <w:rPr>
          <w:lang w:val="en-NZ"/>
        </w:rPr>
        <w:t xml:space="preserve"> report should assist governments in </w:t>
      </w:r>
      <w:r w:rsidR="00C20E05" w:rsidRPr="00DE5D11">
        <w:rPr>
          <w:lang w:val="en-NZ"/>
        </w:rPr>
        <w:t xml:space="preserve">assessing </w:t>
      </w:r>
      <w:r w:rsidRPr="00DE5D11">
        <w:rPr>
          <w:lang w:val="en-NZ"/>
        </w:rPr>
        <w:t>priorities and sequencing policy actions</w:t>
      </w:r>
      <w:r w:rsidR="00C20E05" w:rsidRPr="00DE5D11">
        <w:rPr>
          <w:lang w:val="en-NZ"/>
        </w:rPr>
        <w:t>. E</w:t>
      </w:r>
      <w:r w:rsidRPr="00DE5D11">
        <w:rPr>
          <w:lang w:val="en-NZ"/>
        </w:rPr>
        <w:t>ffective</w:t>
      </w:r>
      <w:r w:rsidRPr="006974F0">
        <w:rPr>
          <w:lang w:val="en-NZ"/>
        </w:rPr>
        <w:t xml:space="preserve"> ongoing management of the agenda will be crucial.</w:t>
      </w:r>
    </w:p>
    <w:p w:rsidR="00FC7F8A" w:rsidRPr="006974F0" w:rsidRDefault="00FC7F8A" w:rsidP="006A301B">
      <w:pPr>
        <w:pStyle w:val="BodyText"/>
        <w:spacing w:before="200"/>
        <w:rPr>
          <w:lang w:val="en-NZ"/>
        </w:rPr>
      </w:pPr>
      <w:r w:rsidRPr="006974F0">
        <w:rPr>
          <w:lang w:val="en-NZ"/>
        </w:rPr>
        <w:t xml:space="preserve">Current approaches </w:t>
      </w:r>
      <w:r w:rsidR="00C20E05" w:rsidRPr="00DE5D11">
        <w:rPr>
          <w:lang w:val="en-NZ"/>
        </w:rPr>
        <w:t>to</w:t>
      </w:r>
      <w:r w:rsidRPr="006974F0">
        <w:rPr>
          <w:lang w:val="en-NZ"/>
        </w:rPr>
        <w:t xml:space="preserve"> CER </w:t>
      </w:r>
      <w:r w:rsidR="00C20E05" w:rsidRPr="00DE5D11">
        <w:rPr>
          <w:lang w:val="en-NZ"/>
        </w:rPr>
        <w:t xml:space="preserve">governance </w:t>
      </w:r>
      <w:r w:rsidRPr="006974F0">
        <w:rPr>
          <w:lang w:val="en-NZ"/>
        </w:rPr>
        <w:t xml:space="preserve">are informal and flexible, and appear reasonably effective thus far. </w:t>
      </w:r>
      <w:r w:rsidR="00D1793F">
        <w:rPr>
          <w:lang w:val="en-NZ"/>
        </w:rPr>
        <w:t>However, t</w:t>
      </w:r>
      <w:r w:rsidRPr="00DE5D11">
        <w:rPr>
          <w:lang w:val="en-NZ"/>
        </w:rPr>
        <w:t>here</w:t>
      </w:r>
      <w:r w:rsidRPr="006974F0">
        <w:rPr>
          <w:lang w:val="en-NZ"/>
        </w:rPr>
        <w:t xml:space="preserve"> are opportunities for improvements through:</w:t>
      </w:r>
    </w:p>
    <w:p w:rsidR="00FC7F8A" w:rsidRPr="006974F0" w:rsidRDefault="00FC7F8A" w:rsidP="00FC7F8A">
      <w:pPr>
        <w:pStyle w:val="ListBullet"/>
        <w:rPr>
          <w:lang w:val="en-NZ"/>
        </w:rPr>
      </w:pPr>
      <w:r w:rsidRPr="006974F0">
        <w:rPr>
          <w:lang w:val="en-NZ"/>
        </w:rPr>
        <w:lastRenderedPageBreak/>
        <w:t xml:space="preserve">clearer leadership and oversight </w:t>
      </w:r>
      <w:r w:rsidR="00233997">
        <w:rPr>
          <w:lang w:val="en-NZ"/>
        </w:rPr>
        <w:t xml:space="preserve">of CER, </w:t>
      </w:r>
      <w:r w:rsidR="00233997">
        <w:t>including of issues relating to the trans-Tasman labour market and associated movement of people</w:t>
      </w:r>
    </w:p>
    <w:p w:rsidR="00FC7F8A" w:rsidRPr="006974F0" w:rsidRDefault="00FC7F8A" w:rsidP="00FC7F8A">
      <w:pPr>
        <w:pStyle w:val="ListBullet"/>
        <w:rPr>
          <w:lang w:val="en-NZ"/>
        </w:rPr>
      </w:pPr>
      <w:r w:rsidRPr="006974F0">
        <w:rPr>
          <w:lang w:val="en-NZ"/>
        </w:rPr>
        <w:t xml:space="preserve">requiring new </w:t>
      </w:r>
      <w:r w:rsidR="001C22E4" w:rsidRPr="006974F0">
        <w:rPr>
          <w:lang w:val="en-NZ"/>
        </w:rPr>
        <w:t>regulatory</w:t>
      </w:r>
      <w:r w:rsidRPr="006974F0">
        <w:rPr>
          <w:lang w:val="en-NZ"/>
        </w:rPr>
        <w:t xml:space="preserve"> proposals to account for </w:t>
      </w:r>
      <w:r w:rsidR="0044109C" w:rsidRPr="006974F0">
        <w:rPr>
          <w:lang w:val="en-NZ"/>
        </w:rPr>
        <w:t>t</w:t>
      </w:r>
      <w:r w:rsidRPr="006974F0">
        <w:rPr>
          <w:lang w:val="en-NZ"/>
        </w:rPr>
        <w:t>rans</w:t>
      </w:r>
      <w:r w:rsidR="0044109C" w:rsidRPr="006974F0">
        <w:rPr>
          <w:lang w:val="en-NZ"/>
        </w:rPr>
        <w:t>-</w:t>
      </w:r>
      <w:r w:rsidRPr="006974F0">
        <w:rPr>
          <w:lang w:val="en-NZ"/>
        </w:rPr>
        <w:t>Tasman implications, where relevant</w:t>
      </w:r>
    </w:p>
    <w:p w:rsidR="00FC7F8A" w:rsidRPr="006974F0" w:rsidRDefault="00233997" w:rsidP="00FC7F8A">
      <w:pPr>
        <w:pStyle w:val="ListBullet"/>
        <w:rPr>
          <w:lang w:val="en-NZ"/>
        </w:rPr>
      </w:pPr>
      <w:r>
        <w:rPr>
          <w:lang w:val="en-NZ"/>
        </w:rPr>
        <w:t>identifying and taking opportunities for</w:t>
      </w:r>
      <w:r w:rsidRPr="006974F0">
        <w:rPr>
          <w:lang w:val="en-NZ"/>
        </w:rPr>
        <w:t xml:space="preserve"> </w:t>
      </w:r>
      <w:r>
        <w:rPr>
          <w:lang w:val="en-NZ"/>
        </w:rPr>
        <w:t>coordinated</w:t>
      </w:r>
      <w:r w:rsidRPr="006974F0">
        <w:rPr>
          <w:lang w:val="en-NZ"/>
        </w:rPr>
        <w:t xml:space="preserve"> </w:t>
      </w:r>
      <w:r w:rsidR="00FC7F8A" w:rsidRPr="006974F0">
        <w:rPr>
          <w:lang w:val="en-NZ"/>
        </w:rPr>
        <w:t>action in the quest for greater and better regional and multilateral integration</w:t>
      </w:r>
    </w:p>
    <w:p w:rsidR="003C441D" w:rsidRPr="003847B1" w:rsidRDefault="00FC7F8A" w:rsidP="006A18A1">
      <w:pPr>
        <w:pStyle w:val="ListBullet"/>
        <w:rPr>
          <w:lang w:val="en-NZ"/>
        </w:rPr>
      </w:pPr>
      <w:r w:rsidRPr="003847B1">
        <w:rPr>
          <w:lang w:val="en-NZ"/>
        </w:rPr>
        <w:t>formal five-yearly public reviews of CER’s direction and achievements</w:t>
      </w:r>
      <w:r w:rsidR="00BA0B56">
        <w:rPr>
          <w:lang w:val="en-NZ"/>
        </w:rPr>
        <w:t>.</w:t>
      </w:r>
    </w:p>
    <w:p w:rsidR="003F2D4C" w:rsidRDefault="003F2D4C" w:rsidP="006A301B">
      <w:pPr>
        <w:pStyle w:val="Heading2"/>
        <w:spacing w:before="480"/>
        <w:rPr>
          <w:lang w:val="en-NZ"/>
        </w:rPr>
      </w:pPr>
      <w:r>
        <w:rPr>
          <w:lang w:val="en-NZ"/>
        </w:rPr>
        <w:t>Conclusion</w:t>
      </w:r>
    </w:p>
    <w:p w:rsidR="003F2D4C" w:rsidRDefault="003F2D4C" w:rsidP="006A301B">
      <w:pPr>
        <w:pStyle w:val="BodyText"/>
        <w:spacing w:before="200"/>
      </w:pPr>
      <w:r w:rsidRPr="00CC58CD">
        <w:t xml:space="preserve">The </w:t>
      </w:r>
      <w:r>
        <w:t>30</w:t>
      </w:r>
      <w:r w:rsidRPr="00CC58CD">
        <w:rPr>
          <w:vertAlign w:val="superscript"/>
        </w:rPr>
        <w:t>th</w:t>
      </w:r>
      <w:r w:rsidR="00A74BB3">
        <w:t xml:space="preserve"> anniversary of CER is </w:t>
      </w:r>
      <w:r>
        <w:t xml:space="preserve">an opportunity to acknowledge </w:t>
      </w:r>
      <w:r w:rsidR="00076BAE">
        <w:t>its</w:t>
      </w:r>
      <w:r>
        <w:t xml:space="preserve"> considerable achievements since 1983 and to reflect on future opportunities to strengthen the trans-Tasman relationship. The depth and breadth of the achievements of the first 30 years of CER make the task </w:t>
      </w:r>
      <w:r w:rsidR="004A3782">
        <w:t>of defining a new agenda a challenging</w:t>
      </w:r>
      <w:r>
        <w:t xml:space="preserve"> one. Nevertheless, the Commissions consider that </w:t>
      </w:r>
      <w:r w:rsidR="004A3782">
        <w:t>the recommendations</w:t>
      </w:r>
      <w:r w:rsidR="00A74BB3">
        <w:t xml:space="preserve"> outlined in this report will help to maintain the vibrancy of the relationship and set it up to deliver further benefits to both countries over the coming </w:t>
      </w:r>
      <w:r w:rsidR="003F73D1">
        <w:t>years</w:t>
      </w:r>
      <w:r w:rsidR="00A74BB3">
        <w:t>.</w:t>
      </w:r>
    </w:p>
    <w:p w:rsidR="00D1793F" w:rsidRDefault="00D1793F" w:rsidP="006A301B">
      <w:pPr>
        <w:pStyle w:val="Heading2"/>
        <w:keepNext w:val="0"/>
        <w:spacing w:before="480"/>
        <w:rPr>
          <w:lang w:val="en-NZ"/>
        </w:rPr>
      </w:pPr>
      <w:r>
        <w:rPr>
          <w:lang w:val="en-NZ"/>
        </w:rPr>
        <w:t>Findings and recommendations</w:t>
      </w:r>
    </w:p>
    <w:p w:rsidR="00995AA4" w:rsidRDefault="00995AA4" w:rsidP="006A301B">
      <w:pPr>
        <w:pStyle w:val="TableTitle"/>
        <w:keepNext w:val="0"/>
        <w:keepLines w:val="0"/>
        <w:spacing w:before="240"/>
      </w:pPr>
      <w:r>
        <w:rPr>
          <w:b w:val="0"/>
        </w:rPr>
        <w:t>Table 1</w:t>
      </w:r>
      <w:r>
        <w:tab/>
      </w:r>
      <w:r w:rsidR="00D3123F">
        <w:t>Findings</w:t>
      </w:r>
    </w:p>
    <w:tbl>
      <w:tblPr>
        <w:tblW w:w="5000" w:type="pct"/>
        <w:tblCellMar>
          <w:left w:w="0" w:type="dxa"/>
          <w:right w:w="0" w:type="dxa"/>
        </w:tblCellMar>
        <w:tblLook w:val="04A0" w:firstRow="1" w:lastRow="0" w:firstColumn="1" w:lastColumn="0" w:noHBand="0" w:noVBand="1"/>
      </w:tblPr>
      <w:tblGrid>
        <w:gridCol w:w="798"/>
        <w:gridCol w:w="7991"/>
      </w:tblGrid>
      <w:tr w:rsidR="00D3123F" w:rsidTr="00B6206D">
        <w:trPr>
          <w:tblHeader/>
        </w:trPr>
        <w:tc>
          <w:tcPr>
            <w:tcW w:w="454" w:type="pct"/>
            <w:tcBorders>
              <w:top w:val="single" w:sz="6" w:space="0" w:color="auto"/>
              <w:left w:val="nil"/>
              <w:bottom w:val="single" w:sz="6" w:space="0" w:color="auto"/>
              <w:right w:val="nil"/>
            </w:tcBorders>
            <w:shd w:val="clear" w:color="auto" w:fill="D6E3BC" w:themeFill="accent3" w:themeFillTint="66"/>
          </w:tcPr>
          <w:p w:rsidR="00D3123F" w:rsidRDefault="00D3123F" w:rsidP="006A301B">
            <w:pPr>
              <w:pStyle w:val="TableColumnHeading"/>
              <w:keepNext w:val="0"/>
              <w:keepLines w:val="0"/>
              <w:jc w:val="left"/>
            </w:pPr>
          </w:p>
        </w:tc>
        <w:tc>
          <w:tcPr>
            <w:tcW w:w="4546" w:type="pct"/>
            <w:tcBorders>
              <w:top w:val="single" w:sz="6" w:space="0" w:color="auto"/>
              <w:left w:val="nil"/>
              <w:bottom w:val="single" w:sz="6" w:space="0" w:color="auto"/>
              <w:right w:val="nil"/>
            </w:tcBorders>
            <w:shd w:val="clear" w:color="auto" w:fill="D6E3BC" w:themeFill="accent3" w:themeFillTint="66"/>
            <w:vAlign w:val="bottom"/>
            <w:hideMark/>
          </w:tcPr>
          <w:p w:rsidR="00D3123F" w:rsidRDefault="00D3123F" w:rsidP="006A301B">
            <w:pPr>
              <w:pStyle w:val="TableColumnHeading"/>
              <w:keepNext w:val="0"/>
              <w:keepLines w:val="0"/>
              <w:jc w:val="left"/>
            </w:pPr>
            <w:r>
              <w:t>Findings</w:t>
            </w:r>
          </w:p>
        </w:tc>
      </w:tr>
      <w:tr w:rsidR="00D3123F" w:rsidRPr="00A54245" w:rsidTr="00B6206D">
        <w:trPr>
          <w:tblHeader/>
        </w:trPr>
        <w:tc>
          <w:tcPr>
            <w:tcW w:w="454" w:type="pct"/>
            <w:tcBorders>
              <w:top w:val="single" w:sz="6" w:space="0" w:color="auto"/>
              <w:left w:val="nil"/>
              <w:right w:val="nil"/>
            </w:tcBorders>
          </w:tcPr>
          <w:p w:rsidR="00D3123F" w:rsidRPr="00CC58CD" w:rsidRDefault="00D3123F" w:rsidP="006A301B">
            <w:pPr>
              <w:ind w:left="6" w:right="113"/>
              <w:rPr>
                <w:rFonts w:ascii="Arial" w:hAnsi="Arial"/>
                <w:b/>
                <w:color w:val="1C1C1C"/>
                <w:sz w:val="8"/>
                <w:szCs w:val="8"/>
              </w:rPr>
            </w:pPr>
          </w:p>
        </w:tc>
        <w:tc>
          <w:tcPr>
            <w:tcW w:w="4546" w:type="pct"/>
            <w:tcBorders>
              <w:top w:val="single" w:sz="6" w:space="0" w:color="auto"/>
              <w:left w:val="nil"/>
              <w:right w:val="nil"/>
            </w:tcBorders>
          </w:tcPr>
          <w:p w:rsidR="00D3123F" w:rsidRPr="00CC58CD" w:rsidRDefault="00D3123F" w:rsidP="006A301B">
            <w:pPr>
              <w:ind w:left="6" w:right="113"/>
              <w:rPr>
                <w:rFonts w:ascii="Arial" w:hAnsi="Arial"/>
                <w:color w:val="1C1C1C"/>
                <w:sz w:val="8"/>
                <w:szCs w:val="8"/>
              </w:rPr>
            </w:pPr>
          </w:p>
        </w:tc>
      </w:tr>
      <w:tr w:rsidR="0053611E" w:rsidTr="00B6206D">
        <w:trPr>
          <w:tblHeader/>
        </w:trPr>
        <w:tc>
          <w:tcPr>
            <w:tcW w:w="454" w:type="pct"/>
            <w:tcBorders>
              <w:left w:val="nil"/>
              <w:bottom w:val="dotted" w:sz="12" w:space="0" w:color="BFBFBF" w:themeColor="background1" w:themeShade="BF"/>
              <w:right w:val="nil"/>
            </w:tcBorders>
          </w:tcPr>
          <w:p w:rsidR="0053611E" w:rsidRDefault="0053611E" w:rsidP="006A301B">
            <w:pPr>
              <w:spacing w:before="40" w:after="40" w:line="220" w:lineRule="atLeast"/>
              <w:ind w:left="6" w:right="113"/>
              <w:rPr>
                <w:rFonts w:ascii="Arial" w:hAnsi="Arial"/>
                <w:b/>
                <w:color w:val="1C1C1C"/>
                <w:sz w:val="20"/>
                <w:szCs w:val="20"/>
              </w:rPr>
            </w:pPr>
            <w:proofErr w:type="spellStart"/>
            <w:r>
              <w:rPr>
                <w:rFonts w:ascii="Arial" w:hAnsi="Arial"/>
                <w:b/>
                <w:color w:val="1C1C1C"/>
                <w:sz w:val="20"/>
                <w:szCs w:val="20"/>
              </w:rPr>
              <w:t>F2.1</w:t>
            </w:r>
            <w:proofErr w:type="spellEnd"/>
          </w:p>
        </w:tc>
        <w:tc>
          <w:tcPr>
            <w:tcW w:w="4546" w:type="pct"/>
            <w:tcBorders>
              <w:left w:val="nil"/>
              <w:bottom w:val="dotted" w:sz="12" w:space="0" w:color="BFBFBF" w:themeColor="background1" w:themeShade="BF"/>
              <w:right w:val="nil"/>
            </w:tcBorders>
          </w:tcPr>
          <w:p w:rsidR="0053611E" w:rsidRPr="00966617" w:rsidRDefault="0053611E" w:rsidP="00E67641">
            <w:pPr>
              <w:pStyle w:val="TableBodyText"/>
              <w:keepNext w:val="0"/>
              <w:keepLines w:val="0"/>
              <w:spacing w:before="40"/>
              <w:jc w:val="left"/>
            </w:pPr>
            <w:r>
              <w:t xml:space="preserve">The seven Single Economic Market </w:t>
            </w:r>
            <w:r w:rsidR="00E67641">
              <w:t>p</w:t>
            </w:r>
            <w:r>
              <w:t>rinciples, announced by the Prime Ministers in 2009, provide a useful direction of travel for future CER initiatives.</w:t>
            </w:r>
          </w:p>
        </w:tc>
      </w:tr>
      <w:tr w:rsidR="00D3123F" w:rsidTr="00B6206D">
        <w:tc>
          <w:tcPr>
            <w:tcW w:w="454" w:type="pct"/>
            <w:tcBorders>
              <w:top w:val="dotted" w:sz="12" w:space="0" w:color="BFBFBF" w:themeColor="background1" w:themeShade="BF"/>
              <w:left w:val="nil"/>
              <w:bottom w:val="dotted" w:sz="12" w:space="0" w:color="BFBFBF" w:themeColor="background1" w:themeShade="BF"/>
              <w:right w:val="nil"/>
            </w:tcBorders>
          </w:tcPr>
          <w:p w:rsidR="00D3123F" w:rsidRPr="00AC7822" w:rsidRDefault="00D3123F" w:rsidP="006A301B">
            <w:pPr>
              <w:spacing w:before="40" w:after="40" w:line="220" w:lineRule="atLeast"/>
              <w:ind w:left="6" w:right="113"/>
              <w:rPr>
                <w:rFonts w:ascii="Arial" w:hAnsi="Arial"/>
                <w:b/>
                <w:color w:val="1C1C1C"/>
                <w:sz w:val="20"/>
                <w:szCs w:val="20"/>
              </w:rPr>
            </w:pPr>
            <w:proofErr w:type="spellStart"/>
            <w:r w:rsidRPr="00AC7822">
              <w:rPr>
                <w:rFonts w:ascii="Arial" w:hAnsi="Arial"/>
                <w:b/>
                <w:color w:val="1C1C1C"/>
                <w:sz w:val="20"/>
                <w:szCs w:val="20"/>
              </w:rPr>
              <w:t>F2.</w:t>
            </w:r>
            <w:r w:rsidR="00E33D0E" w:rsidRPr="00AC7822">
              <w:rPr>
                <w:rFonts w:ascii="Arial" w:hAnsi="Arial"/>
                <w:b/>
                <w:color w:val="1C1C1C"/>
                <w:sz w:val="20"/>
                <w:szCs w:val="20"/>
              </w:rPr>
              <w:t>2</w:t>
            </w:r>
            <w:proofErr w:type="spellEnd"/>
          </w:p>
        </w:tc>
        <w:tc>
          <w:tcPr>
            <w:tcW w:w="4546" w:type="pct"/>
            <w:tcBorders>
              <w:top w:val="dotted" w:sz="12" w:space="0" w:color="BFBFBF" w:themeColor="background1" w:themeShade="BF"/>
              <w:left w:val="nil"/>
              <w:bottom w:val="dotted" w:sz="12" w:space="0" w:color="BFBFBF" w:themeColor="background1" w:themeShade="BF"/>
              <w:right w:val="nil"/>
            </w:tcBorders>
          </w:tcPr>
          <w:p w:rsidR="00D3123F" w:rsidRPr="00CA4E5C" w:rsidRDefault="00D3123F" w:rsidP="006A301B">
            <w:pPr>
              <w:pStyle w:val="TableBodyText"/>
              <w:keepNext w:val="0"/>
              <w:keepLines w:val="0"/>
              <w:spacing w:before="40"/>
              <w:jc w:val="left"/>
            </w:pPr>
            <w:r w:rsidRPr="00966617">
              <w:t>Analysis of integration policy initiatives should take into account both direct and indirect costs and benefits, be proportionate to the importance of the issue being consid</w:t>
            </w:r>
            <w:r>
              <w:t>ered, and be publicly available.</w:t>
            </w:r>
          </w:p>
        </w:tc>
      </w:tr>
      <w:tr w:rsidR="0053611E" w:rsidTr="00B6206D">
        <w:tc>
          <w:tcPr>
            <w:tcW w:w="454" w:type="pct"/>
            <w:tcBorders>
              <w:top w:val="dotted" w:sz="12" w:space="0" w:color="BFBFBF" w:themeColor="background1" w:themeShade="BF"/>
              <w:left w:val="nil"/>
              <w:bottom w:val="dotted" w:sz="12" w:space="0" w:color="BFBFBF" w:themeColor="background1" w:themeShade="BF"/>
              <w:right w:val="nil"/>
            </w:tcBorders>
          </w:tcPr>
          <w:p w:rsidR="0053611E" w:rsidRDefault="0053611E" w:rsidP="006A301B">
            <w:pPr>
              <w:spacing w:before="40" w:after="40" w:line="220" w:lineRule="atLeast"/>
              <w:ind w:left="6" w:right="113"/>
              <w:rPr>
                <w:rFonts w:ascii="Arial" w:hAnsi="Arial"/>
                <w:b/>
                <w:color w:val="1C1C1C"/>
                <w:sz w:val="20"/>
                <w:szCs w:val="20"/>
              </w:rPr>
            </w:pPr>
            <w:proofErr w:type="spellStart"/>
            <w:r>
              <w:rPr>
                <w:rFonts w:ascii="Arial" w:hAnsi="Arial"/>
                <w:b/>
                <w:color w:val="1C1C1C"/>
                <w:sz w:val="20"/>
                <w:szCs w:val="20"/>
              </w:rPr>
              <w:t>F2.3</w:t>
            </w:r>
            <w:proofErr w:type="spellEnd"/>
          </w:p>
        </w:tc>
        <w:tc>
          <w:tcPr>
            <w:tcW w:w="4546" w:type="pct"/>
            <w:tcBorders>
              <w:top w:val="dotted" w:sz="12" w:space="0" w:color="BFBFBF" w:themeColor="background1" w:themeShade="BF"/>
              <w:left w:val="nil"/>
              <w:bottom w:val="dotted" w:sz="12" w:space="0" w:color="BFBFBF" w:themeColor="background1" w:themeShade="BF"/>
              <w:right w:val="nil"/>
            </w:tcBorders>
          </w:tcPr>
          <w:p w:rsidR="0053611E" w:rsidRPr="00966617" w:rsidRDefault="0053611E" w:rsidP="006A301B">
            <w:pPr>
              <w:pStyle w:val="TableBodyText"/>
              <w:keepNext w:val="0"/>
              <w:keepLines w:val="0"/>
              <w:spacing w:before="40"/>
              <w:jc w:val="left"/>
            </w:pPr>
            <w:r w:rsidRPr="00966617">
              <w:t>Joint net benefits will be increased if policy initiatives are</w:t>
            </w:r>
            <w:r w:rsidR="00381FCF">
              <w:t>:</w:t>
            </w:r>
            <w:r w:rsidRPr="00966617">
              <w:t xml:space="preserve"> outward looking; generally do not impede profitable exchange with other trading partners; take account of linkages with other agreements; and are consistent with domestic policy improvement over time.</w:t>
            </w:r>
          </w:p>
        </w:tc>
      </w:tr>
      <w:tr w:rsidR="0053611E" w:rsidTr="00B6206D">
        <w:tc>
          <w:tcPr>
            <w:tcW w:w="454" w:type="pct"/>
            <w:tcBorders>
              <w:top w:val="dotted" w:sz="12" w:space="0" w:color="BFBFBF" w:themeColor="background1" w:themeShade="BF"/>
              <w:left w:val="nil"/>
              <w:bottom w:val="dotted" w:sz="12" w:space="0" w:color="BFBFBF" w:themeColor="background1" w:themeShade="BF"/>
              <w:right w:val="nil"/>
            </w:tcBorders>
          </w:tcPr>
          <w:p w:rsidR="0053611E" w:rsidRDefault="0053611E" w:rsidP="006A301B">
            <w:pPr>
              <w:spacing w:before="40" w:after="40" w:line="220" w:lineRule="atLeast"/>
              <w:ind w:left="6" w:right="113"/>
              <w:rPr>
                <w:rFonts w:ascii="Arial" w:hAnsi="Arial"/>
                <w:b/>
                <w:color w:val="1C1C1C"/>
                <w:sz w:val="20"/>
                <w:szCs w:val="20"/>
              </w:rPr>
            </w:pPr>
            <w:proofErr w:type="spellStart"/>
            <w:r>
              <w:rPr>
                <w:rFonts w:ascii="Arial" w:hAnsi="Arial"/>
                <w:b/>
                <w:color w:val="1C1C1C"/>
                <w:sz w:val="20"/>
                <w:szCs w:val="20"/>
              </w:rPr>
              <w:t>F4.1</w:t>
            </w:r>
            <w:proofErr w:type="spellEnd"/>
          </w:p>
        </w:tc>
        <w:tc>
          <w:tcPr>
            <w:tcW w:w="4546" w:type="pct"/>
            <w:tcBorders>
              <w:top w:val="dotted" w:sz="12" w:space="0" w:color="BFBFBF" w:themeColor="background1" w:themeShade="BF"/>
              <w:left w:val="nil"/>
              <w:bottom w:val="dotted" w:sz="12" w:space="0" w:color="BFBFBF" w:themeColor="background1" w:themeShade="BF"/>
              <w:right w:val="nil"/>
            </w:tcBorders>
          </w:tcPr>
          <w:p w:rsidR="0053611E" w:rsidRPr="00CC58CD" w:rsidRDefault="00381FCF" w:rsidP="006A301B">
            <w:pPr>
              <w:pStyle w:val="TableBodyText"/>
              <w:keepNext w:val="0"/>
              <w:keepLines w:val="0"/>
              <w:spacing w:before="40"/>
              <w:jc w:val="left"/>
              <w:rPr>
                <w:rFonts w:ascii="Times New Roman" w:hAnsi="Times New Roman"/>
                <w:color w:val="auto"/>
                <w:szCs w:val="24"/>
              </w:rPr>
            </w:pPr>
            <w:r>
              <w:t>M</w:t>
            </w:r>
            <w:r w:rsidR="0053611E">
              <w:t>utual recognition of imputation credits (MRIC)</w:t>
            </w:r>
            <w:r w:rsidR="0053611E" w:rsidRPr="00CC08AB">
              <w:t xml:space="preserve"> would be expected to result in a more integrated capital market </w:t>
            </w:r>
            <w:r w:rsidR="0053611E">
              <w:t xml:space="preserve">and </w:t>
            </w:r>
            <w:r w:rsidR="0053611E" w:rsidRPr="00CC08AB">
              <w:t>improve tran</w:t>
            </w:r>
            <w:r w:rsidR="0053611E">
              <w:t>s-Tasman economic efficiency.</w:t>
            </w:r>
          </w:p>
          <w:p w:rsidR="0053611E" w:rsidRPr="006A18A1" w:rsidRDefault="0053611E" w:rsidP="006A301B">
            <w:pPr>
              <w:pStyle w:val="TableBodyText"/>
              <w:keepNext w:val="0"/>
              <w:keepLines w:val="0"/>
              <w:framePr w:w="2155" w:hSpace="227" w:vSpace="181" w:wrap="around" w:vAnchor="text" w:hAnchor="page" w:xAlign="outside" w:y="1"/>
              <w:spacing w:before="40"/>
              <w:jc w:val="left"/>
              <w:rPr>
                <w:rFonts w:ascii="Times New Roman" w:hAnsi="Times New Roman"/>
                <w:color w:val="auto"/>
              </w:rPr>
            </w:pPr>
            <w:r w:rsidRPr="00CC08AB">
              <w:t>However, MRIC would lead to a greater fiscal cost for Australia than New Zealand and to some income transfers between Australia and New Zealand. Australian transfers to New Zealand could be expected to be greater than transfers the other way</w:t>
            </w:r>
            <w:r>
              <w:t>, although their precise</w:t>
            </w:r>
            <w:r w:rsidRPr="00CC08AB">
              <w:t xml:space="preserve"> magnitude </w:t>
            </w:r>
            <w:r w:rsidRPr="00D12861">
              <w:t xml:space="preserve">is impossible to predict. A probable outcome would be a net </w:t>
            </w:r>
            <w:r w:rsidR="00381FCF">
              <w:t>income</w:t>
            </w:r>
            <w:r>
              <w:t xml:space="preserve"> </w:t>
            </w:r>
            <w:r w:rsidRPr="00D12861">
              <w:t>loss for Australia.</w:t>
            </w:r>
          </w:p>
        </w:tc>
      </w:tr>
      <w:tr w:rsidR="0053611E" w:rsidTr="00B6206D">
        <w:tc>
          <w:tcPr>
            <w:tcW w:w="454" w:type="pct"/>
            <w:tcBorders>
              <w:top w:val="dotted" w:sz="12" w:space="0" w:color="BFBFBF" w:themeColor="background1" w:themeShade="BF"/>
              <w:left w:val="nil"/>
              <w:bottom w:val="dotted" w:sz="12" w:space="0" w:color="BFBFBF" w:themeColor="background1" w:themeShade="BF"/>
              <w:right w:val="nil"/>
            </w:tcBorders>
          </w:tcPr>
          <w:p w:rsidR="0053611E" w:rsidRDefault="0053611E" w:rsidP="006A301B">
            <w:pPr>
              <w:spacing w:before="40" w:after="40" w:line="220" w:lineRule="atLeast"/>
              <w:ind w:left="6" w:right="113"/>
              <w:rPr>
                <w:rFonts w:ascii="Arial" w:hAnsi="Arial"/>
                <w:b/>
                <w:color w:val="1C1C1C"/>
                <w:sz w:val="20"/>
                <w:szCs w:val="20"/>
              </w:rPr>
            </w:pPr>
            <w:proofErr w:type="spellStart"/>
            <w:r>
              <w:rPr>
                <w:rFonts w:ascii="Arial" w:hAnsi="Arial"/>
                <w:b/>
                <w:color w:val="1C1C1C"/>
                <w:sz w:val="20"/>
                <w:szCs w:val="20"/>
              </w:rPr>
              <w:t>F4.2</w:t>
            </w:r>
            <w:proofErr w:type="spellEnd"/>
          </w:p>
        </w:tc>
        <w:tc>
          <w:tcPr>
            <w:tcW w:w="4546" w:type="pct"/>
            <w:tcBorders>
              <w:top w:val="dotted" w:sz="12" w:space="0" w:color="BFBFBF" w:themeColor="background1" w:themeShade="BF"/>
              <w:left w:val="nil"/>
              <w:bottom w:val="dotted" w:sz="12" w:space="0" w:color="BFBFBF" w:themeColor="background1" w:themeShade="BF"/>
              <w:right w:val="nil"/>
            </w:tcBorders>
          </w:tcPr>
          <w:p w:rsidR="0053611E" w:rsidRDefault="0053611E" w:rsidP="006A301B">
            <w:pPr>
              <w:pStyle w:val="TableBodyText"/>
              <w:keepNext w:val="0"/>
              <w:keepLines w:val="0"/>
              <w:spacing w:before="40"/>
              <w:jc w:val="left"/>
            </w:pPr>
            <w:r w:rsidRPr="00CA4E5C">
              <w:t>The Trans-Tasman Council on Banking Supervision is well positioned to progress any work relating to the further integration</w:t>
            </w:r>
            <w:r>
              <w:t xml:space="preserve"> of</w:t>
            </w:r>
            <w:r w:rsidR="005D6596">
              <w:t xml:space="preserve"> </w:t>
            </w:r>
            <w:r w:rsidRPr="00CA4E5C">
              <w:t>Australian and Ne</w:t>
            </w:r>
            <w:r>
              <w:t>w Zealand prudential regulation.</w:t>
            </w:r>
          </w:p>
        </w:tc>
      </w:tr>
      <w:tr w:rsidR="0053611E" w:rsidTr="00B6206D">
        <w:tc>
          <w:tcPr>
            <w:tcW w:w="454" w:type="pct"/>
            <w:tcBorders>
              <w:top w:val="dotted" w:sz="12" w:space="0" w:color="BFBFBF" w:themeColor="background1" w:themeShade="BF"/>
              <w:left w:val="nil"/>
              <w:bottom w:val="single" w:sz="4" w:space="0" w:color="auto"/>
              <w:right w:val="nil"/>
            </w:tcBorders>
          </w:tcPr>
          <w:p w:rsidR="0053611E" w:rsidRDefault="0053611E" w:rsidP="006A301B">
            <w:pPr>
              <w:spacing w:before="40" w:after="40" w:line="220" w:lineRule="atLeast"/>
              <w:ind w:left="6" w:right="113"/>
              <w:rPr>
                <w:rFonts w:ascii="Arial" w:hAnsi="Arial"/>
                <w:b/>
                <w:color w:val="1C1C1C"/>
                <w:sz w:val="20"/>
                <w:szCs w:val="20"/>
              </w:rPr>
            </w:pPr>
            <w:proofErr w:type="spellStart"/>
            <w:r>
              <w:rPr>
                <w:rFonts w:ascii="Arial" w:hAnsi="Arial"/>
                <w:b/>
                <w:color w:val="1C1C1C"/>
                <w:sz w:val="20"/>
                <w:szCs w:val="20"/>
              </w:rPr>
              <w:t>F4.3</w:t>
            </w:r>
            <w:proofErr w:type="spellEnd"/>
          </w:p>
        </w:tc>
        <w:tc>
          <w:tcPr>
            <w:tcW w:w="4546" w:type="pct"/>
            <w:tcBorders>
              <w:top w:val="dotted" w:sz="12" w:space="0" w:color="BFBFBF" w:themeColor="background1" w:themeShade="BF"/>
              <w:left w:val="nil"/>
              <w:bottom w:val="single" w:sz="4" w:space="0" w:color="auto"/>
              <w:right w:val="nil"/>
            </w:tcBorders>
          </w:tcPr>
          <w:p w:rsidR="0053611E" w:rsidRDefault="0053611E" w:rsidP="006A301B">
            <w:pPr>
              <w:pStyle w:val="TableBodyText"/>
              <w:keepNext w:val="0"/>
              <w:keepLines w:val="0"/>
              <w:spacing w:before="40"/>
              <w:jc w:val="left"/>
            </w:pPr>
            <w:r>
              <w:t>T</w:t>
            </w:r>
            <w:r w:rsidRPr="003A0CE5">
              <w:t xml:space="preserve">he prerequisite conditions for a trans-Tasman monetary union </w:t>
            </w:r>
            <w:r>
              <w:t xml:space="preserve">do not </w:t>
            </w:r>
            <w:r w:rsidRPr="003A0CE5">
              <w:t>exist</w:t>
            </w:r>
            <w:r>
              <w:t>.</w:t>
            </w:r>
          </w:p>
        </w:tc>
      </w:tr>
    </w:tbl>
    <w:p w:rsidR="00CD4438" w:rsidRDefault="00CD4438" w:rsidP="00CD4438">
      <w:pPr>
        <w:pStyle w:val="TableTitle"/>
      </w:pPr>
      <w:r>
        <w:rPr>
          <w:b w:val="0"/>
        </w:rPr>
        <w:lastRenderedPageBreak/>
        <w:t xml:space="preserve">Table </w:t>
      </w:r>
      <w:r w:rsidR="00995AA4">
        <w:rPr>
          <w:b w:val="0"/>
        </w:rPr>
        <w:t>2</w:t>
      </w:r>
      <w:r>
        <w:tab/>
      </w:r>
      <w:r w:rsidR="00C74B12">
        <w:t xml:space="preserve">Recommendations — </w:t>
      </w:r>
      <w:r w:rsidR="00756439">
        <w:t>I</w:t>
      </w:r>
      <w:r w:rsidR="00F33E36">
        <w:t>nitiatives underway</w:t>
      </w:r>
    </w:p>
    <w:tbl>
      <w:tblPr>
        <w:tblW w:w="5000" w:type="pct"/>
        <w:tblLayout w:type="fixed"/>
        <w:tblCellMar>
          <w:left w:w="0" w:type="dxa"/>
          <w:right w:w="0" w:type="dxa"/>
        </w:tblCellMar>
        <w:tblLook w:val="04A0" w:firstRow="1" w:lastRow="0" w:firstColumn="1" w:lastColumn="0" w:noHBand="0" w:noVBand="1"/>
      </w:tblPr>
      <w:tblGrid>
        <w:gridCol w:w="627"/>
        <w:gridCol w:w="3906"/>
        <w:gridCol w:w="2802"/>
        <w:gridCol w:w="1454"/>
      </w:tblGrid>
      <w:tr w:rsidR="00A7193F" w:rsidTr="00B6206D">
        <w:trPr>
          <w:cantSplit/>
          <w:tblHeader/>
        </w:trPr>
        <w:tc>
          <w:tcPr>
            <w:tcW w:w="357" w:type="pct"/>
            <w:tcBorders>
              <w:top w:val="single" w:sz="6" w:space="0" w:color="auto"/>
              <w:left w:val="nil"/>
              <w:bottom w:val="single" w:sz="6" w:space="0" w:color="auto"/>
              <w:right w:val="nil"/>
            </w:tcBorders>
            <w:shd w:val="clear" w:color="auto" w:fill="D6E3BC" w:themeFill="accent3" w:themeFillTint="66"/>
            <w:vAlign w:val="bottom"/>
          </w:tcPr>
          <w:p w:rsidR="004E46EF" w:rsidRDefault="004E46EF">
            <w:pPr>
              <w:pStyle w:val="TableColumnHeading"/>
              <w:jc w:val="left"/>
              <w:rPr>
                <w:szCs w:val="24"/>
              </w:rPr>
            </w:pPr>
          </w:p>
        </w:tc>
        <w:tc>
          <w:tcPr>
            <w:tcW w:w="2222" w:type="pct"/>
            <w:tcBorders>
              <w:top w:val="single" w:sz="6" w:space="0" w:color="auto"/>
              <w:left w:val="nil"/>
              <w:bottom w:val="single" w:sz="6" w:space="0" w:color="auto"/>
              <w:right w:val="nil"/>
            </w:tcBorders>
            <w:shd w:val="clear" w:color="auto" w:fill="D6E3BC" w:themeFill="accent3" w:themeFillTint="66"/>
            <w:vAlign w:val="bottom"/>
            <w:hideMark/>
          </w:tcPr>
          <w:p w:rsidR="004E46EF" w:rsidRDefault="004E46EF">
            <w:pPr>
              <w:pStyle w:val="TableColumnHeading"/>
              <w:jc w:val="left"/>
            </w:pPr>
            <w:r>
              <w:t>Recommendation</w:t>
            </w:r>
          </w:p>
        </w:tc>
        <w:tc>
          <w:tcPr>
            <w:tcW w:w="1594" w:type="pct"/>
            <w:tcBorders>
              <w:top w:val="single" w:sz="6" w:space="0" w:color="auto"/>
              <w:left w:val="nil"/>
              <w:bottom w:val="single" w:sz="6" w:space="0" w:color="auto"/>
              <w:right w:val="nil"/>
            </w:tcBorders>
            <w:shd w:val="clear" w:color="auto" w:fill="D6E3BC" w:themeFill="accent3" w:themeFillTint="66"/>
            <w:vAlign w:val="bottom"/>
            <w:hideMark/>
          </w:tcPr>
          <w:p w:rsidR="004E46EF" w:rsidRDefault="004E46EF">
            <w:pPr>
              <w:pStyle w:val="TableColumnHeading"/>
              <w:jc w:val="left"/>
            </w:pPr>
            <w:r>
              <w:t>Rationale</w:t>
            </w:r>
          </w:p>
        </w:tc>
        <w:tc>
          <w:tcPr>
            <w:tcW w:w="827" w:type="pct"/>
            <w:tcBorders>
              <w:top w:val="single" w:sz="6" w:space="0" w:color="auto"/>
              <w:left w:val="nil"/>
              <w:bottom w:val="single" w:sz="6" w:space="0" w:color="auto"/>
              <w:right w:val="nil"/>
            </w:tcBorders>
            <w:shd w:val="clear" w:color="auto" w:fill="D6E3BC" w:themeFill="accent3" w:themeFillTint="66"/>
            <w:vAlign w:val="bottom"/>
            <w:hideMark/>
          </w:tcPr>
          <w:p w:rsidR="004E46EF" w:rsidRDefault="004E46EF" w:rsidP="006A18A1">
            <w:pPr>
              <w:pStyle w:val="TableColumnHeading"/>
              <w:ind w:left="0" w:right="0"/>
              <w:jc w:val="left"/>
            </w:pPr>
            <w:r>
              <w:t>Time scale for implementation</w:t>
            </w:r>
          </w:p>
        </w:tc>
      </w:tr>
      <w:tr w:rsidR="00A7193F" w:rsidRPr="00675A8B" w:rsidTr="00B6206D">
        <w:trPr>
          <w:tblHeader/>
        </w:trPr>
        <w:tc>
          <w:tcPr>
            <w:tcW w:w="357" w:type="pct"/>
            <w:tcBorders>
              <w:top w:val="single" w:sz="6" w:space="0" w:color="auto"/>
              <w:left w:val="nil"/>
              <w:right w:val="nil"/>
            </w:tcBorders>
          </w:tcPr>
          <w:p w:rsidR="004E46EF" w:rsidRPr="0007070D" w:rsidDel="00BE4B55" w:rsidRDefault="004E46EF" w:rsidP="0007070D">
            <w:pPr>
              <w:keepNext/>
              <w:keepLines/>
              <w:ind w:left="6" w:right="113"/>
              <w:rPr>
                <w:rFonts w:ascii="Arial" w:hAnsi="Arial"/>
                <w:b/>
                <w:color w:val="1C1C1C"/>
                <w:sz w:val="4"/>
                <w:szCs w:val="4"/>
              </w:rPr>
            </w:pPr>
          </w:p>
        </w:tc>
        <w:tc>
          <w:tcPr>
            <w:tcW w:w="2222" w:type="pct"/>
            <w:tcBorders>
              <w:top w:val="single" w:sz="6" w:space="0" w:color="auto"/>
              <w:left w:val="nil"/>
              <w:right w:val="nil"/>
            </w:tcBorders>
          </w:tcPr>
          <w:p w:rsidR="004E46EF" w:rsidRPr="0007070D" w:rsidDel="003C5D14" w:rsidRDefault="004E46EF" w:rsidP="0007070D">
            <w:pPr>
              <w:keepNext/>
              <w:keepLines/>
              <w:ind w:left="6" w:right="113"/>
              <w:rPr>
                <w:rFonts w:ascii="Arial" w:hAnsi="Arial"/>
                <w:color w:val="1C1C1C"/>
                <w:sz w:val="4"/>
                <w:szCs w:val="4"/>
              </w:rPr>
            </w:pPr>
          </w:p>
        </w:tc>
        <w:tc>
          <w:tcPr>
            <w:tcW w:w="1594" w:type="pct"/>
            <w:tcBorders>
              <w:top w:val="single" w:sz="6" w:space="0" w:color="auto"/>
              <w:left w:val="nil"/>
              <w:right w:val="nil"/>
            </w:tcBorders>
          </w:tcPr>
          <w:p w:rsidR="004E46EF" w:rsidRPr="0007070D" w:rsidRDefault="004E46EF" w:rsidP="0007070D">
            <w:pPr>
              <w:keepNext/>
              <w:keepLines/>
              <w:ind w:left="6" w:right="113"/>
              <w:rPr>
                <w:rFonts w:ascii="Arial" w:hAnsi="Arial"/>
                <w:color w:val="1C1C1C"/>
                <w:sz w:val="4"/>
                <w:szCs w:val="4"/>
              </w:rPr>
            </w:pPr>
          </w:p>
        </w:tc>
        <w:tc>
          <w:tcPr>
            <w:tcW w:w="827" w:type="pct"/>
            <w:tcBorders>
              <w:top w:val="single" w:sz="6" w:space="0" w:color="auto"/>
              <w:left w:val="nil"/>
              <w:right w:val="nil"/>
            </w:tcBorders>
            <w:vAlign w:val="center"/>
          </w:tcPr>
          <w:p w:rsidR="004E46EF" w:rsidRPr="0007070D" w:rsidRDefault="004E46EF" w:rsidP="006A18A1">
            <w:pPr>
              <w:keepNext/>
              <w:keepLines/>
              <w:jc w:val="center"/>
              <w:rPr>
                <w:rFonts w:ascii="Arial" w:hAnsi="Arial"/>
                <w:color w:val="1C1C1C"/>
                <w:sz w:val="4"/>
                <w:szCs w:val="4"/>
              </w:rPr>
            </w:pPr>
          </w:p>
        </w:tc>
      </w:tr>
      <w:tr w:rsidR="00A7193F" w:rsidTr="00B6206D">
        <w:trPr>
          <w:trHeight w:val="1304"/>
        </w:trPr>
        <w:tc>
          <w:tcPr>
            <w:tcW w:w="357" w:type="pct"/>
            <w:tcBorders>
              <w:left w:val="nil"/>
              <w:bottom w:val="dotted" w:sz="12" w:space="0" w:color="BFBFBF" w:themeColor="background1" w:themeShade="BF"/>
              <w:right w:val="nil"/>
            </w:tcBorders>
            <w:hideMark/>
          </w:tcPr>
          <w:p w:rsidR="004E46EF" w:rsidRDefault="004E46EF" w:rsidP="0027197E">
            <w:pPr>
              <w:keepNext/>
              <w:keepLines/>
              <w:spacing w:after="40" w:line="220" w:lineRule="atLeast"/>
              <w:ind w:left="6" w:right="113"/>
              <w:rPr>
                <w:rFonts w:ascii="Arial" w:hAnsi="Arial"/>
                <w:color w:val="1C1C1C"/>
                <w:sz w:val="20"/>
                <w:szCs w:val="20"/>
              </w:rPr>
            </w:pPr>
            <w:proofErr w:type="spellStart"/>
            <w:r>
              <w:rPr>
                <w:rFonts w:ascii="Arial" w:hAnsi="Arial"/>
                <w:b/>
                <w:color w:val="1C1C1C"/>
                <w:sz w:val="20"/>
                <w:szCs w:val="20"/>
              </w:rPr>
              <w:t>R4.1</w:t>
            </w:r>
            <w:proofErr w:type="spellEnd"/>
          </w:p>
        </w:tc>
        <w:tc>
          <w:tcPr>
            <w:tcW w:w="2222" w:type="pct"/>
            <w:tcBorders>
              <w:left w:val="nil"/>
              <w:bottom w:val="dotted" w:sz="12" w:space="0" w:color="BFBFBF" w:themeColor="background1" w:themeShade="BF"/>
              <w:right w:val="nil"/>
            </w:tcBorders>
            <w:hideMark/>
          </w:tcPr>
          <w:p w:rsidR="004E46EF" w:rsidRDefault="004E46EF" w:rsidP="00E97689">
            <w:pPr>
              <w:keepNext/>
              <w:keepLines/>
              <w:spacing w:after="40" w:line="220" w:lineRule="atLeast"/>
              <w:ind w:left="6" w:right="113"/>
              <w:rPr>
                <w:rFonts w:ascii="Arial" w:hAnsi="Arial"/>
                <w:i/>
                <w:color w:val="1C1C1C"/>
                <w:sz w:val="20"/>
                <w:szCs w:val="20"/>
              </w:rPr>
            </w:pPr>
            <w:r w:rsidRPr="00995AA4">
              <w:rPr>
                <w:rFonts w:ascii="Arial" w:hAnsi="Arial"/>
                <w:color w:val="1C1C1C"/>
                <w:sz w:val="20"/>
                <w:szCs w:val="20"/>
              </w:rPr>
              <w:t xml:space="preserve">The remaining </w:t>
            </w:r>
            <w:r w:rsidR="00D52AAC">
              <w:rPr>
                <w:rFonts w:ascii="Arial" w:hAnsi="Arial"/>
                <w:color w:val="1C1C1C"/>
                <w:sz w:val="20"/>
                <w:szCs w:val="20"/>
              </w:rPr>
              <w:t>o</w:t>
            </w:r>
            <w:r w:rsidRPr="00995AA4">
              <w:rPr>
                <w:rFonts w:ascii="Arial" w:hAnsi="Arial"/>
                <w:color w:val="1C1C1C"/>
                <w:sz w:val="20"/>
                <w:szCs w:val="20"/>
              </w:rPr>
              <w:t>utcomes in the business law single economic market program should be completed on time, unless it can be demonstrated that they would no longer generate net benefits.</w:t>
            </w:r>
          </w:p>
        </w:tc>
        <w:tc>
          <w:tcPr>
            <w:tcW w:w="1594" w:type="pct"/>
            <w:tcBorders>
              <w:left w:val="nil"/>
              <w:bottom w:val="dotted" w:sz="12" w:space="0" w:color="BFBFBF" w:themeColor="background1" w:themeShade="BF"/>
              <w:right w:val="nil"/>
            </w:tcBorders>
            <w:hideMark/>
          </w:tcPr>
          <w:p w:rsidR="004E46EF" w:rsidRDefault="006C28AE" w:rsidP="006C28AE">
            <w:pPr>
              <w:keepNext/>
              <w:keepLines/>
              <w:spacing w:after="40" w:line="220" w:lineRule="atLeast"/>
              <w:ind w:left="6" w:right="113"/>
              <w:rPr>
                <w:rFonts w:ascii="Arial" w:hAnsi="Arial"/>
                <w:i/>
                <w:color w:val="1C1C1C"/>
                <w:sz w:val="20"/>
                <w:szCs w:val="20"/>
              </w:rPr>
            </w:pPr>
            <w:r>
              <w:rPr>
                <w:rFonts w:ascii="Arial" w:hAnsi="Arial"/>
                <w:color w:val="1C1C1C"/>
                <w:sz w:val="20"/>
                <w:szCs w:val="20"/>
              </w:rPr>
              <w:t>Some</w:t>
            </w:r>
            <w:r w:rsidR="004E46EF">
              <w:rPr>
                <w:rFonts w:ascii="Arial" w:hAnsi="Arial"/>
                <w:color w:val="1C1C1C"/>
                <w:sz w:val="20"/>
                <w:szCs w:val="20"/>
              </w:rPr>
              <w:t xml:space="preserve"> of the business law reform</w:t>
            </w:r>
            <w:r>
              <w:rPr>
                <w:rFonts w:ascii="Arial" w:hAnsi="Arial"/>
                <w:color w:val="1C1C1C"/>
                <w:sz w:val="20"/>
                <w:szCs w:val="20"/>
              </w:rPr>
              <w:t>s</w:t>
            </w:r>
            <w:r w:rsidR="004E46EF">
              <w:rPr>
                <w:rFonts w:ascii="Arial" w:hAnsi="Arial"/>
                <w:color w:val="1C1C1C"/>
                <w:sz w:val="20"/>
                <w:szCs w:val="20"/>
              </w:rPr>
              <w:t xml:space="preserve"> are behind schedule. Delivering the program on time will reduce compliance costs, deepen markets and increase competition.</w:t>
            </w:r>
          </w:p>
        </w:tc>
        <w:tc>
          <w:tcPr>
            <w:tcW w:w="827" w:type="pct"/>
            <w:tcBorders>
              <w:left w:val="nil"/>
              <w:bottom w:val="dotted" w:sz="12" w:space="0" w:color="BFBFBF" w:themeColor="background1" w:themeShade="BF"/>
              <w:right w:val="nil"/>
            </w:tcBorders>
            <w:vAlign w:val="center"/>
            <w:hideMark/>
          </w:tcPr>
          <w:p w:rsidR="004E46EF" w:rsidRDefault="004E46EF" w:rsidP="006A18A1">
            <w:pPr>
              <w:keepNext/>
              <w:keepLines/>
              <w:spacing w:line="220" w:lineRule="atLeast"/>
              <w:jc w:val="center"/>
              <w:rPr>
                <w:rFonts w:ascii="Arial" w:hAnsi="Arial"/>
                <w:i/>
                <w:color w:val="1C1C1C"/>
                <w:sz w:val="20"/>
                <w:szCs w:val="20"/>
              </w:rPr>
            </w:pPr>
            <w:r>
              <w:rPr>
                <w:rFonts w:ascii="Arial" w:hAnsi="Arial"/>
                <w:color w:val="1C1C1C"/>
                <w:sz w:val="20"/>
                <w:szCs w:val="20"/>
              </w:rPr>
              <w:t>Short term</w:t>
            </w:r>
          </w:p>
        </w:tc>
      </w:tr>
      <w:tr w:rsidR="00A7193F" w:rsidTr="00B6206D">
        <w:tc>
          <w:tcPr>
            <w:tcW w:w="357" w:type="pct"/>
            <w:tcBorders>
              <w:top w:val="dotted" w:sz="12" w:space="0" w:color="BFBFBF" w:themeColor="background1" w:themeShade="BF"/>
              <w:left w:val="nil"/>
              <w:bottom w:val="dotted" w:sz="12" w:space="0" w:color="BFBFBF" w:themeColor="background1" w:themeShade="BF"/>
              <w:right w:val="nil"/>
            </w:tcBorders>
          </w:tcPr>
          <w:p w:rsidR="004E46EF" w:rsidRDefault="004E46EF" w:rsidP="0027197E">
            <w:pPr>
              <w:keepNext/>
              <w:keepLines/>
              <w:spacing w:after="40" w:line="220" w:lineRule="atLeast"/>
              <w:ind w:left="6" w:right="113"/>
              <w:rPr>
                <w:rFonts w:ascii="Arial" w:hAnsi="Arial"/>
                <w:b/>
                <w:color w:val="1C1C1C"/>
                <w:sz w:val="20"/>
                <w:szCs w:val="20"/>
              </w:rPr>
            </w:pPr>
            <w:proofErr w:type="spellStart"/>
            <w:r>
              <w:rPr>
                <w:rFonts w:ascii="Arial" w:hAnsi="Arial"/>
                <w:b/>
                <w:color w:val="1C1C1C"/>
                <w:sz w:val="20"/>
                <w:szCs w:val="20"/>
              </w:rPr>
              <w:t>R4.2</w:t>
            </w:r>
            <w:proofErr w:type="spellEnd"/>
          </w:p>
        </w:tc>
        <w:tc>
          <w:tcPr>
            <w:tcW w:w="2222" w:type="pct"/>
            <w:tcBorders>
              <w:top w:val="dotted" w:sz="12" w:space="0" w:color="BFBFBF" w:themeColor="background1" w:themeShade="BF"/>
              <w:left w:val="nil"/>
              <w:bottom w:val="dotted" w:sz="12" w:space="0" w:color="BFBFBF" w:themeColor="background1" w:themeShade="BF"/>
              <w:right w:val="nil"/>
            </w:tcBorders>
          </w:tcPr>
          <w:p w:rsidR="004E46EF" w:rsidRPr="00AC7822" w:rsidRDefault="004E46EF" w:rsidP="002B328B">
            <w:pPr>
              <w:keepNext/>
              <w:keepLines/>
              <w:framePr w:w="2155" w:hSpace="227" w:vSpace="181" w:wrap="around" w:vAnchor="text" w:hAnchor="page" w:xAlign="outside" w:y="1"/>
              <w:spacing w:after="40" w:line="220" w:lineRule="atLeast"/>
              <w:ind w:left="6" w:right="113"/>
              <w:rPr>
                <w:rFonts w:ascii="Arial" w:hAnsi="Arial"/>
                <w:color w:val="1C1C1C"/>
                <w:sz w:val="20"/>
                <w:szCs w:val="20"/>
              </w:rPr>
            </w:pPr>
            <w:r w:rsidRPr="00AC7822">
              <w:rPr>
                <w:rFonts w:ascii="Arial" w:hAnsi="Arial"/>
                <w:color w:val="1C1C1C"/>
                <w:sz w:val="20"/>
                <w:szCs w:val="20"/>
              </w:rPr>
              <w:t>The Australian and New Zealand Governments should proceed with the implementation of a single application and examination process for patents. The trans-Tasman intellectual property reforms, particularly those relating to patents, should be evaluated within three years of implementation.</w:t>
            </w:r>
          </w:p>
        </w:tc>
        <w:tc>
          <w:tcPr>
            <w:tcW w:w="1594" w:type="pct"/>
            <w:tcBorders>
              <w:top w:val="dotted" w:sz="12" w:space="0" w:color="BFBFBF" w:themeColor="background1" w:themeShade="BF"/>
              <w:left w:val="nil"/>
              <w:bottom w:val="dotted" w:sz="12" w:space="0" w:color="BFBFBF" w:themeColor="background1" w:themeShade="BF"/>
              <w:right w:val="nil"/>
            </w:tcBorders>
          </w:tcPr>
          <w:p w:rsidR="004E46EF" w:rsidRDefault="004E46EF" w:rsidP="00E97689">
            <w:pPr>
              <w:keepNext/>
              <w:keepLines/>
              <w:spacing w:after="40" w:line="220" w:lineRule="atLeast"/>
              <w:ind w:left="6" w:right="113"/>
              <w:rPr>
                <w:rFonts w:ascii="Arial" w:hAnsi="Arial"/>
                <w:color w:val="1C1C1C"/>
                <w:sz w:val="20"/>
                <w:szCs w:val="20"/>
              </w:rPr>
            </w:pPr>
            <w:r>
              <w:rPr>
                <w:rFonts w:ascii="Arial" w:hAnsi="Arial"/>
                <w:color w:val="1C1C1C"/>
                <w:sz w:val="20"/>
                <w:szCs w:val="20"/>
              </w:rPr>
              <w:t xml:space="preserve">There are potential operational benefits from closer collaboration between the Australian and New Zealand </w:t>
            </w:r>
            <w:r w:rsidR="003F3761">
              <w:rPr>
                <w:rFonts w:ascii="Arial" w:hAnsi="Arial"/>
                <w:color w:val="1C1C1C"/>
                <w:sz w:val="20"/>
                <w:szCs w:val="20"/>
              </w:rPr>
              <w:t>i</w:t>
            </w:r>
            <w:r>
              <w:rPr>
                <w:rFonts w:ascii="Arial" w:hAnsi="Arial"/>
                <w:color w:val="1C1C1C"/>
                <w:sz w:val="20"/>
                <w:szCs w:val="20"/>
              </w:rPr>
              <w:t xml:space="preserve">ntellectual </w:t>
            </w:r>
            <w:r w:rsidR="003F3761">
              <w:rPr>
                <w:rFonts w:ascii="Arial" w:hAnsi="Arial"/>
                <w:color w:val="1C1C1C"/>
                <w:sz w:val="20"/>
                <w:szCs w:val="20"/>
              </w:rPr>
              <w:t>p</w:t>
            </w:r>
            <w:r>
              <w:rPr>
                <w:rFonts w:ascii="Arial" w:hAnsi="Arial"/>
                <w:color w:val="1C1C1C"/>
                <w:sz w:val="20"/>
                <w:szCs w:val="20"/>
              </w:rPr>
              <w:t>roperty offices.</w:t>
            </w:r>
          </w:p>
        </w:tc>
        <w:tc>
          <w:tcPr>
            <w:tcW w:w="827" w:type="pct"/>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6A18A1">
            <w:pPr>
              <w:keepNext/>
              <w:keepLines/>
              <w:spacing w:line="220" w:lineRule="atLeast"/>
              <w:jc w:val="center"/>
              <w:rPr>
                <w:rFonts w:ascii="Arial" w:hAnsi="Arial"/>
                <w:i/>
                <w:color w:val="1C1C1C"/>
                <w:sz w:val="20"/>
                <w:szCs w:val="20"/>
              </w:rPr>
            </w:pPr>
            <w:r>
              <w:rPr>
                <w:rFonts w:ascii="Arial" w:hAnsi="Arial"/>
                <w:color w:val="1C1C1C"/>
                <w:sz w:val="20"/>
                <w:szCs w:val="20"/>
              </w:rPr>
              <w:t>Short term</w:t>
            </w:r>
          </w:p>
        </w:tc>
      </w:tr>
      <w:tr w:rsidR="00A7193F" w:rsidTr="00B6206D">
        <w:tc>
          <w:tcPr>
            <w:tcW w:w="357"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keepNext/>
              <w:keepLines/>
              <w:spacing w:after="40" w:line="220" w:lineRule="atLeast"/>
              <w:ind w:left="6" w:right="113"/>
              <w:rPr>
                <w:rFonts w:ascii="Arial" w:hAnsi="Arial"/>
                <w:b/>
                <w:color w:val="1C1C1C"/>
                <w:sz w:val="20"/>
                <w:szCs w:val="20"/>
              </w:rPr>
            </w:pPr>
            <w:proofErr w:type="spellStart"/>
            <w:r>
              <w:rPr>
                <w:rFonts w:ascii="Arial" w:hAnsi="Arial"/>
                <w:b/>
                <w:color w:val="1C1C1C"/>
                <w:sz w:val="20"/>
                <w:szCs w:val="20"/>
              </w:rPr>
              <w:t>R4.3</w:t>
            </w:r>
            <w:proofErr w:type="spellEnd"/>
          </w:p>
        </w:tc>
        <w:tc>
          <w:tcPr>
            <w:tcW w:w="2222" w:type="pct"/>
            <w:tcBorders>
              <w:top w:val="dotted" w:sz="12" w:space="0" w:color="BFBFBF" w:themeColor="background1" w:themeShade="BF"/>
              <w:left w:val="nil"/>
              <w:bottom w:val="dotted" w:sz="12" w:space="0" w:color="BFBFBF" w:themeColor="background1" w:themeShade="BF"/>
              <w:right w:val="nil"/>
            </w:tcBorders>
            <w:hideMark/>
          </w:tcPr>
          <w:p w:rsidR="004E46EF" w:rsidRPr="00AC7822" w:rsidRDefault="004E46EF" w:rsidP="00D52AAC">
            <w:pPr>
              <w:keepNext/>
              <w:keepLines/>
              <w:framePr w:w="2155" w:hSpace="227" w:vSpace="181" w:wrap="around" w:vAnchor="text" w:hAnchor="page" w:xAlign="outside" w:y="1"/>
              <w:spacing w:after="40" w:line="220" w:lineRule="atLeast"/>
              <w:ind w:left="6" w:right="113"/>
              <w:rPr>
                <w:rFonts w:ascii="Arial" w:hAnsi="Arial"/>
                <w:color w:val="1C1C1C"/>
                <w:sz w:val="20"/>
                <w:szCs w:val="20"/>
              </w:rPr>
            </w:pPr>
            <w:r w:rsidRPr="00AC7822">
              <w:rPr>
                <w:rFonts w:ascii="Arial" w:hAnsi="Arial"/>
                <w:color w:val="1C1C1C"/>
                <w:sz w:val="20"/>
                <w:szCs w:val="20"/>
              </w:rPr>
              <w:t>The Australian and New Zealand Governments should give priority to implementing those recommendations of the Australian Commission’s 2009 review</w:t>
            </w:r>
            <w:r w:rsidR="00F71FEC" w:rsidRPr="00AC7822">
              <w:rPr>
                <w:rFonts w:ascii="Arial" w:hAnsi="Arial"/>
                <w:color w:val="1C1C1C"/>
                <w:sz w:val="20"/>
                <w:szCs w:val="20"/>
              </w:rPr>
              <w:t xml:space="preserve"> of the </w:t>
            </w:r>
            <w:r w:rsidR="00D1793F" w:rsidRPr="00AC7822">
              <w:rPr>
                <w:rFonts w:ascii="Arial" w:hAnsi="Arial"/>
                <w:color w:val="1C1C1C"/>
                <w:sz w:val="20"/>
                <w:szCs w:val="20"/>
              </w:rPr>
              <w:t>Trans-Tasman Mutual Recognition Arrangement</w:t>
            </w:r>
            <w:r w:rsidRPr="00AC7822">
              <w:rPr>
                <w:rFonts w:ascii="Arial" w:hAnsi="Arial"/>
                <w:color w:val="1C1C1C"/>
                <w:sz w:val="20"/>
                <w:szCs w:val="20"/>
              </w:rPr>
              <w:t xml:space="preserve"> </w:t>
            </w:r>
            <w:r w:rsidR="00D52AAC" w:rsidRPr="00AC7822">
              <w:rPr>
                <w:rFonts w:ascii="Arial" w:hAnsi="Arial"/>
                <w:color w:val="1C1C1C"/>
                <w:sz w:val="20"/>
                <w:szCs w:val="20"/>
              </w:rPr>
              <w:t xml:space="preserve">that were </w:t>
            </w:r>
            <w:r w:rsidRPr="00AC7822">
              <w:rPr>
                <w:rFonts w:ascii="Arial" w:hAnsi="Arial"/>
                <w:color w:val="1C1C1C"/>
                <w:sz w:val="20"/>
                <w:szCs w:val="20"/>
              </w:rPr>
              <w:t>accepted by Governments.</w:t>
            </w:r>
          </w:p>
        </w:tc>
        <w:tc>
          <w:tcPr>
            <w:tcW w:w="1594"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E97689">
            <w:pPr>
              <w:keepNext/>
              <w:keepLines/>
              <w:spacing w:after="40" w:line="220" w:lineRule="atLeast"/>
              <w:ind w:left="6" w:right="113"/>
              <w:rPr>
                <w:rFonts w:ascii="Arial" w:hAnsi="Arial"/>
                <w:color w:val="1C1C1C"/>
                <w:sz w:val="20"/>
                <w:szCs w:val="20"/>
              </w:rPr>
            </w:pPr>
            <w:r>
              <w:rPr>
                <w:rFonts w:ascii="Arial" w:hAnsi="Arial"/>
                <w:color w:val="1C1C1C"/>
                <w:sz w:val="20"/>
                <w:szCs w:val="20"/>
              </w:rPr>
              <w:t>Encourage occupational licensing systems that facilitate the efficient movement of labour within and across the two countries.</w:t>
            </w:r>
          </w:p>
        </w:tc>
        <w:tc>
          <w:tcPr>
            <w:tcW w:w="827" w:type="pct"/>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6A18A1">
            <w:pPr>
              <w:keepNext/>
              <w:keepLines/>
              <w:spacing w:line="220" w:lineRule="atLeast"/>
              <w:jc w:val="center"/>
              <w:rPr>
                <w:rFonts w:ascii="Arial" w:hAnsi="Arial"/>
                <w:i/>
                <w:color w:val="1C1C1C"/>
                <w:sz w:val="20"/>
                <w:szCs w:val="20"/>
              </w:rPr>
            </w:pPr>
            <w:r>
              <w:rPr>
                <w:rFonts w:ascii="Arial" w:hAnsi="Arial"/>
                <w:color w:val="1C1C1C"/>
                <w:sz w:val="20"/>
                <w:szCs w:val="20"/>
              </w:rPr>
              <w:t>Short term</w:t>
            </w:r>
          </w:p>
        </w:tc>
      </w:tr>
      <w:tr w:rsidR="00A7193F" w:rsidTr="00B6206D">
        <w:tc>
          <w:tcPr>
            <w:tcW w:w="357"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keepNext/>
              <w:keepLines/>
              <w:spacing w:after="40" w:line="220" w:lineRule="atLeast"/>
              <w:ind w:left="6" w:right="113"/>
              <w:rPr>
                <w:rFonts w:ascii="Arial" w:hAnsi="Arial"/>
                <w:b/>
                <w:color w:val="1C1C1C"/>
                <w:sz w:val="20"/>
                <w:szCs w:val="20"/>
              </w:rPr>
            </w:pPr>
            <w:proofErr w:type="spellStart"/>
            <w:r>
              <w:rPr>
                <w:rFonts w:ascii="Arial" w:hAnsi="Arial"/>
                <w:b/>
                <w:color w:val="1C1C1C"/>
                <w:sz w:val="20"/>
                <w:szCs w:val="20"/>
              </w:rPr>
              <w:t>R4.4</w:t>
            </w:r>
            <w:proofErr w:type="spellEnd"/>
          </w:p>
        </w:tc>
        <w:tc>
          <w:tcPr>
            <w:tcW w:w="2222" w:type="pct"/>
            <w:tcBorders>
              <w:top w:val="dotted" w:sz="12" w:space="0" w:color="BFBFBF" w:themeColor="background1" w:themeShade="BF"/>
              <w:left w:val="nil"/>
              <w:bottom w:val="dotted" w:sz="12" w:space="0" w:color="BFBFBF" w:themeColor="background1" w:themeShade="BF"/>
              <w:right w:val="nil"/>
            </w:tcBorders>
            <w:hideMark/>
          </w:tcPr>
          <w:p w:rsidR="004E46EF" w:rsidRPr="00AC7822" w:rsidRDefault="004E46EF" w:rsidP="002F6BCD">
            <w:pPr>
              <w:keepNext/>
              <w:keepLines/>
              <w:framePr w:w="2155" w:hSpace="227" w:vSpace="181" w:wrap="around" w:vAnchor="text" w:hAnchor="page" w:xAlign="outside" w:y="1"/>
              <w:spacing w:after="40" w:line="220" w:lineRule="atLeast"/>
              <w:ind w:left="6" w:right="113"/>
              <w:rPr>
                <w:rFonts w:ascii="Arial" w:hAnsi="Arial"/>
                <w:color w:val="1C1C1C"/>
                <w:sz w:val="20"/>
                <w:szCs w:val="20"/>
              </w:rPr>
            </w:pPr>
            <w:r w:rsidRPr="00AC7822">
              <w:rPr>
                <w:rFonts w:ascii="Arial" w:hAnsi="Arial"/>
                <w:color w:val="1C1C1C"/>
                <w:sz w:val="20"/>
                <w:szCs w:val="20"/>
              </w:rPr>
              <w:t xml:space="preserve">Governments should publish a progress report on implementing accepted recommendations of the 2009 review of the </w:t>
            </w:r>
            <w:r w:rsidR="002F6BCD" w:rsidRPr="00AC7822">
              <w:rPr>
                <w:rFonts w:ascii="Arial" w:hAnsi="Arial"/>
                <w:color w:val="1C1C1C"/>
                <w:sz w:val="20"/>
                <w:szCs w:val="20"/>
              </w:rPr>
              <w:t>Trans-Tasman Mutual Recognition Arrangement</w:t>
            </w:r>
            <w:r w:rsidR="002F6BCD" w:rsidRPr="00AC7822" w:rsidDel="002F6BCD">
              <w:rPr>
                <w:rFonts w:ascii="Arial" w:hAnsi="Arial"/>
                <w:color w:val="1C1C1C"/>
                <w:sz w:val="20"/>
                <w:szCs w:val="20"/>
              </w:rPr>
              <w:t xml:space="preserve"> </w:t>
            </w:r>
            <w:r w:rsidRPr="00AC7822">
              <w:rPr>
                <w:rFonts w:ascii="Arial" w:hAnsi="Arial"/>
                <w:color w:val="1C1C1C"/>
                <w:sz w:val="20"/>
                <w:szCs w:val="20"/>
              </w:rPr>
              <w:t>before the next review, scheduled in 2013.</w:t>
            </w:r>
          </w:p>
        </w:tc>
        <w:tc>
          <w:tcPr>
            <w:tcW w:w="1594"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E97689">
            <w:pPr>
              <w:keepNext/>
              <w:keepLines/>
              <w:spacing w:after="40" w:line="220" w:lineRule="atLeast"/>
              <w:ind w:left="6" w:right="113"/>
              <w:rPr>
                <w:rFonts w:ascii="Arial" w:hAnsi="Arial"/>
                <w:color w:val="1C1C1C"/>
                <w:sz w:val="20"/>
                <w:szCs w:val="20"/>
              </w:rPr>
            </w:pPr>
            <w:r>
              <w:rPr>
                <w:rFonts w:ascii="Arial" w:hAnsi="Arial"/>
                <w:color w:val="1C1C1C"/>
                <w:sz w:val="20"/>
                <w:szCs w:val="20"/>
              </w:rPr>
              <w:t>The progress of all Australian governments and the New Zealand Government in implementing recommendations from a previous review of mutual recognition is not transparent.</w:t>
            </w:r>
          </w:p>
        </w:tc>
        <w:tc>
          <w:tcPr>
            <w:tcW w:w="827" w:type="pct"/>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6A18A1">
            <w:pPr>
              <w:keepNext/>
              <w:keepLines/>
              <w:spacing w:line="220" w:lineRule="atLeast"/>
              <w:jc w:val="center"/>
              <w:rPr>
                <w:rFonts w:ascii="Arial" w:hAnsi="Arial"/>
                <w:i/>
                <w:color w:val="1C1C1C"/>
                <w:sz w:val="20"/>
                <w:szCs w:val="20"/>
              </w:rPr>
            </w:pPr>
            <w:r>
              <w:rPr>
                <w:rFonts w:ascii="Arial" w:hAnsi="Arial"/>
                <w:color w:val="1C1C1C"/>
                <w:sz w:val="20"/>
                <w:szCs w:val="20"/>
              </w:rPr>
              <w:t>Short term</w:t>
            </w:r>
          </w:p>
        </w:tc>
      </w:tr>
      <w:tr w:rsidR="00A7193F" w:rsidRPr="00797EB3" w:rsidTr="00B6206D">
        <w:tc>
          <w:tcPr>
            <w:tcW w:w="357" w:type="pct"/>
            <w:tcBorders>
              <w:top w:val="dotted" w:sz="12" w:space="0" w:color="BFBFBF" w:themeColor="background1" w:themeShade="BF"/>
              <w:left w:val="nil"/>
              <w:bottom w:val="dotted" w:sz="12" w:space="0" w:color="BFBFBF" w:themeColor="background1" w:themeShade="BF"/>
              <w:right w:val="nil"/>
            </w:tcBorders>
          </w:tcPr>
          <w:p w:rsidR="004E46EF" w:rsidRPr="00797EB3" w:rsidDel="00BE4B55" w:rsidRDefault="004E46EF" w:rsidP="0027197E">
            <w:pPr>
              <w:keepNext/>
              <w:keepLines/>
              <w:spacing w:after="40" w:line="220" w:lineRule="atLeast"/>
              <w:ind w:left="6" w:right="113"/>
              <w:rPr>
                <w:rFonts w:ascii="Arial" w:hAnsi="Arial"/>
                <w:b/>
                <w:color w:val="1C1C1C"/>
                <w:sz w:val="20"/>
                <w:szCs w:val="20"/>
              </w:rPr>
            </w:pPr>
            <w:proofErr w:type="spellStart"/>
            <w:r w:rsidRPr="00797EB3">
              <w:rPr>
                <w:rFonts w:ascii="Arial" w:hAnsi="Arial"/>
                <w:b/>
                <w:color w:val="1C1C1C"/>
                <w:sz w:val="20"/>
                <w:szCs w:val="20"/>
              </w:rPr>
              <w:t>R4.</w:t>
            </w:r>
            <w:r>
              <w:rPr>
                <w:rFonts w:ascii="Arial" w:hAnsi="Arial"/>
                <w:b/>
                <w:color w:val="1C1C1C"/>
                <w:sz w:val="20"/>
                <w:szCs w:val="20"/>
              </w:rPr>
              <w:t>5</w:t>
            </w:r>
            <w:proofErr w:type="spellEnd"/>
          </w:p>
        </w:tc>
        <w:tc>
          <w:tcPr>
            <w:tcW w:w="2222" w:type="pct"/>
            <w:tcBorders>
              <w:top w:val="dotted" w:sz="12" w:space="0" w:color="BFBFBF" w:themeColor="background1" w:themeShade="BF"/>
              <w:left w:val="nil"/>
              <w:bottom w:val="dotted" w:sz="12" w:space="0" w:color="BFBFBF" w:themeColor="background1" w:themeShade="BF"/>
              <w:right w:val="nil"/>
            </w:tcBorders>
          </w:tcPr>
          <w:p w:rsidR="004E46EF" w:rsidRPr="00AC7822" w:rsidRDefault="004E46EF" w:rsidP="00E97689">
            <w:pPr>
              <w:keepNext/>
              <w:keepLines/>
              <w:spacing w:after="40" w:line="220" w:lineRule="atLeast"/>
              <w:ind w:left="6" w:right="113"/>
              <w:rPr>
                <w:rFonts w:ascii="Arial" w:hAnsi="Arial"/>
                <w:color w:val="1C1C1C"/>
                <w:sz w:val="20"/>
                <w:szCs w:val="20"/>
              </w:rPr>
            </w:pPr>
            <w:r w:rsidRPr="00AC7822">
              <w:rPr>
                <w:rFonts w:ascii="Arial" w:hAnsi="Arial"/>
                <w:color w:val="1C1C1C"/>
                <w:sz w:val="20"/>
                <w:szCs w:val="20"/>
              </w:rPr>
              <w:t>Australian and New Zealand occupational regulators should share knowledge and lessons in developing efficient and effective occupational licensing systems. Relevant Australian and New Zealand regulators should be included in consultations around the development of national occupational licensing systems in the other country.</w:t>
            </w:r>
          </w:p>
        </w:tc>
        <w:tc>
          <w:tcPr>
            <w:tcW w:w="1594" w:type="pct"/>
            <w:tcBorders>
              <w:top w:val="dotted" w:sz="12" w:space="0" w:color="BFBFBF" w:themeColor="background1" w:themeShade="BF"/>
              <w:left w:val="nil"/>
              <w:bottom w:val="dotted" w:sz="12" w:space="0" w:color="BFBFBF" w:themeColor="background1" w:themeShade="BF"/>
              <w:right w:val="nil"/>
            </w:tcBorders>
          </w:tcPr>
          <w:p w:rsidR="004E46EF" w:rsidRPr="00797EB3" w:rsidRDefault="004E46EF" w:rsidP="0007070D">
            <w:pPr>
              <w:keepNext/>
              <w:keepLines/>
              <w:spacing w:after="40" w:line="220" w:lineRule="atLeast"/>
              <w:ind w:left="6" w:right="113"/>
              <w:rPr>
                <w:rFonts w:ascii="Arial" w:hAnsi="Arial"/>
                <w:i/>
                <w:color w:val="1C1C1C"/>
                <w:sz w:val="20"/>
                <w:szCs w:val="20"/>
              </w:rPr>
            </w:pPr>
            <w:r w:rsidRPr="00797EB3">
              <w:rPr>
                <w:rFonts w:ascii="Arial" w:hAnsi="Arial"/>
                <w:color w:val="1C1C1C"/>
                <w:sz w:val="20"/>
                <w:szCs w:val="20"/>
              </w:rPr>
              <w:t>As occupational licencing is a significant entry point into the trans-Tasman labour market, it is in the interest</w:t>
            </w:r>
            <w:r>
              <w:rPr>
                <w:rFonts w:ascii="Arial" w:hAnsi="Arial"/>
                <w:color w:val="1C1C1C"/>
                <w:sz w:val="20"/>
                <w:szCs w:val="20"/>
              </w:rPr>
              <w:t>s</w:t>
            </w:r>
            <w:r w:rsidRPr="00797EB3">
              <w:rPr>
                <w:rFonts w:ascii="Arial" w:hAnsi="Arial"/>
                <w:color w:val="1C1C1C"/>
                <w:sz w:val="20"/>
                <w:szCs w:val="20"/>
              </w:rPr>
              <w:t xml:space="preserve"> of both Governments to cooperate and monitor changes in the other country’s systems.</w:t>
            </w:r>
          </w:p>
        </w:tc>
        <w:tc>
          <w:tcPr>
            <w:tcW w:w="827" w:type="pct"/>
            <w:tcBorders>
              <w:top w:val="dotted" w:sz="12" w:space="0" w:color="BFBFBF" w:themeColor="background1" w:themeShade="BF"/>
              <w:left w:val="nil"/>
              <w:bottom w:val="dotted" w:sz="12" w:space="0" w:color="BFBFBF" w:themeColor="background1" w:themeShade="BF"/>
              <w:right w:val="nil"/>
            </w:tcBorders>
            <w:vAlign w:val="center"/>
          </w:tcPr>
          <w:p w:rsidR="004E46EF" w:rsidRPr="00797EB3" w:rsidRDefault="004E46EF" w:rsidP="006A18A1">
            <w:pPr>
              <w:keepNext/>
              <w:keepLines/>
              <w:spacing w:line="220" w:lineRule="atLeast"/>
              <w:jc w:val="center"/>
              <w:rPr>
                <w:rFonts w:ascii="Arial" w:hAnsi="Arial"/>
                <w:i/>
                <w:color w:val="1C1C1C"/>
                <w:sz w:val="20"/>
                <w:szCs w:val="20"/>
              </w:rPr>
            </w:pPr>
            <w:r w:rsidRPr="00797EB3">
              <w:rPr>
                <w:rFonts w:ascii="Arial" w:hAnsi="Arial"/>
                <w:color w:val="1C1C1C"/>
                <w:sz w:val="20"/>
                <w:szCs w:val="20"/>
              </w:rPr>
              <w:t>Ongoing</w:t>
            </w:r>
          </w:p>
        </w:tc>
      </w:tr>
      <w:tr w:rsidR="00A7193F" w:rsidTr="00B6206D">
        <w:tc>
          <w:tcPr>
            <w:tcW w:w="357" w:type="pct"/>
            <w:tcBorders>
              <w:top w:val="dotted" w:sz="12" w:space="0" w:color="BFBFBF" w:themeColor="background1" w:themeShade="BF"/>
              <w:left w:val="nil"/>
              <w:bottom w:val="dotted" w:sz="12" w:space="0" w:color="BFBFBF" w:themeColor="background1" w:themeShade="BF"/>
              <w:right w:val="nil"/>
            </w:tcBorders>
          </w:tcPr>
          <w:p w:rsidR="004E46EF" w:rsidDel="00BE4B55" w:rsidRDefault="004E46EF" w:rsidP="0027197E">
            <w:pPr>
              <w:keepNext/>
              <w:keepLines/>
              <w:spacing w:after="40" w:line="220" w:lineRule="atLeast"/>
              <w:rPr>
                <w:rFonts w:ascii="Arial" w:hAnsi="Arial"/>
                <w:b/>
                <w:i/>
                <w:color w:val="1C1C1C"/>
                <w:sz w:val="20"/>
                <w:szCs w:val="20"/>
              </w:rPr>
            </w:pPr>
            <w:proofErr w:type="spellStart"/>
            <w:r>
              <w:rPr>
                <w:rFonts w:ascii="Arial" w:hAnsi="Arial"/>
                <w:b/>
                <w:color w:val="1C1C1C"/>
                <w:sz w:val="20"/>
                <w:szCs w:val="20"/>
              </w:rPr>
              <w:t>R4.6</w:t>
            </w:r>
            <w:proofErr w:type="spellEnd"/>
          </w:p>
        </w:tc>
        <w:tc>
          <w:tcPr>
            <w:tcW w:w="2222" w:type="pct"/>
            <w:tcBorders>
              <w:top w:val="dotted" w:sz="12" w:space="0" w:color="BFBFBF" w:themeColor="background1" w:themeShade="BF"/>
              <w:left w:val="nil"/>
              <w:bottom w:val="dotted" w:sz="12" w:space="0" w:color="BFBFBF" w:themeColor="background1" w:themeShade="BF"/>
              <w:right w:val="nil"/>
            </w:tcBorders>
          </w:tcPr>
          <w:p w:rsidR="004E46EF" w:rsidRPr="00AC7822" w:rsidRDefault="004E46EF" w:rsidP="00381FCF">
            <w:pPr>
              <w:keepNext/>
              <w:keepLines/>
              <w:spacing w:after="40" w:line="220" w:lineRule="atLeast"/>
              <w:ind w:left="6" w:right="113"/>
              <w:rPr>
                <w:rFonts w:ascii="Arial" w:hAnsi="Arial"/>
                <w:color w:val="1C1C1C"/>
                <w:sz w:val="20"/>
                <w:szCs w:val="20"/>
              </w:rPr>
            </w:pPr>
            <w:r w:rsidRPr="00AC7822">
              <w:rPr>
                <w:rFonts w:ascii="Arial" w:hAnsi="Arial"/>
                <w:color w:val="1C1C1C"/>
                <w:sz w:val="20"/>
                <w:szCs w:val="20"/>
              </w:rPr>
              <w:t>Given the long time it is taking to set up the Australia</w:t>
            </w:r>
            <w:r w:rsidR="00381FCF" w:rsidRPr="00AC7822">
              <w:rPr>
                <w:rFonts w:ascii="Arial" w:hAnsi="Arial"/>
                <w:color w:val="1C1C1C"/>
                <w:sz w:val="20"/>
                <w:szCs w:val="20"/>
              </w:rPr>
              <w:t xml:space="preserve"> </w:t>
            </w:r>
            <w:r w:rsidRPr="00AC7822">
              <w:rPr>
                <w:rFonts w:ascii="Arial" w:hAnsi="Arial"/>
                <w:color w:val="1C1C1C"/>
                <w:sz w:val="20"/>
                <w:szCs w:val="20"/>
              </w:rPr>
              <w:t>New Zealand Therapeutic Products Agency, the Australian and New Zealand Governments should</w:t>
            </w:r>
            <w:r w:rsidR="000B1705" w:rsidRPr="00AC7822">
              <w:rPr>
                <w:rFonts w:ascii="Arial" w:hAnsi="Arial"/>
                <w:color w:val="1C1C1C"/>
                <w:sz w:val="20"/>
                <w:szCs w:val="20"/>
              </w:rPr>
              <w:t xml:space="preserve"> </w:t>
            </w:r>
            <w:r w:rsidRPr="00AC7822">
              <w:rPr>
                <w:rFonts w:ascii="Arial" w:hAnsi="Arial"/>
                <w:color w:val="1C1C1C"/>
                <w:sz w:val="20"/>
                <w:szCs w:val="20"/>
              </w:rPr>
              <w:t>publish regular progress reports</w:t>
            </w:r>
            <w:r w:rsidR="00450E8C" w:rsidRPr="00AC7822">
              <w:rPr>
                <w:rFonts w:ascii="Arial" w:hAnsi="Arial"/>
                <w:color w:val="1C1C1C"/>
                <w:sz w:val="20"/>
                <w:szCs w:val="20"/>
              </w:rPr>
              <w:t>. O</w:t>
            </w:r>
            <w:r w:rsidRPr="00AC7822">
              <w:rPr>
                <w:rFonts w:ascii="Arial" w:hAnsi="Arial"/>
                <w:color w:val="1C1C1C"/>
                <w:sz w:val="20"/>
                <w:szCs w:val="20"/>
              </w:rPr>
              <w:t xml:space="preserve">nce the Agency has been established, </w:t>
            </w:r>
            <w:r w:rsidR="00D52AAC" w:rsidRPr="00AC7822">
              <w:rPr>
                <w:rFonts w:ascii="Arial" w:hAnsi="Arial"/>
                <w:color w:val="1C1C1C"/>
                <w:sz w:val="20"/>
                <w:szCs w:val="20"/>
              </w:rPr>
              <w:t xml:space="preserve">the Governments should </w:t>
            </w:r>
            <w:r w:rsidRPr="00AC7822">
              <w:rPr>
                <w:rFonts w:ascii="Arial" w:hAnsi="Arial"/>
                <w:color w:val="1C1C1C"/>
                <w:sz w:val="20"/>
                <w:szCs w:val="20"/>
              </w:rPr>
              <w:t>review the lessons for other potential regulatory harmonisation initiatives.</w:t>
            </w:r>
          </w:p>
        </w:tc>
        <w:tc>
          <w:tcPr>
            <w:tcW w:w="1594" w:type="pct"/>
            <w:tcBorders>
              <w:top w:val="dotted" w:sz="12" w:space="0" w:color="BFBFBF" w:themeColor="background1" w:themeShade="BF"/>
              <w:left w:val="nil"/>
              <w:bottom w:val="dotted" w:sz="12" w:space="0" w:color="BFBFBF" w:themeColor="background1" w:themeShade="BF"/>
              <w:right w:val="nil"/>
            </w:tcBorders>
          </w:tcPr>
          <w:p w:rsidR="004E46EF" w:rsidRDefault="004E46EF" w:rsidP="0007070D">
            <w:pPr>
              <w:keepNext/>
              <w:keepLines/>
              <w:spacing w:after="40" w:line="220" w:lineRule="atLeast"/>
              <w:ind w:left="6" w:right="113"/>
              <w:rPr>
                <w:rFonts w:ascii="Arial" w:hAnsi="Arial"/>
                <w:i/>
                <w:color w:val="1C1C1C"/>
                <w:sz w:val="20"/>
                <w:szCs w:val="20"/>
              </w:rPr>
            </w:pPr>
            <w:r>
              <w:rPr>
                <w:rFonts w:ascii="Arial" w:hAnsi="Arial"/>
                <w:color w:val="1C1C1C"/>
                <w:sz w:val="20"/>
                <w:szCs w:val="20"/>
              </w:rPr>
              <w:t>A single trans-Tasman regulator could reduce costs of regulation and increase technical capability. It would also provide useful lessons for other areas of potential harmonisation.</w:t>
            </w:r>
          </w:p>
        </w:tc>
        <w:tc>
          <w:tcPr>
            <w:tcW w:w="827" w:type="pct"/>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6A18A1">
            <w:pPr>
              <w:keepNext/>
              <w:keepLines/>
              <w:spacing w:line="220" w:lineRule="atLeast"/>
              <w:jc w:val="center"/>
              <w:rPr>
                <w:rFonts w:ascii="Arial" w:hAnsi="Arial"/>
                <w:i/>
                <w:color w:val="1C1C1C"/>
                <w:sz w:val="20"/>
                <w:szCs w:val="20"/>
              </w:rPr>
            </w:pPr>
            <w:r>
              <w:rPr>
                <w:rFonts w:ascii="Arial" w:hAnsi="Arial"/>
                <w:color w:val="1C1C1C"/>
                <w:sz w:val="20"/>
                <w:szCs w:val="20"/>
              </w:rPr>
              <w:t>Short to medium term</w:t>
            </w:r>
          </w:p>
        </w:tc>
      </w:tr>
      <w:tr w:rsidR="00A7193F" w:rsidTr="00B6206D">
        <w:tc>
          <w:tcPr>
            <w:tcW w:w="357" w:type="pct"/>
            <w:tcBorders>
              <w:top w:val="dotted" w:sz="12" w:space="0" w:color="BFBFBF" w:themeColor="background1" w:themeShade="BF"/>
              <w:left w:val="nil"/>
              <w:bottom w:val="single" w:sz="4" w:space="0" w:color="auto"/>
              <w:right w:val="nil"/>
            </w:tcBorders>
          </w:tcPr>
          <w:p w:rsidR="004E46EF" w:rsidRDefault="004E46EF" w:rsidP="0027197E">
            <w:pPr>
              <w:keepNext/>
              <w:keepLines/>
              <w:spacing w:after="40" w:line="220" w:lineRule="atLeast"/>
              <w:ind w:left="6" w:right="113"/>
              <w:rPr>
                <w:rFonts w:ascii="Arial" w:hAnsi="Arial"/>
                <w:b/>
                <w:color w:val="1C1C1C"/>
                <w:sz w:val="20"/>
                <w:szCs w:val="20"/>
              </w:rPr>
            </w:pPr>
            <w:proofErr w:type="spellStart"/>
            <w:r>
              <w:rPr>
                <w:rFonts w:ascii="Arial" w:hAnsi="Arial"/>
                <w:b/>
                <w:color w:val="1C1C1C"/>
                <w:sz w:val="20"/>
                <w:szCs w:val="20"/>
              </w:rPr>
              <w:t>R4.7</w:t>
            </w:r>
            <w:proofErr w:type="spellEnd"/>
          </w:p>
        </w:tc>
        <w:tc>
          <w:tcPr>
            <w:tcW w:w="2222" w:type="pct"/>
            <w:tcBorders>
              <w:top w:val="dotted" w:sz="12" w:space="0" w:color="BFBFBF" w:themeColor="background1" w:themeShade="BF"/>
              <w:left w:val="nil"/>
              <w:bottom w:val="single" w:sz="4" w:space="0" w:color="auto"/>
              <w:right w:val="nil"/>
            </w:tcBorders>
          </w:tcPr>
          <w:p w:rsidR="004E46EF" w:rsidRPr="00AC7822" w:rsidRDefault="004E46EF" w:rsidP="002F6BCD">
            <w:pPr>
              <w:keepNext/>
              <w:keepLines/>
              <w:framePr w:w="2155" w:hSpace="227" w:vSpace="181" w:wrap="around" w:vAnchor="text" w:hAnchor="page" w:xAlign="outside" w:y="1"/>
              <w:spacing w:after="40" w:line="220" w:lineRule="atLeast"/>
              <w:ind w:left="6" w:right="113"/>
              <w:rPr>
                <w:rFonts w:ascii="Arial" w:hAnsi="Arial"/>
                <w:color w:val="1C1C1C"/>
                <w:sz w:val="20"/>
                <w:szCs w:val="20"/>
              </w:rPr>
            </w:pPr>
            <w:r w:rsidRPr="00AC7822">
              <w:rPr>
                <w:rFonts w:ascii="Arial" w:hAnsi="Arial"/>
                <w:color w:val="1C1C1C"/>
                <w:sz w:val="20"/>
                <w:szCs w:val="20"/>
              </w:rPr>
              <w:t xml:space="preserve">The </w:t>
            </w:r>
            <w:r w:rsidR="002F6BCD" w:rsidRPr="00AC7822">
              <w:rPr>
                <w:rFonts w:ascii="Arial" w:hAnsi="Arial"/>
                <w:color w:val="1C1C1C"/>
                <w:sz w:val="20"/>
                <w:szCs w:val="20"/>
              </w:rPr>
              <w:t>CER</w:t>
            </w:r>
            <w:r w:rsidRPr="00AC7822">
              <w:rPr>
                <w:rFonts w:ascii="Arial" w:hAnsi="Arial"/>
                <w:color w:val="1C1C1C"/>
                <w:sz w:val="20"/>
                <w:szCs w:val="20"/>
              </w:rPr>
              <w:t xml:space="preserve"> Investment Protocol should be enacted as soon as practicable.</w:t>
            </w:r>
          </w:p>
        </w:tc>
        <w:tc>
          <w:tcPr>
            <w:tcW w:w="1594" w:type="pct"/>
            <w:tcBorders>
              <w:top w:val="dotted" w:sz="12" w:space="0" w:color="BFBFBF" w:themeColor="background1" w:themeShade="BF"/>
              <w:left w:val="nil"/>
              <w:bottom w:val="single" w:sz="4" w:space="0" w:color="auto"/>
              <w:right w:val="nil"/>
            </w:tcBorders>
          </w:tcPr>
          <w:p w:rsidR="004E46EF" w:rsidRDefault="004E46EF" w:rsidP="006C28AE">
            <w:pPr>
              <w:keepNext/>
              <w:keepLines/>
              <w:spacing w:after="40" w:line="220" w:lineRule="atLeast"/>
              <w:ind w:left="6" w:right="113"/>
              <w:rPr>
                <w:rFonts w:ascii="Arial" w:hAnsi="Arial"/>
                <w:i/>
                <w:color w:val="1C1C1C"/>
                <w:sz w:val="20"/>
                <w:szCs w:val="20"/>
              </w:rPr>
            </w:pPr>
            <w:r>
              <w:rPr>
                <w:rFonts w:ascii="Arial" w:hAnsi="Arial"/>
                <w:color w:val="1C1C1C"/>
                <w:sz w:val="20"/>
                <w:szCs w:val="20"/>
              </w:rPr>
              <w:t>The Protocol should reduce administrative costs for government and compliance costs for firms, and improve capital allocation.</w:t>
            </w:r>
          </w:p>
        </w:tc>
        <w:tc>
          <w:tcPr>
            <w:tcW w:w="827" w:type="pct"/>
            <w:tcBorders>
              <w:top w:val="dotted" w:sz="12" w:space="0" w:color="BFBFBF" w:themeColor="background1" w:themeShade="BF"/>
              <w:left w:val="nil"/>
              <w:bottom w:val="single" w:sz="4" w:space="0" w:color="auto"/>
              <w:right w:val="nil"/>
            </w:tcBorders>
            <w:vAlign w:val="center"/>
          </w:tcPr>
          <w:p w:rsidR="004E46EF" w:rsidRDefault="004E46EF" w:rsidP="006A18A1">
            <w:pPr>
              <w:keepNext/>
              <w:keepLines/>
              <w:spacing w:line="220" w:lineRule="atLeast"/>
              <w:jc w:val="center"/>
              <w:rPr>
                <w:rFonts w:ascii="Arial" w:hAnsi="Arial"/>
                <w:i/>
                <w:color w:val="1C1C1C"/>
                <w:sz w:val="20"/>
                <w:szCs w:val="20"/>
              </w:rPr>
            </w:pPr>
            <w:r>
              <w:rPr>
                <w:rFonts w:ascii="Arial" w:hAnsi="Arial"/>
                <w:color w:val="1C1C1C"/>
                <w:sz w:val="20"/>
                <w:szCs w:val="20"/>
              </w:rPr>
              <w:t>Short term</w:t>
            </w:r>
          </w:p>
        </w:tc>
      </w:tr>
    </w:tbl>
    <w:p w:rsidR="00CD4438" w:rsidRPr="00E61BE0" w:rsidRDefault="00CD4438" w:rsidP="006A18A1">
      <w:pPr>
        <w:pStyle w:val="BodyText"/>
        <w:rPr>
          <w:b/>
        </w:rPr>
      </w:pPr>
      <w:r>
        <w:lastRenderedPageBreak/>
        <w:t xml:space="preserve">Table </w:t>
      </w:r>
      <w:r w:rsidR="00995AA4">
        <w:t>3</w:t>
      </w:r>
      <w:r>
        <w:tab/>
      </w:r>
      <w:r w:rsidR="00C74B12" w:rsidRPr="002030AD">
        <w:rPr>
          <w:b/>
        </w:rPr>
        <w:t xml:space="preserve">Recommendations — </w:t>
      </w:r>
      <w:r w:rsidRPr="00E61BE0">
        <w:rPr>
          <w:b/>
        </w:rPr>
        <w:fldChar w:fldCharType="begin"/>
      </w:r>
      <w:r w:rsidRPr="00E61BE0">
        <w:rPr>
          <w:b/>
        </w:rPr>
        <w:instrText xml:space="preserve"> COMMENTS  \* MERGEFORMAT </w:instrText>
      </w:r>
      <w:r w:rsidRPr="00E61BE0">
        <w:rPr>
          <w:b/>
        </w:rPr>
        <w:fldChar w:fldCharType="end"/>
      </w:r>
      <w:r w:rsidR="00C74B12">
        <w:rPr>
          <w:b/>
        </w:rPr>
        <w:t>P</w:t>
      </w:r>
      <w:r w:rsidRPr="00E61BE0">
        <w:rPr>
          <w:b/>
        </w:rPr>
        <w:t>roposed initiatives</w:t>
      </w:r>
    </w:p>
    <w:tbl>
      <w:tblPr>
        <w:tblW w:w="5001" w:type="pct"/>
        <w:tblCellMar>
          <w:left w:w="0" w:type="dxa"/>
          <w:right w:w="0" w:type="dxa"/>
        </w:tblCellMar>
        <w:tblLook w:val="04A0" w:firstRow="1" w:lastRow="0" w:firstColumn="1" w:lastColumn="0" w:noHBand="0" w:noVBand="1"/>
      </w:tblPr>
      <w:tblGrid>
        <w:gridCol w:w="919"/>
        <w:gridCol w:w="670"/>
        <w:gridCol w:w="3128"/>
        <w:gridCol w:w="2657"/>
        <w:gridCol w:w="30"/>
        <w:gridCol w:w="1387"/>
      </w:tblGrid>
      <w:tr w:rsidR="001F137E" w:rsidTr="00756439">
        <w:trPr>
          <w:tblHeader/>
        </w:trPr>
        <w:tc>
          <w:tcPr>
            <w:tcW w:w="523" w:type="pct"/>
            <w:tcBorders>
              <w:top w:val="single" w:sz="6" w:space="0" w:color="auto"/>
              <w:left w:val="nil"/>
              <w:bottom w:val="single" w:sz="4" w:space="0" w:color="auto"/>
              <w:right w:val="nil"/>
            </w:tcBorders>
            <w:shd w:val="clear" w:color="auto" w:fill="D6E3BC" w:themeFill="accent3" w:themeFillTint="66"/>
          </w:tcPr>
          <w:p w:rsidR="004E46EF" w:rsidRDefault="004E46EF" w:rsidP="00A214BC">
            <w:pPr>
              <w:keepLines/>
              <w:spacing w:before="80" w:after="80" w:line="220" w:lineRule="atLeast"/>
              <w:ind w:left="6" w:right="113"/>
              <w:rPr>
                <w:rFonts w:ascii="Arial" w:hAnsi="Arial"/>
                <w:b/>
                <w:i/>
                <w:color w:val="1C1C1C"/>
                <w:sz w:val="20"/>
                <w:szCs w:val="20"/>
              </w:rPr>
            </w:pPr>
          </w:p>
        </w:tc>
        <w:tc>
          <w:tcPr>
            <w:tcW w:w="2160" w:type="pct"/>
            <w:gridSpan w:val="2"/>
            <w:tcBorders>
              <w:top w:val="single" w:sz="6" w:space="0" w:color="auto"/>
              <w:left w:val="nil"/>
              <w:bottom w:val="single" w:sz="4" w:space="0" w:color="auto"/>
              <w:right w:val="nil"/>
            </w:tcBorders>
            <w:shd w:val="clear" w:color="auto" w:fill="D6E3BC" w:themeFill="accent3" w:themeFillTint="66"/>
            <w:vAlign w:val="bottom"/>
            <w:hideMark/>
          </w:tcPr>
          <w:p w:rsidR="004E46EF" w:rsidRDefault="004E46EF" w:rsidP="00A214BC">
            <w:pPr>
              <w:keepLines/>
              <w:spacing w:before="80" w:after="80" w:line="220" w:lineRule="atLeast"/>
              <w:ind w:left="6" w:right="113"/>
              <w:rPr>
                <w:rFonts w:ascii="Arial" w:hAnsi="Arial"/>
                <w:i/>
                <w:color w:val="1C1C1C"/>
                <w:sz w:val="20"/>
                <w:szCs w:val="20"/>
              </w:rPr>
            </w:pPr>
            <w:r>
              <w:rPr>
                <w:rFonts w:ascii="Arial" w:hAnsi="Arial"/>
                <w:i/>
                <w:color w:val="1C1C1C"/>
                <w:sz w:val="20"/>
                <w:szCs w:val="20"/>
              </w:rPr>
              <w:t>Recommendation</w:t>
            </w:r>
          </w:p>
        </w:tc>
        <w:tc>
          <w:tcPr>
            <w:tcW w:w="1511" w:type="pct"/>
            <w:tcBorders>
              <w:top w:val="single" w:sz="6" w:space="0" w:color="auto"/>
              <w:left w:val="nil"/>
              <w:bottom w:val="single" w:sz="4" w:space="0" w:color="auto"/>
              <w:right w:val="nil"/>
            </w:tcBorders>
            <w:shd w:val="clear" w:color="auto" w:fill="D6E3BC" w:themeFill="accent3" w:themeFillTint="66"/>
            <w:vAlign w:val="bottom"/>
            <w:hideMark/>
          </w:tcPr>
          <w:p w:rsidR="004E46EF" w:rsidRDefault="004E46EF" w:rsidP="00A214BC">
            <w:pPr>
              <w:keepLines/>
              <w:spacing w:before="80" w:after="80" w:line="220" w:lineRule="atLeast"/>
              <w:ind w:left="6" w:right="113"/>
              <w:rPr>
                <w:rFonts w:ascii="Arial" w:hAnsi="Arial"/>
                <w:i/>
                <w:color w:val="1C1C1C"/>
                <w:sz w:val="20"/>
                <w:szCs w:val="20"/>
              </w:rPr>
            </w:pPr>
            <w:r>
              <w:rPr>
                <w:rFonts w:ascii="Arial" w:hAnsi="Arial"/>
                <w:i/>
                <w:color w:val="1C1C1C"/>
                <w:sz w:val="20"/>
                <w:szCs w:val="20"/>
              </w:rPr>
              <w:t>Rationale</w:t>
            </w:r>
          </w:p>
        </w:tc>
        <w:tc>
          <w:tcPr>
            <w:tcW w:w="806" w:type="pct"/>
            <w:gridSpan w:val="2"/>
            <w:tcBorders>
              <w:top w:val="single" w:sz="6" w:space="0" w:color="auto"/>
              <w:left w:val="nil"/>
              <w:bottom w:val="single" w:sz="4" w:space="0" w:color="auto"/>
              <w:right w:val="nil"/>
            </w:tcBorders>
            <w:shd w:val="clear" w:color="auto" w:fill="D6E3BC" w:themeFill="accent3" w:themeFillTint="66"/>
            <w:vAlign w:val="bottom"/>
            <w:hideMark/>
          </w:tcPr>
          <w:p w:rsidR="004E46EF" w:rsidRDefault="004E46EF" w:rsidP="00A214BC">
            <w:pPr>
              <w:keepLines/>
              <w:spacing w:before="80" w:after="80" w:line="220" w:lineRule="atLeast"/>
              <w:ind w:left="6" w:right="28"/>
              <w:rPr>
                <w:rFonts w:ascii="Arial" w:hAnsi="Arial"/>
                <w:i/>
                <w:color w:val="1C1C1C"/>
                <w:sz w:val="20"/>
                <w:szCs w:val="20"/>
              </w:rPr>
            </w:pPr>
            <w:r>
              <w:rPr>
                <w:rFonts w:ascii="Arial" w:hAnsi="Arial"/>
                <w:i/>
                <w:color w:val="1C1C1C"/>
                <w:sz w:val="20"/>
                <w:szCs w:val="20"/>
              </w:rPr>
              <w:t>Time scale for implementation</w:t>
            </w:r>
          </w:p>
        </w:tc>
      </w:tr>
      <w:tr w:rsidR="001F137E" w:rsidRPr="00E97689" w:rsidTr="00B6206D">
        <w:trPr>
          <w:gridAfter w:val="4"/>
          <w:wAfter w:w="4096" w:type="pct"/>
          <w:tblHeader/>
        </w:trPr>
        <w:tc>
          <w:tcPr>
            <w:tcW w:w="904" w:type="pct"/>
            <w:gridSpan w:val="2"/>
            <w:tcBorders>
              <w:top w:val="single" w:sz="4" w:space="0" w:color="auto"/>
              <w:left w:val="nil"/>
              <w:right w:val="nil"/>
            </w:tcBorders>
          </w:tcPr>
          <w:p w:rsidR="004E46EF" w:rsidRPr="0007070D" w:rsidRDefault="004E46EF" w:rsidP="00A214BC">
            <w:pPr>
              <w:keepLines/>
              <w:ind w:left="6" w:right="113"/>
              <w:rPr>
                <w:rFonts w:ascii="Arial" w:hAnsi="Arial"/>
                <w:b/>
                <w:color w:val="1C1C1C"/>
                <w:sz w:val="4"/>
                <w:szCs w:val="4"/>
              </w:rPr>
            </w:pPr>
          </w:p>
        </w:tc>
      </w:tr>
      <w:tr w:rsidR="001F137E" w:rsidTr="00756439">
        <w:tc>
          <w:tcPr>
            <w:tcW w:w="523" w:type="pct"/>
            <w:tcBorders>
              <w:left w:val="nil"/>
              <w:bottom w:val="dotted" w:sz="12" w:space="0" w:color="BFBFBF" w:themeColor="background1" w:themeShade="BF"/>
              <w:right w:val="nil"/>
            </w:tcBorders>
            <w:hideMark/>
          </w:tcPr>
          <w:p w:rsidR="004E46EF" w:rsidRDefault="004E46EF" w:rsidP="0027197E">
            <w:pPr>
              <w:keepLines/>
              <w:spacing w:after="40" w:line="220" w:lineRule="atLeast"/>
              <w:ind w:left="6" w:right="113"/>
              <w:rPr>
                <w:rFonts w:ascii="Arial" w:hAnsi="Arial"/>
                <w:color w:val="1C1C1C"/>
                <w:sz w:val="20"/>
                <w:szCs w:val="20"/>
              </w:rPr>
            </w:pPr>
            <w:proofErr w:type="spellStart"/>
            <w:r>
              <w:rPr>
                <w:rFonts w:ascii="Arial" w:hAnsi="Arial"/>
                <w:b/>
                <w:color w:val="1C1C1C"/>
                <w:sz w:val="20"/>
                <w:szCs w:val="20"/>
              </w:rPr>
              <w:t>R4.8</w:t>
            </w:r>
            <w:proofErr w:type="spellEnd"/>
          </w:p>
        </w:tc>
        <w:tc>
          <w:tcPr>
            <w:tcW w:w="2160" w:type="pct"/>
            <w:gridSpan w:val="2"/>
            <w:tcBorders>
              <w:left w:val="nil"/>
              <w:bottom w:val="dotted" w:sz="12" w:space="0" w:color="BFBFBF" w:themeColor="background1" w:themeShade="BF"/>
              <w:right w:val="nil"/>
            </w:tcBorders>
            <w:hideMark/>
          </w:tcPr>
          <w:p w:rsidR="004E46EF" w:rsidRPr="00AC7822" w:rsidRDefault="004E46EF" w:rsidP="00A214BC">
            <w:pPr>
              <w:keepLines/>
              <w:spacing w:after="40" w:line="220" w:lineRule="atLeast"/>
              <w:ind w:left="6" w:right="113"/>
              <w:rPr>
                <w:rFonts w:ascii="Arial" w:hAnsi="Arial"/>
                <w:color w:val="1C1C1C"/>
                <w:sz w:val="20"/>
                <w:szCs w:val="20"/>
              </w:rPr>
            </w:pPr>
            <w:r w:rsidRPr="00AC7822">
              <w:rPr>
                <w:rFonts w:ascii="Arial" w:hAnsi="Arial"/>
                <w:color w:val="1C1C1C"/>
                <w:sz w:val="20"/>
                <w:szCs w:val="20"/>
              </w:rPr>
              <w:t>The Australian and New Zealand Governments should:</w:t>
            </w:r>
          </w:p>
          <w:p w:rsidR="004E46EF" w:rsidRPr="00966617" w:rsidRDefault="004E46EF" w:rsidP="00A214BC">
            <w:pPr>
              <w:pStyle w:val="TableBullet"/>
              <w:keepNext w:val="0"/>
              <w:rPr>
                <w:i/>
              </w:rPr>
            </w:pPr>
            <w:r w:rsidRPr="00966617">
              <w:t xml:space="preserve">waive </w:t>
            </w:r>
            <w:r w:rsidR="002F6BCD">
              <w:t>CER</w:t>
            </w:r>
            <w:r w:rsidRPr="00966617">
              <w:t xml:space="preserve"> Rules of Origin for all items for which Australia’s and New Zealand’s Most Favoured Nation tariffs are at 5</w:t>
            </w:r>
            <w:r>
              <w:t> </w:t>
            </w:r>
            <w:r w:rsidRPr="00966617">
              <w:t>percent or less</w:t>
            </w:r>
          </w:p>
          <w:p w:rsidR="004E46EF" w:rsidRDefault="004E46EF" w:rsidP="00F71FEC">
            <w:pPr>
              <w:pStyle w:val="TableBullet"/>
              <w:keepNext w:val="0"/>
              <w:rPr>
                <w:i/>
              </w:rPr>
            </w:pPr>
            <w:r w:rsidRPr="00966617">
              <w:t>consider reducing any tariffs that exceed 5</w:t>
            </w:r>
            <w:r>
              <w:t> </w:t>
            </w:r>
            <w:r w:rsidRPr="00966617">
              <w:t>percent to that level</w:t>
            </w:r>
            <w:r>
              <w:t>.</w:t>
            </w:r>
          </w:p>
        </w:tc>
        <w:tc>
          <w:tcPr>
            <w:tcW w:w="1511" w:type="pct"/>
            <w:tcBorders>
              <w:left w:val="nil"/>
              <w:bottom w:val="dotted" w:sz="12" w:space="0" w:color="BFBFBF" w:themeColor="background1" w:themeShade="BF"/>
              <w:right w:val="nil"/>
            </w:tcBorders>
            <w:hideMark/>
          </w:tcPr>
          <w:p w:rsidR="004E46EF" w:rsidRDefault="004E46EF" w:rsidP="00A214BC">
            <w:pPr>
              <w:keepLines/>
              <w:spacing w:after="40" w:line="220" w:lineRule="atLeast"/>
              <w:ind w:left="6" w:right="113"/>
              <w:rPr>
                <w:rFonts w:ascii="Arial" w:hAnsi="Arial"/>
                <w:i/>
                <w:color w:val="1C1C1C"/>
                <w:sz w:val="20"/>
                <w:szCs w:val="20"/>
              </w:rPr>
            </w:pPr>
            <w:r>
              <w:rPr>
                <w:rFonts w:ascii="Arial" w:hAnsi="Arial"/>
                <w:color w:val="1C1C1C"/>
                <w:sz w:val="20"/>
                <w:szCs w:val="20"/>
              </w:rPr>
              <w:t>Savings in administrative and compliance costs for government and business and improved resource allocation.</w:t>
            </w:r>
          </w:p>
        </w:tc>
        <w:tc>
          <w:tcPr>
            <w:tcW w:w="806" w:type="pct"/>
            <w:gridSpan w:val="2"/>
            <w:tcBorders>
              <w:left w:val="nil"/>
              <w:bottom w:val="dotted" w:sz="12" w:space="0" w:color="BFBFBF" w:themeColor="background1" w:themeShade="BF"/>
              <w:right w:val="nil"/>
            </w:tcBorders>
            <w:vAlign w:val="center"/>
            <w:hideMark/>
          </w:tcPr>
          <w:p w:rsidR="004E46EF" w:rsidRDefault="004E46EF" w:rsidP="00A214BC">
            <w:pPr>
              <w:keepLines/>
              <w:spacing w:line="220" w:lineRule="atLeast"/>
              <w:ind w:left="6" w:right="28"/>
              <w:jc w:val="center"/>
              <w:rPr>
                <w:rFonts w:ascii="Arial" w:hAnsi="Arial"/>
                <w:i/>
                <w:color w:val="1C1C1C"/>
                <w:sz w:val="20"/>
                <w:szCs w:val="20"/>
              </w:rPr>
            </w:pPr>
            <w:r>
              <w:rPr>
                <w:rFonts w:ascii="Arial" w:hAnsi="Arial"/>
                <w:color w:val="1C1C1C"/>
                <w:sz w:val="20"/>
                <w:szCs w:val="20"/>
              </w:rPr>
              <w:t xml:space="preserve">Short </w:t>
            </w:r>
            <w:r w:rsidR="00002A76">
              <w:rPr>
                <w:rFonts w:ascii="Arial" w:hAnsi="Arial"/>
                <w:color w:val="1C1C1C"/>
                <w:sz w:val="20"/>
                <w:szCs w:val="20"/>
              </w:rPr>
              <w:t xml:space="preserve">to medium </w:t>
            </w:r>
            <w:r>
              <w:rPr>
                <w:rFonts w:ascii="Arial" w:hAnsi="Arial"/>
                <w:color w:val="1C1C1C"/>
                <w:sz w:val="20"/>
                <w:szCs w:val="20"/>
              </w:rPr>
              <w:t>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keepLines/>
              <w:spacing w:after="40" w:line="220" w:lineRule="atLeast"/>
              <w:ind w:left="6" w:right="113"/>
              <w:rPr>
                <w:rFonts w:ascii="Arial" w:hAnsi="Arial"/>
                <w:b/>
                <w:color w:val="1C1C1C"/>
                <w:sz w:val="20"/>
                <w:szCs w:val="20"/>
              </w:rPr>
            </w:pPr>
            <w:proofErr w:type="spellStart"/>
            <w:r>
              <w:rPr>
                <w:rFonts w:ascii="Arial" w:hAnsi="Arial"/>
                <w:b/>
                <w:color w:val="1C1C1C"/>
                <w:sz w:val="20"/>
                <w:szCs w:val="20"/>
              </w:rPr>
              <w:t>R4.9</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 xml:space="preserve">Where cost effective, quarantine and biosecurity agencies in Australia and New Zealand should continue to develop common systems and processes, and enhance their </w:t>
            </w:r>
            <w:r>
              <w:t>joint approach to risk analysis.</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Benefits through sharing of information and resources.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keepLines/>
              <w:spacing w:line="220" w:lineRule="atLeast"/>
              <w:ind w:left="6" w:right="28"/>
              <w:jc w:val="center"/>
              <w:rPr>
                <w:rFonts w:ascii="Arial" w:hAnsi="Arial"/>
                <w:i/>
                <w:color w:val="1C1C1C"/>
                <w:sz w:val="20"/>
                <w:szCs w:val="20"/>
              </w:rPr>
            </w:pPr>
            <w:r>
              <w:rPr>
                <w:rFonts w:ascii="Arial" w:hAnsi="Arial"/>
                <w:color w:val="1C1C1C"/>
                <w:sz w:val="20"/>
                <w:szCs w:val="20"/>
              </w:rPr>
              <w:t>Ongoing</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keepLines/>
              <w:spacing w:after="40" w:line="220" w:lineRule="atLeast"/>
              <w:ind w:right="113"/>
              <w:rPr>
                <w:rFonts w:ascii="Arial" w:hAnsi="Arial"/>
                <w:color w:val="1C1C1C"/>
                <w:sz w:val="20"/>
                <w:szCs w:val="20"/>
              </w:rPr>
            </w:pPr>
            <w:proofErr w:type="spellStart"/>
            <w:r>
              <w:rPr>
                <w:rFonts w:ascii="Arial" w:hAnsi="Arial"/>
                <w:b/>
                <w:color w:val="1C1C1C"/>
                <w:sz w:val="20"/>
                <w:szCs w:val="20"/>
              </w:rPr>
              <w:t>R4.10</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t>T</w:t>
            </w:r>
            <w:r w:rsidRPr="00995AA4">
              <w:t xml:space="preserve">he Australian and New Zealand Governments </w:t>
            </w:r>
            <w:r>
              <w:t xml:space="preserve">should </w:t>
            </w:r>
            <w:r w:rsidR="00D52AAC">
              <w:t xml:space="preserve">complete the </w:t>
            </w:r>
            <w:r w:rsidRPr="00995AA4">
              <w:t>review</w:t>
            </w:r>
            <w:r w:rsidR="00D52AAC">
              <w:t xml:space="preserve"> of</w:t>
            </w:r>
            <w:r w:rsidRPr="00995AA4">
              <w:t xml:space="preserve"> the exclusions from the Trade in Services Protocol, to consider whether retaining each exclusion would generate net benefits.</w:t>
            </w:r>
            <w:r>
              <w:t xml:space="preserve"> The review should be published. </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Pr="00CC58CD" w:rsidRDefault="004E46EF" w:rsidP="00A214BC">
            <w:pPr>
              <w:pStyle w:val="TableBodyText"/>
              <w:keepNext w:val="0"/>
              <w:jc w:val="left"/>
              <w:rPr>
                <w:i/>
              </w:rPr>
            </w:pPr>
            <w:r>
              <w:t>The removal of exclusions has the potential to generate benefits from enhanced trans-Tasman competition. Exclusions have not been reviewed since 2008.</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keepLines/>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keepLines/>
              <w:spacing w:after="40" w:line="220" w:lineRule="atLeast"/>
              <w:ind w:right="113"/>
              <w:rPr>
                <w:rFonts w:ascii="Arial" w:hAnsi="Arial"/>
                <w:b/>
                <w:color w:val="1C1C1C"/>
                <w:sz w:val="20"/>
                <w:szCs w:val="20"/>
              </w:rPr>
            </w:pPr>
            <w:proofErr w:type="spellStart"/>
            <w:r>
              <w:rPr>
                <w:rFonts w:ascii="Arial" w:hAnsi="Arial"/>
                <w:b/>
                <w:color w:val="1C1C1C"/>
                <w:sz w:val="20"/>
                <w:szCs w:val="20"/>
              </w:rPr>
              <w:t>R4.11</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The Australian and New Zealand Governments should remove the remaining restrictions on the single trans-Tasman aviation market</w:t>
            </w:r>
            <w:r>
              <w:t>.</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Maintain (already significant) competitive pressure in the trans-Tasman air services market.</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keepLines/>
              <w:ind w:left="6" w:right="28"/>
              <w:jc w:val="center"/>
              <w:rPr>
                <w:rFonts w:ascii="Arial" w:hAnsi="Arial"/>
                <w:i/>
                <w:color w:val="1C1C1C"/>
                <w:sz w:val="20"/>
                <w:szCs w:val="20"/>
              </w:rPr>
            </w:pPr>
            <w:r w:rsidRPr="00B8551B">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keepLines/>
              <w:spacing w:after="40" w:line="220" w:lineRule="atLeast"/>
              <w:ind w:right="113"/>
              <w:rPr>
                <w:rFonts w:ascii="Arial" w:hAnsi="Arial"/>
                <w:color w:val="1C1C1C"/>
                <w:sz w:val="20"/>
                <w:szCs w:val="20"/>
              </w:rPr>
            </w:pPr>
            <w:proofErr w:type="spellStart"/>
            <w:r>
              <w:rPr>
                <w:rFonts w:ascii="Arial" w:hAnsi="Arial"/>
                <w:b/>
                <w:color w:val="1C1C1C"/>
                <w:sz w:val="20"/>
                <w:szCs w:val="20"/>
              </w:rPr>
              <w:t>R4.12</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The Australian and New Zealand Governments should:</w:t>
            </w:r>
          </w:p>
          <w:p w:rsidR="004E46EF" w:rsidRPr="00995AA4" w:rsidRDefault="004E46EF" w:rsidP="00A214BC">
            <w:pPr>
              <w:pStyle w:val="TableBullet"/>
              <w:keepNext w:val="0"/>
              <w:rPr>
                <w:i/>
              </w:rPr>
            </w:pPr>
            <w:r w:rsidRPr="00995AA4">
              <w:t xml:space="preserve">ensure that the objective of air services policy is explicitly directed at promoting net benefits for the community </w:t>
            </w:r>
          </w:p>
          <w:p w:rsidR="004E46EF" w:rsidRPr="00995AA4" w:rsidRDefault="004E46EF" w:rsidP="00A214BC">
            <w:pPr>
              <w:pStyle w:val="TableBullet"/>
              <w:keepNext w:val="0"/>
              <w:rPr>
                <w:i/>
              </w:rPr>
            </w:pPr>
            <w:r w:rsidRPr="00995AA4">
              <w:t>pursue the most liberal air services agreements possible</w:t>
            </w:r>
            <w:r w:rsidR="0088770A">
              <w:t>,</w:t>
            </w:r>
            <w:r>
              <w:t xml:space="preserve"> by</w:t>
            </w:r>
            <w:r w:rsidRPr="00995AA4">
              <w:t xml:space="preserve"> negotiating reciprocal open capacity and all air freedoms</w:t>
            </w:r>
            <w:r>
              <w:t>,</w:t>
            </w:r>
            <w:r w:rsidRPr="00995AA4">
              <w:t xml:space="preserve"> </w:t>
            </w:r>
            <w:r>
              <w:t>including</w:t>
            </w:r>
            <w:r w:rsidRPr="00995AA4">
              <w:t xml:space="preserve"> cabotage where appropriate </w:t>
            </w:r>
          </w:p>
          <w:p w:rsidR="004E46EF" w:rsidRDefault="004E46EF" w:rsidP="00A214BC">
            <w:pPr>
              <w:pStyle w:val="TableBullet"/>
              <w:keepNext w:val="0"/>
              <w:rPr>
                <w:i/>
              </w:rPr>
            </w:pPr>
            <w:r w:rsidRPr="00995AA4">
              <w:t>revise designation and ownership requirements</w:t>
            </w:r>
            <w:r>
              <w:t>.</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Enhanced competition, lower airfares, and an expanded range of services.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C23FC6" w:rsidP="00A214BC">
            <w:pPr>
              <w:keepLines/>
              <w:ind w:left="6" w:right="28"/>
              <w:jc w:val="center"/>
              <w:rPr>
                <w:rFonts w:ascii="Arial" w:hAnsi="Arial"/>
                <w:i/>
                <w:color w:val="1C1C1C"/>
                <w:sz w:val="20"/>
                <w:szCs w:val="20"/>
              </w:rPr>
            </w:pPr>
            <w:r>
              <w:rPr>
                <w:rFonts w:ascii="Arial" w:hAnsi="Arial"/>
                <w:color w:val="1C1C1C"/>
                <w:sz w:val="20"/>
                <w:szCs w:val="20"/>
              </w:rPr>
              <w:t>Medium</w:t>
            </w:r>
            <w:r w:rsidR="004E46EF" w:rsidRPr="00B8551B">
              <w:rPr>
                <w:rFonts w:ascii="Arial" w:hAnsi="Arial"/>
                <w:color w:val="1C1C1C"/>
                <w:sz w:val="20"/>
                <w:szCs w:val="20"/>
              </w:rPr>
              <w:t xml:space="preserve">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color w:val="1C1C1C"/>
                <w:sz w:val="20"/>
                <w:szCs w:val="20"/>
              </w:rPr>
            </w:pPr>
            <w:proofErr w:type="spellStart"/>
            <w:r>
              <w:rPr>
                <w:rFonts w:ascii="Arial" w:hAnsi="Arial"/>
                <w:b/>
                <w:color w:val="1C1C1C"/>
                <w:sz w:val="20"/>
                <w:szCs w:val="20"/>
              </w:rPr>
              <w:t>R4.13</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 xml:space="preserve">The Australian Government should reconfigure the Passenger Movement Charge as a genuine user charge for border services. The New Zealand Government should review its border passenger charges to achieve full and transparent cost recovery, in line with </w:t>
            </w:r>
            <w:r>
              <w:t>existing arrangements for cargo.</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Increased transparency, and potentially more equitable.</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rPr>
          <w:trHeight w:val="1474"/>
        </w:trPr>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widowControl w:val="0"/>
              <w:spacing w:after="40" w:line="220" w:lineRule="atLeast"/>
              <w:ind w:right="113"/>
              <w:rPr>
                <w:rFonts w:ascii="Arial" w:hAnsi="Arial"/>
                <w:b/>
                <w:color w:val="1C1C1C"/>
                <w:sz w:val="20"/>
                <w:szCs w:val="20"/>
              </w:rPr>
            </w:pPr>
            <w:proofErr w:type="spellStart"/>
            <w:r>
              <w:rPr>
                <w:rFonts w:ascii="Arial" w:hAnsi="Arial"/>
                <w:b/>
                <w:color w:val="1C1C1C"/>
                <w:sz w:val="20"/>
                <w:szCs w:val="20"/>
              </w:rPr>
              <w:lastRenderedPageBreak/>
              <w:t>R4.14</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keepLines w:val="0"/>
              <w:widowControl w:val="0"/>
              <w:jc w:val="left"/>
              <w:rPr>
                <w:i/>
              </w:rPr>
            </w:pPr>
            <w:r w:rsidRPr="00995AA4">
              <w:t>The Australian and New Zealand Governments should remove — preferably on a coordinated basis — the exemption for international shipping ratemaking agreements from legislation governing restrictive trade practices</w:t>
            </w:r>
            <w:r>
              <w:t>.</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keepLines w:val="0"/>
              <w:widowControl w:val="0"/>
              <w:jc w:val="left"/>
              <w:rPr>
                <w:i/>
              </w:rPr>
            </w:pPr>
            <w:r>
              <w:t>Increased competition and potentially lower costs for businesses.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widowControl w:val="0"/>
              <w:ind w:left="6" w:right="113"/>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color w:val="1C1C1C"/>
                <w:sz w:val="20"/>
                <w:szCs w:val="20"/>
              </w:rPr>
            </w:pPr>
            <w:proofErr w:type="spellStart"/>
            <w:r>
              <w:rPr>
                <w:rFonts w:ascii="Arial" w:hAnsi="Arial"/>
                <w:b/>
                <w:color w:val="1C1C1C"/>
                <w:sz w:val="20"/>
                <w:szCs w:val="20"/>
              </w:rPr>
              <w:t>R4.15</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t>W</w:t>
            </w:r>
            <w:r w:rsidRPr="00995AA4">
              <w:t>hen reviewing the restrictions on competition for coastal shipping, the Australian Government should adopt a broad cost-benefit framework and draw on the experience of New Zealand with its different regulatory approach.</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A39F0">
            <w:pPr>
              <w:pStyle w:val="TableBodyText"/>
              <w:keepNext w:val="0"/>
              <w:jc w:val="left"/>
              <w:rPr>
                <w:i/>
              </w:rPr>
            </w:pPr>
            <w:r>
              <w:t xml:space="preserve">Net benefits for the wider Australian economy and community, </w:t>
            </w:r>
            <w:r w:rsidR="002A39F0">
              <w:t xml:space="preserve">and may </w:t>
            </w:r>
            <w:r>
              <w:t>reduc</w:t>
            </w:r>
            <w:r w:rsidR="002A39F0">
              <w:t>e</w:t>
            </w:r>
            <w:r>
              <w:t xml:space="preserve"> trans-Tasman shipping costs.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ind w:left="6" w:right="28"/>
              <w:jc w:val="center"/>
              <w:rPr>
                <w:rFonts w:ascii="Arial" w:hAnsi="Arial"/>
                <w:i/>
                <w:color w:val="1C1C1C"/>
                <w:sz w:val="20"/>
                <w:szCs w:val="20"/>
              </w:rPr>
            </w:pPr>
            <w:r>
              <w:rPr>
                <w:rFonts w:ascii="Arial" w:hAnsi="Arial"/>
                <w:color w:val="1C1C1C"/>
                <w:sz w:val="20"/>
                <w:szCs w:val="20"/>
              </w:rPr>
              <w:t>Medium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tcPr>
          <w:p w:rsidR="004E46EF" w:rsidDel="00BE4B55" w:rsidRDefault="004E46EF"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R4.16</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tcPr>
          <w:p w:rsidR="004E46EF" w:rsidRPr="00995AA4" w:rsidRDefault="004E46EF" w:rsidP="00A214BC">
            <w:pPr>
              <w:pStyle w:val="TableBodyText"/>
              <w:keepNext w:val="0"/>
              <w:jc w:val="left"/>
              <w:rPr>
                <w:i/>
              </w:rPr>
            </w:pPr>
            <w:r>
              <w:t xml:space="preserve">Governments should undertake </w:t>
            </w:r>
            <w:r w:rsidRPr="00995AA4">
              <w:t xml:space="preserve">systematic monitoring, data collection and benchmarking of ports’ performance </w:t>
            </w:r>
            <w:r>
              <w:t>in</w:t>
            </w:r>
            <w:r w:rsidRPr="00995AA4">
              <w:t xml:space="preserve"> Australia and New Zealand</w:t>
            </w:r>
            <w:r>
              <w:t>, building on existing initiatives.</w:t>
            </w:r>
          </w:p>
        </w:tc>
        <w:tc>
          <w:tcPr>
            <w:tcW w:w="1511" w:type="pct"/>
            <w:tcBorders>
              <w:top w:val="dotted" w:sz="12" w:space="0" w:color="BFBFBF" w:themeColor="background1" w:themeShade="BF"/>
              <w:left w:val="nil"/>
              <w:bottom w:val="dotted" w:sz="12" w:space="0" w:color="BFBFBF" w:themeColor="background1" w:themeShade="BF"/>
              <w:right w:val="nil"/>
            </w:tcBorders>
          </w:tcPr>
          <w:p w:rsidR="004E46EF" w:rsidRDefault="004E46EF" w:rsidP="00A214BC">
            <w:pPr>
              <w:pStyle w:val="TableBodyText"/>
              <w:keepNext w:val="0"/>
              <w:jc w:val="left"/>
              <w:rPr>
                <w:i/>
              </w:rPr>
            </w:pPr>
            <w:r>
              <w:t>Identify opportunities to improve performance of ports and facilitate the diffusion of good practice.</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A214BC">
            <w:pPr>
              <w:ind w:left="6" w:right="28"/>
              <w:jc w:val="center"/>
              <w:rPr>
                <w:rFonts w:ascii="Arial" w:hAnsi="Arial"/>
                <w:i/>
                <w:color w:val="1C1C1C"/>
                <w:sz w:val="20"/>
                <w:szCs w:val="20"/>
              </w:rPr>
            </w:pPr>
            <w:r>
              <w:rPr>
                <w:rFonts w:ascii="Arial" w:hAnsi="Arial"/>
                <w:color w:val="1C1C1C"/>
                <w:sz w:val="20"/>
                <w:szCs w:val="20"/>
              </w:rPr>
              <w:t>Ongoing</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tcPr>
          <w:p w:rsidR="004E46EF" w:rsidRDefault="004E46EF"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R4.17</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tcPr>
          <w:p w:rsidR="004E46EF" w:rsidRDefault="004E46EF" w:rsidP="00A214BC">
            <w:pPr>
              <w:pStyle w:val="TableBodyText"/>
              <w:keepNext w:val="0"/>
              <w:jc w:val="left"/>
              <w:rPr>
                <w:i/>
              </w:rPr>
            </w:pPr>
            <w:r>
              <w:t>The Australian and New Zealand Governments</w:t>
            </w:r>
            <w:r w:rsidRPr="00565532">
              <w:t xml:space="preserve"> should include in the next reviews of their respective telecommunications regulat</w:t>
            </w:r>
            <w:r>
              <w:t>ory framework</w:t>
            </w:r>
            <w:r w:rsidR="00381FCF">
              <w:t>s</w:t>
            </w:r>
            <w:r w:rsidRPr="00565532">
              <w:t xml:space="preserve"> a term of reference to examine barriers to trans-Tasman trade in telecommunication service</w:t>
            </w:r>
            <w:r>
              <w:t>s</w:t>
            </w:r>
            <w:r w:rsidRPr="00565532">
              <w:t xml:space="preserve"> and options for their removal.</w:t>
            </w:r>
          </w:p>
        </w:tc>
        <w:tc>
          <w:tcPr>
            <w:tcW w:w="1511" w:type="pct"/>
            <w:tcBorders>
              <w:top w:val="dotted" w:sz="12" w:space="0" w:color="BFBFBF" w:themeColor="background1" w:themeShade="BF"/>
              <w:left w:val="nil"/>
              <w:bottom w:val="dotted" w:sz="12" w:space="0" w:color="BFBFBF" w:themeColor="background1" w:themeShade="BF"/>
              <w:right w:val="nil"/>
            </w:tcBorders>
          </w:tcPr>
          <w:p w:rsidR="004E46EF" w:rsidRDefault="00733468" w:rsidP="00A214BC">
            <w:pPr>
              <w:pStyle w:val="TableBodyText"/>
              <w:keepNext w:val="0"/>
              <w:jc w:val="left"/>
              <w:rPr>
                <w:i/>
              </w:rPr>
            </w:pPr>
            <w:r>
              <w:t>Identify beneficial opportunities to further harmonise telecommunications regulation.</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A214BC">
            <w:pPr>
              <w:ind w:left="6" w:right="28"/>
              <w:jc w:val="center"/>
              <w:rPr>
                <w:rFonts w:ascii="Arial" w:hAnsi="Arial"/>
                <w:i/>
                <w:color w:val="1C1C1C"/>
                <w:sz w:val="20"/>
                <w:szCs w:val="20"/>
              </w:rPr>
            </w:pPr>
            <w:r>
              <w:rPr>
                <w:rFonts w:ascii="Arial" w:hAnsi="Arial"/>
                <w:color w:val="1C1C1C"/>
                <w:sz w:val="20"/>
                <w:szCs w:val="20"/>
              </w:rPr>
              <w:t>Medium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color w:val="1C1C1C"/>
                <w:sz w:val="20"/>
                <w:szCs w:val="20"/>
              </w:rPr>
            </w:pPr>
            <w:proofErr w:type="spellStart"/>
            <w:r>
              <w:rPr>
                <w:rFonts w:ascii="Arial" w:hAnsi="Arial"/>
                <w:b/>
                <w:color w:val="1C1C1C"/>
                <w:sz w:val="20"/>
                <w:szCs w:val="20"/>
              </w:rPr>
              <w:t>R4.18</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t>T</w:t>
            </w:r>
            <w:r w:rsidRPr="00CC58CD">
              <w:t xml:space="preserve">he Australian and New Zealand Governments should consider removing remaining restrictions on </w:t>
            </w:r>
            <w:r>
              <w:t xml:space="preserve">trans-Tasman </w:t>
            </w:r>
            <w:r w:rsidRPr="00CC58CD">
              <w:t>foreign direct investment. The policy rationale and the costs and benefits of any restrictions, including exceptions to national treatment left in place, should be made clear.</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F</w:t>
            </w:r>
            <w:r w:rsidRPr="00CC58CD">
              <w:t>urther reduce the cost and uncertainty of trans-Tasman investment and more fully realise the benefits from the free movement of capital</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Medium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tcPr>
          <w:p w:rsidR="004E46EF" w:rsidRDefault="008F63A0"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w:t>
            </w:r>
            <w:r w:rsidR="004E46EF">
              <w:rPr>
                <w:rFonts w:ascii="Arial" w:hAnsi="Arial"/>
                <w:b/>
                <w:color w:val="1C1C1C"/>
                <w:sz w:val="20"/>
                <w:szCs w:val="20"/>
              </w:rPr>
              <w:t>4</w:t>
            </w:r>
            <w:r>
              <w:rPr>
                <w:rFonts w:ascii="Arial" w:hAnsi="Arial"/>
                <w:b/>
                <w:color w:val="1C1C1C"/>
                <w:sz w:val="20"/>
                <w:szCs w:val="20"/>
              </w:rPr>
              <w:t>.</w:t>
            </w:r>
            <w:r w:rsidR="004E46EF">
              <w:rPr>
                <w:rFonts w:ascii="Arial" w:hAnsi="Arial"/>
                <w:b/>
                <w:color w:val="1C1C1C"/>
                <w:sz w:val="20"/>
                <w:szCs w:val="20"/>
              </w:rPr>
              <w:t>19</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tcPr>
          <w:p w:rsidR="00B43751" w:rsidRDefault="004E46EF" w:rsidP="00A214BC">
            <w:pPr>
              <w:pStyle w:val="TableBodyText"/>
              <w:keepNext w:val="0"/>
              <w:jc w:val="left"/>
            </w:pPr>
            <w:r w:rsidRPr="00AC7822">
              <w:t>The Australian and New Zealand Governments should either:</w:t>
            </w:r>
          </w:p>
          <w:p w:rsidR="004E46EF" w:rsidRPr="00B43751" w:rsidRDefault="006C0EF2" w:rsidP="00B43751">
            <w:pPr>
              <w:pStyle w:val="TableBullet"/>
              <w:keepNext w:val="0"/>
            </w:pPr>
            <w:r>
              <w:t>initiate</w:t>
            </w:r>
            <w:r w:rsidRPr="00B43751">
              <w:t xml:space="preserve"> </w:t>
            </w:r>
            <w:r w:rsidR="004E46EF" w:rsidRPr="00B43751">
              <w:t xml:space="preserve">a process, preferably with a clear deadline, for determining whether there is an efficient, equitable and robust mechanism that would ensure a satisfactory distribution of the gains from </w:t>
            </w:r>
            <w:r w:rsidR="004E46EF">
              <w:t xml:space="preserve">the mutual recognition of imputation credits (MRIC); </w:t>
            </w:r>
            <w:r w:rsidR="004E46EF" w:rsidRPr="00B43751">
              <w:t>or</w:t>
            </w:r>
          </w:p>
          <w:p w:rsidR="004E46EF" w:rsidRDefault="00021B6D" w:rsidP="00021B6D">
            <w:pPr>
              <w:pStyle w:val="TableBullet"/>
              <w:rPr>
                <w:i/>
              </w:rPr>
            </w:pPr>
            <w:r>
              <w:t xml:space="preserve">if they consider that such mechanisms are infeasible, announce that </w:t>
            </w:r>
            <w:proofErr w:type="spellStart"/>
            <w:r>
              <w:t>MRIC</w:t>
            </w:r>
            <w:proofErr w:type="spellEnd"/>
            <w:r>
              <w:t xml:space="preserve"> will not go ahead.</w:t>
            </w:r>
          </w:p>
        </w:tc>
        <w:tc>
          <w:tcPr>
            <w:tcW w:w="1511" w:type="pct"/>
            <w:tcBorders>
              <w:top w:val="dotted" w:sz="12" w:space="0" w:color="BFBFBF" w:themeColor="background1" w:themeShade="BF"/>
              <w:left w:val="nil"/>
              <w:bottom w:val="dotted" w:sz="12" w:space="0" w:color="BFBFBF" w:themeColor="background1" w:themeShade="BF"/>
              <w:right w:val="nil"/>
            </w:tcBorders>
          </w:tcPr>
          <w:p w:rsidR="006C28AE" w:rsidRDefault="004E46EF" w:rsidP="00B6206D">
            <w:pPr>
              <w:pStyle w:val="TableBodyText"/>
              <w:keepNext w:val="0"/>
              <w:jc w:val="left"/>
              <w:rPr>
                <w:i/>
              </w:rPr>
            </w:pPr>
            <w:r w:rsidRPr="00CC08AB">
              <w:t xml:space="preserve">MRIC would be expected to improve trans-Tasman </w:t>
            </w:r>
            <w:r w:rsidRPr="00D12861">
              <w:t>economic efficiency and result in a more integrated capital market.</w:t>
            </w:r>
            <w:r w:rsidRPr="004E0515">
              <w:t xml:space="preserve"> However, MRIC</w:t>
            </w:r>
            <w:r w:rsidRPr="00CF0F62">
              <w:t xml:space="preserve"> would lead to a greater fiscal cost for Australia than New Zealand and to some income transfers between Australia and New Zealand</w:t>
            </w:r>
            <w:r>
              <w:t xml:space="preserve">. A </w:t>
            </w:r>
            <w:r w:rsidRPr="00CC08AB">
              <w:t xml:space="preserve">probable outcome </w:t>
            </w:r>
            <w:r>
              <w:t>would be</w:t>
            </w:r>
            <w:r w:rsidRPr="00CC08AB">
              <w:t xml:space="preserve"> a net</w:t>
            </w:r>
            <w:r w:rsidR="00733468">
              <w:t xml:space="preserve"> income</w:t>
            </w:r>
            <w:r w:rsidRPr="00CC08AB">
              <w:t xml:space="preserve"> loss</w:t>
            </w:r>
            <w:r w:rsidR="00733468">
              <w:t xml:space="preserve">, of uncertain size, </w:t>
            </w:r>
            <w:r w:rsidRPr="00CC08AB">
              <w:t xml:space="preserve">for </w:t>
            </w:r>
            <w:r w:rsidR="00B43751" w:rsidRPr="00CC08AB">
              <w:t>Australi</w:t>
            </w:r>
            <w:r w:rsidR="00B43751">
              <w:t>a. A</w:t>
            </w:r>
            <w:r w:rsidR="00733468">
              <w:t xml:space="preserve"> workable mechanism would need to address these imbalances and uncertainties.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tcPr>
          <w:p w:rsidR="004E46EF" w:rsidRDefault="008F63A0" w:rsidP="00756439">
            <w:pPr>
              <w:keepNext/>
              <w:spacing w:after="40" w:line="220" w:lineRule="atLeast"/>
              <w:ind w:right="113"/>
              <w:rPr>
                <w:rFonts w:ascii="Arial" w:hAnsi="Arial"/>
                <w:b/>
                <w:color w:val="1C1C1C"/>
                <w:sz w:val="20"/>
                <w:szCs w:val="20"/>
              </w:rPr>
            </w:pPr>
            <w:proofErr w:type="spellStart"/>
            <w:r>
              <w:rPr>
                <w:rFonts w:ascii="Arial" w:hAnsi="Arial"/>
                <w:b/>
                <w:color w:val="1C1C1C"/>
                <w:sz w:val="20"/>
                <w:szCs w:val="20"/>
              </w:rPr>
              <w:lastRenderedPageBreak/>
              <w:t>R</w:t>
            </w:r>
            <w:r w:rsidR="004E46EF">
              <w:rPr>
                <w:rFonts w:ascii="Arial" w:hAnsi="Arial"/>
                <w:b/>
                <w:color w:val="1C1C1C"/>
                <w:sz w:val="20"/>
                <w:szCs w:val="20"/>
              </w:rPr>
              <w:t>4.20</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tcPr>
          <w:p w:rsidR="004E46EF" w:rsidRPr="00BB3F20" w:rsidRDefault="004E46EF" w:rsidP="00756439">
            <w:pPr>
              <w:pStyle w:val="TableBodyText"/>
              <w:jc w:val="left"/>
              <w:rPr>
                <w:i/>
                <w:color w:val="auto"/>
              </w:rPr>
            </w:pPr>
            <w:r w:rsidRPr="00CC08AB">
              <w:t xml:space="preserve">Taxation of non-resident employees should be considered </w:t>
            </w:r>
            <w:r w:rsidR="0088770A">
              <w:t xml:space="preserve">when </w:t>
            </w:r>
            <w:r w:rsidRPr="00CC08AB">
              <w:t xml:space="preserve">the </w:t>
            </w:r>
            <w:r w:rsidR="005A7F3E">
              <w:t>d</w:t>
            </w:r>
            <w:r w:rsidRPr="00CC08AB">
              <w:t xml:space="preserve">ouble </w:t>
            </w:r>
            <w:r w:rsidR="005A7F3E">
              <w:t>t</w:t>
            </w:r>
            <w:r w:rsidRPr="00CC08AB">
              <w:t xml:space="preserve">axation </w:t>
            </w:r>
            <w:r w:rsidR="005A7F3E">
              <w:t>arrangements</w:t>
            </w:r>
            <w:r w:rsidRPr="00CC08AB">
              <w:t xml:space="preserve"> between Australia and New Zealand </w:t>
            </w:r>
            <w:r w:rsidR="005A7F3E">
              <w:t>are next reviewed</w:t>
            </w:r>
            <w:r w:rsidR="0011522E">
              <w:t>.</w:t>
            </w:r>
          </w:p>
        </w:tc>
        <w:tc>
          <w:tcPr>
            <w:tcW w:w="1528" w:type="pct"/>
            <w:gridSpan w:val="2"/>
            <w:tcBorders>
              <w:top w:val="dotted" w:sz="12" w:space="0" w:color="BFBFBF" w:themeColor="background1" w:themeShade="BF"/>
              <w:left w:val="nil"/>
              <w:bottom w:val="dotted" w:sz="12" w:space="0" w:color="BFBFBF" w:themeColor="background1" w:themeShade="BF"/>
              <w:right w:val="nil"/>
            </w:tcBorders>
          </w:tcPr>
          <w:p w:rsidR="004E46EF" w:rsidRPr="00CC08AB" w:rsidRDefault="004E46EF" w:rsidP="00756439">
            <w:pPr>
              <w:pStyle w:val="TableBodyText"/>
              <w:jc w:val="left"/>
              <w:rPr>
                <w:i/>
              </w:rPr>
            </w:pPr>
            <w:r>
              <w:t>Reduce compliance costs for businesses with employees active in both trans-Tasman jurisdictions.</w:t>
            </w:r>
          </w:p>
        </w:tc>
        <w:tc>
          <w:tcPr>
            <w:tcW w:w="789" w:type="pct"/>
            <w:tcBorders>
              <w:top w:val="dotted" w:sz="12" w:space="0" w:color="BFBFBF" w:themeColor="background1" w:themeShade="BF"/>
              <w:left w:val="nil"/>
              <w:bottom w:val="dotted" w:sz="12" w:space="0" w:color="BFBFBF" w:themeColor="background1" w:themeShade="BF"/>
              <w:right w:val="nil"/>
            </w:tcBorders>
            <w:vAlign w:val="center"/>
          </w:tcPr>
          <w:p w:rsidR="004E46EF" w:rsidRDefault="001D6438" w:rsidP="00756439">
            <w:pPr>
              <w:keepNext/>
              <w:spacing w:line="220" w:lineRule="atLeast"/>
              <w:ind w:left="6" w:right="28"/>
              <w:jc w:val="center"/>
              <w:rPr>
                <w:rFonts w:ascii="Arial" w:hAnsi="Arial"/>
                <w:i/>
                <w:color w:val="1C1C1C"/>
                <w:sz w:val="20"/>
                <w:szCs w:val="20"/>
              </w:rPr>
            </w:pPr>
            <w:r>
              <w:rPr>
                <w:rFonts w:ascii="Arial" w:hAnsi="Arial"/>
                <w:color w:val="1C1C1C"/>
                <w:sz w:val="20"/>
                <w:szCs w:val="20"/>
              </w:rPr>
              <w:t xml:space="preserve">Short to medium </w:t>
            </w:r>
            <w:r w:rsidR="004E46EF">
              <w:rPr>
                <w:rFonts w:ascii="Arial" w:hAnsi="Arial"/>
                <w:color w:val="1C1C1C"/>
                <w:sz w:val="20"/>
                <w:szCs w:val="20"/>
              </w:rPr>
              <w:t>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756439">
            <w:pPr>
              <w:keepNext/>
              <w:spacing w:after="40" w:line="220" w:lineRule="atLeast"/>
              <w:ind w:right="113"/>
              <w:rPr>
                <w:rFonts w:ascii="Arial" w:hAnsi="Arial"/>
                <w:b/>
                <w:color w:val="1C1C1C"/>
                <w:sz w:val="20"/>
                <w:szCs w:val="20"/>
              </w:rPr>
            </w:pPr>
            <w:proofErr w:type="spellStart"/>
            <w:r>
              <w:rPr>
                <w:rFonts w:ascii="Arial" w:hAnsi="Arial"/>
                <w:b/>
                <w:color w:val="1C1C1C"/>
                <w:sz w:val="20"/>
                <w:szCs w:val="20"/>
              </w:rPr>
              <w:t>R4.21</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756439">
            <w:pPr>
              <w:pStyle w:val="TableBodyText"/>
              <w:jc w:val="left"/>
              <w:rPr>
                <w:i/>
              </w:rPr>
            </w:pPr>
            <w:r w:rsidRPr="00995AA4">
              <w:t xml:space="preserve">The Australian and New Zealand Governments should progress the further roll out of SmartGate and associated systems where it is cost effective to do so, focusing on departures from </w:t>
            </w:r>
            <w:r>
              <w:t>Australia and major regional airports.</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756439">
            <w:pPr>
              <w:pStyle w:val="TableBodyText"/>
              <w:jc w:val="left"/>
              <w:rPr>
                <w:i/>
              </w:rPr>
            </w:pPr>
            <w:r>
              <w:t>Extending availability of SmartGate would simplify customs and immigration checks for a larger number of eligible travellers.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756439">
            <w:pPr>
              <w:keepNext/>
              <w:spacing w:line="220" w:lineRule="atLeast"/>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R4.22</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756439" w:rsidRDefault="004E46EF" w:rsidP="00756439">
            <w:pPr>
              <w:pStyle w:val="TableBodyText"/>
              <w:jc w:val="left"/>
            </w:pPr>
            <w:r w:rsidRPr="00995AA4">
              <w:t xml:space="preserve">The Australian and New Zealand Governments should </w:t>
            </w:r>
            <w:r w:rsidR="006A18A1">
              <w:t>consider</w:t>
            </w:r>
            <w:r w:rsidRPr="00995AA4">
              <w:t xml:space="preserve"> a ‘trans-Tasman tourist visa’ for citizens from other relevant countries who wish to travel to both countries. The charges for this visa should be based on a cost-recovery model, with agre</w:t>
            </w:r>
            <w:r>
              <w:t>ed sharing of revenue and costs.</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 xml:space="preserve">Reducing visa </w:t>
            </w:r>
            <w:r w:rsidR="002C4045">
              <w:t xml:space="preserve">requirements </w:t>
            </w:r>
            <w:r>
              <w:t>may encourage foreign travellers to visit both countries on a trip.</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113"/>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R4.23</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66617" w:rsidRDefault="004E46EF" w:rsidP="00A214BC">
            <w:pPr>
              <w:pStyle w:val="TableBodyText"/>
              <w:keepNext w:val="0"/>
              <w:jc w:val="left"/>
              <w:rPr>
                <w:i/>
              </w:rPr>
            </w:pPr>
            <w:r w:rsidRPr="00AC7822">
              <w:t>The Australian and New Zealand Governments should give clear and coordinated, whole-of-government advice to</w:t>
            </w:r>
            <w:r w:rsidR="00A7193F" w:rsidRPr="00AC7822">
              <w:t xml:space="preserve"> </w:t>
            </w:r>
            <w:r w:rsidRPr="00AC7822">
              <w:t>Special Category Visa holders in Australia</w:t>
            </w:r>
            <w:r w:rsidR="00F71FEC" w:rsidRPr="00AC7822">
              <w:t>,</w:t>
            </w:r>
            <w:r w:rsidR="0088770A" w:rsidRPr="00AC7822">
              <w:t xml:space="preserve"> and</w:t>
            </w:r>
            <w:r w:rsidR="002C4045" w:rsidRPr="00AC7822">
              <w:t xml:space="preserve"> </w:t>
            </w:r>
            <w:r w:rsidRPr="00AC7822">
              <w:t>New Zealand citizens contemplating residence in Australia</w:t>
            </w:r>
            <w:r w:rsidR="0088770A" w:rsidRPr="00AC7822">
              <w:t>,</w:t>
            </w:r>
            <w:r w:rsidR="00A7193F" w:rsidRPr="00AC7822">
              <w:t xml:space="preserve"> </w:t>
            </w:r>
            <w:r w:rsidRPr="00CC08AB">
              <w:t>both before and after arrival, on their obligations and entitlements.</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Better information would help New Zealanders contemplating a move to Australia understand the current provisions and plan accordingly.</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b/>
                <w:i/>
                <w:color w:val="1C1C1C"/>
                <w:sz w:val="20"/>
                <w:szCs w:val="20"/>
              </w:rPr>
            </w:pPr>
            <w:proofErr w:type="spellStart"/>
            <w:r>
              <w:rPr>
                <w:rFonts w:ascii="Arial" w:hAnsi="Arial"/>
                <w:b/>
                <w:color w:val="1C1C1C"/>
                <w:sz w:val="20"/>
                <w:szCs w:val="20"/>
              </w:rPr>
              <w:t>R4.24</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AC7822" w:rsidRDefault="004E46EF" w:rsidP="00A214BC">
            <w:pPr>
              <w:pStyle w:val="TableBodyText"/>
              <w:keepNext w:val="0"/>
              <w:jc w:val="left"/>
            </w:pPr>
            <w:r w:rsidRPr="00AC7822">
              <w:t>The Australian Government should address the issues faced by a small but growing number of non-Protected Special Category Visa holders living long term in Australia, including their access to certain welfare supports and voting rights. This requires policy changes by the Australian Government, including the development of a pathway to achieve permanent residency and/or citizenship.</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Pr="00AC7822" w:rsidRDefault="004E46EF" w:rsidP="00A214BC">
            <w:pPr>
              <w:pStyle w:val="TableBodyText"/>
              <w:keepNext w:val="0"/>
              <w:jc w:val="left"/>
            </w:pPr>
            <w:r>
              <w:t xml:space="preserve">Existing provisions have created anomalies in relation to </w:t>
            </w:r>
            <w:r w:rsidRPr="00AC7822">
              <w:t>a number of issues faced by non-Protected Special Category Visa holder</w:t>
            </w:r>
            <w:r w:rsidR="00006EA5">
              <w:t>s living long term in Australia.</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tcPr>
          <w:p w:rsidR="004E46EF" w:rsidDel="00BE4B55" w:rsidRDefault="004E46EF"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R4.25</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tcPr>
          <w:p w:rsidR="004E46EF" w:rsidRPr="00995AA4" w:rsidRDefault="004E46EF" w:rsidP="00A214BC">
            <w:pPr>
              <w:pStyle w:val="TableBodyText"/>
              <w:keepNext w:val="0"/>
              <w:jc w:val="left"/>
              <w:rPr>
                <w:i/>
              </w:rPr>
            </w:pPr>
            <w:r w:rsidRPr="00995AA4">
              <w:t xml:space="preserve">The Australian Government should seek to improve access of New Zealand citizens to </w:t>
            </w:r>
            <w:r>
              <w:t>tertiary</w:t>
            </w:r>
            <w:r w:rsidRPr="00995AA4">
              <w:t xml:space="preserve"> education and </w:t>
            </w:r>
            <w:r>
              <w:t xml:space="preserve">vocational </w:t>
            </w:r>
            <w:r w:rsidRPr="00995AA4">
              <w:t xml:space="preserve">training </w:t>
            </w:r>
            <w:r>
              <w:t xml:space="preserve">through the provision of </w:t>
            </w:r>
            <w:r w:rsidRPr="00995AA4">
              <w:t>student loans</w:t>
            </w:r>
            <w:r>
              <w:t>,</w:t>
            </w:r>
            <w:r w:rsidRPr="00995AA4">
              <w:t xml:space="preserve"> subject to a waiting period and </w:t>
            </w:r>
            <w:r>
              <w:t xml:space="preserve">appropriate </w:t>
            </w:r>
            <w:r w:rsidRPr="00995AA4">
              <w:t>debt recovery provisions</w:t>
            </w:r>
            <w:r w:rsidR="00A76112">
              <w:t>.</w:t>
            </w:r>
          </w:p>
        </w:tc>
        <w:tc>
          <w:tcPr>
            <w:tcW w:w="1511" w:type="pct"/>
            <w:tcBorders>
              <w:top w:val="dotted" w:sz="12" w:space="0" w:color="BFBFBF" w:themeColor="background1" w:themeShade="BF"/>
              <w:left w:val="nil"/>
              <w:bottom w:val="dotted" w:sz="12" w:space="0" w:color="BFBFBF" w:themeColor="background1" w:themeShade="BF"/>
              <w:right w:val="nil"/>
            </w:tcBorders>
          </w:tcPr>
          <w:p w:rsidR="004E46EF" w:rsidRDefault="004E46EF" w:rsidP="00A214BC">
            <w:pPr>
              <w:pStyle w:val="TableBodyText"/>
              <w:keepNext w:val="0"/>
              <w:jc w:val="left"/>
              <w:rPr>
                <w:i/>
              </w:rPr>
            </w:pPr>
            <w:r>
              <w:t>The existing arrangements compromise the opportunity to build skills and capabilities for an increasing number of young New Zealand citizens who have lived in Australia for many years.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tcPr>
          <w:p w:rsidR="004E46EF" w:rsidRDefault="004E46EF" w:rsidP="0027197E">
            <w:pPr>
              <w:spacing w:after="40" w:line="220" w:lineRule="atLeast"/>
              <w:ind w:right="113"/>
              <w:rPr>
                <w:rFonts w:ascii="Arial" w:hAnsi="Arial"/>
                <w:b/>
                <w:color w:val="1C1C1C"/>
                <w:sz w:val="20"/>
                <w:szCs w:val="20"/>
              </w:rPr>
            </w:pPr>
            <w:proofErr w:type="spellStart"/>
            <w:r>
              <w:rPr>
                <w:rFonts w:ascii="Arial" w:hAnsi="Arial"/>
                <w:b/>
                <w:color w:val="1C1C1C"/>
                <w:sz w:val="20"/>
                <w:szCs w:val="20"/>
              </w:rPr>
              <w:t>R4.26</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tcPr>
          <w:p w:rsidR="004E46EF" w:rsidRPr="00995AA4" w:rsidRDefault="00A76112" w:rsidP="00A214BC">
            <w:pPr>
              <w:pStyle w:val="TableBodyText"/>
              <w:keepNext w:val="0"/>
              <w:jc w:val="left"/>
              <w:rPr>
                <w:i/>
              </w:rPr>
            </w:pPr>
            <w:r>
              <w:t>W</w:t>
            </w:r>
            <w:r w:rsidRPr="0007070D">
              <w:t xml:space="preserve">ithin the context of </w:t>
            </w:r>
            <w:proofErr w:type="spellStart"/>
            <w:r>
              <w:t>CER</w:t>
            </w:r>
            <w:proofErr w:type="spellEnd"/>
            <w:r w:rsidRPr="0007070D">
              <w:t xml:space="preserve">, the Single Economic Market </w:t>
            </w:r>
            <w:r>
              <w:t xml:space="preserve">(SEM) </w:t>
            </w:r>
            <w:r w:rsidRPr="0007070D">
              <w:t>and the Trans-Tasman Travel Arrangement</w:t>
            </w:r>
            <w:r>
              <w:t xml:space="preserve"> (TTTA), the</w:t>
            </w:r>
            <w:r w:rsidR="00A7193F">
              <w:t xml:space="preserve"> </w:t>
            </w:r>
            <w:r w:rsidR="004E46EF" w:rsidRPr="00995AA4">
              <w:t>Australian and New Zealand Governments should:</w:t>
            </w:r>
          </w:p>
          <w:p w:rsidR="004E46EF" w:rsidRPr="00995AA4" w:rsidRDefault="004E46EF" w:rsidP="00A214BC">
            <w:pPr>
              <w:pStyle w:val="TableBullet"/>
              <w:keepNext w:val="0"/>
              <w:rPr>
                <w:i/>
              </w:rPr>
            </w:pPr>
            <w:r>
              <w:t>review, and make more explicit, the</w:t>
            </w:r>
            <w:r w:rsidRPr="00995AA4">
              <w:t xml:space="preserve"> principles govern</w:t>
            </w:r>
            <w:r>
              <w:t>ing</w:t>
            </w:r>
            <w:r w:rsidRPr="00995AA4">
              <w:t xml:space="preserve"> access to social security</w:t>
            </w:r>
          </w:p>
          <w:p w:rsidR="004E46EF" w:rsidRPr="00821851" w:rsidRDefault="004E46EF" w:rsidP="002030AD">
            <w:pPr>
              <w:pStyle w:val="TableBullet"/>
              <w:keepNext w:val="0"/>
              <w:rPr>
                <w:i/>
                <w:szCs w:val="24"/>
              </w:rPr>
            </w:pPr>
            <w:r>
              <w:lastRenderedPageBreak/>
              <w:t xml:space="preserve">further develop bilateral </w:t>
            </w:r>
            <w:r w:rsidRPr="00995AA4">
              <w:t>engagement on migration policies</w:t>
            </w:r>
            <w:r w:rsidR="00A76112">
              <w:t>.</w:t>
            </w:r>
          </w:p>
        </w:tc>
        <w:tc>
          <w:tcPr>
            <w:tcW w:w="1511" w:type="pct"/>
            <w:tcBorders>
              <w:top w:val="dotted" w:sz="12" w:space="0" w:color="BFBFBF" w:themeColor="background1" w:themeShade="BF"/>
              <w:left w:val="nil"/>
              <w:bottom w:val="dotted" w:sz="12" w:space="0" w:color="BFBFBF" w:themeColor="background1" w:themeShade="BF"/>
              <w:right w:val="nil"/>
            </w:tcBorders>
          </w:tcPr>
          <w:p w:rsidR="004E46EF" w:rsidRPr="00CC58CD" w:rsidRDefault="004E46EF" w:rsidP="00E67641">
            <w:pPr>
              <w:pStyle w:val="TableBodyText"/>
              <w:keepNext w:val="0"/>
              <w:keepLines w:val="0"/>
              <w:spacing w:after="240"/>
              <w:jc w:val="left"/>
              <w:rPr>
                <w:i/>
              </w:rPr>
            </w:pPr>
            <w:r w:rsidRPr="0007070D">
              <w:lastRenderedPageBreak/>
              <w:t xml:space="preserve">Given the </w:t>
            </w:r>
            <w:r>
              <w:t>anomalies in current arrangements, there would be merit in reviewing the principles underpinning</w:t>
            </w:r>
            <w:r w:rsidR="007B03A1">
              <w:t xml:space="preserve"> </w:t>
            </w:r>
            <w:r w:rsidRPr="00CC08AB">
              <w:t xml:space="preserve">access to social security within the context of </w:t>
            </w:r>
            <w:proofErr w:type="spellStart"/>
            <w:r w:rsidRPr="00CC08AB">
              <w:t>CER</w:t>
            </w:r>
            <w:proofErr w:type="spellEnd"/>
            <w:r w:rsidRPr="00CC08AB">
              <w:t xml:space="preserve">, the </w:t>
            </w:r>
            <w:proofErr w:type="spellStart"/>
            <w:r w:rsidRPr="00CC08AB">
              <w:t>SEM</w:t>
            </w:r>
            <w:proofErr w:type="spellEnd"/>
            <w:r w:rsidRPr="00CC08AB">
              <w:t xml:space="preserve"> and the TTTA.</w:t>
            </w:r>
          </w:p>
          <w:p w:rsidR="004E46EF" w:rsidRDefault="004E46EF" w:rsidP="00E67641">
            <w:pPr>
              <w:pStyle w:val="TableBodyText"/>
              <w:jc w:val="left"/>
              <w:rPr>
                <w:i/>
              </w:rPr>
            </w:pPr>
            <w:r>
              <w:lastRenderedPageBreak/>
              <w:t xml:space="preserve">Further, in order to maintain the integrity of an integrated labour market, there would be advantages to both countries </w:t>
            </w:r>
            <w:r w:rsidR="00902EE6">
              <w:t xml:space="preserve">from </w:t>
            </w:r>
            <w:r>
              <w:t>working towards more aligned immigration policies.</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lastRenderedPageBreak/>
              <w:t>Medium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right="113"/>
              <w:rPr>
                <w:rFonts w:ascii="Arial" w:hAnsi="Arial"/>
                <w:b/>
                <w:i/>
                <w:color w:val="1C1C1C"/>
                <w:sz w:val="20"/>
                <w:szCs w:val="20"/>
              </w:rPr>
            </w:pPr>
            <w:proofErr w:type="spellStart"/>
            <w:r>
              <w:rPr>
                <w:rFonts w:ascii="Arial" w:hAnsi="Arial"/>
                <w:b/>
                <w:color w:val="1C1C1C"/>
                <w:sz w:val="20"/>
                <w:szCs w:val="20"/>
              </w:rPr>
              <w:lastRenderedPageBreak/>
              <w:t>R4.27</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07070D" w:rsidRDefault="004E46EF" w:rsidP="00A214BC">
            <w:pPr>
              <w:pStyle w:val="TableBodyText"/>
              <w:keepNext w:val="0"/>
              <w:jc w:val="left"/>
              <w:rPr>
                <w:i/>
              </w:rPr>
            </w:pPr>
            <w:r>
              <w:t>The</w:t>
            </w:r>
            <w:r w:rsidRPr="00995AA4">
              <w:t xml:space="preserve"> Australian and New Zealand Governments should encourage government agencies to consider opportunities for trans-Tasman coordination</w:t>
            </w:r>
            <w:r w:rsidR="00A76112">
              <w:t xml:space="preserve"> in service delivery and regulation</w:t>
            </w:r>
            <w:r w:rsidRPr="00995AA4">
              <w:t xml:space="preserve"> on a case-by-case basis.</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A214BC">
            <w:pPr>
              <w:pStyle w:val="TableBodyText"/>
              <w:keepNext w:val="0"/>
              <w:jc w:val="left"/>
              <w:rPr>
                <w:i/>
              </w:rPr>
            </w:pPr>
            <w:r>
              <w:t>Greater coordination may reduce costs, encourage knowledge transfer, and increase technical capability.</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Ongoing</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27197E">
            <w:pPr>
              <w:spacing w:after="40" w:line="220" w:lineRule="atLeast"/>
              <w:ind w:left="6" w:right="113"/>
              <w:rPr>
                <w:rFonts w:ascii="Arial" w:hAnsi="Arial" w:cs="Arial"/>
                <w:b/>
                <w:sz w:val="20"/>
                <w:szCs w:val="20"/>
              </w:rPr>
            </w:pPr>
            <w:proofErr w:type="spellStart"/>
            <w:r w:rsidRPr="006B2A9D">
              <w:rPr>
                <w:rFonts w:ascii="Arial" w:hAnsi="Arial"/>
                <w:b/>
                <w:color w:val="1C1C1C"/>
                <w:sz w:val="20"/>
                <w:szCs w:val="20"/>
              </w:rPr>
              <w:t>R4.28</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257EF8">
            <w:pPr>
              <w:pStyle w:val="TableBodyText"/>
              <w:keepNext w:val="0"/>
              <w:jc w:val="left"/>
              <w:rPr>
                <w:i/>
              </w:rPr>
            </w:pPr>
            <w:r w:rsidRPr="00995AA4">
              <w:t xml:space="preserve">The </w:t>
            </w:r>
            <w:r>
              <w:t>Australian</w:t>
            </w:r>
            <w:r w:rsidRPr="00995AA4">
              <w:t xml:space="preserve"> and </w:t>
            </w:r>
            <w:r>
              <w:t>New Zealand</w:t>
            </w:r>
            <w:r w:rsidRPr="00995AA4">
              <w:t xml:space="preserve"> Governments should seek beneficial opportunities to </w:t>
            </w:r>
            <w:r w:rsidR="00A76112">
              <w:t xml:space="preserve">undertake joint </w:t>
            </w:r>
            <w:r w:rsidRPr="00995AA4">
              <w:t>benchmark</w:t>
            </w:r>
            <w:r w:rsidR="00A76112">
              <w:t>ing.</w:t>
            </w:r>
            <w:r w:rsidR="00304598">
              <w:t xml:space="preserve"> </w:t>
            </w:r>
            <w:r w:rsidRPr="00995AA4">
              <w:t xml:space="preserve">In particular, </w:t>
            </w:r>
            <w:r>
              <w:t>they</w:t>
            </w:r>
            <w:r w:rsidRPr="00995AA4">
              <w:t xml:space="preserve"> should determine an appropriate approach for New Zealand </w:t>
            </w:r>
            <w:r w:rsidR="00A76112">
              <w:t xml:space="preserve">to participate </w:t>
            </w:r>
            <w:r w:rsidRPr="00995AA4">
              <w:t>in th</w:t>
            </w:r>
            <w:r>
              <w:t xml:space="preserve">e </w:t>
            </w:r>
            <w:r w:rsidRPr="00381FCF">
              <w:rPr>
                <w:i/>
              </w:rPr>
              <w:t>Report on Government Services</w:t>
            </w:r>
            <w:r>
              <w:t xml:space="preserve"> produced under the auspices of COAG, and also in regulatory benchmarking studies undertaken in Australia.</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Benchmarking can help identify opportunities for improvement and facilitate the diffusion of good practice.</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Ongoing</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left="6" w:right="113"/>
              <w:rPr>
                <w:rFonts w:ascii="Arial" w:hAnsi="Arial"/>
                <w:b/>
                <w:color w:val="1C1C1C"/>
                <w:sz w:val="20"/>
                <w:szCs w:val="20"/>
              </w:rPr>
            </w:pPr>
            <w:proofErr w:type="spellStart"/>
            <w:r>
              <w:rPr>
                <w:rFonts w:ascii="Arial" w:hAnsi="Arial"/>
                <w:b/>
                <w:color w:val="1C1C1C"/>
                <w:sz w:val="20"/>
                <w:szCs w:val="20"/>
              </w:rPr>
              <w:t>R5.1</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 xml:space="preserve">The Australian and New Zealand Governments should create clearer leadership and oversight of CER, </w:t>
            </w:r>
            <w:r>
              <w:t xml:space="preserve">including of issues relating to the trans-Tasman labour market and associated movement of people. The enhanced leadership and oversight should </w:t>
            </w:r>
            <w:r w:rsidRPr="00B94E90">
              <w:t>build on existing governance arrangements and the annual meeting</w:t>
            </w:r>
            <w:r>
              <w:t>s</w:t>
            </w:r>
            <w:r w:rsidRPr="00B94E90">
              <w:t xml:space="preserve"> of Prime Ministers</w:t>
            </w:r>
            <w:r>
              <w:t xml:space="preserve"> and other Ministers</w:t>
            </w:r>
            <w:r w:rsidRPr="00B94E90">
              <w:t>.</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Help maintain momentum of the CER agenda, while providing greater continuity, cohesion and foresight.</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Short term</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left="6" w:right="113"/>
              <w:rPr>
                <w:rFonts w:ascii="Arial" w:hAnsi="Arial"/>
                <w:b/>
                <w:color w:val="1C1C1C"/>
                <w:sz w:val="20"/>
                <w:szCs w:val="20"/>
              </w:rPr>
            </w:pPr>
            <w:proofErr w:type="spellStart"/>
            <w:r>
              <w:rPr>
                <w:rFonts w:ascii="Arial" w:hAnsi="Arial"/>
                <w:b/>
                <w:color w:val="1C1C1C"/>
                <w:sz w:val="20"/>
                <w:szCs w:val="20"/>
              </w:rPr>
              <w:t>R5.2</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t>Regulatory proposals at the national level should consider opportunities for trans-Tasman collaboration or alignment that would lower costs or deliver benefits for businesses and people active on both sides of the Tasman.</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There may be opportunities to design changes in a way that lowers transaction costs for businesses operating across the Tasman.</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Ongoing</w:t>
            </w:r>
          </w:p>
        </w:tc>
      </w:tr>
      <w:tr w:rsidR="001F137E" w:rsidTr="00756439">
        <w:tc>
          <w:tcPr>
            <w:tcW w:w="523" w:type="pct"/>
            <w:tcBorders>
              <w:top w:val="dotted" w:sz="12" w:space="0" w:color="BFBFBF" w:themeColor="background1" w:themeShade="BF"/>
              <w:left w:val="nil"/>
              <w:bottom w:val="dotted" w:sz="12" w:space="0" w:color="BFBFBF" w:themeColor="background1" w:themeShade="BF"/>
              <w:right w:val="nil"/>
            </w:tcBorders>
            <w:hideMark/>
          </w:tcPr>
          <w:p w:rsidR="004E46EF" w:rsidRDefault="004E46EF" w:rsidP="0027197E">
            <w:pPr>
              <w:spacing w:after="40" w:line="220" w:lineRule="atLeast"/>
              <w:ind w:left="6" w:right="113"/>
              <w:rPr>
                <w:rFonts w:ascii="Arial" w:hAnsi="Arial"/>
                <w:b/>
                <w:color w:val="1C1C1C"/>
                <w:sz w:val="20"/>
                <w:szCs w:val="20"/>
              </w:rPr>
            </w:pPr>
            <w:proofErr w:type="spellStart"/>
            <w:r>
              <w:rPr>
                <w:rFonts w:ascii="Arial" w:hAnsi="Arial"/>
                <w:b/>
                <w:color w:val="1C1C1C"/>
                <w:sz w:val="20"/>
                <w:szCs w:val="20"/>
              </w:rPr>
              <w:t>R5.3</w:t>
            </w:r>
            <w:proofErr w:type="spellEnd"/>
          </w:p>
        </w:tc>
        <w:tc>
          <w:tcPr>
            <w:tcW w:w="2160" w:type="pct"/>
            <w:gridSpan w:val="2"/>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A214BC">
            <w:pPr>
              <w:pStyle w:val="TableBodyText"/>
              <w:keepNext w:val="0"/>
              <w:jc w:val="left"/>
              <w:rPr>
                <w:i/>
              </w:rPr>
            </w:pPr>
            <w:r w:rsidRPr="00995AA4">
              <w:t xml:space="preserve">The Australian and New Zealand Governments should </w:t>
            </w:r>
            <w:r>
              <w:t>continue to identify and take opportunities for coordinated action</w:t>
            </w:r>
            <w:r w:rsidRPr="00995AA4">
              <w:t xml:space="preserve"> to achieve </w:t>
            </w:r>
            <w:r>
              <w:t>beneficial</w:t>
            </w:r>
            <w:r w:rsidRPr="00995AA4">
              <w:t xml:space="preserve"> regional and multilateral integration, and greater leverage in international r</w:t>
            </w:r>
            <w:r>
              <w:t>ule making and standard setting.</w:t>
            </w:r>
          </w:p>
        </w:tc>
        <w:tc>
          <w:tcPr>
            <w:tcW w:w="1511" w:type="pct"/>
            <w:tcBorders>
              <w:top w:val="dotted" w:sz="12" w:space="0" w:color="BFBFBF" w:themeColor="background1" w:themeShade="BF"/>
              <w:left w:val="nil"/>
              <w:bottom w:val="dotted" w:sz="12" w:space="0" w:color="BFBFBF" w:themeColor="background1" w:themeShade="BF"/>
              <w:right w:val="nil"/>
            </w:tcBorders>
            <w:hideMark/>
          </w:tcPr>
          <w:p w:rsidR="004E46EF" w:rsidRPr="00995AA4" w:rsidRDefault="004E46EF" w:rsidP="00F34F6E">
            <w:pPr>
              <w:pStyle w:val="TableBodyText"/>
              <w:keepNext w:val="0"/>
              <w:jc w:val="left"/>
              <w:rPr>
                <w:i/>
              </w:rPr>
            </w:pPr>
            <w:r w:rsidRPr="00995AA4">
              <w:t xml:space="preserve">There may be cases where </w:t>
            </w:r>
            <w:r w:rsidR="00902EE6">
              <w:t>coordinated action</w:t>
            </w:r>
            <w:r w:rsidR="00F34F6E">
              <w:t xml:space="preserve"> can lead to </w:t>
            </w:r>
            <w:r w:rsidRPr="00995AA4">
              <w:t xml:space="preserve">greater leverage in </w:t>
            </w:r>
            <w:r>
              <w:t xml:space="preserve">multilateral fora, including those related to </w:t>
            </w:r>
            <w:r w:rsidRPr="00995AA4">
              <w:t>international rule making and standard</w:t>
            </w:r>
            <w:r w:rsidR="00A7193F">
              <w:t xml:space="preserve"> </w:t>
            </w:r>
            <w:r w:rsidRPr="00995AA4">
              <w:t>setting</w:t>
            </w:r>
            <w:r w:rsidR="00902EE6">
              <w:t>.</w:t>
            </w:r>
            <w:r>
              <w:t xml:space="preserve"> </w:t>
            </w:r>
          </w:p>
        </w:tc>
        <w:tc>
          <w:tcPr>
            <w:tcW w:w="806" w:type="pct"/>
            <w:gridSpan w:val="2"/>
            <w:tcBorders>
              <w:top w:val="dotted" w:sz="12" w:space="0" w:color="BFBFBF" w:themeColor="background1" w:themeShade="BF"/>
              <w:left w:val="nil"/>
              <w:bottom w:val="dotted" w:sz="12" w:space="0" w:color="BFBFBF" w:themeColor="background1" w:themeShade="BF"/>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Ongoing</w:t>
            </w:r>
          </w:p>
        </w:tc>
      </w:tr>
      <w:tr w:rsidR="001F137E" w:rsidTr="00756439">
        <w:tc>
          <w:tcPr>
            <w:tcW w:w="523" w:type="pct"/>
            <w:tcBorders>
              <w:top w:val="dotted" w:sz="12" w:space="0" w:color="BFBFBF" w:themeColor="background1" w:themeShade="BF"/>
              <w:left w:val="nil"/>
              <w:bottom w:val="single" w:sz="4" w:space="0" w:color="auto"/>
              <w:right w:val="nil"/>
            </w:tcBorders>
            <w:hideMark/>
          </w:tcPr>
          <w:p w:rsidR="004E46EF" w:rsidRDefault="004E46EF" w:rsidP="0027197E">
            <w:pPr>
              <w:spacing w:after="40" w:line="220" w:lineRule="atLeast"/>
              <w:ind w:left="6" w:right="113"/>
              <w:rPr>
                <w:rFonts w:ascii="Arial" w:hAnsi="Arial"/>
                <w:b/>
                <w:color w:val="1C1C1C"/>
                <w:sz w:val="20"/>
                <w:szCs w:val="20"/>
              </w:rPr>
            </w:pPr>
            <w:proofErr w:type="spellStart"/>
            <w:r>
              <w:rPr>
                <w:rFonts w:ascii="Arial" w:hAnsi="Arial"/>
                <w:b/>
                <w:color w:val="1C1C1C"/>
                <w:sz w:val="20"/>
                <w:szCs w:val="20"/>
              </w:rPr>
              <w:t>R5.4</w:t>
            </w:r>
            <w:proofErr w:type="spellEnd"/>
          </w:p>
        </w:tc>
        <w:tc>
          <w:tcPr>
            <w:tcW w:w="2160" w:type="pct"/>
            <w:gridSpan w:val="2"/>
            <w:tcBorders>
              <w:top w:val="dotted" w:sz="12" w:space="0" w:color="BFBFBF" w:themeColor="background1" w:themeShade="BF"/>
              <w:left w:val="nil"/>
              <w:bottom w:val="single" w:sz="4" w:space="0" w:color="auto"/>
              <w:right w:val="nil"/>
            </w:tcBorders>
            <w:hideMark/>
          </w:tcPr>
          <w:p w:rsidR="004E46EF" w:rsidRPr="00995AA4" w:rsidRDefault="004E46EF" w:rsidP="00A214BC">
            <w:pPr>
              <w:pStyle w:val="TableBodyText"/>
              <w:keepNext w:val="0"/>
              <w:jc w:val="left"/>
              <w:rPr>
                <w:i/>
              </w:rPr>
            </w:pPr>
            <w:r w:rsidRPr="00995AA4">
              <w:t>The Australian and New Zealand Governments should undertake five-yearly public reviews of CER to take stock of what has been achieved and learnt, and to ensure that the agenda remai</w:t>
            </w:r>
            <w:r>
              <w:t>ns relevant and forward looking.</w:t>
            </w:r>
          </w:p>
        </w:tc>
        <w:tc>
          <w:tcPr>
            <w:tcW w:w="1511" w:type="pct"/>
            <w:tcBorders>
              <w:top w:val="dotted" w:sz="12" w:space="0" w:color="BFBFBF" w:themeColor="background1" w:themeShade="BF"/>
              <w:left w:val="nil"/>
              <w:bottom w:val="single" w:sz="4" w:space="0" w:color="auto"/>
              <w:right w:val="nil"/>
            </w:tcBorders>
            <w:hideMark/>
          </w:tcPr>
          <w:p w:rsidR="004E46EF" w:rsidRDefault="006C28AE" w:rsidP="00A22A55">
            <w:pPr>
              <w:pStyle w:val="TableBodyText"/>
              <w:keepNext w:val="0"/>
              <w:jc w:val="left"/>
              <w:rPr>
                <w:i/>
              </w:rPr>
            </w:pPr>
            <w:r>
              <w:t>Re</w:t>
            </w:r>
            <w:r w:rsidR="00F95D1C">
              <w:t xml:space="preserve">views would provide an opportunity to focus on the broad CER agenda and learn from evaluation and research conducted in the interim years. </w:t>
            </w:r>
          </w:p>
        </w:tc>
        <w:tc>
          <w:tcPr>
            <w:tcW w:w="806" w:type="pct"/>
            <w:gridSpan w:val="2"/>
            <w:tcBorders>
              <w:top w:val="dotted" w:sz="12" w:space="0" w:color="BFBFBF" w:themeColor="background1" w:themeShade="BF"/>
              <w:left w:val="nil"/>
              <w:bottom w:val="single" w:sz="4" w:space="0" w:color="auto"/>
              <w:right w:val="nil"/>
            </w:tcBorders>
            <w:vAlign w:val="center"/>
            <w:hideMark/>
          </w:tcPr>
          <w:p w:rsidR="004E46EF" w:rsidRDefault="004E46EF" w:rsidP="00A214BC">
            <w:pPr>
              <w:spacing w:line="220" w:lineRule="atLeast"/>
              <w:ind w:left="6" w:right="28"/>
              <w:jc w:val="center"/>
              <w:rPr>
                <w:rFonts w:ascii="Arial" w:hAnsi="Arial"/>
                <w:i/>
                <w:color w:val="1C1C1C"/>
                <w:sz w:val="20"/>
                <w:szCs w:val="20"/>
              </w:rPr>
            </w:pPr>
            <w:r>
              <w:rPr>
                <w:rFonts w:ascii="Arial" w:hAnsi="Arial"/>
                <w:color w:val="1C1C1C"/>
                <w:sz w:val="20"/>
                <w:szCs w:val="20"/>
              </w:rPr>
              <w:t>Ongoing</w:t>
            </w:r>
          </w:p>
        </w:tc>
      </w:tr>
    </w:tbl>
    <w:p w:rsidR="0095170E" w:rsidRDefault="0095170E" w:rsidP="006A301B">
      <w:pPr>
        <w:pStyle w:val="Note"/>
        <w:spacing w:before="0" w:line="240" w:lineRule="auto"/>
        <w:rPr>
          <w:lang w:val="en-NZ"/>
        </w:rPr>
      </w:pPr>
    </w:p>
    <w:sectPr w:rsidR="0095170E" w:rsidSect="00D46884">
      <w:headerReference w:type="even" r:id="rId16"/>
      <w:headerReference w:type="default" r:id="rId17"/>
      <w:footerReference w:type="even" r:id="rId18"/>
      <w:footerReference w:type="default" r:id="rId19"/>
      <w:pgSz w:w="11907" w:h="16840" w:code="9"/>
      <w:pgMar w:top="1984" w:right="1304" w:bottom="1417" w:left="1814" w:header="1701" w:footer="567" w:gutter="0"/>
      <w:pgNumType w:start="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0C5" w:rsidRDefault="00CD00C5">
      <w:r>
        <w:separator/>
      </w:r>
    </w:p>
  </w:endnote>
  <w:endnote w:type="continuationSeparator" w:id="0">
    <w:p w:rsidR="00CD00C5" w:rsidRDefault="00CD00C5">
      <w:r>
        <w:continuationSeparator/>
      </w:r>
    </w:p>
  </w:endnote>
  <w:endnote w:type="continuationNotice" w:id="1">
    <w:p w:rsidR="00CD00C5" w:rsidRDefault="00CD0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T Std 35 Light">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CD00C5" w:rsidRPr="00135D87" w:rsidTr="00E971AD">
      <w:trPr>
        <w:trHeight w:hRule="exact" w:val="740"/>
      </w:trPr>
      <w:tc>
        <w:tcPr>
          <w:tcW w:w="510" w:type="dxa"/>
        </w:tcPr>
        <w:p w:rsidR="00CD00C5" w:rsidRPr="00135D87" w:rsidRDefault="00CD00C5" w:rsidP="00147DE6">
          <w:pPr>
            <w:pStyle w:val="Footer"/>
            <w:tabs>
              <w:tab w:val="left" w:pos="0"/>
            </w:tabs>
            <w:ind w:right="0"/>
            <w:rPr>
              <w:rStyle w:val="PageNumbe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462545">
            <w:rPr>
              <w:rStyle w:val="PageNumber"/>
              <w:rFonts w:cs="Arial"/>
              <w:noProof/>
            </w:rPr>
            <w:t>18</w:t>
          </w:r>
          <w:r w:rsidRPr="00135D87">
            <w:rPr>
              <w:rStyle w:val="PageNumber"/>
              <w:rFonts w:cs="Arial"/>
            </w:rPr>
            <w:fldChar w:fldCharType="end"/>
          </w:r>
        </w:p>
      </w:tc>
      <w:tc>
        <w:tcPr>
          <w:tcW w:w="8278" w:type="dxa"/>
        </w:tcPr>
        <w:p w:rsidR="00CD00C5" w:rsidRPr="00135D87" w:rsidRDefault="00CD00C5" w:rsidP="00B9614B">
          <w:pPr>
            <w:pStyle w:val="Footer"/>
            <w:rPr>
              <w:rFonts w:cs="Arial"/>
            </w:rPr>
          </w:pPr>
          <w:r w:rsidRPr="00135D87">
            <w:rPr>
              <w:rFonts w:cs="Arial"/>
              <w:caps w:val="0"/>
            </w:rPr>
            <w:t xml:space="preserve">Strengthening </w:t>
          </w:r>
          <w:r>
            <w:rPr>
              <w:rFonts w:cs="Arial"/>
              <w:caps w:val="0"/>
            </w:rPr>
            <w:t>t</w:t>
          </w:r>
          <w:r w:rsidRPr="00135D87">
            <w:rPr>
              <w:rFonts w:cs="Arial"/>
              <w:caps w:val="0"/>
            </w:rPr>
            <w:t xml:space="preserve">rans-Tasman </w:t>
          </w:r>
          <w:r>
            <w:rPr>
              <w:rFonts w:cs="Arial"/>
              <w:caps w:val="0"/>
            </w:rPr>
            <w:t>e</w:t>
          </w:r>
          <w:r w:rsidRPr="00135D87">
            <w:rPr>
              <w:rFonts w:cs="Arial"/>
              <w:caps w:val="0"/>
            </w:rPr>
            <w:t xml:space="preserve">conomic </w:t>
          </w:r>
          <w:r>
            <w:rPr>
              <w:rFonts w:cs="Arial"/>
              <w:caps w:val="0"/>
            </w:rPr>
            <w:t>r</w:t>
          </w:r>
          <w:r w:rsidRPr="00135D87">
            <w:rPr>
              <w:rFonts w:cs="Arial"/>
              <w:caps w:val="0"/>
            </w:rPr>
            <w:t>elations</w:t>
          </w:r>
        </w:p>
      </w:tc>
    </w:tr>
  </w:tbl>
  <w:p w:rsidR="00CD00C5" w:rsidRDefault="00CD00C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CD00C5" w:rsidRPr="00135D87" w:rsidTr="00E971AD">
      <w:trPr>
        <w:trHeight w:hRule="exact" w:val="740"/>
      </w:trPr>
      <w:tc>
        <w:tcPr>
          <w:tcW w:w="8278" w:type="dxa"/>
        </w:tcPr>
        <w:p w:rsidR="00CD00C5" w:rsidRPr="00135D87" w:rsidRDefault="00CD00C5" w:rsidP="00140ACE">
          <w:pPr>
            <w:pStyle w:val="Footer"/>
            <w:jc w:val="right"/>
            <w:rPr>
              <w:rFonts w:cs="Arial"/>
            </w:rPr>
          </w:pPr>
          <w:r>
            <w:rPr>
              <w:rFonts w:cs="Arial"/>
              <w:caps w:val="0"/>
            </w:rPr>
            <w:t xml:space="preserve">Overview </w:t>
          </w:r>
        </w:p>
      </w:tc>
      <w:tc>
        <w:tcPr>
          <w:tcW w:w="510" w:type="dxa"/>
        </w:tcPr>
        <w:p w:rsidR="00CD00C5" w:rsidRPr="00135D87" w:rsidRDefault="00CD00C5" w:rsidP="00147DE6">
          <w:pPr>
            <w:pStyle w:val="Footer"/>
            <w:jc w:val="right"/>
            <w:rPr>
              <w:rFonts w:cs="Arial"/>
            </w:rPr>
          </w:pPr>
          <w:r w:rsidRPr="00135D87">
            <w:rPr>
              <w:rStyle w:val="PageNumber"/>
              <w:rFonts w:cs="Arial"/>
            </w:rPr>
            <w:fldChar w:fldCharType="begin"/>
          </w:r>
          <w:r w:rsidRPr="00135D87">
            <w:rPr>
              <w:rStyle w:val="PageNumber"/>
              <w:rFonts w:cs="Arial"/>
            </w:rPr>
            <w:instrText xml:space="preserve">PAGE  </w:instrText>
          </w:r>
          <w:r w:rsidRPr="00135D87">
            <w:rPr>
              <w:rStyle w:val="PageNumber"/>
              <w:rFonts w:cs="Arial"/>
            </w:rPr>
            <w:fldChar w:fldCharType="separate"/>
          </w:r>
          <w:r w:rsidR="00462545">
            <w:rPr>
              <w:rStyle w:val="PageNumber"/>
              <w:rFonts w:cs="Arial"/>
              <w:noProof/>
            </w:rPr>
            <w:t>17</w:t>
          </w:r>
          <w:r w:rsidRPr="00135D87">
            <w:rPr>
              <w:rStyle w:val="PageNumber"/>
              <w:rFonts w:cs="Arial"/>
            </w:rPr>
            <w:fldChar w:fldCharType="end"/>
          </w:r>
        </w:p>
      </w:tc>
    </w:tr>
  </w:tbl>
  <w:p w:rsidR="00CD00C5" w:rsidRPr="009A6431" w:rsidRDefault="00CD00C5" w:rsidP="001B53C3">
    <w:pPr>
      <w:pStyle w:val="FooterEnd"/>
    </w:pPr>
  </w:p>
  <w:p w:rsidR="00CD00C5" w:rsidRDefault="00CD00C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0C5" w:rsidRDefault="00CD00C5">
      <w:r>
        <w:separator/>
      </w:r>
    </w:p>
  </w:footnote>
  <w:footnote w:type="continuationSeparator" w:id="0">
    <w:p w:rsidR="00CD00C5" w:rsidRDefault="00CD00C5">
      <w:r>
        <w:continuationSeparator/>
      </w:r>
    </w:p>
  </w:footnote>
  <w:footnote w:type="continuationNotice" w:id="1">
    <w:p w:rsidR="00CD00C5" w:rsidRDefault="00CD00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D00C5" w:rsidTr="00582C63">
      <w:tc>
        <w:tcPr>
          <w:tcW w:w="2155" w:type="dxa"/>
          <w:tcBorders>
            <w:top w:val="single" w:sz="24" w:space="0" w:color="86A20B"/>
          </w:tcBorders>
        </w:tcPr>
        <w:p w:rsidR="00CD00C5" w:rsidRDefault="00CD00C5" w:rsidP="007A1ADB">
          <w:pPr>
            <w:pStyle w:val="HeaderEven"/>
          </w:pPr>
        </w:p>
      </w:tc>
      <w:tc>
        <w:tcPr>
          <w:tcW w:w="6634" w:type="dxa"/>
          <w:tcBorders>
            <w:top w:val="dotted" w:sz="18" w:space="0" w:color="B2B2B2"/>
          </w:tcBorders>
        </w:tcPr>
        <w:p w:rsidR="00CD00C5" w:rsidRDefault="00CD00C5" w:rsidP="007A1ADB">
          <w:pPr>
            <w:pStyle w:val="HeaderEven"/>
          </w:pPr>
        </w:p>
      </w:tc>
    </w:tr>
  </w:tbl>
  <w:p w:rsidR="00CD00C5" w:rsidRDefault="00CD00C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D00C5" w:rsidTr="00582C63">
      <w:tc>
        <w:tcPr>
          <w:tcW w:w="6634" w:type="dxa"/>
          <w:tcBorders>
            <w:top w:val="dotted" w:sz="18" w:space="0" w:color="B2B2B2"/>
          </w:tcBorders>
        </w:tcPr>
        <w:p w:rsidR="00CD00C5" w:rsidRDefault="00CD00C5" w:rsidP="007A1ADB">
          <w:pPr>
            <w:pStyle w:val="HeaderOdd"/>
          </w:pPr>
        </w:p>
      </w:tc>
      <w:tc>
        <w:tcPr>
          <w:tcW w:w="2155" w:type="dxa"/>
          <w:tcBorders>
            <w:top w:val="single" w:sz="24" w:space="0" w:color="86A20B"/>
          </w:tcBorders>
        </w:tcPr>
        <w:p w:rsidR="00CD00C5" w:rsidRDefault="00CD00C5" w:rsidP="007A1ADB">
          <w:pPr>
            <w:pStyle w:val="HeaderOdd"/>
          </w:pPr>
        </w:p>
      </w:tc>
    </w:tr>
  </w:tbl>
  <w:p w:rsidR="00CD00C5" w:rsidRDefault="00CD00C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0285905"/>
    <w:multiLevelType w:val="hybridMultilevel"/>
    <w:tmpl w:val="C4CEAB0A"/>
    <w:lvl w:ilvl="0" w:tplc="04090001">
      <w:start w:val="1"/>
      <w:numFmt w:val="bullet"/>
      <w:lvlText w:val=""/>
      <w:lvlJc w:val="left"/>
      <w:pPr>
        <w:tabs>
          <w:tab w:val="num" w:pos="784"/>
        </w:tabs>
        <w:ind w:left="784" w:hanging="360"/>
      </w:pPr>
      <w:rPr>
        <w:rFonts w:ascii="Symbol" w:hAnsi="Symbol" w:hint="default"/>
      </w:rPr>
    </w:lvl>
    <w:lvl w:ilvl="1" w:tplc="04090003">
      <w:start w:val="1"/>
      <w:numFmt w:val="bullet"/>
      <w:lvlText w:val="o"/>
      <w:lvlJc w:val="left"/>
      <w:pPr>
        <w:tabs>
          <w:tab w:val="num" w:pos="1504"/>
        </w:tabs>
        <w:ind w:left="1504" w:hanging="360"/>
      </w:pPr>
      <w:rPr>
        <w:rFonts w:ascii="Courier New" w:hAnsi="Courier New" w:cs="Times New Roman" w:hint="default"/>
      </w:rPr>
    </w:lvl>
    <w:lvl w:ilvl="2" w:tplc="04090005">
      <w:start w:val="1"/>
      <w:numFmt w:val="bullet"/>
      <w:lvlText w:val=""/>
      <w:lvlJc w:val="left"/>
      <w:pPr>
        <w:tabs>
          <w:tab w:val="num" w:pos="2224"/>
        </w:tabs>
        <w:ind w:left="2224" w:hanging="360"/>
      </w:pPr>
      <w:rPr>
        <w:rFonts w:ascii="Wingdings" w:hAnsi="Wingdings" w:hint="default"/>
      </w:rPr>
    </w:lvl>
    <w:lvl w:ilvl="3" w:tplc="04090001">
      <w:start w:val="1"/>
      <w:numFmt w:val="bullet"/>
      <w:lvlText w:val=""/>
      <w:lvlJc w:val="left"/>
      <w:pPr>
        <w:tabs>
          <w:tab w:val="num" w:pos="2944"/>
        </w:tabs>
        <w:ind w:left="2944" w:hanging="360"/>
      </w:pPr>
      <w:rPr>
        <w:rFonts w:ascii="Symbol" w:hAnsi="Symbol" w:hint="default"/>
      </w:rPr>
    </w:lvl>
    <w:lvl w:ilvl="4" w:tplc="04090003">
      <w:start w:val="1"/>
      <w:numFmt w:val="bullet"/>
      <w:lvlText w:val="o"/>
      <w:lvlJc w:val="left"/>
      <w:pPr>
        <w:tabs>
          <w:tab w:val="num" w:pos="3664"/>
        </w:tabs>
        <w:ind w:left="3664" w:hanging="360"/>
      </w:pPr>
      <w:rPr>
        <w:rFonts w:ascii="Courier New" w:hAnsi="Courier New" w:cs="Times New Roman" w:hint="default"/>
      </w:rPr>
    </w:lvl>
    <w:lvl w:ilvl="5" w:tplc="04090005">
      <w:start w:val="1"/>
      <w:numFmt w:val="bullet"/>
      <w:lvlText w:val=""/>
      <w:lvlJc w:val="left"/>
      <w:pPr>
        <w:tabs>
          <w:tab w:val="num" w:pos="4384"/>
        </w:tabs>
        <w:ind w:left="4384" w:hanging="360"/>
      </w:pPr>
      <w:rPr>
        <w:rFonts w:ascii="Wingdings" w:hAnsi="Wingdings" w:hint="default"/>
      </w:rPr>
    </w:lvl>
    <w:lvl w:ilvl="6" w:tplc="04090001">
      <w:start w:val="1"/>
      <w:numFmt w:val="bullet"/>
      <w:lvlText w:val=""/>
      <w:lvlJc w:val="left"/>
      <w:pPr>
        <w:tabs>
          <w:tab w:val="num" w:pos="5104"/>
        </w:tabs>
        <w:ind w:left="5104" w:hanging="360"/>
      </w:pPr>
      <w:rPr>
        <w:rFonts w:ascii="Symbol" w:hAnsi="Symbol" w:hint="default"/>
      </w:rPr>
    </w:lvl>
    <w:lvl w:ilvl="7" w:tplc="04090003">
      <w:start w:val="1"/>
      <w:numFmt w:val="bullet"/>
      <w:lvlText w:val="o"/>
      <w:lvlJc w:val="left"/>
      <w:pPr>
        <w:tabs>
          <w:tab w:val="num" w:pos="5824"/>
        </w:tabs>
        <w:ind w:left="5824" w:hanging="360"/>
      </w:pPr>
      <w:rPr>
        <w:rFonts w:ascii="Courier New" w:hAnsi="Courier New" w:cs="Times New Roman" w:hint="default"/>
      </w:rPr>
    </w:lvl>
    <w:lvl w:ilvl="8" w:tplc="04090005">
      <w:start w:val="1"/>
      <w:numFmt w:val="bullet"/>
      <w:lvlText w:val=""/>
      <w:lvlJc w:val="left"/>
      <w:pPr>
        <w:tabs>
          <w:tab w:val="num" w:pos="6544"/>
        </w:tabs>
        <w:ind w:left="6544"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4133363"/>
    <w:multiLevelType w:val="multilevel"/>
    <w:tmpl w:val="A27E4586"/>
    <w:styleLink w:val="PCBullets"/>
    <w:lvl w:ilvl="0">
      <w:start w:val="1"/>
      <w:numFmt w:val="bullet"/>
      <w:pStyle w:val="Bullet1Orange"/>
      <w:lvlText w:val=""/>
      <w:lvlJc w:val="left"/>
      <w:pPr>
        <w:tabs>
          <w:tab w:val="num" w:pos="340"/>
        </w:tabs>
        <w:ind w:left="340" w:hanging="340"/>
      </w:pPr>
      <w:rPr>
        <w:rFonts w:ascii="Wingdings 2" w:hAnsi="Wingdings 2" w:hint="default"/>
        <w:color w:val="DC8633"/>
      </w:rPr>
    </w:lvl>
    <w:lvl w:ilvl="1">
      <w:start w:val="1"/>
      <w:numFmt w:val="bullet"/>
      <w:pStyle w:val="Bullet2Orange"/>
      <w:lvlText w:val="-"/>
      <w:lvlJc w:val="left"/>
      <w:pPr>
        <w:tabs>
          <w:tab w:val="num" w:pos="680"/>
        </w:tabs>
        <w:ind w:left="680" w:hanging="340"/>
      </w:pPr>
      <w:rPr>
        <w:rFonts w:ascii="Times New Roman" w:hAnsi="Times New Roman" w:cs="Times New Roman" w:hint="default"/>
        <w:color w:val="DC8633"/>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8"/>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2"/>
  </w:num>
  <w:num w:numId="31">
    <w:abstractNumId w:val="43"/>
  </w:num>
  <w:num w:numId="32">
    <w:abstractNumId w:val="15"/>
  </w:num>
  <w:num w:numId="33">
    <w:abstractNumId w:val="8"/>
  </w:num>
  <w:num w:numId="34">
    <w:abstractNumId w:val="20"/>
  </w:num>
  <w:num w:numId="35">
    <w:abstractNumId w:val="39"/>
  </w:num>
  <w:num w:numId="36">
    <w:abstractNumId w:val="31"/>
  </w:num>
  <w:num w:numId="37">
    <w:abstractNumId w:val="13"/>
  </w:num>
  <w:num w:numId="38">
    <w:abstractNumId w:val="34"/>
  </w:num>
  <w:num w:numId="39">
    <w:abstractNumId w:val="14"/>
  </w:num>
  <w:num w:numId="40">
    <w:abstractNumId w:val="18"/>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19"/>
    <w:lvlOverride w:ilvl="0">
      <w:lvl w:ilvl="0">
        <w:start w:val="1"/>
        <w:numFmt w:val="bullet"/>
        <w:pStyle w:val="Bullet1Orange"/>
        <w:lvlText w:val=""/>
        <w:lvlJc w:val="left"/>
        <w:pPr>
          <w:tabs>
            <w:tab w:val="num" w:pos="340"/>
          </w:tabs>
          <w:ind w:left="340" w:hanging="340"/>
        </w:pPr>
        <w:rPr>
          <w:rFonts w:ascii="Wingdings 2" w:hAnsi="Wingdings 2" w:hint="default"/>
          <w:color w:val="DC8633"/>
          <w:sz w:val="16"/>
          <w:szCs w:val="16"/>
        </w:rPr>
      </w:lvl>
    </w:lvlOverride>
  </w:num>
  <w:num w:numId="47">
    <w:abstractNumId w:val="25"/>
  </w:num>
  <w:num w:numId="48">
    <w:abstractNumId w:val="25"/>
  </w:num>
  <w:num w:numId="49">
    <w:abstractNumId w:val="25"/>
  </w:num>
  <w:num w:numId="50">
    <w:abstractNumId w:val="25"/>
  </w:num>
  <w:num w:numId="51">
    <w:abstractNumId w:val="17"/>
  </w:num>
  <w:num w:numId="52">
    <w:abstractNumId w:val="42"/>
  </w:num>
  <w:num w:numId="53">
    <w:abstractNumId w:val="25"/>
  </w:num>
  <w:num w:numId="54">
    <w:abstractNumId w:val="25"/>
  </w:num>
  <w:num w:numId="55">
    <w:abstractNumId w:val="26"/>
  </w:num>
  <w:num w:numId="56">
    <w:abstractNumId w:val="26"/>
  </w:num>
  <w:num w:numId="57">
    <w:abstractNumId w:val="26"/>
  </w:num>
  <w:num w:numId="58">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27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Report Title"/>
  </w:docVars>
  <w:rsids>
    <w:rsidRoot w:val="00D46884"/>
    <w:rsid w:val="00001C50"/>
    <w:rsid w:val="00002A76"/>
    <w:rsid w:val="00006EA5"/>
    <w:rsid w:val="00007AF6"/>
    <w:rsid w:val="0001375E"/>
    <w:rsid w:val="0001722E"/>
    <w:rsid w:val="00020156"/>
    <w:rsid w:val="00021B6D"/>
    <w:rsid w:val="00023435"/>
    <w:rsid w:val="000245AA"/>
    <w:rsid w:val="0003664B"/>
    <w:rsid w:val="0004111F"/>
    <w:rsid w:val="00041329"/>
    <w:rsid w:val="0004478B"/>
    <w:rsid w:val="0004603E"/>
    <w:rsid w:val="000468E9"/>
    <w:rsid w:val="0005152B"/>
    <w:rsid w:val="000523FB"/>
    <w:rsid w:val="00053E7F"/>
    <w:rsid w:val="00056101"/>
    <w:rsid w:val="000565B3"/>
    <w:rsid w:val="00060331"/>
    <w:rsid w:val="0006409D"/>
    <w:rsid w:val="00065AED"/>
    <w:rsid w:val="0007070D"/>
    <w:rsid w:val="000711AC"/>
    <w:rsid w:val="0007150B"/>
    <w:rsid w:val="0007380A"/>
    <w:rsid w:val="00076BAE"/>
    <w:rsid w:val="000923D2"/>
    <w:rsid w:val="00092B22"/>
    <w:rsid w:val="000938F5"/>
    <w:rsid w:val="00093A64"/>
    <w:rsid w:val="00096506"/>
    <w:rsid w:val="000A06C1"/>
    <w:rsid w:val="000A29B7"/>
    <w:rsid w:val="000A2F63"/>
    <w:rsid w:val="000A3349"/>
    <w:rsid w:val="000B1705"/>
    <w:rsid w:val="000B3D1D"/>
    <w:rsid w:val="000B601B"/>
    <w:rsid w:val="000B655D"/>
    <w:rsid w:val="000C207E"/>
    <w:rsid w:val="000C480E"/>
    <w:rsid w:val="000E3A02"/>
    <w:rsid w:val="000E4F45"/>
    <w:rsid w:val="00104065"/>
    <w:rsid w:val="00106E75"/>
    <w:rsid w:val="001100AB"/>
    <w:rsid w:val="00110116"/>
    <w:rsid w:val="0011127A"/>
    <w:rsid w:val="00112ECF"/>
    <w:rsid w:val="0011522E"/>
    <w:rsid w:val="001232D0"/>
    <w:rsid w:val="001247AC"/>
    <w:rsid w:val="00125AA8"/>
    <w:rsid w:val="00126628"/>
    <w:rsid w:val="00126919"/>
    <w:rsid w:val="00126EB8"/>
    <w:rsid w:val="001274D4"/>
    <w:rsid w:val="00134BFA"/>
    <w:rsid w:val="001363AA"/>
    <w:rsid w:val="00140ACE"/>
    <w:rsid w:val="00147DE6"/>
    <w:rsid w:val="00153E84"/>
    <w:rsid w:val="001551C7"/>
    <w:rsid w:val="00155891"/>
    <w:rsid w:val="001575FF"/>
    <w:rsid w:val="0016572F"/>
    <w:rsid w:val="00174CBF"/>
    <w:rsid w:val="001805C3"/>
    <w:rsid w:val="00181476"/>
    <w:rsid w:val="0018238D"/>
    <w:rsid w:val="00182F7A"/>
    <w:rsid w:val="00183E82"/>
    <w:rsid w:val="001907F3"/>
    <w:rsid w:val="00191AE0"/>
    <w:rsid w:val="00192303"/>
    <w:rsid w:val="0019293B"/>
    <w:rsid w:val="00193662"/>
    <w:rsid w:val="001963B3"/>
    <w:rsid w:val="001A7EB0"/>
    <w:rsid w:val="001B20F8"/>
    <w:rsid w:val="001B2400"/>
    <w:rsid w:val="001B53C3"/>
    <w:rsid w:val="001C0865"/>
    <w:rsid w:val="001C22E4"/>
    <w:rsid w:val="001C3ABA"/>
    <w:rsid w:val="001C3F02"/>
    <w:rsid w:val="001C6C09"/>
    <w:rsid w:val="001D138B"/>
    <w:rsid w:val="001D6438"/>
    <w:rsid w:val="001D7378"/>
    <w:rsid w:val="001E43B3"/>
    <w:rsid w:val="001E534C"/>
    <w:rsid w:val="001E63B8"/>
    <w:rsid w:val="001E7BE8"/>
    <w:rsid w:val="001F0248"/>
    <w:rsid w:val="001F137E"/>
    <w:rsid w:val="001F3EB3"/>
    <w:rsid w:val="001F5174"/>
    <w:rsid w:val="00202C2C"/>
    <w:rsid w:val="002030AD"/>
    <w:rsid w:val="00207D16"/>
    <w:rsid w:val="00212502"/>
    <w:rsid w:val="00213A50"/>
    <w:rsid w:val="0021686E"/>
    <w:rsid w:val="00226A57"/>
    <w:rsid w:val="00227E18"/>
    <w:rsid w:val="00231E32"/>
    <w:rsid w:val="00233387"/>
    <w:rsid w:val="00233748"/>
    <w:rsid w:val="00233997"/>
    <w:rsid w:val="00234775"/>
    <w:rsid w:val="002366D9"/>
    <w:rsid w:val="00236866"/>
    <w:rsid w:val="00237B60"/>
    <w:rsid w:val="00242279"/>
    <w:rsid w:val="00242FB1"/>
    <w:rsid w:val="00245C82"/>
    <w:rsid w:val="00247A79"/>
    <w:rsid w:val="00247F8D"/>
    <w:rsid w:val="00251968"/>
    <w:rsid w:val="00254990"/>
    <w:rsid w:val="00254A5B"/>
    <w:rsid w:val="00257EF8"/>
    <w:rsid w:val="00264955"/>
    <w:rsid w:val="00265434"/>
    <w:rsid w:val="002675E6"/>
    <w:rsid w:val="00270444"/>
    <w:rsid w:val="0027197E"/>
    <w:rsid w:val="002764A3"/>
    <w:rsid w:val="0028275C"/>
    <w:rsid w:val="002840B8"/>
    <w:rsid w:val="00285F28"/>
    <w:rsid w:val="00287AFA"/>
    <w:rsid w:val="00291B40"/>
    <w:rsid w:val="00291CB8"/>
    <w:rsid w:val="002962D5"/>
    <w:rsid w:val="002A39F0"/>
    <w:rsid w:val="002B328B"/>
    <w:rsid w:val="002B4008"/>
    <w:rsid w:val="002B5048"/>
    <w:rsid w:val="002B6178"/>
    <w:rsid w:val="002B65E5"/>
    <w:rsid w:val="002C1737"/>
    <w:rsid w:val="002C1D95"/>
    <w:rsid w:val="002C2D2E"/>
    <w:rsid w:val="002C3ECA"/>
    <w:rsid w:val="002C4045"/>
    <w:rsid w:val="002D06A4"/>
    <w:rsid w:val="002D0E8E"/>
    <w:rsid w:val="002E1F55"/>
    <w:rsid w:val="002E59E7"/>
    <w:rsid w:val="002E6D5D"/>
    <w:rsid w:val="002F0746"/>
    <w:rsid w:val="002F07C2"/>
    <w:rsid w:val="002F6BCD"/>
    <w:rsid w:val="00301189"/>
    <w:rsid w:val="00304598"/>
    <w:rsid w:val="00312819"/>
    <w:rsid w:val="00323C43"/>
    <w:rsid w:val="00323E09"/>
    <w:rsid w:val="003245FA"/>
    <w:rsid w:val="00324986"/>
    <w:rsid w:val="00325B2E"/>
    <w:rsid w:val="00331D2B"/>
    <w:rsid w:val="00333932"/>
    <w:rsid w:val="00336C57"/>
    <w:rsid w:val="00347E6A"/>
    <w:rsid w:val="003518AA"/>
    <w:rsid w:val="00352165"/>
    <w:rsid w:val="00353182"/>
    <w:rsid w:val="003565D9"/>
    <w:rsid w:val="00357583"/>
    <w:rsid w:val="003602E1"/>
    <w:rsid w:val="00361DD7"/>
    <w:rsid w:val="00362EE9"/>
    <w:rsid w:val="00367E04"/>
    <w:rsid w:val="0037026F"/>
    <w:rsid w:val="00371240"/>
    <w:rsid w:val="00371B53"/>
    <w:rsid w:val="003727B0"/>
    <w:rsid w:val="00374731"/>
    <w:rsid w:val="0038176E"/>
    <w:rsid w:val="00381FCF"/>
    <w:rsid w:val="003847B1"/>
    <w:rsid w:val="00384D47"/>
    <w:rsid w:val="00386A6E"/>
    <w:rsid w:val="00390496"/>
    <w:rsid w:val="003919F9"/>
    <w:rsid w:val="003A211B"/>
    <w:rsid w:val="003B0120"/>
    <w:rsid w:val="003B1007"/>
    <w:rsid w:val="003B44DE"/>
    <w:rsid w:val="003B5B36"/>
    <w:rsid w:val="003C1C43"/>
    <w:rsid w:val="003C38B5"/>
    <w:rsid w:val="003C441D"/>
    <w:rsid w:val="003C5D14"/>
    <w:rsid w:val="003C5D99"/>
    <w:rsid w:val="003D1211"/>
    <w:rsid w:val="003D27BD"/>
    <w:rsid w:val="003E2F59"/>
    <w:rsid w:val="003E3C7C"/>
    <w:rsid w:val="003F0789"/>
    <w:rsid w:val="003F2D4C"/>
    <w:rsid w:val="003F3761"/>
    <w:rsid w:val="003F38D7"/>
    <w:rsid w:val="003F73D1"/>
    <w:rsid w:val="003F7E7D"/>
    <w:rsid w:val="004010C3"/>
    <w:rsid w:val="0040133E"/>
    <w:rsid w:val="00401882"/>
    <w:rsid w:val="004032D5"/>
    <w:rsid w:val="004100C8"/>
    <w:rsid w:val="00411DBD"/>
    <w:rsid w:val="00412ACE"/>
    <w:rsid w:val="00431249"/>
    <w:rsid w:val="00431404"/>
    <w:rsid w:val="00434C19"/>
    <w:rsid w:val="00440745"/>
    <w:rsid w:val="0044109C"/>
    <w:rsid w:val="004453BC"/>
    <w:rsid w:val="00450810"/>
    <w:rsid w:val="00450E8C"/>
    <w:rsid w:val="00451958"/>
    <w:rsid w:val="004532BB"/>
    <w:rsid w:val="00453C8B"/>
    <w:rsid w:val="00455C5C"/>
    <w:rsid w:val="00457215"/>
    <w:rsid w:val="00462545"/>
    <w:rsid w:val="00464738"/>
    <w:rsid w:val="00475337"/>
    <w:rsid w:val="00477144"/>
    <w:rsid w:val="00483C56"/>
    <w:rsid w:val="0049186A"/>
    <w:rsid w:val="0049459F"/>
    <w:rsid w:val="004A3782"/>
    <w:rsid w:val="004A38DD"/>
    <w:rsid w:val="004A6548"/>
    <w:rsid w:val="004B08F1"/>
    <w:rsid w:val="004B4136"/>
    <w:rsid w:val="004B43AE"/>
    <w:rsid w:val="004C30ED"/>
    <w:rsid w:val="004D17C2"/>
    <w:rsid w:val="004D5675"/>
    <w:rsid w:val="004D72F5"/>
    <w:rsid w:val="004D7E45"/>
    <w:rsid w:val="004E0515"/>
    <w:rsid w:val="004E064A"/>
    <w:rsid w:val="004E46EF"/>
    <w:rsid w:val="004E602D"/>
    <w:rsid w:val="004F3142"/>
    <w:rsid w:val="004F7014"/>
    <w:rsid w:val="0050108C"/>
    <w:rsid w:val="00506778"/>
    <w:rsid w:val="00511698"/>
    <w:rsid w:val="00514C66"/>
    <w:rsid w:val="00523639"/>
    <w:rsid w:val="00524DDC"/>
    <w:rsid w:val="00525B3F"/>
    <w:rsid w:val="00525E05"/>
    <w:rsid w:val="005316C3"/>
    <w:rsid w:val="00531AED"/>
    <w:rsid w:val="00535B8A"/>
    <w:rsid w:val="0053611E"/>
    <w:rsid w:val="00537514"/>
    <w:rsid w:val="00542E97"/>
    <w:rsid w:val="0054724A"/>
    <w:rsid w:val="005539B5"/>
    <w:rsid w:val="005649E7"/>
    <w:rsid w:val="00565532"/>
    <w:rsid w:val="00570155"/>
    <w:rsid w:val="00573E2B"/>
    <w:rsid w:val="00576788"/>
    <w:rsid w:val="00582617"/>
    <w:rsid w:val="00582C63"/>
    <w:rsid w:val="00583C39"/>
    <w:rsid w:val="005909CF"/>
    <w:rsid w:val="005914A0"/>
    <w:rsid w:val="00591A56"/>
    <w:rsid w:val="00591E71"/>
    <w:rsid w:val="00593E84"/>
    <w:rsid w:val="00597229"/>
    <w:rsid w:val="00597977"/>
    <w:rsid w:val="00597BB3"/>
    <w:rsid w:val="00597DA4"/>
    <w:rsid w:val="005A0D41"/>
    <w:rsid w:val="005A7ACC"/>
    <w:rsid w:val="005A7F3E"/>
    <w:rsid w:val="005B284D"/>
    <w:rsid w:val="005B3D92"/>
    <w:rsid w:val="005B43F4"/>
    <w:rsid w:val="005C10C1"/>
    <w:rsid w:val="005C2C21"/>
    <w:rsid w:val="005C40C2"/>
    <w:rsid w:val="005C4BD1"/>
    <w:rsid w:val="005C650B"/>
    <w:rsid w:val="005C782E"/>
    <w:rsid w:val="005D5623"/>
    <w:rsid w:val="005D6596"/>
    <w:rsid w:val="005E13D3"/>
    <w:rsid w:val="005E15BA"/>
    <w:rsid w:val="005E3A81"/>
    <w:rsid w:val="005E71B9"/>
    <w:rsid w:val="005F0C3C"/>
    <w:rsid w:val="00607BF1"/>
    <w:rsid w:val="00610D2E"/>
    <w:rsid w:val="006173A9"/>
    <w:rsid w:val="0062203E"/>
    <w:rsid w:val="006227FD"/>
    <w:rsid w:val="00630658"/>
    <w:rsid w:val="00630D4D"/>
    <w:rsid w:val="00631019"/>
    <w:rsid w:val="00632A74"/>
    <w:rsid w:val="006378A1"/>
    <w:rsid w:val="00646E54"/>
    <w:rsid w:val="00647271"/>
    <w:rsid w:val="00651533"/>
    <w:rsid w:val="006534A9"/>
    <w:rsid w:val="00661BF8"/>
    <w:rsid w:val="006712A0"/>
    <w:rsid w:val="006712BD"/>
    <w:rsid w:val="00672667"/>
    <w:rsid w:val="00673270"/>
    <w:rsid w:val="00675A8B"/>
    <w:rsid w:val="00676BAA"/>
    <w:rsid w:val="00680968"/>
    <w:rsid w:val="00683A89"/>
    <w:rsid w:val="00684702"/>
    <w:rsid w:val="00685E25"/>
    <w:rsid w:val="00697232"/>
    <w:rsid w:val="006974F0"/>
    <w:rsid w:val="006A062D"/>
    <w:rsid w:val="006A18A1"/>
    <w:rsid w:val="006A1BCD"/>
    <w:rsid w:val="006A301B"/>
    <w:rsid w:val="006A42B0"/>
    <w:rsid w:val="006A4655"/>
    <w:rsid w:val="006A7117"/>
    <w:rsid w:val="006B208F"/>
    <w:rsid w:val="006B2A9D"/>
    <w:rsid w:val="006B2B3C"/>
    <w:rsid w:val="006C0EF2"/>
    <w:rsid w:val="006C1D81"/>
    <w:rsid w:val="006C28AE"/>
    <w:rsid w:val="006C7038"/>
    <w:rsid w:val="006E012B"/>
    <w:rsid w:val="006E73EF"/>
    <w:rsid w:val="006F71CB"/>
    <w:rsid w:val="00703719"/>
    <w:rsid w:val="00714D4D"/>
    <w:rsid w:val="00733468"/>
    <w:rsid w:val="00735E60"/>
    <w:rsid w:val="00743D4A"/>
    <w:rsid w:val="00745783"/>
    <w:rsid w:val="00754E1C"/>
    <w:rsid w:val="00756439"/>
    <w:rsid w:val="007604BB"/>
    <w:rsid w:val="00762AF1"/>
    <w:rsid w:val="0076307D"/>
    <w:rsid w:val="0078286B"/>
    <w:rsid w:val="00785232"/>
    <w:rsid w:val="007975D2"/>
    <w:rsid w:val="00797EB3"/>
    <w:rsid w:val="007A1ADB"/>
    <w:rsid w:val="007A21EB"/>
    <w:rsid w:val="007A64CD"/>
    <w:rsid w:val="007A73B5"/>
    <w:rsid w:val="007B03A1"/>
    <w:rsid w:val="007B3E0F"/>
    <w:rsid w:val="007C36C9"/>
    <w:rsid w:val="007C382A"/>
    <w:rsid w:val="007D162B"/>
    <w:rsid w:val="007D6401"/>
    <w:rsid w:val="007E01E4"/>
    <w:rsid w:val="007F3E57"/>
    <w:rsid w:val="007F7107"/>
    <w:rsid w:val="007F7BB8"/>
    <w:rsid w:val="008009F6"/>
    <w:rsid w:val="00805F3A"/>
    <w:rsid w:val="008102D3"/>
    <w:rsid w:val="0081030F"/>
    <w:rsid w:val="00813E59"/>
    <w:rsid w:val="008143F2"/>
    <w:rsid w:val="00817349"/>
    <w:rsid w:val="0082087D"/>
    <w:rsid w:val="00821851"/>
    <w:rsid w:val="00823233"/>
    <w:rsid w:val="00825581"/>
    <w:rsid w:val="00834148"/>
    <w:rsid w:val="00837B8C"/>
    <w:rsid w:val="0084160F"/>
    <w:rsid w:val="00842807"/>
    <w:rsid w:val="00842933"/>
    <w:rsid w:val="00856121"/>
    <w:rsid w:val="0086082C"/>
    <w:rsid w:val="00861B23"/>
    <w:rsid w:val="00862F29"/>
    <w:rsid w:val="008646F5"/>
    <w:rsid w:val="00864ADC"/>
    <w:rsid w:val="00866B03"/>
    <w:rsid w:val="00870E1A"/>
    <w:rsid w:val="00874FDF"/>
    <w:rsid w:val="00876033"/>
    <w:rsid w:val="0087651E"/>
    <w:rsid w:val="00880153"/>
    <w:rsid w:val="0088077B"/>
    <w:rsid w:val="00880F97"/>
    <w:rsid w:val="0088133A"/>
    <w:rsid w:val="0088770A"/>
    <w:rsid w:val="008904CC"/>
    <w:rsid w:val="0089285E"/>
    <w:rsid w:val="0089436C"/>
    <w:rsid w:val="0089580D"/>
    <w:rsid w:val="00897C28"/>
    <w:rsid w:val="008B3778"/>
    <w:rsid w:val="008B6CD9"/>
    <w:rsid w:val="008B770C"/>
    <w:rsid w:val="008C1609"/>
    <w:rsid w:val="008C4CDF"/>
    <w:rsid w:val="008C7C2D"/>
    <w:rsid w:val="008D1315"/>
    <w:rsid w:val="008D1A74"/>
    <w:rsid w:val="008D365C"/>
    <w:rsid w:val="008D3C33"/>
    <w:rsid w:val="008D77B2"/>
    <w:rsid w:val="008E3C45"/>
    <w:rsid w:val="008F1843"/>
    <w:rsid w:val="008F63A0"/>
    <w:rsid w:val="008F66DB"/>
    <w:rsid w:val="008F6AA9"/>
    <w:rsid w:val="00901A73"/>
    <w:rsid w:val="00902EE6"/>
    <w:rsid w:val="009030BF"/>
    <w:rsid w:val="00904E84"/>
    <w:rsid w:val="00913618"/>
    <w:rsid w:val="00914368"/>
    <w:rsid w:val="00915592"/>
    <w:rsid w:val="00921D59"/>
    <w:rsid w:val="00926A7E"/>
    <w:rsid w:val="00931002"/>
    <w:rsid w:val="00931076"/>
    <w:rsid w:val="009345D9"/>
    <w:rsid w:val="00934B15"/>
    <w:rsid w:val="00942B62"/>
    <w:rsid w:val="009450A7"/>
    <w:rsid w:val="009467B0"/>
    <w:rsid w:val="0095170E"/>
    <w:rsid w:val="009568DD"/>
    <w:rsid w:val="00956A0C"/>
    <w:rsid w:val="00956BD9"/>
    <w:rsid w:val="0096041A"/>
    <w:rsid w:val="00962489"/>
    <w:rsid w:val="00966617"/>
    <w:rsid w:val="00973185"/>
    <w:rsid w:val="00977B62"/>
    <w:rsid w:val="0098405C"/>
    <w:rsid w:val="00990120"/>
    <w:rsid w:val="00990C2C"/>
    <w:rsid w:val="00995AA4"/>
    <w:rsid w:val="009962BF"/>
    <w:rsid w:val="009971F6"/>
    <w:rsid w:val="009A0A27"/>
    <w:rsid w:val="009A5832"/>
    <w:rsid w:val="009B13CE"/>
    <w:rsid w:val="009B394B"/>
    <w:rsid w:val="009B5FCD"/>
    <w:rsid w:val="009C0585"/>
    <w:rsid w:val="009E202A"/>
    <w:rsid w:val="009E6583"/>
    <w:rsid w:val="009F5BBD"/>
    <w:rsid w:val="009F696D"/>
    <w:rsid w:val="009F6BC6"/>
    <w:rsid w:val="00A03DF8"/>
    <w:rsid w:val="00A17328"/>
    <w:rsid w:val="00A214BC"/>
    <w:rsid w:val="00A22A55"/>
    <w:rsid w:val="00A236E7"/>
    <w:rsid w:val="00A23A20"/>
    <w:rsid w:val="00A258B9"/>
    <w:rsid w:val="00A268B9"/>
    <w:rsid w:val="00A2703A"/>
    <w:rsid w:val="00A3022C"/>
    <w:rsid w:val="00A3076E"/>
    <w:rsid w:val="00A33DFF"/>
    <w:rsid w:val="00A35115"/>
    <w:rsid w:val="00A37639"/>
    <w:rsid w:val="00A37C30"/>
    <w:rsid w:val="00A50372"/>
    <w:rsid w:val="00A54245"/>
    <w:rsid w:val="00A554AB"/>
    <w:rsid w:val="00A56460"/>
    <w:rsid w:val="00A57A66"/>
    <w:rsid w:val="00A6169B"/>
    <w:rsid w:val="00A65F82"/>
    <w:rsid w:val="00A67127"/>
    <w:rsid w:val="00A7193F"/>
    <w:rsid w:val="00A74B8C"/>
    <w:rsid w:val="00A74BB3"/>
    <w:rsid w:val="00A76112"/>
    <w:rsid w:val="00A77DC7"/>
    <w:rsid w:val="00A85D93"/>
    <w:rsid w:val="00A87FE9"/>
    <w:rsid w:val="00A92277"/>
    <w:rsid w:val="00A92B53"/>
    <w:rsid w:val="00A94FA6"/>
    <w:rsid w:val="00A94FFB"/>
    <w:rsid w:val="00AA0B13"/>
    <w:rsid w:val="00AA49A0"/>
    <w:rsid w:val="00AA6710"/>
    <w:rsid w:val="00AB0681"/>
    <w:rsid w:val="00AB6350"/>
    <w:rsid w:val="00AC0BE5"/>
    <w:rsid w:val="00AC350B"/>
    <w:rsid w:val="00AC7822"/>
    <w:rsid w:val="00AD2AAB"/>
    <w:rsid w:val="00AD37C2"/>
    <w:rsid w:val="00AD3FC7"/>
    <w:rsid w:val="00AD4AF4"/>
    <w:rsid w:val="00AD520B"/>
    <w:rsid w:val="00AE006F"/>
    <w:rsid w:val="00AE0290"/>
    <w:rsid w:val="00AE042A"/>
    <w:rsid w:val="00AE409E"/>
    <w:rsid w:val="00AF1C65"/>
    <w:rsid w:val="00AF2AAB"/>
    <w:rsid w:val="00AF4E73"/>
    <w:rsid w:val="00AF67A9"/>
    <w:rsid w:val="00B00856"/>
    <w:rsid w:val="00B00D7E"/>
    <w:rsid w:val="00B24FAB"/>
    <w:rsid w:val="00B3088C"/>
    <w:rsid w:val="00B40B97"/>
    <w:rsid w:val="00B43751"/>
    <w:rsid w:val="00B440AD"/>
    <w:rsid w:val="00B470AC"/>
    <w:rsid w:val="00B52415"/>
    <w:rsid w:val="00B52D78"/>
    <w:rsid w:val="00B53E7E"/>
    <w:rsid w:val="00B60F97"/>
    <w:rsid w:val="00B61C5F"/>
    <w:rsid w:val="00B6206D"/>
    <w:rsid w:val="00B6342E"/>
    <w:rsid w:val="00B63EBC"/>
    <w:rsid w:val="00B64F34"/>
    <w:rsid w:val="00B65440"/>
    <w:rsid w:val="00B663B6"/>
    <w:rsid w:val="00B7113F"/>
    <w:rsid w:val="00B72E06"/>
    <w:rsid w:val="00B73BBE"/>
    <w:rsid w:val="00B77B65"/>
    <w:rsid w:val="00B8551B"/>
    <w:rsid w:val="00B85675"/>
    <w:rsid w:val="00B941E9"/>
    <w:rsid w:val="00B9614B"/>
    <w:rsid w:val="00BA0B56"/>
    <w:rsid w:val="00BA73B6"/>
    <w:rsid w:val="00BB0DCA"/>
    <w:rsid w:val="00BB2603"/>
    <w:rsid w:val="00BB32AE"/>
    <w:rsid w:val="00BB3F20"/>
    <w:rsid w:val="00BB4DEB"/>
    <w:rsid w:val="00BB4FCD"/>
    <w:rsid w:val="00BC31AC"/>
    <w:rsid w:val="00BC3691"/>
    <w:rsid w:val="00BC7AB4"/>
    <w:rsid w:val="00BD13EA"/>
    <w:rsid w:val="00BD1711"/>
    <w:rsid w:val="00BE240F"/>
    <w:rsid w:val="00BE3808"/>
    <w:rsid w:val="00BE4B55"/>
    <w:rsid w:val="00C062E9"/>
    <w:rsid w:val="00C07B64"/>
    <w:rsid w:val="00C1207B"/>
    <w:rsid w:val="00C13721"/>
    <w:rsid w:val="00C20E05"/>
    <w:rsid w:val="00C21CB9"/>
    <w:rsid w:val="00C23FC6"/>
    <w:rsid w:val="00C3066D"/>
    <w:rsid w:val="00C31D2D"/>
    <w:rsid w:val="00C32BC5"/>
    <w:rsid w:val="00C4220C"/>
    <w:rsid w:val="00C42776"/>
    <w:rsid w:val="00C475F0"/>
    <w:rsid w:val="00C51CE6"/>
    <w:rsid w:val="00C543F4"/>
    <w:rsid w:val="00C56187"/>
    <w:rsid w:val="00C61787"/>
    <w:rsid w:val="00C6291C"/>
    <w:rsid w:val="00C633CB"/>
    <w:rsid w:val="00C64690"/>
    <w:rsid w:val="00C66D15"/>
    <w:rsid w:val="00C7310D"/>
    <w:rsid w:val="00C73E20"/>
    <w:rsid w:val="00C74B12"/>
    <w:rsid w:val="00C805CC"/>
    <w:rsid w:val="00C82F07"/>
    <w:rsid w:val="00C8762C"/>
    <w:rsid w:val="00C91BA0"/>
    <w:rsid w:val="00C94162"/>
    <w:rsid w:val="00C94B4A"/>
    <w:rsid w:val="00CA00F9"/>
    <w:rsid w:val="00CA1C45"/>
    <w:rsid w:val="00CA2961"/>
    <w:rsid w:val="00CA47C2"/>
    <w:rsid w:val="00CA61FF"/>
    <w:rsid w:val="00CB0FB4"/>
    <w:rsid w:val="00CB50D7"/>
    <w:rsid w:val="00CB67AE"/>
    <w:rsid w:val="00CB7177"/>
    <w:rsid w:val="00CC08AB"/>
    <w:rsid w:val="00CC1998"/>
    <w:rsid w:val="00CC48E0"/>
    <w:rsid w:val="00CC4946"/>
    <w:rsid w:val="00CC58CD"/>
    <w:rsid w:val="00CD00C5"/>
    <w:rsid w:val="00CD1F83"/>
    <w:rsid w:val="00CD29C5"/>
    <w:rsid w:val="00CD2C38"/>
    <w:rsid w:val="00CD39AE"/>
    <w:rsid w:val="00CD4438"/>
    <w:rsid w:val="00CD50CF"/>
    <w:rsid w:val="00CD592C"/>
    <w:rsid w:val="00CE40D8"/>
    <w:rsid w:val="00CF0F62"/>
    <w:rsid w:val="00CF360D"/>
    <w:rsid w:val="00D027D9"/>
    <w:rsid w:val="00D030BF"/>
    <w:rsid w:val="00D05889"/>
    <w:rsid w:val="00D12861"/>
    <w:rsid w:val="00D1793F"/>
    <w:rsid w:val="00D2018A"/>
    <w:rsid w:val="00D209BF"/>
    <w:rsid w:val="00D22F4B"/>
    <w:rsid w:val="00D270A4"/>
    <w:rsid w:val="00D3123F"/>
    <w:rsid w:val="00D31FE9"/>
    <w:rsid w:val="00D34E1B"/>
    <w:rsid w:val="00D36B4D"/>
    <w:rsid w:val="00D376BA"/>
    <w:rsid w:val="00D46884"/>
    <w:rsid w:val="00D47639"/>
    <w:rsid w:val="00D52AAC"/>
    <w:rsid w:val="00D5568A"/>
    <w:rsid w:val="00D63D73"/>
    <w:rsid w:val="00D66390"/>
    <w:rsid w:val="00D66E1E"/>
    <w:rsid w:val="00D71848"/>
    <w:rsid w:val="00D72F42"/>
    <w:rsid w:val="00D75722"/>
    <w:rsid w:val="00D75E48"/>
    <w:rsid w:val="00D76C9E"/>
    <w:rsid w:val="00D805D9"/>
    <w:rsid w:val="00D81374"/>
    <w:rsid w:val="00D821C5"/>
    <w:rsid w:val="00D845C9"/>
    <w:rsid w:val="00D849E3"/>
    <w:rsid w:val="00D87169"/>
    <w:rsid w:val="00D87BD3"/>
    <w:rsid w:val="00D9571B"/>
    <w:rsid w:val="00DA0E3F"/>
    <w:rsid w:val="00DA3418"/>
    <w:rsid w:val="00DA5BBA"/>
    <w:rsid w:val="00DA67C4"/>
    <w:rsid w:val="00DB4D88"/>
    <w:rsid w:val="00DB67C9"/>
    <w:rsid w:val="00DC0C95"/>
    <w:rsid w:val="00DC4DF9"/>
    <w:rsid w:val="00DD2733"/>
    <w:rsid w:val="00DD3FBB"/>
    <w:rsid w:val="00DD6580"/>
    <w:rsid w:val="00DE1D93"/>
    <w:rsid w:val="00DE58AC"/>
    <w:rsid w:val="00DE5D11"/>
    <w:rsid w:val="00DE6D97"/>
    <w:rsid w:val="00DE6E6B"/>
    <w:rsid w:val="00DF4DAC"/>
    <w:rsid w:val="00DF5E55"/>
    <w:rsid w:val="00E069F1"/>
    <w:rsid w:val="00E06ED4"/>
    <w:rsid w:val="00E1367F"/>
    <w:rsid w:val="00E17C72"/>
    <w:rsid w:val="00E21FC6"/>
    <w:rsid w:val="00E252F1"/>
    <w:rsid w:val="00E262FC"/>
    <w:rsid w:val="00E33D0E"/>
    <w:rsid w:val="00E41610"/>
    <w:rsid w:val="00E431A9"/>
    <w:rsid w:val="00E44286"/>
    <w:rsid w:val="00E47C1C"/>
    <w:rsid w:val="00E52B0B"/>
    <w:rsid w:val="00E61BE0"/>
    <w:rsid w:val="00E61C4A"/>
    <w:rsid w:val="00E62208"/>
    <w:rsid w:val="00E65944"/>
    <w:rsid w:val="00E669E2"/>
    <w:rsid w:val="00E67641"/>
    <w:rsid w:val="00E70C5B"/>
    <w:rsid w:val="00E76135"/>
    <w:rsid w:val="00E767BE"/>
    <w:rsid w:val="00E76B37"/>
    <w:rsid w:val="00E80B7F"/>
    <w:rsid w:val="00E8123D"/>
    <w:rsid w:val="00E83A83"/>
    <w:rsid w:val="00E84513"/>
    <w:rsid w:val="00E85693"/>
    <w:rsid w:val="00E94C31"/>
    <w:rsid w:val="00E9671A"/>
    <w:rsid w:val="00E971AD"/>
    <w:rsid w:val="00E97689"/>
    <w:rsid w:val="00EA0679"/>
    <w:rsid w:val="00EA5E72"/>
    <w:rsid w:val="00EC06A6"/>
    <w:rsid w:val="00EC2844"/>
    <w:rsid w:val="00EE7B49"/>
    <w:rsid w:val="00EF3117"/>
    <w:rsid w:val="00EF6448"/>
    <w:rsid w:val="00EF6C6C"/>
    <w:rsid w:val="00F01CAC"/>
    <w:rsid w:val="00F0331A"/>
    <w:rsid w:val="00F056FC"/>
    <w:rsid w:val="00F10476"/>
    <w:rsid w:val="00F135D8"/>
    <w:rsid w:val="00F162E8"/>
    <w:rsid w:val="00F175CC"/>
    <w:rsid w:val="00F22EFD"/>
    <w:rsid w:val="00F23230"/>
    <w:rsid w:val="00F24868"/>
    <w:rsid w:val="00F31299"/>
    <w:rsid w:val="00F3357E"/>
    <w:rsid w:val="00F33E36"/>
    <w:rsid w:val="00F34F6E"/>
    <w:rsid w:val="00F3534A"/>
    <w:rsid w:val="00F46337"/>
    <w:rsid w:val="00F473E2"/>
    <w:rsid w:val="00F5722A"/>
    <w:rsid w:val="00F62CEA"/>
    <w:rsid w:val="00F66003"/>
    <w:rsid w:val="00F66825"/>
    <w:rsid w:val="00F7017B"/>
    <w:rsid w:val="00F71EFB"/>
    <w:rsid w:val="00F71FEC"/>
    <w:rsid w:val="00F72C88"/>
    <w:rsid w:val="00F73984"/>
    <w:rsid w:val="00F74C07"/>
    <w:rsid w:val="00F85325"/>
    <w:rsid w:val="00F87CA3"/>
    <w:rsid w:val="00F915A6"/>
    <w:rsid w:val="00F95D1C"/>
    <w:rsid w:val="00F96BFD"/>
    <w:rsid w:val="00FA0682"/>
    <w:rsid w:val="00FA2EFB"/>
    <w:rsid w:val="00FB7C21"/>
    <w:rsid w:val="00FC03A8"/>
    <w:rsid w:val="00FC0D65"/>
    <w:rsid w:val="00FC4FDA"/>
    <w:rsid w:val="00FC50CC"/>
    <w:rsid w:val="00FC62BD"/>
    <w:rsid w:val="00FC7F8A"/>
    <w:rsid w:val="00FD22B1"/>
    <w:rsid w:val="00FD2775"/>
    <w:rsid w:val="00FD494A"/>
    <w:rsid w:val="00FD5BB2"/>
    <w:rsid w:val="00FD5F8E"/>
    <w:rsid w:val="00FE36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er" w:uiPriority="99"/>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lang w:val="en-AU" w:eastAsia="en-AU"/>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lang w:val="en-AU" w:eastAsia="en-AU"/>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39"/>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val="en-AU"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val="en-AU"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val="en-AU"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link w:val="BalloonText"/>
    <w:rsid w:val="006B2B3C"/>
    <w:rPr>
      <w:rFonts w:ascii="Tahoma" w:hAnsi="Tahoma" w:cs="Tahoma"/>
      <w:sz w:val="16"/>
      <w:szCs w:val="16"/>
    </w:rPr>
  </w:style>
  <w:style w:type="character" w:customStyle="1" w:styleId="SubtitleChar">
    <w:name w:val="Subtitle Char"/>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link w:val="Footer"/>
    <w:uiPriority w:val="99"/>
    <w:rsid w:val="002B6178"/>
    <w:rPr>
      <w:rFonts w:ascii="Arial" w:hAnsi="Arial"/>
      <w:caps/>
      <w:color w:val="333333"/>
      <w:spacing w:val="-4"/>
      <w:sz w:val="16"/>
    </w:rPr>
  </w:style>
  <w:style w:type="character" w:customStyle="1" w:styleId="BodyTextChar">
    <w:name w:val="Body Text Char"/>
    <w:link w:val="BodyText"/>
    <w:rsid w:val="00FC7F8A"/>
    <w:rPr>
      <w:rFonts w:ascii="Arial" w:hAnsi="Arial"/>
      <w:color w:val="1C1C1C"/>
      <w:sz w:val="24"/>
    </w:rPr>
  </w:style>
  <w:style w:type="character" w:customStyle="1" w:styleId="Heading2Char">
    <w:name w:val="Heading 2 Char"/>
    <w:link w:val="Heading2"/>
    <w:rsid w:val="00FC7F8A"/>
    <w:rPr>
      <w:rFonts w:ascii="Arial" w:hAnsi="Arial"/>
      <w:b/>
      <w:color w:val="4298B5"/>
      <w:sz w:val="40"/>
    </w:rPr>
  </w:style>
  <w:style w:type="character" w:customStyle="1" w:styleId="Heading3Char">
    <w:name w:val="Heading 3 Char"/>
    <w:link w:val="Heading3"/>
    <w:rsid w:val="00FC7F8A"/>
    <w:rPr>
      <w:rFonts w:ascii="Arial" w:hAnsi="Arial"/>
      <w:b/>
      <w:sz w:val="32"/>
    </w:rPr>
  </w:style>
  <w:style w:type="character" w:customStyle="1" w:styleId="QuoteChar">
    <w:name w:val="Quote Char"/>
    <w:link w:val="Quote"/>
    <w:rsid w:val="00FC7F8A"/>
    <w:rPr>
      <w:rFonts w:ascii="Arial" w:hAnsi="Arial"/>
      <w:color w:val="1C1C1C"/>
      <w:sz w:val="24"/>
    </w:rPr>
  </w:style>
  <w:style w:type="paragraph" w:styleId="CommentSubject">
    <w:name w:val="annotation subject"/>
    <w:basedOn w:val="CommentText"/>
    <w:next w:val="CommentText"/>
    <w:link w:val="CommentSubjectChar"/>
    <w:rsid w:val="004D17C2"/>
    <w:pPr>
      <w:spacing w:before="0" w:line="240" w:lineRule="auto"/>
      <w:ind w:left="0" w:firstLine="0"/>
    </w:pPr>
    <w:rPr>
      <w:b/>
      <w:bCs/>
      <w:szCs w:val="20"/>
    </w:rPr>
  </w:style>
  <w:style w:type="character" w:customStyle="1" w:styleId="CommentTextChar">
    <w:name w:val="Comment Text Char"/>
    <w:link w:val="CommentText"/>
    <w:semiHidden/>
    <w:rsid w:val="004D17C2"/>
    <w:rPr>
      <w:szCs w:val="24"/>
    </w:rPr>
  </w:style>
  <w:style w:type="character" w:customStyle="1" w:styleId="CommentSubjectChar">
    <w:name w:val="Comment Subject Char"/>
    <w:link w:val="CommentSubject"/>
    <w:rsid w:val="004D17C2"/>
    <w:rPr>
      <w:b/>
      <w:bCs/>
      <w:szCs w:val="24"/>
    </w:rPr>
  </w:style>
  <w:style w:type="table" w:styleId="TableGrid">
    <w:name w:val="Table Grid"/>
    <w:basedOn w:val="TableNormal"/>
    <w:rsid w:val="00631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Orange">
    <w:name w:val="Bullet 1 Orange"/>
    <w:basedOn w:val="BodyText"/>
    <w:uiPriority w:val="13"/>
    <w:qFormat/>
    <w:rsid w:val="00CD592C"/>
    <w:pPr>
      <w:numPr>
        <w:numId w:val="45"/>
      </w:numPr>
      <w:spacing w:before="0" w:after="160" w:line="250" w:lineRule="atLeast"/>
      <w:jc w:val="left"/>
    </w:pPr>
    <w:rPr>
      <w:rFonts w:ascii="Avenir LT Std 35 Light" w:eastAsia="Calibri" w:hAnsi="Avenir LT Std 35 Light"/>
      <w:color w:val="auto"/>
      <w:sz w:val="20"/>
      <w:szCs w:val="22"/>
      <w:lang w:val="en-NZ" w:eastAsia="en-US"/>
    </w:rPr>
  </w:style>
  <w:style w:type="paragraph" w:customStyle="1" w:styleId="Bullet2Orange">
    <w:name w:val="Bullet 2 Orange"/>
    <w:basedOn w:val="Bullet1Orange"/>
    <w:uiPriority w:val="13"/>
    <w:qFormat/>
    <w:rsid w:val="00CD592C"/>
    <w:pPr>
      <w:numPr>
        <w:ilvl w:val="1"/>
      </w:numPr>
    </w:pPr>
  </w:style>
  <w:style w:type="numbering" w:customStyle="1" w:styleId="PCBullets">
    <w:name w:val="PC Bullets"/>
    <w:uiPriority w:val="99"/>
    <w:rsid w:val="00CD592C"/>
    <w:pPr>
      <w:numPr>
        <w:numId w:val="45"/>
      </w:numPr>
    </w:pPr>
  </w:style>
  <w:style w:type="paragraph" w:styleId="Revision">
    <w:name w:val="Revision"/>
    <w:hidden/>
    <w:uiPriority w:val="99"/>
    <w:semiHidden/>
    <w:rsid w:val="00E06ED4"/>
    <w:rPr>
      <w:sz w:val="26"/>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er" w:uiPriority="99"/>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lang w:val="en-AU" w:eastAsia="en-AU"/>
    </w:rPr>
  </w:style>
  <w:style w:type="paragraph" w:styleId="Heading1">
    <w:name w:val="heading 1"/>
    <w:basedOn w:val="BodyText"/>
    <w:next w:val="BodyText"/>
    <w:rsid w:val="00F62CEA"/>
    <w:pPr>
      <w:keepNext/>
      <w:spacing w:before="160" w:after="1360" w:line="600" w:lineRule="exact"/>
      <w:ind w:left="907" w:hanging="907"/>
      <w:jc w:val="left"/>
      <w:outlineLvl w:val="0"/>
    </w:pPr>
    <w:rPr>
      <w:b/>
      <w:color w:val="86A20B"/>
      <w:sz w:val="52"/>
    </w:rPr>
  </w:style>
  <w:style w:type="paragraph" w:styleId="Heading2">
    <w:name w:val="heading 2"/>
    <w:basedOn w:val="Chapter"/>
    <w:next w:val="BodyText"/>
    <w:link w:val="Heading2Char"/>
    <w:qFormat/>
    <w:rsid w:val="00F62CEA"/>
    <w:pPr>
      <w:spacing w:before="600" w:after="0" w:line="480" w:lineRule="exact"/>
      <w:ind w:left="907" w:hanging="907"/>
      <w:outlineLvl w:val="1"/>
    </w:pPr>
    <w:rPr>
      <w:color w:val="4298B5"/>
      <w:sz w:val="40"/>
    </w:rPr>
  </w:style>
  <w:style w:type="paragraph" w:styleId="Heading3">
    <w:name w:val="heading 3"/>
    <w:basedOn w:val="Heading2"/>
    <w:next w:val="BodyText"/>
    <w:link w:val="Heading3Char"/>
    <w:qFormat/>
    <w:rsid w:val="00F62CEA"/>
    <w:pPr>
      <w:spacing w:before="560" w:line="380" w:lineRule="exact"/>
      <w:ind w:left="0" w:firstLine="0"/>
      <w:outlineLvl w:val="2"/>
    </w:pPr>
    <w:rPr>
      <w:color w:val="auto"/>
      <w:sz w:val="32"/>
    </w:rPr>
  </w:style>
  <w:style w:type="paragraph" w:styleId="Heading4">
    <w:name w:val="heading 4"/>
    <w:basedOn w:val="Heading3"/>
    <w:next w:val="BodyText"/>
    <w:qFormat/>
    <w:rsid w:val="00F62CEA"/>
    <w:pPr>
      <w:spacing w:before="480" w:line="360" w:lineRule="exact"/>
      <w:outlineLvl w:val="3"/>
    </w:pPr>
    <w:rPr>
      <w:b w:val="0"/>
      <w:i/>
      <w:sz w:val="28"/>
    </w:rPr>
  </w:style>
  <w:style w:type="paragraph" w:styleId="Heading5">
    <w:name w:val="heading 5"/>
    <w:basedOn w:val="Heading4"/>
    <w:next w:val="BodyText"/>
    <w:qFormat/>
    <w:rsid w:val="00F62CEA"/>
    <w:pPr>
      <w:spacing w:line="320" w:lineRule="exact"/>
      <w:outlineLvl w:val="4"/>
    </w:pPr>
    <w:rPr>
      <w:sz w:val="24"/>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sz w:val="20"/>
    </w:rPr>
  </w:style>
  <w:style w:type="paragraph" w:styleId="Heading8">
    <w:name w:val="heading 8"/>
    <w:basedOn w:val="BodyText"/>
    <w:next w:val="BodyText"/>
    <w:rsid w:val="00A17328"/>
    <w:pPr>
      <w:spacing w:after="60" w:line="240" w:lineRule="auto"/>
      <w:jc w:val="left"/>
      <w:outlineLvl w:val="7"/>
    </w:pPr>
    <w:rPr>
      <w:i/>
      <w:sz w:val="20"/>
    </w:rPr>
  </w:style>
  <w:style w:type="paragraph" w:styleId="Heading9">
    <w:name w:val="heading 9"/>
    <w:basedOn w:val="BodyText"/>
    <w:next w:val="BodyText"/>
    <w:rsid w:val="00A17328"/>
    <w:pPr>
      <w:spacing w:after="60" w:line="240" w:lineRule="auto"/>
      <w:jc w:val="lef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47C1C"/>
    <w:pPr>
      <w:spacing w:before="240" w:line="320" w:lineRule="atLeast"/>
      <w:jc w:val="both"/>
    </w:pPr>
    <w:rPr>
      <w:rFonts w:ascii="Arial" w:hAnsi="Arial"/>
      <w:color w:val="1C1C1C"/>
      <w:sz w:val="24"/>
      <w:lang w:val="en-AU" w:eastAsia="en-AU"/>
    </w:rPr>
  </w:style>
  <w:style w:type="paragraph" w:styleId="Footer">
    <w:name w:val="footer"/>
    <w:basedOn w:val="BodyText"/>
    <w:link w:val="FooterChar"/>
    <w:uiPriority w:val="99"/>
    <w:rsid w:val="002B6178"/>
    <w:pPr>
      <w:spacing w:before="80" w:line="200" w:lineRule="exact"/>
      <w:ind w:right="6"/>
      <w:jc w:val="left"/>
    </w:pPr>
    <w:rPr>
      <w:caps/>
      <w:color w:val="333333"/>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3076E"/>
    <w:rPr>
      <w:rFonts w:ascii="Arial" w:hAnsi="Arial"/>
      <w:b/>
      <w:color w:val="333333"/>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sz w:val="22"/>
    </w:rPr>
  </w:style>
  <w:style w:type="paragraph" w:customStyle="1" w:styleId="BoxContinued">
    <w:name w:val="Box Continued"/>
    <w:basedOn w:val="BodyText"/>
    <w:next w:val="BodyText"/>
    <w:semiHidden/>
    <w:rsid w:val="00A17328"/>
    <w:pPr>
      <w:spacing w:before="180" w:line="220" w:lineRule="exact"/>
      <w:jc w:val="right"/>
    </w:pPr>
    <w:rPr>
      <w:sz w:val="18"/>
    </w:rPr>
  </w:style>
  <w:style w:type="paragraph" w:customStyle="1" w:styleId="BoxHeading1">
    <w:name w:val="Box Heading 1"/>
    <w:basedOn w:val="BodyText"/>
    <w:next w:val="Box"/>
    <w:rsid w:val="00A17328"/>
    <w:pPr>
      <w:keepNext/>
      <w:spacing w:before="200" w:line="280" w:lineRule="atLeast"/>
    </w:pPr>
    <w:rPr>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sz w:val="22"/>
    </w:rPr>
  </w:style>
  <w:style w:type="paragraph" w:customStyle="1" w:styleId="BoxListNumber">
    <w:name w:val="Box List Number"/>
    <w:basedOn w:val="BodyText"/>
    <w:rsid w:val="00864ADC"/>
    <w:pPr>
      <w:keepNext/>
      <w:numPr>
        <w:numId w:val="39"/>
      </w:numPr>
      <w:spacing w:before="120" w:line="280" w:lineRule="atLeast"/>
    </w:pPr>
    <w:rPr>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sz w:val="20"/>
    </w:rPr>
  </w:style>
  <w:style w:type="paragraph" w:customStyle="1" w:styleId="Note">
    <w:name w:val="Note"/>
    <w:basedOn w:val="BodyText"/>
    <w:next w:val="Normal"/>
    <w:rsid w:val="00A17328"/>
    <w:pPr>
      <w:keepLines/>
      <w:spacing w:before="80" w:line="220" w:lineRule="exact"/>
    </w:pPr>
    <w:rPr>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05152B"/>
    <w:pPr>
      <w:spacing w:before="120" w:after="0" w:line="320" w:lineRule="exact"/>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67127"/>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style>
  <w:style w:type="paragraph" w:customStyle="1" w:styleId="Jurisdictioncommentsbodytext">
    <w:name w:val="Jurisdiction comments body text"/>
    <w:rsid w:val="00A17328"/>
    <w:pPr>
      <w:spacing w:after="140"/>
      <w:jc w:val="both"/>
    </w:pPr>
    <w:rPr>
      <w:rFonts w:ascii="Arial" w:hAnsi="Arial"/>
      <w:sz w:val="24"/>
      <w:lang w:val="en-AU"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val="en-AU"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val="en-AU"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67127"/>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link w:val="BalloonText"/>
    <w:rsid w:val="006B2B3C"/>
    <w:rPr>
      <w:rFonts w:ascii="Tahoma" w:hAnsi="Tahoma" w:cs="Tahoma"/>
      <w:sz w:val="16"/>
      <w:szCs w:val="16"/>
    </w:rPr>
  </w:style>
  <w:style w:type="character" w:customStyle="1" w:styleId="SubtitleChar">
    <w:name w:val="Subtitle Char"/>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sz w:val="22"/>
    </w:rPr>
  </w:style>
  <w:style w:type="character" w:styleId="Emphasis">
    <w:name w:val="Emphasis"/>
    <w:rsid w:val="00DA5BBA"/>
    <w:rPr>
      <w:i/>
      <w:iCs/>
    </w:rPr>
  </w:style>
  <w:style w:type="paragraph" w:customStyle="1" w:styleId="OZNZQuestion">
    <w:name w:val="OZNZ Question"/>
    <w:basedOn w:val="Normal"/>
    <w:uiPriority w:val="99"/>
    <w:qFormat/>
    <w:rsid w:val="00291CB8"/>
    <w:pPr>
      <w:spacing w:line="320" w:lineRule="atLeast"/>
      <w:jc w:val="both"/>
    </w:pPr>
    <w:rPr>
      <w:rFonts w:ascii="Arial" w:hAnsi="Arial" w:cs="Arial"/>
      <w:sz w:val="24"/>
    </w:rPr>
  </w:style>
  <w:style w:type="character" w:customStyle="1" w:styleId="FooterChar">
    <w:name w:val="Footer Char"/>
    <w:link w:val="Footer"/>
    <w:uiPriority w:val="99"/>
    <w:rsid w:val="002B6178"/>
    <w:rPr>
      <w:rFonts w:ascii="Arial" w:hAnsi="Arial"/>
      <w:caps/>
      <w:color w:val="333333"/>
      <w:spacing w:val="-4"/>
      <w:sz w:val="16"/>
    </w:rPr>
  </w:style>
  <w:style w:type="character" w:customStyle="1" w:styleId="BodyTextChar">
    <w:name w:val="Body Text Char"/>
    <w:link w:val="BodyText"/>
    <w:rsid w:val="00FC7F8A"/>
    <w:rPr>
      <w:rFonts w:ascii="Arial" w:hAnsi="Arial"/>
      <w:color w:val="1C1C1C"/>
      <w:sz w:val="24"/>
    </w:rPr>
  </w:style>
  <w:style w:type="character" w:customStyle="1" w:styleId="Heading2Char">
    <w:name w:val="Heading 2 Char"/>
    <w:link w:val="Heading2"/>
    <w:rsid w:val="00FC7F8A"/>
    <w:rPr>
      <w:rFonts w:ascii="Arial" w:hAnsi="Arial"/>
      <w:b/>
      <w:color w:val="4298B5"/>
      <w:sz w:val="40"/>
    </w:rPr>
  </w:style>
  <w:style w:type="character" w:customStyle="1" w:styleId="Heading3Char">
    <w:name w:val="Heading 3 Char"/>
    <w:link w:val="Heading3"/>
    <w:rsid w:val="00FC7F8A"/>
    <w:rPr>
      <w:rFonts w:ascii="Arial" w:hAnsi="Arial"/>
      <w:b/>
      <w:sz w:val="32"/>
    </w:rPr>
  </w:style>
  <w:style w:type="character" w:customStyle="1" w:styleId="QuoteChar">
    <w:name w:val="Quote Char"/>
    <w:link w:val="Quote"/>
    <w:rsid w:val="00FC7F8A"/>
    <w:rPr>
      <w:rFonts w:ascii="Arial" w:hAnsi="Arial"/>
      <w:color w:val="1C1C1C"/>
      <w:sz w:val="24"/>
    </w:rPr>
  </w:style>
  <w:style w:type="paragraph" w:styleId="CommentSubject">
    <w:name w:val="annotation subject"/>
    <w:basedOn w:val="CommentText"/>
    <w:next w:val="CommentText"/>
    <w:link w:val="CommentSubjectChar"/>
    <w:rsid w:val="004D17C2"/>
    <w:pPr>
      <w:spacing w:before="0" w:line="240" w:lineRule="auto"/>
      <w:ind w:left="0" w:firstLine="0"/>
    </w:pPr>
    <w:rPr>
      <w:b/>
      <w:bCs/>
      <w:szCs w:val="20"/>
    </w:rPr>
  </w:style>
  <w:style w:type="character" w:customStyle="1" w:styleId="CommentTextChar">
    <w:name w:val="Comment Text Char"/>
    <w:link w:val="CommentText"/>
    <w:semiHidden/>
    <w:rsid w:val="004D17C2"/>
    <w:rPr>
      <w:szCs w:val="24"/>
    </w:rPr>
  </w:style>
  <w:style w:type="character" w:customStyle="1" w:styleId="CommentSubjectChar">
    <w:name w:val="Comment Subject Char"/>
    <w:link w:val="CommentSubject"/>
    <w:rsid w:val="004D17C2"/>
    <w:rPr>
      <w:b/>
      <w:bCs/>
      <w:szCs w:val="24"/>
    </w:rPr>
  </w:style>
  <w:style w:type="table" w:styleId="TableGrid">
    <w:name w:val="Table Grid"/>
    <w:basedOn w:val="TableNormal"/>
    <w:rsid w:val="00631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Orange">
    <w:name w:val="Bullet 1 Orange"/>
    <w:basedOn w:val="BodyText"/>
    <w:uiPriority w:val="13"/>
    <w:qFormat/>
    <w:rsid w:val="00CD592C"/>
    <w:pPr>
      <w:numPr>
        <w:numId w:val="45"/>
      </w:numPr>
      <w:spacing w:before="0" w:after="160" w:line="250" w:lineRule="atLeast"/>
      <w:jc w:val="left"/>
    </w:pPr>
    <w:rPr>
      <w:rFonts w:ascii="Avenir LT Std 35 Light" w:eastAsia="Calibri" w:hAnsi="Avenir LT Std 35 Light"/>
      <w:color w:val="auto"/>
      <w:sz w:val="20"/>
      <w:szCs w:val="22"/>
      <w:lang w:val="en-NZ" w:eastAsia="en-US"/>
    </w:rPr>
  </w:style>
  <w:style w:type="paragraph" w:customStyle="1" w:styleId="Bullet2Orange">
    <w:name w:val="Bullet 2 Orange"/>
    <w:basedOn w:val="Bullet1Orange"/>
    <w:uiPriority w:val="13"/>
    <w:qFormat/>
    <w:rsid w:val="00CD592C"/>
    <w:pPr>
      <w:numPr>
        <w:ilvl w:val="1"/>
      </w:numPr>
    </w:pPr>
  </w:style>
  <w:style w:type="numbering" w:customStyle="1" w:styleId="PCBullets">
    <w:name w:val="PC Bullets"/>
    <w:uiPriority w:val="99"/>
    <w:rsid w:val="00CD592C"/>
    <w:pPr>
      <w:numPr>
        <w:numId w:val="45"/>
      </w:numPr>
    </w:pPr>
  </w:style>
  <w:style w:type="paragraph" w:styleId="Revision">
    <w:name w:val="Revision"/>
    <w:hidden/>
    <w:uiPriority w:val="99"/>
    <w:semiHidden/>
    <w:rsid w:val="00E06ED4"/>
    <w:rPr>
      <w:sz w:val="26"/>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06641">
      <w:bodyDiv w:val="1"/>
      <w:marLeft w:val="0"/>
      <w:marRight w:val="0"/>
      <w:marTop w:val="0"/>
      <w:marBottom w:val="0"/>
      <w:divBdr>
        <w:top w:val="none" w:sz="0" w:space="0" w:color="auto"/>
        <w:left w:val="none" w:sz="0" w:space="0" w:color="auto"/>
        <w:bottom w:val="none" w:sz="0" w:space="0" w:color="auto"/>
        <w:right w:val="none" w:sz="0" w:space="0" w:color="auto"/>
      </w:divBdr>
    </w:div>
    <w:div w:id="490104445">
      <w:bodyDiv w:val="1"/>
      <w:marLeft w:val="0"/>
      <w:marRight w:val="0"/>
      <w:marTop w:val="0"/>
      <w:marBottom w:val="0"/>
      <w:divBdr>
        <w:top w:val="none" w:sz="0" w:space="0" w:color="auto"/>
        <w:left w:val="none" w:sz="0" w:space="0" w:color="auto"/>
        <w:bottom w:val="none" w:sz="0" w:space="0" w:color="auto"/>
        <w:right w:val="none" w:sz="0" w:space="0" w:color="auto"/>
      </w:divBdr>
    </w:div>
    <w:div w:id="758212298">
      <w:bodyDiv w:val="1"/>
      <w:marLeft w:val="0"/>
      <w:marRight w:val="0"/>
      <w:marTop w:val="0"/>
      <w:marBottom w:val="0"/>
      <w:divBdr>
        <w:top w:val="none" w:sz="0" w:space="0" w:color="auto"/>
        <w:left w:val="none" w:sz="0" w:space="0" w:color="auto"/>
        <w:bottom w:val="none" w:sz="0" w:space="0" w:color="auto"/>
        <w:right w:val="none" w:sz="0" w:space="0" w:color="auto"/>
      </w:divBdr>
    </w:div>
    <w:div w:id="865024853">
      <w:bodyDiv w:val="1"/>
      <w:marLeft w:val="0"/>
      <w:marRight w:val="0"/>
      <w:marTop w:val="0"/>
      <w:marBottom w:val="0"/>
      <w:divBdr>
        <w:top w:val="none" w:sz="0" w:space="0" w:color="auto"/>
        <w:left w:val="none" w:sz="0" w:space="0" w:color="auto"/>
        <w:bottom w:val="none" w:sz="0" w:space="0" w:color="auto"/>
        <w:right w:val="none" w:sz="0" w:space="0" w:color="auto"/>
      </w:divBdr>
    </w:div>
    <w:div w:id="913590895">
      <w:bodyDiv w:val="1"/>
      <w:marLeft w:val="0"/>
      <w:marRight w:val="0"/>
      <w:marTop w:val="0"/>
      <w:marBottom w:val="0"/>
      <w:divBdr>
        <w:top w:val="none" w:sz="0" w:space="0" w:color="auto"/>
        <w:left w:val="none" w:sz="0" w:space="0" w:color="auto"/>
        <w:bottom w:val="none" w:sz="0" w:space="0" w:color="auto"/>
        <w:right w:val="none" w:sz="0" w:space="0" w:color="auto"/>
      </w:divBdr>
    </w:div>
    <w:div w:id="1228150013">
      <w:bodyDiv w:val="1"/>
      <w:marLeft w:val="0"/>
      <w:marRight w:val="0"/>
      <w:marTop w:val="0"/>
      <w:marBottom w:val="0"/>
      <w:divBdr>
        <w:top w:val="none" w:sz="0" w:space="0" w:color="auto"/>
        <w:left w:val="none" w:sz="0" w:space="0" w:color="auto"/>
        <w:bottom w:val="none" w:sz="0" w:space="0" w:color="auto"/>
        <w:right w:val="none" w:sz="0" w:space="0" w:color="auto"/>
      </w:divBdr>
    </w:div>
    <w:div w:id="1240821463">
      <w:bodyDiv w:val="1"/>
      <w:marLeft w:val="0"/>
      <w:marRight w:val="0"/>
      <w:marTop w:val="0"/>
      <w:marBottom w:val="0"/>
      <w:divBdr>
        <w:top w:val="none" w:sz="0" w:space="0" w:color="auto"/>
        <w:left w:val="none" w:sz="0" w:space="0" w:color="auto"/>
        <w:bottom w:val="none" w:sz="0" w:space="0" w:color="auto"/>
        <w:right w:val="none" w:sz="0" w:space="0" w:color="auto"/>
      </w:divBdr>
    </w:div>
    <w:div w:id="1468278530">
      <w:bodyDiv w:val="1"/>
      <w:marLeft w:val="0"/>
      <w:marRight w:val="0"/>
      <w:marTop w:val="0"/>
      <w:marBottom w:val="0"/>
      <w:divBdr>
        <w:top w:val="none" w:sz="0" w:space="0" w:color="auto"/>
        <w:left w:val="none" w:sz="0" w:space="0" w:color="auto"/>
        <w:bottom w:val="none" w:sz="0" w:space="0" w:color="auto"/>
        <w:right w:val="none" w:sz="0" w:space="0" w:color="auto"/>
      </w:divBdr>
    </w:div>
    <w:div w:id="1528330548">
      <w:bodyDiv w:val="1"/>
      <w:marLeft w:val="0"/>
      <w:marRight w:val="0"/>
      <w:marTop w:val="0"/>
      <w:marBottom w:val="0"/>
      <w:divBdr>
        <w:top w:val="none" w:sz="0" w:space="0" w:color="auto"/>
        <w:left w:val="none" w:sz="0" w:space="0" w:color="auto"/>
        <w:bottom w:val="none" w:sz="0" w:space="0" w:color="auto"/>
        <w:right w:val="none" w:sz="0" w:space="0" w:color="auto"/>
      </w:divBdr>
    </w:div>
    <w:div w:id="154825234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1732543">
      <w:bodyDiv w:val="1"/>
      <w:marLeft w:val="0"/>
      <w:marRight w:val="0"/>
      <w:marTop w:val="0"/>
      <w:marBottom w:val="0"/>
      <w:divBdr>
        <w:top w:val="none" w:sz="0" w:space="0" w:color="auto"/>
        <w:left w:val="none" w:sz="0" w:space="0" w:color="auto"/>
        <w:bottom w:val="none" w:sz="0" w:space="0" w:color="auto"/>
        <w:right w:val="none" w:sz="0" w:space="0" w:color="auto"/>
      </w:divBdr>
    </w:div>
    <w:div w:id="213748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chart" Target="charts/chart1.xml"/><Relationship Id="rId10" Type="http://schemas.microsoft.com/office/2007/relationships/stylesWithEffects" Target="stylesWithEffect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chapterANZ.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nch1\groups\Aus-NZ%20Integration%20study\Final%20Report\Figures%20and%20data\Overview\Copy%20of%20Overview%20figure%201%20(26%20November%202012).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2"/>
          <c:order val="0"/>
          <c:tx>
            <c:strRef>
              <c:f>Sheet1!$AJ$3</c:f>
              <c:strCache>
                <c:ptCount val="1"/>
                <c:pt idx="0">
                  <c:v>Behind the border </c:v>
                </c:pt>
              </c:strCache>
            </c:strRef>
          </c:tx>
          <c:spPr>
            <a:solidFill>
              <a:srgbClr val="86A20B"/>
            </a:solidFill>
            <a:ln>
              <a:solidFill>
                <a:sysClr val="windowText" lastClr="000000">
                  <a:lumMod val="75000"/>
                  <a:lumOff val="25000"/>
                </a:sysClr>
              </a:solidFill>
            </a:ln>
          </c:spPr>
          <c:invertIfNegative val="0"/>
          <c:cat>
            <c:strRef>
              <c:f>Sheet1!$W$4:$W$7</c:f>
              <c:strCache>
                <c:ptCount val="4"/>
                <c:pt idx="0">
                  <c:v>Goods</c:v>
                </c:pt>
                <c:pt idx="1">
                  <c:v>Services</c:v>
                </c:pt>
                <c:pt idx="2">
                  <c:v>Capital </c:v>
                </c:pt>
                <c:pt idx="3">
                  <c:v>Labour</c:v>
                </c:pt>
              </c:strCache>
            </c:strRef>
          </c:cat>
          <c:val>
            <c:numRef>
              <c:f>Sheet1!$F$4:$F$7</c:f>
              <c:numCache>
                <c:formatCode>General</c:formatCode>
                <c:ptCount val="4"/>
                <c:pt idx="0">
                  <c:v>4</c:v>
                </c:pt>
                <c:pt idx="1">
                  <c:v>7</c:v>
                </c:pt>
                <c:pt idx="2">
                  <c:v>2</c:v>
                </c:pt>
                <c:pt idx="3">
                  <c:v>5</c:v>
                </c:pt>
              </c:numCache>
            </c:numRef>
          </c:val>
        </c:ser>
        <c:ser>
          <c:idx val="0"/>
          <c:order val="1"/>
          <c:tx>
            <c:strRef>
              <c:f>Sheet1!$AH$3</c:f>
              <c:strCache>
                <c:ptCount val="1"/>
                <c:pt idx="0">
                  <c:v>Between the borders</c:v>
                </c:pt>
              </c:strCache>
            </c:strRef>
          </c:tx>
          <c:spPr>
            <a:solidFill>
              <a:srgbClr val="8EC1D3"/>
            </a:solidFill>
            <a:ln>
              <a:solidFill>
                <a:sysClr val="windowText" lastClr="000000">
                  <a:lumMod val="75000"/>
                  <a:lumOff val="25000"/>
                </a:sysClr>
              </a:solidFill>
            </a:ln>
          </c:spPr>
          <c:invertIfNegative val="0"/>
          <c:cat>
            <c:strRef>
              <c:f>Sheet1!$W$4:$W$7</c:f>
              <c:strCache>
                <c:ptCount val="4"/>
                <c:pt idx="0">
                  <c:v>Goods</c:v>
                </c:pt>
                <c:pt idx="1">
                  <c:v>Services</c:v>
                </c:pt>
                <c:pt idx="2">
                  <c:v>Capital </c:v>
                </c:pt>
                <c:pt idx="3">
                  <c:v>Labour</c:v>
                </c:pt>
              </c:strCache>
            </c:strRef>
          </c:cat>
          <c:val>
            <c:numRef>
              <c:f>Sheet1!$D$4:$D$7</c:f>
              <c:numCache>
                <c:formatCode>General</c:formatCode>
                <c:ptCount val="4"/>
                <c:pt idx="0">
                  <c:v>1</c:v>
                </c:pt>
                <c:pt idx="1">
                  <c:v>3</c:v>
                </c:pt>
              </c:numCache>
            </c:numRef>
          </c:val>
        </c:ser>
        <c:ser>
          <c:idx val="1"/>
          <c:order val="2"/>
          <c:tx>
            <c:strRef>
              <c:f>Sheet1!$AI$3</c:f>
              <c:strCache>
                <c:ptCount val="1"/>
                <c:pt idx="0">
                  <c:v>At the border</c:v>
                </c:pt>
              </c:strCache>
            </c:strRef>
          </c:tx>
          <c:spPr>
            <a:pattFill prst="openDmnd">
              <a:fgClr>
                <a:sysClr val="windowText" lastClr="000000"/>
              </a:fgClr>
              <a:bgClr>
                <a:srgbClr val="E7ECCE"/>
              </a:bgClr>
            </a:pattFill>
            <a:ln>
              <a:solidFill>
                <a:sysClr val="windowText" lastClr="000000">
                  <a:lumMod val="75000"/>
                  <a:lumOff val="25000"/>
                </a:sysClr>
              </a:solidFill>
            </a:ln>
          </c:spPr>
          <c:invertIfNegative val="0"/>
          <c:cat>
            <c:strRef>
              <c:f>Sheet1!$W$4:$W$7</c:f>
              <c:strCache>
                <c:ptCount val="4"/>
                <c:pt idx="0">
                  <c:v>Goods</c:v>
                </c:pt>
                <c:pt idx="1">
                  <c:v>Services</c:v>
                </c:pt>
                <c:pt idx="2">
                  <c:v>Capital </c:v>
                </c:pt>
                <c:pt idx="3">
                  <c:v>Labour</c:v>
                </c:pt>
              </c:strCache>
            </c:strRef>
          </c:cat>
          <c:val>
            <c:numRef>
              <c:f>Sheet1!$E$4:$E$7</c:f>
              <c:numCache>
                <c:formatCode>General</c:formatCode>
                <c:ptCount val="4"/>
                <c:pt idx="0">
                  <c:v>4</c:v>
                </c:pt>
                <c:pt idx="1">
                  <c:v>6</c:v>
                </c:pt>
              </c:numCache>
            </c:numRef>
          </c:val>
        </c:ser>
        <c:dLbls>
          <c:showLegendKey val="0"/>
          <c:showVal val="0"/>
          <c:showCatName val="0"/>
          <c:showSerName val="0"/>
          <c:showPercent val="0"/>
          <c:showBubbleSize val="0"/>
        </c:dLbls>
        <c:gapWidth val="150"/>
        <c:overlap val="100"/>
        <c:axId val="33762304"/>
        <c:axId val="33768192"/>
      </c:barChart>
      <c:catAx>
        <c:axId val="33762304"/>
        <c:scaling>
          <c:orientation val="minMax"/>
        </c:scaling>
        <c:delete val="0"/>
        <c:axPos val="b"/>
        <c:majorTickMark val="none"/>
        <c:minorTickMark val="none"/>
        <c:tickLblPos val="nextTo"/>
        <c:spPr>
          <a:ln w="9525">
            <a:solidFill>
              <a:sysClr val="windowText" lastClr="000000">
                <a:lumMod val="65000"/>
                <a:lumOff val="35000"/>
              </a:sysClr>
            </a:solidFill>
          </a:ln>
        </c:spPr>
        <c:txPr>
          <a:bodyPr/>
          <a:lstStyle/>
          <a:p>
            <a:pPr>
              <a:defRPr sz="1000"/>
            </a:pPr>
            <a:endParaRPr lang="en-US"/>
          </a:p>
        </c:txPr>
        <c:crossAx val="33768192"/>
        <c:crosses val="autoZero"/>
        <c:auto val="1"/>
        <c:lblAlgn val="ctr"/>
        <c:lblOffset val="100"/>
        <c:noMultiLvlLbl val="0"/>
      </c:catAx>
      <c:valAx>
        <c:axId val="33768192"/>
        <c:scaling>
          <c:orientation val="minMax"/>
          <c:max val="18"/>
        </c:scaling>
        <c:delete val="0"/>
        <c:axPos val="l"/>
        <c:title>
          <c:tx>
            <c:rich>
              <a:bodyPr rot="-5400000" vert="horz"/>
              <a:lstStyle/>
              <a:p>
                <a:pPr>
                  <a:defRPr/>
                </a:pPr>
                <a:r>
                  <a:rPr lang="en-US"/>
                  <a:t>number of potential effects</a:t>
                </a:r>
              </a:p>
            </c:rich>
          </c:tx>
          <c:layout/>
          <c:overlay val="0"/>
        </c:title>
        <c:numFmt formatCode="General" sourceLinked="1"/>
        <c:majorTickMark val="out"/>
        <c:minorTickMark val="none"/>
        <c:tickLblPos val="nextTo"/>
        <c:spPr>
          <a:ln w="9525">
            <a:solidFill>
              <a:sysClr val="windowText" lastClr="000000">
                <a:lumMod val="75000"/>
                <a:lumOff val="25000"/>
              </a:sysClr>
            </a:solidFill>
          </a:ln>
        </c:spPr>
        <c:txPr>
          <a:bodyPr/>
          <a:lstStyle/>
          <a:p>
            <a:pPr>
              <a:defRPr sz="1000" baseline="0"/>
            </a:pPr>
            <a:endParaRPr lang="en-US"/>
          </a:p>
        </c:txPr>
        <c:crossAx val="33762304"/>
        <c:crosses val="autoZero"/>
        <c:crossBetween val="between"/>
      </c:valAx>
      <c:spPr>
        <a:noFill/>
        <a:ln>
          <a:noFill/>
        </a:ln>
      </c:spPr>
    </c:plotArea>
    <c:legend>
      <c:legendPos val="b"/>
      <c:layout/>
      <c:overlay val="0"/>
      <c:spPr>
        <a:ln>
          <a:noFill/>
        </a:ln>
      </c:spPr>
      <c:txPr>
        <a:bodyPr/>
        <a:lstStyle/>
        <a:p>
          <a:pPr>
            <a:defRPr sz="1000" b="0"/>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ItemAdding</Name>
    <Synchronization>Default</Synchronization>
    <Type>1</Type>
    <SequenceNumber>3</SequenceNumber>
    <Assembly>ILDS.Template.RecordsEventHandler, Version=2010.1.0.0, Culture=neutral, PublicKeyToken=f456434fdd6e6bdd</Assembly>
    <Class>ILDS.Template.RecordsEventHandler.ItemEventReceiver</Class>
    <Data/>
    <Filter/>
  </Receiver>
  <Receiver>
    <Name>ItemUpdating</Name>
    <Synchronization>Default</Synchronization>
    <Type>2</Type>
    <SequenceNumber>3</SequenceNumber>
    <Assembly>ILDS.Template.RecordsEventHandler, Version=2010.1.0.0, Culture=neutral, PublicKeyToken=f456434fdd6e6bdd</Assembly>
    <Class>ILDS.Template.RecordsEventHandler.ItemEventReceiver</Class>
    <Data/>
    <Filter/>
  </Receiver>
  <Receiver>
    <Name>ItemUpdated</Name>
    <Synchronization>Default</Synchronization>
    <Type>10002</Type>
    <SequenceNumber>3</SequenceNumber>
    <Assembly>ILDS.Template.RecordsEventHandler, Version=2010.1.0.0, Culture=neutral, PublicKeyToken=f456434fdd6e6bdd</Assembly>
    <Class>ILDS.Template.RecordsEventHandler.ItemEventReceiver</Class>
    <Data/>
    <Filter/>
  </Receiver>
  <Receiver>
    <Name>ItemAdded</Name>
    <Synchronization>Default</Synchronization>
    <Type>10001</Type>
    <SequenceNumber>3</SequenceNumber>
    <Assembly>ILDS.Template.RecordsEventHandler, Version=2010.1.0.0, Culture=neutral, PublicKeyToken=f456434fdd6e6bdd</Assembly>
    <Class>ILDS.Template.RecordsEventHandler.ItemEventReceiver</Class>
    <Data/>
    <Filter/>
  </Receiver>
  <Receiver>
    <Name>ItemDeleting</Name>
    <Synchronization>Default</Synchronization>
    <Type>3</Type>
    <SequenceNumber>3</SequenceNumber>
    <Assembly>ILDS.Template.RecordsEventHandler, Version=2010.1.0.0, Culture=neutral, PublicKeyToken=f456434fdd6e6bdd</Assembly>
    <Class>ILDS.Template.RecordsEventHandler.ItemEventReceiver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Document" ma:contentTypeID="0x010100AAAAAAAAAAAAAAAAAAAAAAAAAAAAAA0200746F4335121B494DAA5D8F7449B9C1C1" ma:contentTypeVersion="11" ma:contentTypeDescription="Standard Electronic Document" ma:contentTypeScope="" ma:versionID="5f4d3e87a0cefa3317f9ad2bbfd20f6d">
  <xsd:schema xmlns:xsd="http://www.w3.org/2001/XMLSchema" xmlns:xs="http://www.w3.org/2001/XMLSchema" xmlns:p="http://schemas.microsoft.com/office/2006/metadata/properties" xmlns:ns2="1e473b06-80e5-40e2-8f6d-c7419fe3c2b8" xmlns:ns3="e21cbe00-2104-4159-b9b9-bd54555d1bf2" xmlns:ns4="847d1c0e-5f4e-4601-bb87-39542770853f" targetNamespace="http://schemas.microsoft.com/office/2006/metadata/properties" ma:root="true" ma:fieldsID="8bbe5b4ddb10fe108a048653f978a999" ns2:_="" ns3:_="" ns4:_="">
    <xsd:import namespace="1e473b06-80e5-40e2-8f6d-c7419fe3c2b8"/>
    <xsd:import namespace="e21cbe00-2104-4159-b9b9-bd54555d1bf2"/>
    <xsd:import namespace="847d1c0e-5f4e-4601-bb87-39542770853f"/>
    <xsd:element name="properties">
      <xsd:complexType>
        <xsd:sequence>
          <xsd:element name="documentManagement">
            <xsd:complexType>
              <xsd:all>
                <xsd:element ref="ns2:Know-How_Type" minOccurs="0"/>
                <xsd:element ref="ns3:Target_Audience" minOccurs="0"/>
                <xsd:element ref="ns3:PRA_Type" minOccurs="0"/>
                <xsd:element ref="ns3:Aggregation_Status" minOccurs="0"/>
                <xsd:element ref="ns3:Narrative" minOccurs="0"/>
                <xsd:element ref="ns2:Related_People" minOccurs="0"/>
                <xsd:element ref="ns3:RecordID" minOccurs="0"/>
                <xsd:element ref="ns3:Record_Type" minOccurs="0"/>
                <xsd:element ref="ns3:Read_Only_Status" minOccurs="0"/>
                <xsd:element ref="ns3:Authoritative_Version" minOccurs="0"/>
                <xsd:element ref="ns3:Original_Document" minOccurs="0"/>
                <xsd:element ref="ns3:Date" minOccurs="0"/>
                <xsd:element ref="ns3:PRA_Text_1" minOccurs="0"/>
                <xsd:element ref="ns3:PRA_Text_2" minOccurs="0"/>
                <xsd:element ref="ns3:PRA_Text_3" minOccurs="0"/>
                <xsd:element ref="ns3:PRA_Text_4" minOccurs="0"/>
                <xsd:element ref="ns3:PRA_Text_5" minOccurs="0"/>
                <xsd:element ref="ns3:PRA_Date_1" minOccurs="0"/>
                <xsd:element ref="ns3:PRA_Date_2" minOccurs="0"/>
                <xsd:element ref="ns3:PRA_Date_3" minOccurs="0"/>
                <xsd:element ref="ns3:PRA_Date_Trigger" minOccurs="0"/>
                <xsd:element ref="ns3:PRA_Date_Disposal" minOccurs="0"/>
                <xsd:element ref="ns4:_dlc_DocId" minOccurs="0"/>
                <xsd:element ref="ns4:_dlc_DocIdUrl" minOccurs="0"/>
                <xsd:element ref="ns4:_dlc_DocIdPersistId" minOccurs="0"/>
                <xsd:element ref="ns3:Function" minOccurs="0"/>
                <xsd:element ref="ns3:Activity" minOccurs="0"/>
                <xsd:element ref="ns3:Subactivity" minOccurs="0"/>
                <xsd:element ref="ns3:Project" minOccurs="0"/>
                <xsd:element ref="ns3:Case"/>
                <xsd:element ref="ns3:DocumentType"/>
                <xsd:element ref="ns3:Key_x0020_Words" minOccurs="0"/>
                <xsd:element ref="ns3:CategoryName" minOccurs="0"/>
                <xsd:element ref="ns3:CategoryValue" minOccurs="0"/>
                <xsd:element ref="ns3:Volu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473b06-80e5-40e2-8f6d-c7419fe3c2b8" elementFormDefault="qualified">
    <xsd:import namespace="http://schemas.microsoft.com/office/2006/documentManagement/types"/>
    <xsd:import namespace="http://schemas.microsoft.com/office/infopath/2007/PartnerControls"/>
    <xsd:element name="Know-How_Type" ma:index="8" nillable="true" ma:displayName="Know-How Type" ma:default="NA" ma:format="Dropdown" ma:hidden="true" ma:internalName="KnowHowType" ma:readOnly="false">
      <xsd:simpleType>
        <xsd:restriction base="dms:Choice">
          <xsd:enumeration value="NA"/>
          <xsd:enumeration value="FAQ"/>
          <xsd:enumeration value="Tall Poppy"/>
          <xsd:enumeration value="Topic"/>
          <xsd:enumeration value="Who"/>
        </xsd:restriction>
      </xsd:simpleType>
    </xsd:element>
    <xsd:element name="Related_People" ma:index="13" nillable="true" ma:displayName="Related People" ma:hidden="true" ma:list="UserInfo"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1cbe00-2104-4159-b9b9-bd54555d1bf2" elementFormDefault="qualified">
    <xsd:import namespace="http://schemas.microsoft.com/office/2006/documentManagement/types"/>
    <xsd:import namespace="http://schemas.microsoft.com/office/infopath/2007/PartnerControls"/>
    <xsd:element name="Target_Audience" ma:index="9" nillable="true" ma:displayName="Target Audience" ma:default="Internal" ma:format="RadioButtons" ma:hidden="true" ma:internalName="TargetAudience">
      <xsd:simpleType>
        <xsd:restriction base="dms:Choice">
          <xsd:enumeration value="Internal"/>
          <xsd:enumeration value="External"/>
        </xsd:restriction>
      </xsd:simpleType>
    </xsd:element>
    <xsd:element name="PRA_Type" ma:index="10" nillable="true" ma:displayName="PRA Type" ma:default="Doc" ma:hidden="true" ma:internalName="PRAType">
      <xsd:simpleType>
        <xsd:restriction base="dms:Text"/>
      </xsd:simpleType>
    </xsd:element>
    <xsd:element name="Aggregation_Status" ma:index="11" nillable="true" ma:displayName="Aggregation Status" ma:default="Normal" ma:hidden="true" ma:internalName="AggregationStatus">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Narrative" ma:index="12" nillable="true" ma:displayName="Narrative" ma:internalName="Narrative">
      <xsd:simpleType>
        <xsd:restriction base="dms:Note">
          <xsd:maxLength value="255"/>
        </xsd:restriction>
      </xsd:simpleType>
    </xsd:element>
    <xsd:element name="RecordID" ma:index="14" nillable="true" ma:displayName="RecordID" ma:hidden="true" ma:internalName="RecordID">
      <xsd:simpleType>
        <xsd:restriction base="dms:Text"/>
      </xsd:simpleType>
    </xsd:element>
    <xsd:element name="Record_Type" ma:index="15" nillable="true" ma:displayName="Business Value" ma:default="Normal" ma:hidden="true" ma:internalName="RecordType">
      <xsd:simpleType>
        <xsd:restriction base="dms:Choice">
          <xsd:enumeration value="Housekeeping"/>
          <xsd:enumeration value="Long Term Value"/>
          <xsd:enumeration value="Superseded"/>
          <xsd:enumeration value="Normal"/>
          <xsd:enumeration value="Cancelled"/>
        </xsd:restriction>
      </xsd:simpleType>
    </xsd:element>
    <xsd:element name="Read_Only_Status" ma:index="16" nillable="true" ma:displayName="Read Only Status" ma:default="Open" ma:hidden="true" ma:internalName="ReadOnlyStatus">
      <xsd:simpleType>
        <xsd:restriction base="dms:Choice">
          <xsd:enumeration value="Open"/>
          <xsd:enumeration value="Document"/>
          <xsd:enumeration value="Document and Metadata"/>
        </xsd:restriction>
      </xsd:simpleType>
    </xsd:element>
    <xsd:element name="Authoritative_Version" ma:index="17" nillable="true" ma:displayName="Authoritative Version" ma:default="0" ma:hidden="true" ma:internalName="AuthoritativeVersion">
      <xsd:simpleType>
        <xsd:restriction base="dms:Boolean"/>
      </xsd:simpleType>
    </xsd:element>
    <xsd:element name="Original_Document" ma:index="18" nillable="true" ma:displayName="Original Document" ma:hidden="true" ma:internalName="OriginalDocument">
      <xsd:simpleType>
        <xsd:restriction base="dms:Text"/>
      </xsd:simpleType>
    </xsd:element>
    <xsd:element name="Date" ma:index="19" nillable="true" ma:displayName="Date" ma:format="DateTime" ma:hidden="true" ma:internalName="Date">
      <xsd:simpleType>
        <xsd:restriction base="dms:DateTime"/>
      </xsd:simpleType>
    </xsd:element>
    <xsd:element name="PRA_Text_1" ma:index="20" nillable="true" ma:displayName="PRA Text 1" ma:hidden="true" ma:internalName="PraText1">
      <xsd:simpleType>
        <xsd:restriction base="dms:Text"/>
      </xsd:simpleType>
    </xsd:element>
    <xsd:element name="PRA_Text_2" ma:index="21" nillable="true" ma:displayName="PRA Text 2" ma:hidden="true" ma:internalName="PraText2">
      <xsd:simpleType>
        <xsd:restriction base="dms:Text"/>
      </xsd:simpleType>
    </xsd:element>
    <xsd:element name="PRA_Text_3" ma:index="22" nillable="true" ma:displayName="PRA Text 3" ma:hidden="true" ma:internalName="PraText3">
      <xsd:simpleType>
        <xsd:restriction base="dms:Text"/>
      </xsd:simpleType>
    </xsd:element>
    <xsd:element name="PRA_Text_4" ma:index="23" nillable="true" ma:displayName="PRA Text 4" ma:hidden="true" ma:internalName="PraText4">
      <xsd:simpleType>
        <xsd:restriction base="dms:Text"/>
      </xsd:simpleType>
    </xsd:element>
    <xsd:element name="PRA_Text_5" ma:index="24" nillable="true" ma:displayName="PRA Text 5" ma:hidden="true" ma:internalName="PraText5">
      <xsd:simpleType>
        <xsd:restriction base="dms:Text"/>
      </xsd:simpleType>
    </xsd:element>
    <xsd:element name="PRA_Date_1" ma:index="25" nillable="true" ma:displayName="PRA Date 1" ma:format="DateTime" ma:hidden="true" ma:internalName="PraDate1">
      <xsd:simpleType>
        <xsd:restriction base="dms:DateTime"/>
      </xsd:simpleType>
    </xsd:element>
    <xsd:element name="PRA_Date_2" ma:index="26" nillable="true" ma:displayName="PRA Date 2" ma:format="DateTime" ma:hidden="true" ma:internalName="PraDate2">
      <xsd:simpleType>
        <xsd:restriction base="dms:DateTime"/>
      </xsd:simpleType>
    </xsd:element>
    <xsd:element name="PRA_Date_3" ma:index="27" nillable="true" ma:displayName="PRA Date 3" ma:format="DateTime" ma:hidden="true" ma:internalName="PraDate3">
      <xsd:simpleType>
        <xsd:restriction base="dms:DateTime"/>
      </xsd:simpleType>
    </xsd:element>
    <xsd:element name="PRA_Date_Trigger" ma:index="28" nillable="true" ma:displayName="PRA Date Trigger" ma:format="DateTime" ma:hidden="true" ma:internalName="PraDateTrigger">
      <xsd:simpleType>
        <xsd:restriction base="dms:DateTime"/>
      </xsd:simpleType>
    </xsd:element>
    <xsd:element name="PRA_Date_Disposal" ma:index="29" nillable="true" ma:displayName="PRA Date Disposal" ma:format="DateTime" ma:hidden="true" ma:internalName="PraDateDisposal">
      <xsd:simpleType>
        <xsd:restriction base="dms:DateTime"/>
      </xsd:simpleType>
    </xsd:element>
    <xsd:element name="Function" ma:index="33" nillable="true" ma:displayName="Function" ma:default="Inquiry" ma:format="RadioButtons" ma:hidden="true" ma:internalName="Function" ma:readOnly="false">
      <xsd:simpleType>
        <xsd:restriction base="dms:Choice">
          <xsd:enumeration value="Inquiry"/>
        </xsd:restriction>
      </xsd:simpleType>
    </xsd:element>
    <xsd:element name="Activity" ma:index="34" nillable="true" ma:displayName="Activity" ma:default="Draft Report" ma:format="RadioButtons" ma:hidden="true" ma:internalName="Activity" ma:readOnly="false">
      <xsd:simpleType>
        <xsd:restriction base="dms:Choice">
          <xsd:enumeration value="Draft Report"/>
        </xsd:restriction>
      </xsd:simpleType>
    </xsd:element>
    <xsd:element name="Subactivity" ma:index="35" nillable="true" ma:displayName="Subactivity" ma:hidden="true" ma:internalName="Subactivity" ma:readOnly="false">
      <xsd:simpleType>
        <xsd:restriction base="dms:Text">
          <xsd:maxLength value="255"/>
        </xsd:restriction>
      </xsd:simpleType>
    </xsd:element>
    <xsd:element name="Project" ma:index="36" nillable="true" ma:displayName="Project" ma:default="Integration Inquiry" ma:format="RadioButtons" ma:hidden="true" ma:internalName="Project" ma:readOnly="false">
      <xsd:simpleType>
        <xsd:restriction base="dms:Choice">
          <xsd:enumeration value="Integration Inquiry"/>
        </xsd:restriction>
      </xsd:simpleType>
    </xsd:element>
    <xsd:element name="Case" ma:index="37" ma:displayName="Case" ma:format="RadioButtons" ma:internalName="Case" ma:readOnly="false">
      <xsd:simpleType>
        <xsd:restriction base="dms:Choice">
          <xsd:enumeration value="Interested Parties List"/>
          <xsd:enumeration value="Chapter Authoring"/>
          <xsd:enumeration value="Workings and Analysis"/>
          <xsd:enumeration value="Communications Collateral"/>
          <xsd:enumeration value="Internal Meetings"/>
          <xsd:enumeration value="Scoping and Planning"/>
        </xsd:restriction>
      </xsd:simpleType>
    </xsd:element>
    <xsd:element name="DocumentType" ma:index="38" ma:displayName="Document Type" ma:default="FORMAL OUTPUT, Formalised PC Position" ma:format="Dropdown" ma:internalName="DocumentType">
      <xsd:simpleType>
        <xsd:restriction base="dms:Choice">
          <xsd:enumeration value="CONTRACT, Variation, Agreement"/>
          <xsd:enumeration value="FORMAL OUTPUT, Formalised PC Position"/>
          <xsd:enumeration value="CORRESPONDENCE"/>
          <xsd:enumeration value="DATA, Source Data"/>
          <xsd:enumeration value="EMPLOYMENT Related"/>
          <xsd:enumeration value="FILE NOTE, Meeting Record"/>
          <xsd:enumeration value="POLICY, Procedure, Rules"/>
          <xsd:enumeration value="REFERENCE"/>
          <xsd:enumeration value="SCRATCH PAD, Brain Storming"/>
          <xsd:enumeration value="SUBMISSION"/>
          <xsd:enumeration value="TEMPLATE, Checklist or Form"/>
          <xsd:enumeration value="WORKINGS"/>
        </xsd:restriction>
      </xsd:simpleType>
    </xsd:element>
    <xsd:element name="Key_x0020_Words" ma:index="39" nillable="true" ma:displayName="Key Words" ma:hidden="true" ma:internalName="Key_x0020_Words" ma:readOnly="false">
      <xsd:simpleType>
        <xsd:restriction base="dms:Text">
          <xsd:maxLength value="255"/>
        </xsd:restriction>
      </xsd:simpleType>
    </xsd:element>
    <xsd:element name="CategoryName" ma:index="40" nillable="true" ma:displayName="Category Name" ma:default="NA" ma:format="RadioButtons" ma:hidden="true" ma:internalName="CategoryName" ma:readOnly="false">
      <xsd:simpleType>
        <xsd:restriction base="dms:Choice">
          <xsd:enumeration value="NA"/>
        </xsd:restriction>
      </xsd:simpleType>
    </xsd:element>
    <xsd:element name="CategoryValue" ma:index="41" nillable="true" ma:displayName="Category Value" ma:default="NA" ma:format="RadioButtons" ma:hidden="true" ma:internalName="CategoryValue" ma:readOnly="false">
      <xsd:simpleType>
        <xsd:restriction base="dms:Choice">
          <xsd:enumeration value="NA"/>
        </xsd:restriction>
      </xsd:simpleType>
    </xsd:element>
    <xsd:element name="Volume" ma:index="42" nillable="true" ma:displayName="Volume" ma:default="NA" ma:format="RadioButtons" ma:hidden="true" ma:internalName="Volume" ma:readOnly="false">
      <xsd:simpleType>
        <xsd:restriction base="dms:Choice">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847d1c0e-5f4e-4601-bb87-39542770853f"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ggregation_Status xmlns="e21cbe00-2104-4159-b9b9-bd54555d1bf2">Normal</Aggregation_Status>
    <PRA_Date_2 xmlns="e21cbe00-2104-4159-b9b9-bd54555d1bf2" xsi:nil="true"/>
    <PRA_Date_Trigger xmlns="e21cbe00-2104-4159-b9b9-bd54555d1bf2" xsi:nil="true"/>
    <PRA_Type xmlns="e21cbe00-2104-4159-b9b9-bd54555d1bf2">Doc</PRA_Type>
    <Read_Only_Status xmlns="e21cbe00-2104-4159-b9b9-bd54555d1bf2">Open</Read_Only_Status>
    <Target_Audience xmlns="e21cbe00-2104-4159-b9b9-bd54555d1bf2">Internal</Target_Audience>
    <Function xmlns="e21cbe00-2104-4159-b9b9-bd54555d1bf2">Inquiry</Function>
    <Volume xmlns="e21cbe00-2104-4159-b9b9-bd54555d1bf2">NA</Volume>
    <PRA_Date_3 xmlns="e21cbe00-2104-4159-b9b9-bd54555d1bf2" xsi:nil="true"/>
    <Project xmlns="e21cbe00-2104-4159-b9b9-bd54555d1bf2">Integration Inquiry</Project>
    <Authoritative_Version xmlns="e21cbe00-2104-4159-b9b9-bd54555d1bf2">false</Authoritative_Version>
    <CategoryValue xmlns="e21cbe00-2104-4159-b9b9-bd54555d1bf2">NA</CategoryValue>
    <PRA_Date_Disposal xmlns="e21cbe00-2104-4159-b9b9-bd54555d1bf2" xsi:nil="true"/>
    <DocumentType xmlns="e21cbe00-2104-4159-b9b9-bd54555d1bf2">FORMAL OUTPUT, Formalised PC Position</DocumentType>
    <Activity xmlns="e21cbe00-2104-4159-b9b9-bd54555d1bf2">Draft Report</Activity>
    <PRA_Text_3 xmlns="e21cbe00-2104-4159-b9b9-bd54555d1bf2" xsi:nil="true"/>
    <Narrative xmlns="e21cbe00-2104-4159-b9b9-bd54555d1bf2" xsi:nil="true"/>
    <CategoryName xmlns="e21cbe00-2104-4159-b9b9-bd54555d1bf2">NA</CategoryName>
    <Know-How_Type xmlns="1e473b06-80e5-40e2-8f6d-c7419fe3c2b8">NA</Know-How_Type>
    <Related_People xmlns="1e473b06-80e5-40e2-8f6d-c7419fe3c2b8">
      <UserInfo>
        <DisplayName/>
        <AccountId xsi:nil="true"/>
        <AccountType/>
      </UserInfo>
    </Related_People>
    <Date xmlns="e21cbe00-2104-4159-b9b9-bd54555d1bf2" xsi:nil="true"/>
    <Case xmlns="e21cbe00-2104-4159-b9b9-bd54555d1bf2">Workings and Analysis</Case>
    <Key_x0020_Words xmlns="e21cbe00-2104-4159-b9b9-bd54555d1bf2" xsi:nil="true"/>
    <RecordID xmlns="e21cbe00-2104-4159-b9b9-bd54555d1bf2">7166</RecordID>
    <Original_Document xmlns="e21cbe00-2104-4159-b9b9-bd54555d1bf2" xsi:nil="true"/>
    <PRA_Text_2 xmlns="e21cbe00-2104-4159-b9b9-bd54555d1bf2" xsi:nil="true"/>
    <PRA_Text_5 xmlns="e21cbe00-2104-4159-b9b9-bd54555d1bf2" xsi:nil="true"/>
    <PRA_Date_1 xmlns="e21cbe00-2104-4159-b9b9-bd54555d1bf2" xsi:nil="true"/>
    <Subactivity xmlns="e21cbe00-2104-4159-b9b9-bd54555d1bf2" xsi:nil="true"/>
    <PRA_Text_1 xmlns="e21cbe00-2104-4159-b9b9-bd54555d1bf2" xsi:nil="true"/>
    <PRA_Text_4 xmlns="e21cbe00-2104-4159-b9b9-bd54555d1bf2" xsi:nil="true"/>
    <Record_Type xmlns="e21cbe00-2104-4159-b9b9-bd54555d1bf2">Normal</Record_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2C525-6C46-4EC1-B77B-B433023E7318}">
  <ds:schemaRefs>
    <ds:schemaRef ds:uri="http://schemas.microsoft.com/sharepoint/v3/contenttype/forms"/>
  </ds:schemaRefs>
</ds:datastoreItem>
</file>

<file path=customXml/itemProps2.xml><?xml version="1.0" encoding="utf-8"?>
<ds:datastoreItem xmlns:ds="http://schemas.openxmlformats.org/officeDocument/2006/customXml" ds:itemID="{E3950F60-8410-41D7-963C-FF096A6BC846}">
  <ds:schemaRefs>
    <ds:schemaRef ds:uri="http://schemas.microsoft.com/office/2006/metadata/longProperties"/>
  </ds:schemaRefs>
</ds:datastoreItem>
</file>

<file path=customXml/itemProps3.xml><?xml version="1.0" encoding="utf-8"?>
<ds:datastoreItem xmlns:ds="http://schemas.openxmlformats.org/officeDocument/2006/customXml" ds:itemID="{809F9AA3-31C7-4AF0-B0F8-64029E30EB8A}">
  <ds:schemaRefs>
    <ds:schemaRef ds:uri="http://schemas.microsoft.com/sharepoint/events"/>
  </ds:schemaRefs>
</ds:datastoreItem>
</file>

<file path=customXml/itemProps4.xml><?xml version="1.0" encoding="utf-8"?>
<ds:datastoreItem xmlns:ds="http://schemas.openxmlformats.org/officeDocument/2006/customXml" ds:itemID="{D02CB7A5-58E4-42D2-BAF5-627054536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473b06-80e5-40e2-8f6d-c7419fe3c2b8"/>
    <ds:schemaRef ds:uri="e21cbe00-2104-4159-b9b9-bd54555d1bf2"/>
    <ds:schemaRef ds:uri="847d1c0e-5f4e-4601-bb87-395427708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5832CE-436E-4297-BD01-47F9E3B4686C}">
  <ds:schemaRefs>
    <ds:schemaRef ds:uri="http://purl.org/dc/elements/1.1/"/>
    <ds:schemaRef ds:uri="http://purl.org/dc/terms/"/>
    <ds:schemaRef ds:uri="http://www.w3.org/XML/1998/namespace"/>
    <ds:schemaRef ds:uri="http://schemas.microsoft.com/office/2006/documentManagement/types"/>
    <ds:schemaRef ds:uri="847d1c0e-5f4e-4601-bb87-39542770853f"/>
    <ds:schemaRef ds:uri="1e473b06-80e5-40e2-8f6d-c7419fe3c2b8"/>
    <ds:schemaRef ds:uri="http://schemas.microsoft.com/office/infopath/2007/PartnerControls"/>
    <ds:schemaRef ds:uri="http://schemas.microsoft.com/office/2006/metadata/properties"/>
    <ds:schemaRef ds:uri="e21cbe00-2104-4159-b9b9-bd54555d1bf2"/>
    <ds:schemaRef ds:uri="http://purl.org/dc/dcmitype/"/>
    <ds:schemaRef ds:uri="http://schemas.openxmlformats.org/package/2006/metadata/core-properties"/>
  </ds:schemaRefs>
</ds:datastoreItem>
</file>

<file path=customXml/itemProps6.xml><?xml version="1.0" encoding="utf-8"?>
<ds:datastoreItem xmlns:ds="http://schemas.openxmlformats.org/officeDocument/2006/customXml" ds:itemID="{DE2831D0-D8EF-4941-932C-BC99D2E6CB26}">
  <ds:schemaRefs>
    <ds:schemaRef ds:uri="http://schemas.openxmlformats.org/officeDocument/2006/bibliography"/>
  </ds:schemaRefs>
</ds:datastoreItem>
</file>

<file path=customXml/itemProps7.xml><?xml version="1.0" encoding="utf-8"?>
<ds:datastoreItem xmlns:ds="http://schemas.openxmlformats.org/officeDocument/2006/customXml" ds:itemID="{C5BC4725-A1E4-4565-8E2F-15299C03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chapterANZ.dotm</Template>
  <TotalTime>88</TotalTime>
  <Pages>18</Pages>
  <Words>5884</Words>
  <Characters>34565</Characters>
  <Application>Microsoft Office Word</Application>
  <DocSecurity>0</DocSecurity>
  <Lines>288</Lines>
  <Paragraphs>80</Paragraphs>
  <ScaleCrop>false</ScaleCrop>
  <HeadingPairs>
    <vt:vector size="2" baseType="variant">
      <vt:variant>
        <vt:lpstr>Title</vt:lpstr>
      </vt:variant>
      <vt:variant>
        <vt:i4>1</vt:i4>
      </vt:variant>
    </vt:vector>
  </HeadingPairs>
  <TitlesOfParts>
    <vt:vector size="1" baseType="lpstr">
      <vt:lpstr>Overview - Terry edit  Dave edit.doc</vt:lpstr>
    </vt:vector>
  </TitlesOfParts>
  <Company>Productivity Commission</Company>
  <LinksUpToDate>false</LinksUpToDate>
  <CharactersWithSpaces>40369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 Terry edit  Dave edit.doc</dc:title>
  <dc:creator>Australian and New Zealand Productivity Commissions</dc:creator>
  <dc:description>1.</dc:description>
  <cp:lastModifiedBy>Cross, Michelle</cp:lastModifiedBy>
  <cp:revision>19</cp:revision>
  <cp:lastPrinted>2012-12-04T05:37:00Z</cp:lastPrinted>
  <dcterms:created xsi:type="dcterms:W3CDTF">2012-11-29T00:55:00Z</dcterms:created>
  <dcterms:modified xsi:type="dcterms:W3CDTF">2012-12-04T05:38:00Z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SM3EPU6DYQMU-58-222</vt:lpwstr>
  </property>
  <property fmtid="{D5CDD505-2E9C-101B-9397-08002B2CF9AE}" pid="3" name="_dlc_DocIdItemGuid">
    <vt:lpwstr>022e09a4-e59e-41a4-bdea-f9d355b0f98e</vt:lpwstr>
  </property>
  <property fmtid="{D5CDD505-2E9C-101B-9397-08002B2CF9AE}" pid="4" name="_dlc_DocIdUrl">
    <vt:lpwstr>http://shed/inquiry/iqi/_layouts/DocIdRedir.aspx?ID=SM3EPU6DYQMU-58-222, SM3EPU6DYQMU-58-222</vt:lpwstr>
  </property>
  <property fmtid="{D5CDD505-2E9C-101B-9397-08002B2CF9AE}" pid="5" name="PhysicalLocation">
    <vt:lpwstr/>
  </property>
  <property fmtid="{D5CDD505-2E9C-101B-9397-08002B2CF9AE}" pid="6" name="WorkflowCalled">
    <vt:lpwstr/>
  </property>
  <property fmtid="{D5CDD505-2E9C-101B-9397-08002B2CF9AE}" pid="7" name="Order">
    <vt:lpwstr>22200.0000000000</vt:lpwstr>
  </property>
  <property fmtid="{D5CDD505-2E9C-101B-9397-08002B2CF9AE}" pid="8" name="RelatedRecord">
    <vt:lpwstr/>
  </property>
  <property fmtid="{D5CDD505-2E9C-101B-9397-08002B2CF9AE}" pid="9" name="URL">
    <vt:lpwstr/>
  </property>
  <property fmtid="{D5CDD505-2E9C-101B-9397-08002B2CF9AE}" pid="10" name="ActionOutcome">
    <vt:lpwstr/>
  </property>
  <property fmtid="{D5CDD505-2E9C-101B-9397-08002B2CF9AE}" pid="11" name="To">
    <vt:lpwstr/>
  </property>
  <property fmtid="{D5CDD505-2E9C-101B-9397-08002B2CF9AE}" pid="12" name="AggregationNarrative">
    <vt:lpwstr/>
  </property>
  <property fmtid="{D5CDD505-2E9C-101B-9397-08002B2CF9AE}" pid="13" name="From">
    <vt:lpwstr/>
  </property>
  <property fmtid="{D5CDD505-2E9C-101B-9397-08002B2CF9AE}" pid="14" name="UserAction">
    <vt:lpwstr/>
  </property>
  <property fmtid="{D5CDD505-2E9C-101B-9397-08002B2CF9AE}" pid="15" name="RDClass">
    <vt:lpwstr/>
  </property>
  <property fmtid="{D5CDD505-2E9C-101B-9397-08002B2CF9AE}" pid="16" name="_AdHocReviewCycleID">
    <vt:i4>1005178570</vt:i4>
  </property>
  <property fmtid="{D5CDD505-2E9C-101B-9397-08002B2CF9AE}" pid="17" name="_NewReviewCycle">
    <vt:lpwstr/>
  </property>
  <property fmtid="{D5CDD505-2E9C-101B-9397-08002B2CF9AE}" pid="18" name="_EmailSubject">
    <vt:lpwstr>Web files for the OZ-NZ final report</vt:lpwstr>
  </property>
  <property fmtid="{D5CDD505-2E9C-101B-9397-08002B2CF9AE}" pid="19" name="_AuthorEmail">
    <vt:lpwstr>Louise.Jordan@pc.gov.au</vt:lpwstr>
  </property>
  <property fmtid="{D5CDD505-2E9C-101B-9397-08002B2CF9AE}" pid="20" name="_AuthorEmailDisplayName">
    <vt:lpwstr>Jordan, Louise</vt:lpwstr>
  </property>
</Properties>
</file>