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AE4193" w14:textId="77777777" w:rsidR="00A33DFF" w:rsidRDefault="00C36F99" w:rsidP="00450C5B">
      <w:pPr>
        <w:pStyle w:val="Heading1"/>
        <w:numPr>
          <w:ilvl w:val="0"/>
          <w:numId w:val="45"/>
        </w:numPr>
        <w:spacing w:before="0"/>
        <w:ind w:left="907" w:hanging="907"/>
      </w:pPr>
      <w:bookmarkStart w:id="0" w:name="ChapterTitle"/>
      <w:r>
        <w:t>Introduction</w:t>
      </w:r>
      <w:bookmarkEnd w:id="0"/>
    </w:p>
    <w:p w14:paraId="51169505" w14:textId="6579710C" w:rsidR="00B37604" w:rsidRDefault="00B37604" w:rsidP="0063343E">
      <w:pPr>
        <w:pStyle w:val="BodyText"/>
      </w:pPr>
      <w:r w:rsidRPr="00B37604">
        <w:t xml:space="preserve">Australia and New Zealand have distinct national identities and physical environments. </w:t>
      </w:r>
      <w:r w:rsidR="00394B99">
        <w:t>T</w:t>
      </w:r>
      <w:r w:rsidR="00AA7470">
        <w:t xml:space="preserve">hey are also </w:t>
      </w:r>
      <w:r w:rsidRPr="00B37604">
        <w:t>former British colonies</w:t>
      </w:r>
      <w:r w:rsidR="00AA7470">
        <w:t>, sharing much history and common endeavour. I</w:t>
      </w:r>
      <w:r w:rsidRPr="00B37604">
        <w:t>n the late 19</w:t>
      </w:r>
      <w:r w:rsidRPr="009221D1">
        <w:rPr>
          <w:vertAlign w:val="superscript"/>
        </w:rPr>
        <w:t>th</w:t>
      </w:r>
      <w:r w:rsidRPr="00B37604">
        <w:t xml:space="preserve"> century they contemplated political union. While </w:t>
      </w:r>
      <w:r w:rsidRPr="0063343E">
        <w:t>this</w:t>
      </w:r>
      <w:r w:rsidRPr="00B37604">
        <w:t xml:space="preserve"> did not eventuate, the</w:t>
      </w:r>
      <w:r w:rsidR="00397A38">
        <w:t xml:space="preserve"> two countries</w:t>
      </w:r>
      <w:r w:rsidRPr="00B37604">
        <w:t xml:space="preserve"> continue to have m</w:t>
      </w:r>
      <w:r w:rsidR="00AA7470">
        <w:t>uch in common</w:t>
      </w:r>
      <w:r w:rsidRPr="00B37604">
        <w:t>, including in culture, institutions and values. And the</w:t>
      </w:r>
      <w:r w:rsidR="00397A38">
        <w:t>y</w:t>
      </w:r>
      <w:r w:rsidRPr="00B37604">
        <w:t xml:space="preserve"> are close geographically — </w:t>
      </w:r>
      <w:r w:rsidR="00AA7470">
        <w:t xml:space="preserve">Sydney being closer to </w:t>
      </w:r>
      <w:r w:rsidRPr="00B37604">
        <w:t xml:space="preserve">Auckland </w:t>
      </w:r>
      <w:r w:rsidR="00AA7470">
        <w:t>than</w:t>
      </w:r>
      <w:r w:rsidRPr="00B37604">
        <w:t xml:space="preserve"> Perth. These factors have enabled </w:t>
      </w:r>
      <w:r w:rsidR="00B14EF9">
        <w:t>the</w:t>
      </w:r>
      <w:r w:rsidR="003728B0">
        <w:t>m</w:t>
      </w:r>
      <w:r w:rsidRPr="00B37604">
        <w:t xml:space="preserve"> to develop a closer relationship than could be expected with any </w:t>
      </w:r>
      <w:r w:rsidR="00F20FEB">
        <w:t>other</w:t>
      </w:r>
      <w:r w:rsidR="00F20FEB" w:rsidRPr="00B37604">
        <w:t xml:space="preserve"> </w:t>
      </w:r>
      <w:r w:rsidRPr="00B37604">
        <w:t>country.</w:t>
      </w:r>
    </w:p>
    <w:p w14:paraId="6A5FBAF4" w14:textId="34B9CA7F" w:rsidR="003E08B4" w:rsidRDefault="006C702D" w:rsidP="00361D40">
      <w:pPr>
        <w:pStyle w:val="BodyText"/>
      </w:pPr>
      <w:r>
        <w:t xml:space="preserve">The Australian and New Zealand </w:t>
      </w:r>
      <w:r w:rsidR="003A5E29">
        <w:t xml:space="preserve">Governments have </w:t>
      </w:r>
      <w:r w:rsidR="006E2397">
        <w:t>helped</w:t>
      </w:r>
      <w:r w:rsidR="003A5E29">
        <w:t xml:space="preserve"> foster closer economic relations </w:t>
      </w:r>
      <w:r w:rsidR="00284C25">
        <w:t xml:space="preserve">over a long period </w:t>
      </w:r>
      <w:r w:rsidR="006E2397">
        <w:t xml:space="preserve">by </w:t>
      </w:r>
      <w:r w:rsidR="00412016" w:rsidRPr="00412016">
        <w:t>reducing barriers to trade and investment</w:t>
      </w:r>
      <w:r w:rsidR="00412016">
        <w:t xml:space="preserve">, and </w:t>
      </w:r>
      <w:r w:rsidR="006E2397">
        <w:t xml:space="preserve">facilitating free movement of people. </w:t>
      </w:r>
      <w:r w:rsidR="00394B99">
        <w:t>T</w:t>
      </w:r>
      <w:r w:rsidR="001C4D97">
        <w:t xml:space="preserve">he </w:t>
      </w:r>
      <w:r w:rsidR="00394B99">
        <w:t>inaugural Closer Economic Relations (</w:t>
      </w:r>
      <w:proofErr w:type="spellStart"/>
      <w:r w:rsidR="00394B99">
        <w:t>CER</w:t>
      </w:r>
      <w:proofErr w:type="spellEnd"/>
      <w:r w:rsidR="00394B99">
        <w:t xml:space="preserve">) agreement </w:t>
      </w:r>
      <w:r w:rsidR="009A5C83">
        <w:t>was signed in 1983 —</w:t>
      </w:r>
      <w:r w:rsidR="00394B99">
        <w:t xml:space="preserve"> the </w:t>
      </w:r>
      <w:r w:rsidR="00557960" w:rsidRPr="00557960">
        <w:t>Australia</w:t>
      </w:r>
      <w:r w:rsidR="004728BA">
        <w:t xml:space="preserve"> </w:t>
      </w:r>
      <w:r w:rsidR="00557960" w:rsidRPr="00557960">
        <w:t xml:space="preserve">New Zealand </w:t>
      </w:r>
      <w:r w:rsidR="001C4D97" w:rsidRPr="00143850">
        <w:t xml:space="preserve">Closer Economic Relations </w:t>
      </w:r>
      <w:r w:rsidR="00557960">
        <w:t xml:space="preserve">Trade Agreement </w:t>
      </w:r>
      <w:r w:rsidR="001C4D97" w:rsidRPr="00143850">
        <w:t>(</w:t>
      </w:r>
      <w:proofErr w:type="spellStart"/>
      <w:r w:rsidR="00394B99">
        <w:t>ANZCERTA</w:t>
      </w:r>
      <w:proofErr w:type="spellEnd"/>
      <w:r w:rsidR="001C4D97" w:rsidRPr="00143850">
        <w:t>)</w:t>
      </w:r>
      <w:r w:rsidR="00394B99">
        <w:t xml:space="preserve">. The </w:t>
      </w:r>
      <w:r w:rsidR="00B04452">
        <w:t>economic integration agenda has continued to evolve</w:t>
      </w:r>
      <w:r w:rsidR="003E4410">
        <w:t xml:space="preserve"> over the past three decades</w:t>
      </w:r>
      <w:r w:rsidR="00B04452">
        <w:t>.</w:t>
      </w:r>
    </w:p>
    <w:p w14:paraId="7594102F" w14:textId="77777777" w:rsidR="003E08B4" w:rsidRDefault="00F20FEB" w:rsidP="00361D40">
      <w:pPr>
        <w:pStyle w:val="BodyText"/>
      </w:pPr>
      <w:r>
        <w:t>Key features of the</w:t>
      </w:r>
      <w:bookmarkStart w:id="1" w:name="_GoBack"/>
      <w:bookmarkEnd w:id="1"/>
      <w:r w:rsidR="003E08B4">
        <w:t xml:space="preserve"> Australia</w:t>
      </w:r>
      <w:r>
        <w:t>n</w:t>
      </w:r>
      <w:r w:rsidR="003E08B4">
        <w:t xml:space="preserve"> and New Zealand </w:t>
      </w:r>
      <w:r>
        <w:t xml:space="preserve">economies </w:t>
      </w:r>
      <w:r w:rsidR="003E08B4">
        <w:t xml:space="preserve">are </w:t>
      </w:r>
      <w:r w:rsidR="001929D6">
        <w:t>outlined</w:t>
      </w:r>
      <w:r>
        <w:t xml:space="preserve"> </w:t>
      </w:r>
      <w:r w:rsidR="003E08B4">
        <w:t xml:space="preserve">in </w:t>
      </w:r>
      <w:r w:rsidR="004E1B99">
        <w:t>table</w:t>
      </w:r>
      <w:r w:rsidR="00F92164">
        <w:t> </w:t>
      </w:r>
      <w:r w:rsidR="003E08B4">
        <w:t>1.1.</w:t>
      </w:r>
    </w:p>
    <w:bookmarkStart w:id="2" w:name="Begin"/>
    <w:bookmarkEnd w:id="2"/>
    <w:p w14:paraId="4C3DCA58" w14:textId="77777777" w:rsidR="00F46337" w:rsidRDefault="000B3D85" w:rsidP="000B3D85">
      <w:pPr>
        <w:pStyle w:val="Heading2"/>
      </w:pPr>
      <w:r>
        <w:fldChar w:fldCharType="begin"/>
      </w:r>
      <w:r>
        <w:instrText xml:space="preserve"> COMMENTS  \* MERGEFORMAT </w:instrText>
      </w:r>
      <w:r>
        <w:fldChar w:fldCharType="separate"/>
      </w:r>
      <w:r>
        <w:t>1.</w:t>
      </w:r>
      <w:r>
        <w:fldChar w:fldCharType="end"/>
      </w:r>
      <w:fldSimple w:instr=" SEQ Heading2 ">
        <w:r w:rsidR="00375BD6">
          <w:rPr>
            <w:noProof/>
          </w:rPr>
          <w:t>1</w:t>
        </w:r>
      </w:fldSimple>
      <w:r w:rsidR="007172A1">
        <w:tab/>
        <w:t>What have the Commissions</w:t>
      </w:r>
      <w:r>
        <w:t xml:space="preserve"> been asked to do?</w:t>
      </w:r>
    </w:p>
    <w:p w14:paraId="798861C4" w14:textId="77777777" w:rsidR="005D0FF6" w:rsidRPr="005D0FF6" w:rsidRDefault="00143850" w:rsidP="00A11B61">
      <w:pPr>
        <w:pStyle w:val="BodyText"/>
        <w:rPr>
          <w:rFonts w:cs="Arial"/>
        </w:rPr>
      </w:pPr>
      <w:r>
        <w:t xml:space="preserve">At their </w:t>
      </w:r>
      <w:r w:rsidR="00A11B61">
        <w:t xml:space="preserve">annual </w:t>
      </w:r>
      <w:r w:rsidR="00BC6DD1">
        <w:t>l</w:t>
      </w:r>
      <w:r w:rsidR="00E1671F">
        <w:t xml:space="preserve">eaders’ </w:t>
      </w:r>
      <w:r>
        <w:t>meeting</w:t>
      </w:r>
      <w:r w:rsidR="00E5560F">
        <w:t xml:space="preserve"> in January 2012</w:t>
      </w:r>
      <w:r>
        <w:t>, t</w:t>
      </w:r>
      <w:r w:rsidR="00511B56" w:rsidRPr="00511B56">
        <w:t xml:space="preserve">he Prime Ministers of Australia and New Zealand </w:t>
      </w:r>
      <w:r w:rsidR="00BC6DD1">
        <w:t>agreed that the</w:t>
      </w:r>
      <w:r w:rsidR="00511B56" w:rsidRPr="00511B56">
        <w:t xml:space="preserve"> Productivity Commissions of each country </w:t>
      </w:r>
      <w:r w:rsidR="00BC6DD1">
        <w:t>would</w:t>
      </w:r>
      <w:r w:rsidR="00511B56" w:rsidRPr="00511B56">
        <w:t xml:space="preserve"> </w:t>
      </w:r>
      <w:r w:rsidR="00412016">
        <w:t xml:space="preserve">jointly </w:t>
      </w:r>
      <w:r w:rsidR="00511B56" w:rsidRPr="00511B56">
        <w:t xml:space="preserve">conduct </w:t>
      </w:r>
      <w:r w:rsidR="00412016">
        <w:t xml:space="preserve">a </w:t>
      </w:r>
      <w:r w:rsidR="00511B56" w:rsidRPr="00511B56">
        <w:t xml:space="preserve">scoping study on strengthening trans-Tasman economic relations. The study </w:t>
      </w:r>
      <w:r w:rsidR="00E21786">
        <w:t xml:space="preserve">is to </w:t>
      </w:r>
      <w:r w:rsidR="00511B56" w:rsidRPr="00511B56">
        <w:t xml:space="preserve">identify reforms that </w:t>
      </w:r>
      <w:r w:rsidR="00457BA8">
        <w:t>would</w:t>
      </w:r>
      <w:r w:rsidR="00511B56" w:rsidRPr="00511B56">
        <w:t xml:space="preserve"> boost productivity, increase competitiveness and drive deeper economic integration between the two countries. </w:t>
      </w:r>
      <w:r w:rsidR="005D0FF6" w:rsidRPr="005D0FF6">
        <w:rPr>
          <w:rFonts w:cs="Arial"/>
        </w:rPr>
        <w:t xml:space="preserve">The Commissions </w:t>
      </w:r>
      <w:r w:rsidR="00457BA8">
        <w:rPr>
          <w:rFonts w:cs="Arial"/>
        </w:rPr>
        <w:t>were asked</w:t>
      </w:r>
      <w:r w:rsidR="00E1671F">
        <w:rPr>
          <w:rFonts w:cs="Arial"/>
        </w:rPr>
        <w:t xml:space="preserve"> to </w:t>
      </w:r>
      <w:r w:rsidR="005D0FF6" w:rsidRPr="005D0FF6">
        <w:rPr>
          <w:rFonts w:cs="Arial"/>
        </w:rPr>
        <w:t>provide analysis on:</w:t>
      </w:r>
    </w:p>
    <w:p w14:paraId="001B8734" w14:textId="4269159B" w:rsidR="005D0FF6" w:rsidRDefault="005D0FF6" w:rsidP="005D0FF6">
      <w:pPr>
        <w:pStyle w:val="ListBullet"/>
      </w:pPr>
      <w:r w:rsidRPr="005D0FF6">
        <w:t>potential areas of further economic reform and integration, including identi</w:t>
      </w:r>
      <w:r w:rsidR="006E2AD2">
        <w:t>fying</w:t>
      </w:r>
      <w:r w:rsidRPr="005D0FF6">
        <w:t xml:space="preserve"> </w:t>
      </w:r>
      <w:r w:rsidR="006E2AD2">
        <w:t>those</w:t>
      </w:r>
      <w:r w:rsidRPr="005D0FF6">
        <w:t xml:space="preserve"> where benefits are likely to be most significant, with particular focus on critical issues for business</w:t>
      </w:r>
      <w:r w:rsidR="00B14EF9">
        <w:t>, such as</w:t>
      </w:r>
      <w:r w:rsidR="008C0913">
        <w:t xml:space="preserve"> investment and productivity</w:t>
      </w:r>
    </w:p>
    <w:p w14:paraId="0AA9F28B" w14:textId="77777777" w:rsidR="0063343E" w:rsidRPr="005D0FF6" w:rsidRDefault="0063343E" w:rsidP="0063343E">
      <w:pPr>
        <w:pStyle w:val="ListBullet"/>
        <w:keepNext/>
      </w:pPr>
      <w:r w:rsidRPr="005D0FF6">
        <w:t>the economic impacts and benefits of reform</w:t>
      </w:r>
    </w:p>
    <w:p w14:paraId="34CA7652" w14:textId="77777777" w:rsidR="0063343E" w:rsidRPr="005D0FF6" w:rsidRDefault="0063343E" w:rsidP="0063343E">
      <w:pPr>
        <w:pStyle w:val="ListBullet"/>
      </w:pPr>
      <w:r w:rsidRPr="005D0FF6">
        <w:t>any significant transition and adjustment costs that could be incurred</w:t>
      </w:r>
    </w:p>
    <w:p w14:paraId="3B1E980E" w14:textId="3747B78B" w:rsidR="00A11B61" w:rsidRDefault="00A11B61">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Pr>
          <w:b w:val="0"/>
        </w:rPr>
        <w:t>1.</w:t>
      </w:r>
      <w:r>
        <w:rPr>
          <w:b w:val="0"/>
        </w:rPr>
        <w:fldChar w:fldCharType="end"/>
      </w:r>
      <w:r>
        <w:rPr>
          <w:b w:val="0"/>
        </w:rPr>
        <w:fldChar w:fldCharType="begin"/>
      </w:r>
      <w:r>
        <w:rPr>
          <w:b w:val="0"/>
        </w:rPr>
        <w:instrText xml:space="preserve"> SEQ Table \* ARABIC </w:instrText>
      </w:r>
      <w:r>
        <w:rPr>
          <w:b w:val="0"/>
        </w:rPr>
        <w:fldChar w:fldCharType="separate"/>
      </w:r>
      <w:r w:rsidR="00375BD6">
        <w:rPr>
          <w:b w:val="0"/>
          <w:noProof/>
        </w:rPr>
        <w:t>1</w:t>
      </w:r>
      <w:r>
        <w:rPr>
          <w:b w:val="0"/>
        </w:rPr>
        <w:fldChar w:fldCharType="end"/>
      </w:r>
      <w:r>
        <w:tab/>
      </w:r>
      <w:r w:rsidR="009A5C83">
        <w:t xml:space="preserve">Country profiles — </w:t>
      </w:r>
      <w:r>
        <w:t>Australia and New Zealand</w:t>
      </w:r>
      <w:r w:rsidR="00457BA8" w:rsidRPr="00457BA8">
        <w:rPr>
          <w:position w:val="6"/>
          <w:sz w:val="18"/>
        </w:rPr>
        <w:t>a</w:t>
      </w:r>
    </w:p>
    <w:tbl>
      <w:tblPr>
        <w:tblW w:w="4929" w:type="pct"/>
        <w:tblInd w:w="127" w:type="dxa"/>
        <w:tblCellMar>
          <w:left w:w="113" w:type="dxa"/>
          <w:right w:w="0" w:type="dxa"/>
        </w:tblCellMar>
        <w:tblLook w:val="0000" w:firstRow="0" w:lastRow="0" w:firstColumn="0" w:lastColumn="0" w:noHBand="0" w:noVBand="0"/>
      </w:tblPr>
      <w:tblGrid>
        <w:gridCol w:w="4325"/>
        <w:gridCol w:w="4451"/>
      </w:tblGrid>
      <w:tr w:rsidR="00990269" w14:paraId="0226A95A" w14:textId="77777777" w:rsidTr="00DC7716">
        <w:tc>
          <w:tcPr>
            <w:tcW w:w="2464" w:type="pct"/>
            <w:tcBorders>
              <w:top w:val="single" w:sz="6" w:space="0" w:color="auto"/>
              <w:bottom w:val="single" w:sz="6" w:space="0" w:color="auto"/>
            </w:tcBorders>
            <w:shd w:val="clear" w:color="auto" w:fill="E7ECCE"/>
          </w:tcPr>
          <w:p w14:paraId="1FBC137A" w14:textId="77777777" w:rsidR="00990269" w:rsidRDefault="00990269" w:rsidP="00CC3D7B">
            <w:pPr>
              <w:pStyle w:val="TableColumnHeading"/>
              <w:tabs>
                <w:tab w:val="right" w:pos="4111"/>
              </w:tabs>
            </w:pPr>
            <w:r>
              <w:t>Australia</w:t>
            </w:r>
          </w:p>
        </w:tc>
        <w:tc>
          <w:tcPr>
            <w:tcW w:w="2536" w:type="pct"/>
            <w:tcBorders>
              <w:top w:val="single" w:sz="6" w:space="0" w:color="auto"/>
              <w:bottom w:val="single" w:sz="6" w:space="0" w:color="auto"/>
            </w:tcBorders>
            <w:shd w:val="clear" w:color="auto" w:fill="E7ECCE"/>
          </w:tcPr>
          <w:p w14:paraId="0D43EEA3" w14:textId="77777777" w:rsidR="00990269" w:rsidRDefault="00990269" w:rsidP="00CC3D7B">
            <w:pPr>
              <w:pStyle w:val="TableColumnHeading"/>
              <w:ind w:right="143"/>
            </w:pPr>
            <w:r>
              <w:t>New Zealand</w:t>
            </w:r>
          </w:p>
        </w:tc>
      </w:tr>
      <w:tr w:rsidR="00990269" w:rsidRPr="00B86A1B" w14:paraId="28ED89A0" w14:textId="77777777" w:rsidTr="00DC7716">
        <w:tc>
          <w:tcPr>
            <w:tcW w:w="5000" w:type="pct"/>
            <w:gridSpan w:val="2"/>
            <w:tcBorders>
              <w:top w:val="single" w:sz="6" w:space="0" w:color="auto"/>
            </w:tcBorders>
          </w:tcPr>
          <w:p w14:paraId="203B95C6" w14:textId="77777777" w:rsidR="00990269" w:rsidRPr="00B86A1B" w:rsidRDefault="00990269" w:rsidP="00990269">
            <w:pPr>
              <w:pStyle w:val="TableUnitsRow"/>
              <w:spacing w:after="0"/>
              <w:ind w:right="28"/>
              <w:jc w:val="left"/>
              <w:rPr>
                <w:b/>
              </w:rPr>
            </w:pPr>
            <w:r w:rsidRPr="00B86A1B">
              <w:rPr>
                <w:b/>
              </w:rPr>
              <w:t>Land area</w:t>
            </w:r>
          </w:p>
        </w:tc>
      </w:tr>
      <w:tr w:rsidR="00990269" w14:paraId="38F58302" w14:textId="77777777" w:rsidTr="00DC7716">
        <w:tc>
          <w:tcPr>
            <w:tcW w:w="2464" w:type="pct"/>
            <w:tcBorders>
              <w:bottom w:val="dotted" w:sz="12" w:space="0" w:color="BFBFBF" w:themeColor="background1" w:themeShade="BF"/>
            </w:tcBorders>
          </w:tcPr>
          <w:p w14:paraId="3BC58E8D" w14:textId="77777777" w:rsidR="00990269" w:rsidRDefault="00990269" w:rsidP="00990269">
            <w:pPr>
              <w:pStyle w:val="TableBodyText"/>
              <w:tabs>
                <w:tab w:val="left" w:pos="0"/>
                <w:tab w:val="right" w:pos="4111"/>
              </w:tabs>
              <w:spacing w:before="20"/>
              <w:jc w:val="left"/>
            </w:pPr>
            <w:r>
              <w:tab/>
              <w:t xml:space="preserve">7 692 000 </w:t>
            </w:r>
            <w:proofErr w:type="spellStart"/>
            <w:r>
              <w:t>km</w:t>
            </w:r>
            <w:r w:rsidRPr="009D24FE">
              <w:rPr>
                <w:vertAlign w:val="superscript"/>
              </w:rPr>
              <w:t>2</w:t>
            </w:r>
            <w:proofErr w:type="spellEnd"/>
          </w:p>
        </w:tc>
        <w:tc>
          <w:tcPr>
            <w:tcW w:w="2536" w:type="pct"/>
            <w:tcBorders>
              <w:bottom w:val="dotted" w:sz="12" w:space="0" w:color="BFBFBF" w:themeColor="background1" w:themeShade="BF"/>
            </w:tcBorders>
          </w:tcPr>
          <w:p w14:paraId="24FA7F61" w14:textId="77777777" w:rsidR="00990269" w:rsidRDefault="00990269" w:rsidP="00DC7716">
            <w:pPr>
              <w:pStyle w:val="TableBodyText"/>
              <w:tabs>
                <w:tab w:val="left" w:pos="0"/>
                <w:tab w:val="right" w:pos="4195"/>
              </w:tabs>
              <w:spacing w:before="20"/>
              <w:ind w:left="720" w:right="28" w:hanging="714"/>
              <w:jc w:val="left"/>
            </w:pPr>
            <w:r>
              <w:tab/>
            </w:r>
            <w:r>
              <w:tab/>
              <w:t xml:space="preserve">268 000 </w:t>
            </w:r>
            <w:proofErr w:type="spellStart"/>
            <w:r>
              <w:t>km</w:t>
            </w:r>
            <w:r w:rsidRPr="009D24FE">
              <w:rPr>
                <w:vertAlign w:val="superscript"/>
              </w:rPr>
              <w:t>2</w:t>
            </w:r>
            <w:proofErr w:type="spellEnd"/>
          </w:p>
        </w:tc>
      </w:tr>
      <w:tr w:rsidR="00990269" w:rsidRPr="00B86A1B" w14:paraId="163CA110" w14:textId="77777777" w:rsidTr="00DC7716">
        <w:tc>
          <w:tcPr>
            <w:tcW w:w="5000" w:type="pct"/>
            <w:gridSpan w:val="2"/>
            <w:tcBorders>
              <w:top w:val="dotted" w:sz="12" w:space="0" w:color="BFBFBF" w:themeColor="background1" w:themeShade="BF"/>
            </w:tcBorders>
          </w:tcPr>
          <w:p w14:paraId="3DAFA43E" w14:textId="77777777" w:rsidR="00990269" w:rsidRPr="00B86A1B" w:rsidRDefault="00990269" w:rsidP="00DC7716">
            <w:pPr>
              <w:pStyle w:val="TableUnitsRow"/>
              <w:tabs>
                <w:tab w:val="right" w:pos="4195"/>
              </w:tabs>
              <w:ind w:right="28"/>
              <w:jc w:val="left"/>
              <w:rPr>
                <w:b/>
              </w:rPr>
            </w:pPr>
            <w:r w:rsidRPr="00B86A1B">
              <w:rPr>
                <w:b/>
              </w:rPr>
              <w:t>Population</w:t>
            </w:r>
            <w:r>
              <w:rPr>
                <w:b/>
              </w:rPr>
              <w:t xml:space="preserve"> &amp; 3 largest cities</w:t>
            </w:r>
          </w:p>
        </w:tc>
      </w:tr>
      <w:tr w:rsidR="00990269" w14:paraId="04570E5C" w14:textId="77777777" w:rsidTr="00DC7716">
        <w:tc>
          <w:tcPr>
            <w:tcW w:w="2464" w:type="pct"/>
          </w:tcPr>
          <w:p w14:paraId="2EFBA1AE" w14:textId="77777777" w:rsidR="00990269" w:rsidRDefault="00990269" w:rsidP="00990269">
            <w:pPr>
              <w:pStyle w:val="TableBodyText"/>
              <w:tabs>
                <w:tab w:val="left" w:pos="0"/>
                <w:tab w:val="right" w:pos="4111"/>
              </w:tabs>
              <w:jc w:val="left"/>
            </w:pPr>
            <w:r>
              <w:t>Australia</w:t>
            </w:r>
            <w:r>
              <w:tab/>
              <w:t>22 324 000</w:t>
            </w:r>
          </w:p>
        </w:tc>
        <w:tc>
          <w:tcPr>
            <w:tcW w:w="2536" w:type="pct"/>
          </w:tcPr>
          <w:p w14:paraId="067652E7" w14:textId="77777777" w:rsidR="00990269" w:rsidRDefault="00990269" w:rsidP="00DC7716">
            <w:pPr>
              <w:pStyle w:val="TableBodyText"/>
              <w:tabs>
                <w:tab w:val="left" w:pos="0"/>
                <w:tab w:val="right" w:pos="4195"/>
              </w:tabs>
              <w:ind w:left="720" w:right="28" w:hanging="714"/>
              <w:jc w:val="left"/>
            </w:pPr>
            <w:r>
              <w:t>New Zealand</w:t>
            </w:r>
            <w:r>
              <w:tab/>
              <w:t>4 405 000</w:t>
            </w:r>
          </w:p>
        </w:tc>
      </w:tr>
      <w:tr w:rsidR="00990269" w14:paraId="0BA8294C" w14:textId="77777777" w:rsidTr="00DC7716">
        <w:tc>
          <w:tcPr>
            <w:tcW w:w="2464" w:type="pct"/>
          </w:tcPr>
          <w:p w14:paraId="1ACE99DE" w14:textId="77777777" w:rsidR="00990269" w:rsidRDefault="00990269" w:rsidP="00990269">
            <w:pPr>
              <w:pStyle w:val="TableBodyText"/>
              <w:tabs>
                <w:tab w:val="left" w:pos="0"/>
                <w:tab w:val="right" w:pos="4111"/>
              </w:tabs>
              <w:jc w:val="left"/>
            </w:pPr>
            <w:r>
              <w:t>Sydney</w:t>
            </w:r>
            <w:r>
              <w:tab/>
              <w:t>4 610 000</w:t>
            </w:r>
          </w:p>
        </w:tc>
        <w:tc>
          <w:tcPr>
            <w:tcW w:w="2536" w:type="pct"/>
          </w:tcPr>
          <w:p w14:paraId="02F1A734" w14:textId="77777777" w:rsidR="00990269" w:rsidRDefault="00990269" w:rsidP="00DC7716">
            <w:pPr>
              <w:pStyle w:val="TableBodyText"/>
              <w:tabs>
                <w:tab w:val="left" w:pos="0"/>
                <w:tab w:val="right" w:pos="4195"/>
              </w:tabs>
              <w:ind w:right="28"/>
              <w:jc w:val="left"/>
            </w:pPr>
            <w:r>
              <w:t>Auckland</w:t>
            </w:r>
            <w:r>
              <w:tab/>
              <w:t>1 377 000</w:t>
            </w:r>
          </w:p>
        </w:tc>
      </w:tr>
      <w:tr w:rsidR="00990269" w14:paraId="71674684" w14:textId="77777777" w:rsidTr="00DC7716">
        <w:tc>
          <w:tcPr>
            <w:tcW w:w="2464" w:type="pct"/>
          </w:tcPr>
          <w:p w14:paraId="4D44ECF4" w14:textId="77777777" w:rsidR="00990269" w:rsidRDefault="00990269" w:rsidP="00990269">
            <w:pPr>
              <w:pStyle w:val="TableBodyText"/>
              <w:tabs>
                <w:tab w:val="left" w:pos="0"/>
                <w:tab w:val="right" w:pos="4111"/>
              </w:tabs>
              <w:jc w:val="left"/>
            </w:pPr>
            <w:r>
              <w:t>Melbourne</w:t>
            </w:r>
            <w:r>
              <w:tab/>
              <w:t>4 170 000</w:t>
            </w:r>
          </w:p>
        </w:tc>
        <w:tc>
          <w:tcPr>
            <w:tcW w:w="2536" w:type="pct"/>
          </w:tcPr>
          <w:p w14:paraId="68431AC8" w14:textId="26116B97" w:rsidR="00990269" w:rsidRDefault="00990269" w:rsidP="004E3B02">
            <w:pPr>
              <w:pStyle w:val="TableBodyText"/>
              <w:tabs>
                <w:tab w:val="left" w:pos="0"/>
                <w:tab w:val="right" w:pos="4195"/>
              </w:tabs>
              <w:ind w:right="28"/>
              <w:jc w:val="left"/>
            </w:pPr>
            <w:r>
              <w:t>Wellington</w:t>
            </w:r>
            <w:r>
              <w:tab/>
              <w:t>393 000</w:t>
            </w:r>
          </w:p>
        </w:tc>
      </w:tr>
      <w:tr w:rsidR="00990269" w14:paraId="7C711F6C" w14:textId="77777777" w:rsidTr="00DC7716">
        <w:tc>
          <w:tcPr>
            <w:tcW w:w="2464" w:type="pct"/>
          </w:tcPr>
          <w:p w14:paraId="22092A52" w14:textId="77777777" w:rsidR="00990269" w:rsidRDefault="00990269" w:rsidP="00990269">
            <w:pPr>
              <w:pStyle w:val="TableBodyText"/>
              <w:tabs>
                <w:tab w:val="left" w:pos="0"/>
                <w:tab w:val="right" w:pos="4111"/>
              </w:tabs>
              <w:jc w:val="left"/>
            </w:pPr>
            <w:r>
              <w:t>Brisbane</w:t>
            </w:r>
            <w:r>
              <w:tab/>
              <w:t>2 150 000</w:t>
            </w:r>
          </w:p>
        </w:tc>
        <w:tc>
          <w:tcPr>
            <w:tcW w:w="2536" w:type="pct"/>
          </w:tcPr>
          <w:p w14:paraId="54A942B6" w14:textId="2D07D92D" w:rsidR="00990269" w:rsidRDefault="00990269" w:rsidP="004E3B02">
            <w:pPr>
              <w:pStyle w:val="TableBodyText"/>
              <w:tabs>
                <w:tab w:val="left" w:pos="0"/>
                <w:tab w:val="right" w:pos="4195"/>
              </w:tabs>
              <w:ind w:right="28"/>
              <w:jc w:val="left"/>
            </w:pPr>
            <w:r>
              <w:t>Christchurch</w:t>
            </w:r>
            <w:r>
              <w:tab/>
              <w:t>381 000</w:t>
            </w:r>
          </w:p>
        </w:tc>
      </w:tr>
      <w:tr w:rsidR="00990269" w:rsidRPr="00B86A1B" w14:paraId="23AB0155" w14:textId="77777777" w:rsidTr="00DC7716">
        <w:tc>
          <w:tcPr>
            <w:tcW w:w="5000" w:type="pct"/>
            <w:gridSpan w:val="2"/>
            <w:tcBorders>
              <w:top w:val="dotted" w:sz="12" w:space="0" w:color="BFBFBF" w:themeColor="background1" w:themeShade="BF"/>
            </w:tcBorders>
          </w:tcPr>
          <w:p w14:paraId="1ACF743D" w14:textId="77777777" w:rsidR="00990269" w:rsidRPr="00B86A1B" w:rsidRDefault="00990269" w:rsidP="00DC7716">
            <w:pPr>
              <w:pStyle w:val="TableUnitsRow"/>
              <w:tabs>
                <w:tab w:val="right" w:pos="4195"/>
              </w:tabs>
              <w:ind w:right="28"/>
              <w:jc w:val="left"/>
              <w:rPr>
                <w:b/>
              </w:rPr>
            </w:pPr>
            <w:r w:rsidRPr="00B86A1B">
              <w:rPr>
                <w:b/>
              </w:rPr>
              <w:t>Political system</w:t>
            </w:r>
          </w:p>
        </w:tc>
      </w:tr>
      <w:tr w:rsidR="00990269" w14:paraId="231C4D45" w14:textId="77777777" w:rsidTr="00DC7716">
        <w:tc>
          <w:tcPr>
            <w:tcW w:w="2464" w:type="pct"/>
            <w:tcBorders>
              <w:bottom w:val="dotted" w:sz="12" w:space="0" w:color="BFBFBF" w:themeColor="background1" w:themeShade="BF"/>
            </w:tcBorders>
          </w:tcPr>
          <w:p w14:paraId="725EE40E" w14:textId="77777777" w:rsidR="00990269" w:rsidRDefault="00990269" w:rsidP="002C5E53">
            <w:pPr>
              <w:pStyle w:val="TableBodyText"/>
              <w:jc w:val="left"/>
            </w:pPr>
            <w:r>
              <w:t xml:space="preserve">Federation </w:t>
            </w:r>
            <w:r w:rsidR="001929D6">
              <w:t xml:space="preserve">of states </w:t>
            </w:r>
            <w:r>
              <w:t xml:space="preserve">(6 states and 2 </w:t>
            </w:r>
            <w:r w:rsidR="00C45B86">
              <w:t xml:space="preserve">mainland </w:t>
            </w:r>
            <w:r>
              <w:t>territories)</w:t>
            </w:r>
            <w:r w:rsidR="002C5E53">
              <w:t xml:space="preserve"> with the </w:t>
            </w:r>
            <w:r>
              <w:t xml:space="preserve">Parliament of Australia and most state parliaments </w:t>
            </w:r>
            <w:r w:rsidR="002C5E53">
              <w:t>being</w:t>
            </w:r>
            <w:r>
              <w:t xml:space="preserve"> bicameral</w:t>
            </w:r>
            <w:r w:rsidR="008A6F71">
              <w:t>.</w:t>
            </w:r>
          </w:p>
        </w:tc>
        <w:tc>
          <w:tcPr>
            <w:tcW w:w="2536" w:type="pct"/>
            <w:tcBorders>
              <w:bottom w:val="dotted" w:sz="12" w:space="0" w:color="BFBFBF" w:themeColor="background1" w:themeShade="BF"/>
            </w:tcBorders>
          </w:tcPr>
          <w:p w14:paraId="3D5FE68C" w14:textId="77777777" w:rsidR="00990269" w:rsidRDefault="00990269" w:rsidP="00DC7716">
            <w:pPr>
              <w:pStyle w:val="TableBodyText"/>
              <w:tabs>
                <w:tab w:val="right" w:pos="4195"/>
              </w:tabs>
              <w:ind w:right="28"/>
              <w:jc w:val="left"/>
            </w:pPr>
            <w:r>
              <w:t xml:space="preserve">Unitary </w:t>
            </w:r>
            <w:r w:rsidR="001929D6">
              <w:t>state</w:t>
            </w:r>
            <w:r w:rsidR="002C5E53">
              <w:t xml:space="preserve"> with a u</w:t>
            </w:r>
            <w:r>
              <w:t>nicameral parliament.</w:t>
            </w:r>
          </w:p>
        </w:tc>
      </w:tr>
      <w:tr w:rsidR="00990269" w:rsidRPr="00B86A1B" w14:paraId="4BDEE5B0" w14:textId="77777777" w:rsidTr="00DC7716">
        <w:tc>
          <w:tcPr>
            <w:tcW w:w="5000" w:type="pct"/>
            <w:gridSpan w:val="2"/>
            <w:tcBorders>
              <w:top w:val="dotted" w:sz="12" w:space="0" w:color="BFBFBF" w:themeColor="background1" w:themeShade="BF"/>
            </w:tcBorders>
          </w:tcPr>
          <w:p w14:paraId="0FCD23B1" w14:textId="77777777" w:rsidR="00990269" w:rsidRPr="00B86A1B" w:rsidRDefault="00990269" w:rsidP="00DC7716">
            <w:pPr>
              <w:pStyle w:val="TableUnitsRow"/>
              <w:tabs>
                <w:tab w:val="right" w:pos="4195"/>
              </w:tabs>
              <w:ind w:right="28"/>
              <w:jc w:val="left"/>
              <w:rPr>
                <w:b/>
              </w:rPr>
            </w:pPr>
            <w:r>
              <w:rPr>
                <w:b/>
              </w:rPr>
              <w:t>Economic structure</w:t>
            </w:r>
          </w:p>
        </w:tc>
      </w:tr>
      <w:tr w:rsidR="00990269" w14:paraId="5D8A097A" w14:textId="77777777" w:rsidTr="00DC7716">
        <w:tc>
          <w:tcPr>
            <w:tcW w:w="2464" w:type="pct"/>
          </w:tcPr>
          <w:p w14:paraId="411E671B" w14:textId="555932C6" w:rsidR="00990269" w:rsidRDefault="00990269" w:rsidP="00394B99">
            <w:pPr>
              <w:pStyle w:val="TableBodyText"/>
              <w:tabs>
                <w:tab w:val="left" w:pos="157"/>
                <w:tab w:val="right" w:pos="4111"/>
              </w:tabs>
              <w:jc w:val="left"/>
            </w:pPr>
            <w:r>
              <w:t>GDP (US$ billion)</w:t>
            </w:r>
            <w:r>
              <w:tab/>
              <w:t>1 486</w:t>
            </w:r>
          </w:p>
        </w:tc>
        <w:tc>
          <w:tcPr>
            <w:tcW w:w="2536" w:type="pct"/>
          </w:tcPr>
          <w:p w14:paraId="46664C4D" w14:textId="59FDC99E" w:rsidR="00990269" w:rsidRDefault="00990269" w:rsidP="00394B99">
            <w:pPr>
              <w:pStyle w:val="TableBodyText"/>
              <w:tabs>
                <w:tab w:val="left" w:pos="0"/>
                <w:tab w:val="right" w:pos="4195"/>
              </w:tabs>
              <w:ind w:left="720" w:right="28" w:hanging="714"/>
              <w:jc w:val="left"/>
            </w:pPr>
            <w:r>
              <w:tab/>
            </w:r>
            <w:r>
              <w:tab/>
              <w:t>16</w:t>
            </w:r>
            <w:r w:rsidR="00394B99">
              <w:t>2</w:t>
            </w:r>
          </w:p>
        </w:tc>
      </w:tr>
      <w:tr w:rsidR="00990269" w14:paraId="3B9E24D2" w14:textId="77777777" w:rsidTr="00DC7716">
        <w:tc>
          <w:tcPr>
            <w:tcW w:w="2464" w:type="pct"/>
          </w:tcPr>
          <w:p w14:paraId="139A6F8E" w14:textId="782C9D9E" w:rsidR="00990269" w:rsidRDefault="00990269" w:rsidP="00394B99">
            <w:pPr>
              <w:pStyle w:val="TableBodyText"/>
              <w:tabs>
                <w:tab w:val="left" w:pos="157"/>
                <w:tab w:val="right" w:pos="4111"/>
              </w:tabs>
              <w:jc w:val="left"/>
            </w:pPr>
            <w:r>
              <w:t>GDP PPP (US$ billion):</w:t>
            </w:r>
            <w:r>
              <w:tab/>
              <w:t>914</w:t>
            </w:r>
          </w:p>
        </w:tc>
        <w:tc>
          <w:tcPr>
            <w:tcW w:w="2536" w:type="pct"/>
          </w:tcPr>
          <w:p w14:paraId="26B65315" w14:textId="62A7B3D4" w:rsidR="00990269" w:rsidRDefault="00990269" w:rsidP="00DC7716">
            <w:pPr>
              <w:pStyle w:val="TableBodyText"/>
              <w:tabs>
                <w:tab w:val="left" w:pos="0"/>
                <w:tab w:val="right" w:pos="4195"/>
              </w:tabs>
              <w:ind w:left="720" w:right="28" w:hanging="714"/>
              <w:jc w:val="left"/>
            </w:pPr>
            <w:r>
              <w:tab/>
            </w:r>
            <w:r>
              <w:tab/>
              <w:t>122</w:t>
            </w:r>
          </w:p>
        </w:tc>
      </w:tr>
      <w:tr w:rsidR="00990269" w14:paraId="1AAAD77C" w14:textId="77777777" w:rsidTr="00DC7716">
        <w:tc>
          <w:tcPr>
            <w:tcW w:w="2464" w:type="pct"/>
          </w:tcPr>
          <w:p w14:paraId="3CF75E1C" w14:textId="77777777" w:rsidR="00990269" w:rsidRDefault="00990269" w:rsidP="00990269">
            <w:pPr>
              <w:pStyle w:val="TableBodyText"/>
              <w:tabs>
                <w:tab w:val="left" w:pos="157"/>
                <w:tab w:val="right" w:pos="4111"/>
              </w:tabs>
              <w:jc w:val="left"/>
            </w:pPr>
            <w:r>
              <w:t>GDP per person PPP (US$)</w:t>
            </w:r>
            <w:r>
              <w:tab/>
              <w:t>40 234</w:t>
            </w:r>
          </w:p>
        </w:tc>
        <w:tc>
          <w:tcPr>
            <w:tcW w:w="2536" w:type="pct"/>
          </w:tcPr>
          <w:p w14:paraId="78E23F7F" w14:textId="77777777" w:rsidR="00990269" w:rsidRDefault="00990269" w:rsidP="00DC7716">
            <w:pPr>
              <w:pStyle w:val="TableBodyText"/>
              <w:tabs>
                <w:tab w:val="left" w:pos="0"/>
                <w:tab w:val="right" w:pos="4195"/>
              </w:tabs>
              <w:ind w:left="720" w:right="28" w:hanging="714"/>
              <w:jc w:val="left"/>
            </w:pPr>
            <w:r>
              <w:tab/>
            </w:r>
            <w:r>
              <w:tab/>
              <w:t>27 668</w:t>
            </w:r>
          </w:p>
        </w:tc>
      </w:tr>
      <w:tr w:rsidR="00990269" w:rsidRPr="009D24FE" w14:paraId="17CBF229" w14:textId="77777777" w:rsidTr="00DC7716">
        <w:tc>
          <w:tcPr>
            <w:tcW w:w="5000" w:type="pct"/>
            <w:gridSpan w:val="2"/>
          </w:tcPr>
          <w:p w14:paraId="27197C8D" w14:textId="77777777" w:rsidR="00990269" w:rsidRPr="009D24FE" w:rsidRDefault="00990269" w:rsidP="00DC7716">
            <w:pPr>
              <w:pStyle w:val="TableBodyText"/>
              <w:tabs>
                <w:tab w:val="right" w:pos="4195"/>
              </w:tabs>
              <w:spacing w:before="80" w:after="80"/>
              <w:jc w:val="left"/>
              <w:rPr>
                <w:i/>
              </w:rPr>
            </w:pPr>
            <w:r w:rsidRPr="009D24FE">
              <w:rPr>
                <w:i/>
              </w:rPr>
              <w:t>Contribution to GDP (%)</w:t>
            </w:r>
          </w:p>
        </w:tc>
      </w:tr>
      <w:tr w:rsidR="00990269" w14:paraId="2CB27658" w14:textId="77777777" w:rsidTr="00DC7716">
        <w:tc>
          <w:tcPr>
            <w:tcW w:w="2464" w:type="pct"/>
          </w:tcPr>
          <w:p w14:paraId="0615C692" w14:textId="77777777" w:rsidR="00990269" w:rsidRDefault="00990269" w:rsidP="002C5E53">
            <w:pPr>
              <w:pStyle w:val="TableBodyText"/>
              <w:tabs>
                <w:tab w:val="left" w:pos="157"/>
                <w:tab w:val="right" w:pos="4111"/>
              </w:tabs>
              <w:jc w:val="left"/>
            </w:pPr>
            <w:r>
              <w:t>Services</w:t>
            </w:r>
            <w:r>
              <w:tab/>
              <w:t>8</w:t>
            </w:r>
            <w:r w:rsidR="00EF4431">
              <w:t>0</w:t>
            </w:r>
          </w:p>
        </w:tc>
        <w:tc>
          <w:tcPr>
            <w:tcW w:w="2536" w:type="pct"/>
          </w:tcPr>
          <w:p w14:paraId="0C6F80F2" w14:textId="77777777" w:rsidR="00990269" w:rsidRDefault="00990269" w:rsidP="00DC7716">
            <w:pPr>
              <w:pStyle w:val="TableBodyText"/>
              <w:tabs>
                <w:tab w:val="left" w:pos="0"/>
                <w:tab w:val="right" w:pos="4195"/>
              </w:tabs>
              <w:ind w:left="720" w:right="28" w:hanging="714"/>
              <w:jc w:val="left"/>
            </w:pPr>
            <w:r>
              <w:tab/>
            </w:r>
            <w:r>
              <w:tab/>
              <w:t>79</w:t>
            </w:r>
          </w:p>
        </w:tc>
      </w:tr>
      <w:tr w:rsidR="00990269" w14:paraId="0C2F4DB8" w14:textId="77777777" w:rsidTr="00DC7716">
        <w:tc>
          <w:tcPr>
            <w:tcW w:w="2464" w:type="pct"/>
          </w:tcPr>
          <w:p w14:paraId="5572CACF" w14:textId="77777777" w:rsidR="00990269" w:rsidRDefault="00990269" w:rsidP="002C5E53">
            <w:pPr>
              <w:pStyle w:val="TableBodyText"/>
              <w:tabs>
                <w:tab w:val="left" w:pos="157"/>
                <w:tab w:val="right" w:pos="4111"/>
              </w:tabs>
              <w:jc w:val="left"/>
            </w:pPr>
            <w:r>
              <w:t>Manufacturing</w:t>
            </w:r>
            <w:r>
              <w:tab/>
              <w:t>9</w:t>
            </w:r>
          </w:p>
        </w:tc>
        <w:tc>
          <w:tcPr>
            <w:tcW w:w="2536" w:type="pct"/>
          </w:tcPr>
          <w:p w14:paraId="2FDB53EC" w14:textId="77777777" w:rsidR="00990269" w:rsidRDefault="00990269" w:rsidP="00DC7716">
            <w:pPr>
              <w:pStyle w:val="TableBodyText"/>
              <w:tabs>
                <w:tab w:val="left" w:pos="0"/>
                <w:tab w:val="right" w:pos="4195"/>
              </w:tabs>
              <w:ind w:left="720" w:right="28" w:hanging="714"/>
              <w:jc w:val="left"/>
            </w:pPr>
            <w:r>
              <w:tab/>
            </w:r>
            <w:r>
              <w:tab/>
              <w:t>14</w:t>
            </w:r>
          </w:p>
        </w:tc>
      </w:tr>
      <w:tr w:rsidR="00990269" w14:paraId="06136EDA" w14:textId="77777777" w:rsidTr="00DC7716">
        <w:tc>
          <w:tcPr>
            <w:tcW w:w="2464" w:type="pct"/>
          </w:tcPr>
          <w:p w14:paraId="0DC53C2D" w14:textId="77777777" w:rsidR="00990269" w:rsidRDefault="00990269" w:rsidP="002C5E53">
            <w:pPr>
              <w:pStyle w:val="TableBodyText"/>
              <w:tabs>
                <w:tab w:val="left" w:pos="157"/>
                <w:tab w:val="right" w:pos="4111"/>
              </w:tabs>
              <w:jc w:val="left"/>
            </w:pPr>
            <w:r>
              <w:t>Mining</w:t>
            </w:r>
            <w:r>
              <w:tab/>
              <w:t>8</w:t>
            </w:r>
          </w:p>
        </w:tc>
        <w:tc>
          <w:tcPr>
            <w:tcW w:w="2536" w:type="pct"/>
          </w:tcPr>
          <w:p w14:paraId="62A243E4" w14:textId="77777777" w:rsidR="00990269" w:rsidRDefault="00990269" w:rsidP="00DC7716">
            <w:pPr>
              <w:pStyle w:val="TableBodyText"/>
              <w:tabs>
                <w:tab w:val="left" w:pos="0"/>
                <w:tab w:val="right" w:pos="4195"/>
              </w:tabs>
              <w:ind w:left="720" w:right="28" w:hanging="714"/>
              <w:jc w:val="left"/>
            </w:pPr>
            <w:r>
              <w:tab/>
            </w:r>
            <w:r>
              <w:tab/>
              <w:t>1</w:t>
            </w:r>
          </w:p>
        </w:tc>
      </w:tr>
      <w:tr w:rsidR="00990269" w14:paraId="726CD1D8" w14:textId="77777777" w:rsidTr="00DC7716">
        <w:tc>
          <w:tcPr>
            <w:tcW w:w="2464" w:type="pct"/>
            <w:tcBorders>
              <w:bottom w:val="dotted" w:sz="12" w:space="0" w:color="BFBFBF" w:themeColor="background1" w:themeShade="BF"/>
            </w:tcBorders>
          </w:tcPr>
          <w:p w14:paraId="32905FB0" w14:textId="77777777" w:rsidR="00990269" w:rsidRDefault="00990269" w:rsidP="002C5E53">
            <w:pPr>
              <w:pStyle w:val="TableBodyText"/>
              <w:tabs>
                <w:tab w:val="left" w:pos="157"/>
                <w:tab w:val="right" w:pos="4111"/>
              </w:tabs>
              <w:jc w:val="left"/>
            </w:pPr>
            <w:r>
              <w:t>Agriculture, forestry &amp; fishing</w:t>
            </w:r>
            <w:r>
              <w:tab/>
            </w:r>
            <w:r w:rsidR="00EF4431">
              <w:t>3</w:t>
            </w:r>
          </w:p>
        </w:tc>
        <w:tc>
          <w:tcPr>
            <w:tcW w:w="2536" w:type="pct"/>
            <w:tcBorders>
              <w:bottom w:val="dotted" w:sz="12" w:space="0" w:color="BFBFBF" w:themeColor="background1" w:themeShade="BF"/>
            </w:tcBorders>
          </w:tcPr>
          <w:p w14:paraId="67B3A925" w14:textId="77777777" w:rsidR="00990269" w:rsidRDefault="00990269" w:rsidP="00DC7716">
            <w:pPr>
              <w:pStyle w:val="TableBodyText"/>
              <w:tabs>
                <w:tab w:val="left" w:pos="0"/>
                <w:tab w:val="right" w:pos="4195"/>
              </w:tabs>
              <w:ind w:left="720" w:right="28" w:hanging="714"/>
              <w:jc w:val="left"/>
            </w:pPr>
            <w:r>
              <w:tab/>
            </w:r>
            <w:r>
              <w:tab/>
              <w:t>6</w:t>
            </w:r>
          </w:p>
        </w:tc>
      </w:tr>
      <w:tr w:rsidR="00990269" w:rsidRPr="00B86A1B" w14:paraId="54164E70" w14:textId="77777777" w:rsidTr="00DC7716">
        <w:tc>
          <w:tcPr>
            <w:tcW w:w="5000" w:type="pct"/>
            <w:gridSpan w:val="2"/>
            <w:tcBorders>
              <w:top w:val="dotted" w:sz="12" w:space="0" w:color="BFBFBF" w:themeColor="background1" w:themeShade="BF"/>
            </w:tcBorders>
          </w:tcPr>
          <w:p w14:paraId="53BB50C4" w14:textId="77777777" w:rsidR="00990269" w:rsidRPr="00B86A1B" w:rsidRDefault="00990269" w:rsidP="00DC7716">
            <w:pPr>
              <w:pStyle w:val="TableUnitsRow"/>
              <w:tabs>
                <w:tab w:val="right" w:pos="4195"/>
              </w:tabs>
              <w:ind w:right="28"/>
              <w:jc w:val="left"/>
              <w:rPr>
                <w:b/>
              </w:rPr>
            </w:pPr>
            <w:r w:rsidRPr="00B86A1B">
              <w:rPr>
                <w:b/>
              </w:rPr>
              <w:t>Exports</w:t>
            </w:r>
          </w:p>
        </w:tc>
      </w:tr>
      <w:tr w:rsidR="00990269" w14:paraId="0934CF7E" w14:textId="77777777" w:rsidTr="00DC7716">
        <w:tc>
          <w:tcPr>
            <w:tcW w:w="2464" w:type="pct"/>
          </w:tcPr>
          <w:p w14:paraId="76CBF35A" w14:textId="77777777" w:rsidR="00990269" w:rsidRDefault="00E52120" w:rsidP="00990269">
            <w:pPr>
              <w:pStyle w:val="TableBodyText"/>
              <w:tabs>
                <w:tab w:val="left" w:pos="157"/>
                <w:tab w:val="right" w:pos="4111"/>
              </w:tabs>
              <w:jc w:val="left"/>
            </w:pPr>
            <w:r>
              <w:t xml:space="preserve">Goods &amp; services </w:t>
            </w:r>
            <w:r w:rsidR="00990269">
              <w:t>exports (US$ billions)</w:t>
            </w:r>
            <w:r w:rsidR="00990269">
              <w:tab/>
              <w:t>324.8</w:t>
            </w:r>
          </w:p>
        </w:tc>
        <w:tc>
          <w:tcPr>
            <w:tcW w:w="2536" w:type="pct"/>
          </w:tcPr>
          <w:p w14:paraId="0943CDA4" w14:textId="77777777" w:rsidR="00990269" w:rsidRDefault="00990269" w:rsidP="00DC7716">
            <w:pPr>
              <w:pStyle w:val="TableBodyText"/>
              <w:tabs>
                <w:tab w:val="left" w:pos="0"/>
                <w:tab w:val="right" w:pos="4195"/>
              </w:tabs>
              <w:ind w:left="720" w:right="28" w:hanging="714"/>
              <w:jc w:val="left"/>
            </w:pPr>
            <w:r>
              <w:tab/>
            </w:r>
            <w:r>
              <w:tab/>
              <w:t>46.5</w:t>
            </w:r>
          </w:p>
        </w:tc>
      </w:tr>
      <w:tr w:rsidR="00E52120" w14:paraId="553275A4" w14:textId="77777777" w:rsidTr="00DC7716">
        <w:tc>
          <w:tcPr>
            <w:tcW w:w="2464" w:type="pct"/>
          </w:tcPr>
          <w:p w14:paraId="4A08D01E" w14:textId="77777777" w:rsidR="00E52120" w:rsidRDefault="00E52120" w:rsidP="00E52120">
            <w:pPr>
              <w:pStyle w:val="TableBodyText"/>
              <w:tabs>
                <w:tab w:val="left" w:pos="157"/>
                <w:tab w:val="right" w:pos="4111"/>
              </w:tabs>
              <w:jc w:val="left"/>
            </w:pPr>
            <w:r>
              <w:t>Goods &amp; services exports (% GDP)</w:t>
            </w:r>
            <w:r>
              <w:tab/>
              <w:t>22</w:t>
            </w:r>
          </w:p>
        </w:tc>
        <w:tc>
          <w:tcPr>
            <w:tcW w:w="2536" w:type="pct"/>
          </w:tcPr>
          <w:p w14:paraId="4F24E358" w14:textId="77777777" w:rsidR="00E52120" w:rsidRDefault="00E52120" w:rsidP="00DC7716">
            <w:pPr>
              <w:pStyle w:val="TableBodyText"/>
              <w:tabs>
                <w:tab w:val="left" w:pos="0"/>
                <w:tab w:val="right" w:pos="4195"/>
              </w:tabs>
              <w:ind w:left="720" w:right="28" w:hanging="714"/>
              <w:jc w:val="left"/>
            </w:pPr>
            <w:r>
              <w:tab/>
            </w:r>
            <w:r>
              <w:tab/>
              <w:t>29</w:t>
            </w:r>
          </w:p>
        </w:tc>
      </w:tr>
      <w:tr w:rsidR="00990269" w14:paraId="67FDC96E" w14:textId="77777777" w:rsidTr="00DC7716">
        <w:tc>
          <w:tcPr>
            <w:tcW w:w="2464" w:type="pct"/>
          </w:tcPr>
          <w:p w14:paraId="0BD80A25" w14:textId="77777777" w:rsidR="00990269" w:rsidRDefault="00990269" w:rsidP="00990269">
            <w:pPr>
              <w:pStyle w:val="TableBodyText"/>
              <w:jc w:val="left"/>
            </w:pPr>
            <w:r>
              <w:t>Key goods exports (US$ billions)</w:t>
            </w:r>
          </w:p>
        </w:tc>
        <w:tc>
          <w:tcPr>
            <w:tcW w:w="2536" w:type="pct"/>
          </w:tcPr>
          <w:p w14:paraId="7A09E0B0" w14:textId="77777777" w:rsidR="00990269" w:rsidRDefault="00990269" w:rsidP="00DC7716">
            <w:pPr>
              <w:pStyle w:val="TableBodyText"/>
              <w:tabs>
                <w:tab w:val="right" w:pos="4195"/>
              </w:tabs>
              <w:ind w:right="28"/>
              <w:jc w:val="left"/>
            </w:pPr>
          </w:p>
        </w:tc>
      </w:tr>
      <w:tr w:rsidR="00990269" w14:paraId="31275F57" w14:textId="77777777" w:rsidTr="00DC7716">
        <w:tc>
          <w:tcPr>
            <w:tcW w:w="2464" w:type="pct"/>
          </w:tcPr>
          <w:p w14:paraId="0E2566CB" w14:textId="77777777" w:rsidR="00990269" w:rsidRDefault="00990269" w:rsidP="009603A1">
            <w:pPr>
              <w:pStyle w:val="TableBodyText"/>
              <w:tabs>
                <w:tab w:val="left" w:pos="284"/>
                <w:tab w:val="right" w:pos="4111"/>
              </w:tabs>
              <w:jc w:val="left"/>
            </w:pPr>
            <w:r>
              <w:tab/>
              <w:t>Iron ore &amp; concentrates</w:t>
            </w:r>
            <w:r>
              <w:tab/>
              <w:t>66.8</w:t>
            </w:r>
          </w:p>
        </w:tc>
        <w:tc>
          <w:tcPr>
            <w:tcW w:w="2536" w:type="pct"/>
          </w:tcPr>
          <w:p w14:paraId="4BE52774" w14:textId="77777777" w:rsidR="00990269" w:rsidRDefault="00990269" w:rsidP="00DC7716">
            <w:pPr>
              <w:pStyle w:val="TableBodyText"/>
              <w:tabs>
                <w:tab w:val="left" w:pos="227"/>
                <w:tab w:val="right" w:pos="4195"/>
              </w:tabs>
              <w:ind w:left="720" w:right="28" w:hanging="714"/>
              <w:jc w:val="left"/>
            </w:pPr>
            <w:r>
              <w:tab/>
              <w:t>Milk powder, butter &amp; cheese</w:t>
            </w:r>
            <w:r>
              <w:tab/>
              <w:t>9.0</w:t>
            </w:r>
          </w:p>
        </w:tc>
      </w:tr>
      <w:tr w:rsidR="00990269" w14:paraId="68DF61D1" w14:textId="77777777" w:rsidTr="00DC7716">
        <w:tc>
          <w:tcPr>
            <w:tcW w:w="2464" w:type="pct"/>
          </w:tcPr>
          <w:p w14:paraId="4E814A0C" w14:textId="77777777" w:rsidR="00990269" w:rsidRDefault="00990269" w:rsidP="00990269">
            <w:pPr>
              <w:pStyle w:val="TableBodyText"/>
              <w:tabs>
                <w:tab w:val="left" w:pos="284"/>
                <w:tab w:val="right" w:pos="4111"/>
              </w:tabs>
              <w:jc w:val="left"/>
            </w:pPr>
            <w:r>
              <w:tab/>
              <w:t>Coal</w:t>
            </w:r>
            <w:r>
              <w:tab/>
              <w:t>48.7</w:t>
            </w:r>
          </w:p>
        </w:tc>
        <w:tc>
          <w:tcPr>
            <w:tcW w:w="2536" w:type="pct"/>
          </w:tcPr>
          <w:p w14:paraId="5102861A" w14:textId="77777777" w:rsidR="00990269" w:rsidRDefault="00990269" w:rsidP="00DC7716">
            <w:pPr>
              <w:pStyle w:val="TableBodyText"/>
              <w:tabs>
                <w:tab w:val="left" w:pos="227"/>
                <w:tab w:val="right" w:pos="4195"/>
              </w:tabs>
              <w:ind w:left="720" w:right="28" w:hanging="714"/>
              <w:jc w:val="left"/>
            </w:pPr>
            <w:r>
              <w:tab/>
              <w:t>Meat</w:t>
            </w:r>
            <w:r>
              <w:tab/>
            </w:r>
            <w:r>
              <w:tab/>
              <w:t>4.3</w:t>
            </w:r>
          </w:p>
        </w:tc>
      </w:tr>
      <w:tr w:rsidR="00990269" w14:paraId="767A7700" w14:textId="77777777" w:rsidTr="00DC7716">
        <w:tc>
          <w:tcPr>
            <w:tcW w:w="2464" w:type="pct"/>
          </w:tcPr>
          <w:p w14:paraId="5CB88EFA" w14:textId="77777777" w:rsidR="00990269" w:rsidRDefault="00990269" w:rsidP="00990269">
            <w:pPr>
              <w:pStyle w:val="TableBodyText"/>
              <w:tabs>
                <w:tab w:val="left" w:pos="284"/>
                <w:tab w:val="right" w:pos="4111"/>
              </w:tabs>
              <w:jc w:val="left"/>
            </w:pPr>
            <w:r>
              <w:tab/>
              <w:t>Gold</w:t>
            </w:r>
            <w:r>
              <w:tab/>
              <w:t>15.7</w:t>
            </w:r>
          </w:p>
        </w:tc>
        <w:tc>
          <w:tcPr>
            <w:tcW w:w="2536" w:type="pct"/>
          </w:tcPr>
          <w:p w14:paraId="2F51F6EC" w14:textId="77777777" w:rsidR="00990269" w:rsidRDefault="00990269" w:rsidP="00DC7716">
            <w:pPr>
              <w:pStyle w:val="TableBodyText"/>
              <w:tabs>
                <w:tab w:val="left" w:pos="227"/>
                <w:tab w:val="right" w:pos="4195"/>
              </w:tabs>
              <w:ind w:left="720" w:right="28" w:hanging="714"/>
              <w:jc w:val="left"/>
            </w:pPr>
            <w:r>
              <w:tab/>
              <w:t>Logs, wood &amp; wood articles</w:t>
            </w:r>
            <w:r>
              <w:tab/>
              <w:t>2.5</w:t>
            </w:r>
          </w:p>
        </w:tc>
      </w:tr>
      <w:tr w:rsidR="00990269" w14:paraId="55F62CBE" w14:textId="77777777" w:rsidTr="00DC7716">
        <w:tc>
          <w:tcPr>
            <w:tcW w:w="2464" w:type="pct"/>
            <w:tcBorders>
              <w:bottom w:val="dotted" w:sz="12" w:space="0" w:color="BFBFBF" w:themeColor="background1" w:themeShade="BF"/>
            </w:tcBorders>
          </w:tcPr>
          <w:p w14:paraId="53342ED7" w14:textId="77777777" w:rsidR="00990269" w:rsidRDefault="00990269" w:rsidP="00E52120">
            <w:pPr>
              <w:pStyle w:val="TableBodyText"/>
              <w:tabs>
                <w:tab w:val="left" w:pos="157"/>
                <w:tab w:val="right" w:pos="4111"/>
              </w:tabs>
              <w:jc w:val="left"/>
            </w:pPr>
            <w:r>
              <w:t xml:space="preserve">Services exports </w:t>
            </w:r>
            <w:r w:rsidR="00E52120">
              <w:t>(US$ billions)</w:t>
            </w:r>
            <w:r>
              <w:tab/>
              <w:t>52.1</w:t>
            </w:r>
          </w:p>
        </w:tc>
        <w:tc>
          <w:tcPr>
            <w:tcW w:w="2536" w:type="pct"/>
            <w:tcBorders>
              <w:bottom w:val="dotted" w:sz="12" w:space="0" w:color="BFBFBF" w:themeColor="background1" w:themeShade="BF"/>
            </w:tcBorders>
          </w:tcPr>
          <w:p w14:paraId="13F5C0E7" w14:textId="77777777" w:rsidR="00990269" w:rsidRDefault="00990269" w:rsidP="00DC7716">
            <w:pPr>
              <w:pStyle w:val="TableBodyText"/>
              <w:tabs>
                <w:tab w:val="left" w:pos="0"/>
                <w:tab w:val="right" w:pos="4195"/>
              </w:tabs>
              <w:ind w:left="720" w:right="28" w:hanging="714"/>
              <w:jc w:val="left"/>
            </w:pPr>
            <w:r>
              <w:tab/>
            </w:r>
            <w:r>
              <w:tab/>
              <w:t>10.1</w:t>
            </w:r>
          </w:p>
        </w:tc>
      </w:tr>
      <w:tr w:rsidR="00990269" w:rsidRPr="007768EA" w14:paraId="2C9FC045" w14:textId="77777777" w:rsidTr="00DC7716">
        <w:tc>
          <w:tcPr>
            <w:tcW w:w="5000" w:type="pct"/>
            <w:gridSpan w:val="2"/>
            <w:tcBorders>
              <w:top w:val="dotted" w:sz="12" w:space="0" w:color="BFBFBF" w:themeColor="background1" w:themeShade="BF"/>
            </w:tcBorders>
          </w:tcPr>
          <w:p w14:paraId="601F5228" w14:textId="77777777" w:rsidR="00990269" w:rsidRPr="007768EA" w:rsidRDefault="00990269" w:rsidP="00DC7716">
            <w:pPr>
              <w:pStyle w:val="TableUnitsRow"/>
              <w:tabs>
                <w:tab w:val="right" w:pos="4195"/>
              </w:tabs>
              <w:ind w:right="28"/>
              <w:jc w:val="left"/>
              <w:rPr>
                <w:b/>
              </w:rPr>
            </w:pPr>
            <w:r w:rsidRPr="007768EA">
              <w:rPr>
                <w:b/>
              </w:rPr>
              <w:t xml:space="preserve">Trans-Tasman </w:t>
            </w:r>
            <w:r w:rsidR="005C2C57">
              <w:rPr>
                <w:b/>
              </w:rPr>
              <w:t xml:space="preserve">goods </w:t>
            </w:r>
            <w:r w:rsidRPr="007768EA">
              <w:rPr>
                <w:b/>
              </w:rPr>
              <w:t>trade</w:t>
            </w:r>
          </w:p>
        </w:tc>
      </w:tr>
      <w:tr w:rsidR="00990269" w14:paraId="5863A05C" w14:textId="77777777" w:rsidTr="00DC7716">
        <w:tc>
          <w:tcPr>
            <w:tcW w:w="2464" w:type="pct"/>
            <w:tcBorders>
              <w:bottom w:val="dotted" w:sz="12" w:space="0" w:color="BFBFBF" w:themeColor="background1" w:themeShade="BF"/>
            </w:tcBorders>
          </w:tcPr>
          <w:p w14:paraId="079FD496" w14:textId="77777777" w:rsidR="00990269" w:rsidRDefault="005C2C57" w:rsidP="009603A1">
            <w:pPr>
              <w:pStyle w:val="TableBodyText"/>
              <w:tabs>
                <w:tab w:val="left" w:pos="157"/>
                <w:tab w:val="right" w:pos="4111"/>
              </w:tabs>
              <w:jc w:val="left"/>
            </w:pPr>
            <w:r>
              <w:t xml:space="preserve">Trans-Tasman </w:t>
            </w:r>
            <w:r w:rsidR="00990269">
              <w:t>trade (% total trade)</w:t>
            </w:r>
            <w:r w:rsidR="00990269">
              <w:tab/>
            </w:r>
            <w:r w:rsidR="009603A1">
              <w:t>3</w:t>
            </w:r>
          </w:p>
        </w:tc>
        <w:tc>
          <w:tcPr>
            <w:tcW w:w="2536" w:type="pct"/>
            <w:tcBorders>
              <w:bottom w:val="dotted" w:sz="12" w:space="0" w:color="BFBFBF" w:themeColor="background1" w:themeShade="BF"/>
            </w:tcBorders>
          </w:tcPr>
          <w:p w14:paraId="19AB36D7" w14:textId="77777777" w:rsidR="00990269" w:rsidRDefault="00990269" w:rsidP="00DC7716">
            <w:pPr>
              <w:pStyle w:val="TableBodyText"/>
              <w:tabs>
                <w:tab w:val="left" w:pos="0"/>
                <w:tab w:val="right" w:pos="4195"/>
              </w:tabs>
              <w:ind w:left="720" w:right="28" w:hanging="714"/>
              <w:jc w:val="left"/>
            </w:pPr>
            <w:r>
              <w:tab/>
            </w:r>
            <w:r>
              <w:tab/>
              <w:t>23</w:t>
            </w:r>
          </w:p>
        </w:tc>
      </w:tr>
      <w:tr w:rsidR="00990269" w:rsidRPr="005F4DE8" w14:paraId="3B5752A0" w14:textId="77777777" w:rsidTr="00DC7716">
        <w:tc>
          <w:tcPr>
            <w:tcW w:w="5000" w:type="pct"/>
            <w:gridSpan w:val="2"/>
            <w:tcBorders>
              <w:top w:val="dotted" w:sz="12" w:space="0" w:color="BFBFBF" w:themeColor="background1" w:themeShade="BF"/>
            </w:tcBorders>
          </w:tcPr>
          <w:p w14:paraId="010BC37D" w14:textId="77777777" w:rsidR="00990269" w:rsidRPr="005F4DE8" w:rsidRDefault="00990269" w:rsidP="00DC7716">
            <w:pPr>
              <w:pStyle w:val="TableUnitsRow"/>
              <w:tabs>
                <w:tab w:val="right" w:pos="4195"/>
              </w:tabs>
              <w:ind w:right="28"/>
              <w:jc w:val="left"/>
              <w:rPr>
                <w:b/>
              </w:rPr>
            </w:pPr>
            <w:r>
              <w:rPr>
                <w:b/>
              </w:rPr>
              <w:t>Foreign direct investment (</w:t>
            </w:r>
            <w:proofErr w:type="spellStart"/>
            <w:r>
              <w:rPr>
                <w:b/>
              </w:rPr>
              <w:t>FDI</w:t>
            </w:r>
            <w:proofErr w:type="spellEnd"/>
            <w:r>
              <w:rPr>
                <w:b/>
              </w:rPr>
              <w:t>)</w:t>
            </w:r>
          </w:p>
        </w:tc>
      </w:tr>
      <w:tr w:rsidR="00990269" w14:paraId="1DF8FFB8" w14:textId="77777777" w:rsidTr="00DC7716">
        <w:tc>
          <w:tcPr>
            <w:tcW w:w="2464" w:type="pct"/>
          </w:tcPr>
          <w:p w14:paraId="20099128" w14:textId="77777777" w:rsidR="00990269" w:rsidRDefault="00990269" w:rsidP="00990269">
            <w:pPr>
              <w:pStyle w:val="TableBodyText"/>
              <w:tabs>
                <w:tab w:val="left" w:pos="157"/>
                <w:tab w:val="right" w:pos="4111"/>
              </w:tabs>
              <w:jc w:val="left"/>
            </w:pPr>
            <w:proofErr w:type="spellStart"/>
            <w:r>
              <w:t>FDI</w:t>
            </w:r>
            <w:proofErr w:type="spellEnd"/>
            <w:r>
              <w:t xml:space="preserve"> stock in country (US$ billions)</w:t>
            </w:r>
            <w:r>
              <w:tab/>
              <w:t>528.0</w:t>
            </w:r>
          </w:p>
        </w:tc>
        <w:tc>
          <w:tcPr>
            <w:tcW w:w="2536" w:type="pct"/>
          </w:tcPr>
          <w:p w14:paraId="2A125FFC" w14:textId="77777777" w:rsidR="00990269" w:rsidRDefault="00990269" w:rsidP="00DC7716">
            <w:pPr>
              <w:pStyle w:val="TableBodyText"/>
              <w:tabs>
                <w:tab w:val="left" w:pos="0"/>
                <w:tab w:val="right" w:pos="4195"/>
              </w:tabs>
              <w:ind w:left="720" w:right="28" w:hanging="714"/>
              <w:jc w:val="left"/>
            </w:pPr>
            <w:r>
              <w:tab/>
            </w:r>
            <w:r>
              <w:tab/>
              <w:t>76.2</w:t>
            </w:r>
          </w:p>
        </w:tc>
      </w:tr>
      <w:tr w:rsidR="00990269" w14:paraId="44F89D34" w14:textId="77777777" w:rsidTr="00DC7716">
        <w:tc>
          <w:tcPr>
            <w:tcW w:w="2464" w:type="pct"/>
          </w:tcPr>
          <w:p w14:paraId="74770005" w14:textId="77777777" w:rsidR="00990269" w:rsidRDefault="00990269" w:rsidP="00990269">
            <w:pPr>
              <w:pStyle w:val="TableBodyText"/>
              <w:tabs>
                <w:tab w:val="left" w:pos="157"/>
                <w:tab w:val="right" w:pos="4111"/>
              </w:tabs>
              <w:jc w:val="left"/>
            </w:pPr>
            <w:proofErr w:type="spellStart"/>
            <w:r>
              <w:t>FDI</w:t>
            </w:r>
            <w:proofErr w:type="spellEnd"/>
            <w:r>
              <w:t xml:space="preserve"> stock abroad (US$ billions)</w:t>
            </w:r>
            <w:r>
              <w:tab/>
              <w:t>352.7</w:t>
            </w:r>
          </w:p>
        </w:tc>
        <w:tc>
          <w:tcPr>
            <w:tcW w:w="2536" w:type="pct"/>
          </w:tcPr>
          <w:p w14:paraId="1448B947" w14:textId="77777777" w:rsidR="00990269" w:rsidRDefault="00990269" w:rsidP="00DC7716">
            <w:pPr>
              <w:pStyle w:val="TableBodyText"/>
              <w:tabs>
                <w:tab w:val="left" w:pos="0"/>
                <w:tab w:val="right" w:pos="4195"/>
              </w:tabs>
              <w:ind w:left="720" w:right="28" w:hanging="714"/>
              <w:jc w:val="left"/>
            </w:pPr>
            <w:r>
              <w:tab/>
            </w:r>
            <w:r>
              <w:tab/>
              <w:t>19.5</w:t>
            </w:r>
          </w:p>
        </w:tc>
      </w:tr>
      <w:tr w:rsidR="00990269" w:rsidRPr="002F1BC6" w14:paraId="572E1B57" w14:textId="77777777" w:rsidTr="00DC7716">
        <w:tc>
          <w:tcPr>
            <w:tcW w:w="5000" w:type="pct"/>
            <w:gridSpan w:val="2"/>
            <w:tcBorders>
              <w:top w:val="dotted" w:sz="12" w:space="0" w:color="BFBFBF" w:themeColor="background1" w:themeShade="BF"/>
            </w:tcBorders>
          </w:tcPr>
          <w:p w14:paraId="10B3A784" w14:textId="77777777" w:rsidR="00990269" w:rsidRPr="002F1BC6" w:rsidRDefault="00990269" w:rsidP="00DC7716">
            <w:pPr>
              <w:pStyle w:val="TableUnitsRow"/>
              <w:tabs>
                <w:tab w:val="right" w:pos="4195"/>
              </w:tabs>
              <w:ind w:right="28"/>
              <w:jc w:val="left"/>
              <w:rPr>
                <w:b/>
              </w:rPr>
            </w:pPr>
            <w:r>
              <w:rPr>
                <w:b/>
              </w:rPr>
              <w:t>Government sector</w:t>
            </w:r>
          </w:p>
        </w:tc>
      </w:tr>
      <w:tr w:rsidR="00990269" w14:paraId="04A58DBE" w14:textId="77777777" w:rsidTr="00DC7716">
        <w:tc>
          <w:tcPr>
            <w:tcW w:w="2464" w:type="pct"/>
            <w:tcBorders>
              <w:bottom w:val="single" w:sz="6" w:space="0" w:color="auto"/>
            </w:tcBorders>
            <w:shd w:val="clear" w:color="auto" w:fill="auto"/>
          </w:tcPr>
          <w:p w14:paraId="1EDBAEC6" w14:textId="77777777" w:rsidR="00990269" w:rsidRDefault="00990269" w:rsidP="002C5E53">
            <w:pPr>
              <w:pStyle w:val="TableBodyText"/>
              <w:tabs>
                <w:tab w:val="left" w:pos="157"/>
                <w:tab w:val="right" w:pos="4111"/>
              </w:tabs>
              <w:jc w:val="left"/>
            </w:pPr>
            <w:r>
              <w:t>Government expenditure (% GDP)</w:t>
            </w:r>
            <w:r>
              <w:tab/>
              <w:t>37</w:t>
            </w:r>
          </w:p>
        </w:tc>
        <w:tc>
          <w:tcPr>
            <w:tcW w:w="2536" w:type="pct"/>
            <w:tcBorders>
              <w:bottom w:val="single" w:sz="6" w:space="0" w:color="auto"/>
            </w:tcBorders>
            <w:shd w:val="clear" w:color="auto" w:fill="auto"/>
          </w:tcPr>
          <w:p w14:paraId="6CCCB76C" w14:textId="77777777" w:rsidR="00990269" w:rsidRDefault="00990269" w:rsidP="00DC7716">
            <w:pPr>
              <w:pStyle w:val="TableBodyText"/>
              <w:tabs>
                <w:tab w:val="left" w:pos="0"/>
                <w:tab w:val="right" w:pos="4195"/>
              </w:tabs>
              <w:ind w:left="720" w:right="28" w:hanging="714"/>
              <w:jc w:val="left"/>
            </w:pPr>
            <w:r>
              <w:tab/>
            </w:r>
            <w:r>
              <w:tab/>
              <w:t>42</w:t>
            </w:r>
          </w:p>
        </w:tc>
      </w:tr>
    </w:tbl>
    <w:p w14:paraId="5E3B6DE4" w14:textId="56AAA867" w:rsidR="00A11B61" w:rsidRDefault="00A11B61" w:rsidP="00A11B61">
      <w:pPr>
        <w:pStyle w:val="Note"/>
      </w:pPr>
      <w:r w:rsidRPr="008E77FE">
        <w:rPr>
          <w:rStyle w:val="NoteLabel"/>
        </w:rPr>
        <w:t>a</w:t>
      </w:r>
      <w:r>
        <w:t xml:space="preserve"> Data are for 2011 (population data are for June 2011; </w:t>
      </w:r>
      <w:proofErr w:type="spellStart"/>
      <w:r>
        <w:t>FDI</w:t>
      </w:r>
      <w:proofErr w:type="spellEnd"/>
      <w:r>
        <w:t xml:space="preserve"> data are for December 2011), except for government expenditure as a proportion of GDP</w:t>
      </w:r>
      <w:r w:rsidR="00457BA8">
        <w:t xml:space="preserve"> and </w:t>
      </w:r>
      <w:r>
        <w:t>trans</w:t>
      </w:r>
      <w:r>
        <w:noBreakHyphen/>
        <w:t xml:space="preserve">Tasman trade data, </w:t>
      </w:r>
      <w:r w:rsidR="00457BA8">
        <w:t xml:space="preserve">which are </w:t>
      </w:r>
      <w:r w:rsidR="00394B99">
        <w:t xml:space="preserve">for </w:t>
      </w:r>
      <w:r w:rsidR="00457BA8">
        <w:t>2009</w:t>
      </w:r>
      <w:r>
        <w:t xml:space="preserve">. </w:t>
      </w:r>
      <w:r w:rsidRPr="00B43F3B">
        <w:rPr>
          <w:b/>
        </w:rPr>
        <w:t>GDP</w:t>
      </w:r>
      <w:r>
        <w:t>:</w:t>
      </w:r>
      <w:r w:rsidR="0083568B">
        <w:t> </w:t>
      </w:r>
      <w:r>
        <w:t>gross domestic product.</w:t>
      </w:r>
      <w:r w:rsidR="0083568B">
        <w:t xml:space="preserve"> </w:t>
      </w:r>
      <w:r w:rsidR="0083568B" w:rsidRPr="00B43F3B">
        <w:rPr>
          <w:b/>
        </w:rPr>
        <w:t>PPP</w:t>
      </w:r>
      <w:r w:rsidR="00394B99" w:rsidRPr="0063343E">
        <w:t>:</w:t>
      </w:r>
      <w:r w:rsidR="0083568B">
        <w:t> purchasing power parity.</w:t>
      </w:r>
    </w:p>
    <w:p w14:paraId="28F3A2B0" w14:textId="14AAC4B6" w:rsidR="00A11B61" w:rsidRDefault="00A11B61" w:rsidP="00A11B61">
      <w:pPr>
        <w:pStyle w:val="Source"/>
      </w:pPr>
      <w:r>
        <w:rPr>
          <w:i/>
        </w:rPr>
        <w:t>Source</w:t>
      </w:r>
      <w:r w:rsidR="0083568B">
        <w:rPr>
          <w:i/>
        </w:rPr>
        <w:t>s</w:t>
      </w:r>
      <w:r>
        <w:t>: IMF</w:t>
      </w:r>
      <w:r w:rsidR="00BD6D58">
        <w:t> </w:t>
      </w:r>
      <w:r>
        <w:t>(2012); OECD</w:t>
      </w:r>
      <w:r w:rsidR="00BD6D58">
        <w:t> </w:t>
      </w:r>
      <w:r>
        <w:t>(</w:t>
      </w:r>
      <w:proofErr w:type="spellStart"/>
      <w:r>
        <w:t>2011</w:t>
      </w:r>
      <w:r w:rsidR="00F33A4B">
        <w:t>c</w:t>
      </w:r>
      <w:proofErr w:type="spellEnd"/>
      <w:r>
        <w:t>); RBA</w:t>
      </w:r>
      <w:r w:rsidR="00BD6D58">
        <w:t> </w:t>
      </w:r>
      <w:r>
        <w:t xml:space="preserve">(2012); </w:t>
      </w:r>
      <w:proofErr w:type="spellStart"/>
      <w:r>
        <w:t>RBNZ</w:t>
      </w:r>
      <w:proofErr w:type="spellEnd"/>
      <w:r w:rsidR="00BD6D58">
        <w:t> </w:t>
      </w:r>
      <w:r>
        <w:t>(</w:t>
      </w:r>
      <w:proofErr w:type="spellStart"/>
      <w:r>
        <w:t>2012</w:t>
      </w:r>
      <w:r w:rsidR="005C4D39">
        <w:t>a</w:t>
      </w:r>
      <w:proofErr w:type="spellEnd"/>
      <w:r>
        <w:t xml:space="preserve">); UN </w:t>
      </w:r>
      <w:proofErr w:type="spellStart"/>
      <w:r>
        <w:t>Comtrade</w:t>
      </w:r>
      <w:proofErr w:type="spellEnd"/>
      <w:r>
        <w:t xml:space="preserve"> database</w:t>
      </w:r>
      <w:r w:rsidR="00BD6D58">
        <w:t> </w:t>
      </w:r>
      <w:r>
        <w:t>(2012); various Australian Bureau of Statistics and Statistics New Zealand publications.</w:t>
      </w:r>
    </w:p>
    <w:p w14:paraId="4B06E586" w14:textId="77777777" w:rsidR="005D0FF6" w:rsidRPr="005D0FF6" w:rsidRDefault="005D0FF6" w:rsidP="0063343E">
      <w:pPr>
        <w:pStyle w:val="ListBullet"/>
        <w:keepNext/>
      </w:pPr>
      <w:r w:rsidRPr="005D0FF6">
        <w:lastRenderedPageBreak/>
        <w:t>identification of reform where joint net benefits are highest</w:t>
      </w:r>
    </w:p>
    <w:p w14:paraId="62A03206" w14:textId="77777777" w:rsidR="005D0FF6" w:rsidRPr="005D0FF6" w:rsidRDefault="005D0FF6" w:rsidP="0063343E">
      <w:pPr>
        <w:pStyle w:val="ListBullet"/>
        <w:keepNext/>
      </w:pPr>
      <w:r w:rsidRPr="005D0FF6">
        <w:t xml:space="preserve">the means by which </w:t>
      </w:r>
      <w:r w:rsidR="00EF4431">
        <w:t>reforms</w:t>
      </w:r>
      <w:r w:rsidR="00EF4431" w:rsidRPr="005D0FF6">
        <w:t xml:space="preserve"> </w:t>
      </w:r>
      <w:r w:rsidRPr="005D0FF6">
        <w:t>might be best actioned</w:t>
      </w:r>
    </w:p>
    <w:p w14:paraId="36AC030C" w14:textId="77777777" w:rsidR="005D0FF6" w:rsidRPr="005D0FF6" w:rsidRDefault="005D0FF6" w:rsidP="005D0FF6">
      <w:pPr>
        <w:pStyle w:val="ListBullet"/>
      </w:pPr>
      <w:r w:rsidRPr="005D0FF6">
        <w:t>the likely time paths over which benefits are expected to accrue.</w:t>
      </w:r>
    </w:p>
    <w:p w14:paraId="7FFDA84A" w14:textId="422A200D" w:rsidR="009B29B4" w:rsidRDefault="00397A38" w:rsidP="00143850">
      <w:pPr>
        <w:pStyle w:val="BodyText"/>
      </w:pPr>
      <w:r>
        <w:t xml:space="preserve">This report is to inform the next meeting of Prime Ministers, scheduled for early 2013. </w:t>
      </w:r>
      <w:r w:rsidR="009B29B4">
        <w:t xml:space="preserve">The terms of reference are included in the preface to this </w:t>
      </w:r>
      <w:r w:rsidR="00394B99">
        <w:t>report</w:t>
      </w:r>
      <w:r w:rsidR="009B29B4">
        <w:t>.</w:t>
      </w:r>
    </w:p>
    <w:p w14:paraId="412E2348" w14:textId="41416CA5" w:rsidR="008A2D3B" w:rsidRDefault="0081526A" w:rsidP="00143850">
      <w:pPr>
        <w:pStyle w:val="BodyText"/>
      </w:pPr>
      <w:r>
        <w:t>The</w:t>
      </w:r>
      <w:r w:rsidR="00E21786">
        <w:t xml:space="preserve"> </w:t>
      </w:r>
      <w:r w:rsidR="008C0913">
        <w:t>timing of th</w:t>
      </w:r>
      <w:r w:rsidR="007F12CC">
        <w:t>is scoping</w:t>
      </w:r>
      <w:r w:rsidR="008C0913">
        <w:t xml:space="preserve"> study is noteworthy in at least two respects. First, it occurs in the lead up </w:t>
      </w:r>
      <w:r w:rsidR="001C4D97">
        <w:t xml:space="preserve">to the </w:t>
      </w:r>
      <w:r w:rsidR="00143850" w:rsidRPr="00143850">
        <w:t>30</w:t>
      </w:r>
      <w:r w:rsidR="00143850" w:rsidRPr="009221D1">
        <w:rPr>
          <w:vertAlign w:val="superscript"/>
        </w:rPr>
        <w:t>th</w:t>
      </w:r>
      <w:r w:rsidR="009221D1">
        <w:t xml:space="preserve"> </w:t>
      </w:r>
      <w:r w:rsidR="00143850" w:rsidRPr="00143850">
        <w:t>ann</w:t>
      </w:r>
      <w:r w:rsidR="00143850" w:rsidRPr="00284C25">
        <w:t>i</w:t>
      </w:r>
      <w:r w:rsidR="00143850" w:rsidRPr="00143850">
        <w:t xml:space="preserve">versary of </w:t>
      </w:r>
      <w:r w:rsidR="00F0060A">
        <w:t xml:space="preserve">the </w:t>
      </w:r>
      <w:proofErr w:type="spellStart"/>
      <w:r w:rsidR="00394B99">
        <w:t>ANZCERTA</w:t>
      </w:r>
      <w:proofErr w:type="spellEnd"/>
      <w:r w:rsidR="00143850" w:rsidRPr="00143850">
        <w:t xml:space="preserve">. </w:t>
      </w:r>
      <w:r w:rsidR="008A2D3B" w:rsidRPr="008A2D3B">
        <w:t>Th</w:t>
      </w:r>
      <w:r w:rsidR="008A2D3B">
        <w:t>is</w:t>
      </w:r>
      <w:r w:rsidR="008A2D3B" w:rsidRPr="008A2D3B">
        <w:t xml:space="preserve"> anniversary provides an opportunity to take stock of what has been </w:t>
      </w:r>
      <w:r w:rsidR="00C32547">
        <w:t>achieved</w:t>
      </w:r>
      <w:r w:rsidR="00F759B0">
        <w:t xml:space="preserve"> and</w:t>
      </w:r>
      <w:r w:rsidR="009268D4">
        <w:t xml:space="preserve"> what remains to be done</w:t>
      </w:r>
      <w:r w:rsidR="00F759B0">
        <w:t>,</w:t>
      </w:r>
      <w:r w:rsidR="009268D4">
        <w:t xml:space="preserve"> and </w:t>
      </w:r>
      <w:r w:rsidR="008A2D3B" w:rsidRPr="008A2D3B">
        <w:t xml:space="preserve">to </w:t>
      </w:r>
      <w:r w:rsidR="006F4F5F">
        <w:t xml:space="preserve">consider </w:t>
      </w:r>
      <w:r w:rsidR="00FF2C9B">
        <w:t>how d</w:t>
      </w:r>
      <w:r w:rsidR="006F4F5F">
        <w:t xml:space="preserve">evelopments </w:t>
      </w:r>
      <w:r w:rsidR="000F4AAC">
        <w:t xml:space="preserve">in our </w:t>
      </w:r>
      <w:r w:rsidR="006F4F5F">
        <w:t xml:space="preserve">region </w:t>
      </w:r>
      <w:r w:rsidR="00FF2C9B">
        <w:t xml:space="preserve">should influence </w:t>
      </w:r>
      <w:r w:rsidR="009268D4">
        <w:t xml:space="preserve">further </w:t>
      </w:r>
      <w:r w:rsidR="00322A2C" w:rsidRPr="00322A2C">
        <w:t>trans</w:t>
      </w:r>
      <w:r w:rsidR="000F4AAC">
        <w:noBreakHyphen/>
      </w:r>
      <w:r w:rsidR="00322A2C" w:rsidRPr="00322A2C">
        <w:t>Tasman integration</w:t>
      </w:r>
      <w:r w:rsidR="00FF2C9B">
        <w:t xml:space="preserve">. In particular, </w:t>
      </w:r>
      <w:r w:rsidR="00D87C34">
        <w:t xml:space="preserve">it is important </w:t>
      </w:r>
      <w:r w:rsidR="00FF2C9B">
        <w:t xml:space="preserve">to ensure that </w:t>
      </w:r>
      <w:proofErr w:type="spellStart"/>
      <w:r w:rsidR="00394B99">
        <w:t>CER</w:t>
      </w:r>
      <w:proofErr w:type="spellEnd"/>
      <w:r w:rsidR="00394B99">
        <w:t xml:space="preserve"> </w:t>
      </w:r>
      <w:r w:rsidR="00412016">
        <w:t xml:space="preserve">acts as a ‘building block’ to </w:t>
      </w:r>
      <w:r w:rsidR="00322A2C" w:rsidRPr="00322A2C">
        <w:t xml:space="preserve">broader </w:t>
      </w:r>
      <w:r w:rsidR="00412016">
        <w:t xml:space="preserve">integration </w:t>
      </w:r>
      <w:r w:rsidR="00322A2C" w:rsidRPr="00322A2C">
        <w:t>in what is becoming known as the ‘Asian century’</w:t>
      </w:r>
      <w:r w:rsidR="007F670E">
        <w:t xml:space="preserve"> (Henry 2012)</w:t>
      </w:r>
      <w:r w:rsidR="00322A2C" w:rsidRPr="00322A2C">
        <w:t>.</w:t>
      </w:r>
    </w:p>
    <w:p w14:paraId="220C5980" w14:textId="2A1BAD8D" w:rsidR="008C0913" w:rsidRDefault="008C0913" w:rsidP="00143850">
      <w:pPr>
        <w:pStyle w:val="BodyText"/>
      </w:pPr>
      <w:r>
        <w:t xml:space="preserve">Second, </w:t>
      </w:r>
      <w:r w:rsidR="007E7173">
        <w:t>much of Europe</w:t>
      </w:r>
      <w:r w:rsidR="00CF0501">
        <w:t xml:space="preserve"> is </w:t>
      </w:r>
      <w:r w:rsidR="00394B99">
        <w:t xml:space="preserve">now </w:t>
      </w:r>
      <w:r w:rsidR="00CF0501">
        <w:t>going through a</w:t>
      </w:r>
      <w:r w:rsidR="00D87C34">
        <w:t>n economic</w:t>
      </w:r>
      <w:r w:rsidR="00CF0501">
        <w:t xml:space="preserve"> crisis.</w:t>
      </w:r>
      <w:r w:rsidR="009221D1">
        <w:t xml:space="preserve"> </w:t>
      </w:r>
      <w:r w:rsidR="00394B99">
        <w:t>T</w:t>
      </w:r>
      <w:r w:rsidR="00CF0501">
        <w:t xml:space="preserve">his crisis has complex causes, </w:t>
      </w:r>
      <w:r w:rsidR="00394B99">
        <w:t xml:space="preserve">with </w:t>
      </w:r>
      <w:r w:rsidR="00CF0501">
        <w:t xml:space="preserve">one strand </w:t>
      </w:r>
      <w:r w:rsidR="00394B99">
        <w:t xml:space="preserve">relating </w:t>
      </w:r>
      <w:r w:rsidR="00CC08D3">
        <w:t>to</w:t>
      </w:r>
      <w:r w:rsidR="00CF0501">
        <w:t xml:space="preserve"> the failure of economic integration to </w:t>
      </w:r>
      <w:r w:rsidR="00412016">
        <w:t xml:space="preserve">fully </w:t>
      </w:r>
      <w:r w:rsidR="00CF0501">
        <w:t>deliver on its promise</w:t>
      </w:r>
      <w:r w:rsidR="00324C6E">
        <w:t xml:space="preserve"> (</w:t>
      </w:r>
      <w:r w:rsidR="00AA7470">
        <w:t xml:space="preserve">despite </w:t>
      </w:r>
      <w:r w:rsidR="00857A31">
        <w:t>its</w:t>
      </w:r>
      <w:r w:rsidR="00AA7470">
        <w:t xml:space="preserve"> evident</w:t>
      </w:r>
      <w:r w:rsidR="000219AB">
        <w:t xml:space="preserve"> </w:t>
      </w:r>
      <w:r w:rsidR="00324C6E">
        <w:t>success</w:t>
      </w:r>
      <w:r w:rsidR="00AA7470">
        <w:t>es</w:t>
      </w:r>
      <w:r w:rsidR="00324C6E">
        <w:t>)</w:t>
      </w:r>
      <w:r w:rsidR="00CF0501">
        <w:t xml:space="preserve">. </w:t>
      </w:r>
      <w:r w:rsidR="009F2BA0">
        <w:t>The European experience with economic integration, both positive and negative, can provide valuable lessons for Australia and New Zealand.</w:t>
      </w:r>
    </w:p>
    <w:p w14:paraId="4ED23CE5" w14:textId="77777777" w:rsidR="00C36F99" w:rsidRDefault="00312A8C" w:rsidP="000B3D85">
      <w:pPr>
        <w:pStyle w:val="Heading2"/>
      </w:pPr>
      <w:fldSimple w:instr=" COMMENTS  \* MERGEFORMAT ">
        <w:r w:rsidR="000B3D85">
          <w:t>1.</w:t>
        </w:r>
      </w:fldSimple>
      <w:fldSimple w:instr=" SEQ Heading2 ">
        <w:r w:rsidR="00375BD6">
          <w:rPr>
            <w:noProof/>
          </w:rPr>
          <w:t>2</w:t>
        </w:r>
      </w:fldSimple>
      <w:r w:rsidR="000B3D85">
        <w:tab/>
      </w:r>
      <w:r w:rsidR="00A343CC">
        <w:t>Strengthening economic relations</w:t>
      </w:r>
    </w:p>
    <w:p w14:paraId="7276FC46" w14:textId="59BDF10A" w:rsidR="00ED082A" w:rsidRPr="00ED082A" w:rsidRDefault="00ED082A" w:rsidP="00ED082A">
      <w:pPr>
        <w:pStyle w:val="BodyText"/>
      </w:pPr>
      <w:r w:rsidRPr="00ED082A">
        <w:t>Government efforts to strengthen economic relations with other countries are commonly referred to as economic integration initiatives. A higher degree of integration could be expected to increase trade</w:t>
      </w:r>
      <w:r w:rsidR="00557960">
        <w:t>,</w:t>
      </w:r>
      <w:r w:rsidRPr="00ED082A">
        <w:t xml:space="preserve"> and flows</w:t>
      </w:r>
      <w:r w:rsidR="00557960">
        <w:t xml:space="preserve"> of capital and labour</w:t>
      </w:r>
      <w:r w:rsidRPr="00ED082A">
        <w:t>.</w:t>
      </w:r>
      <w:r w:rsidR="00557960">
        <w:t xml:space="preserve"> </w:t>
      </w:r>
      <w:r w:rsidRPr="00ED082A">
        <w:t>Prices for goods, services and factors of production will tend to converge in two countries that are highly integrated</w:t>
      </w:r>
      <w:r w:rsidR="006E2AD2">
        <w:t>,</w:t>
      </w:r>
      <w:r w:rsidRPr="00ED082A">
        <w:t xml:space="preserve"> as the costs of exchange (or ‘transaction costs’) are lowered.</w:t>
      </w:r>
    </w:p>
    <w:p w14:paraId="59B8F686" w14:textId="77777777" w:rsidR="002F18CD" w:rsidRDefault="002F18CD" w:rsidP="002F18CD">
      <w:pPr>
        <w:pStyle w:val="Heading3"/>
      </w:pPr>
      <w:r>
        <w:t>What should the policy objective be?</w:t>
      </w:r>
    </w:p>
    <w:p w14:paraId="27D65E81" w14:textId="77777777" w:rsidR="002F18CD" w:rsidRDefault="002F18CD" w:rsidP="002F18CD">
      <w:pPr>
        <w:pStyle w:val="BodyText"/>
      </w:pPr>
      <w:r>
        <w:t>I</w:t>
      </w:r>
      <w:r w:rsidRPr="006F75F1">
        <w:t>ncreased economic integration</w:t>
      </w:r>
      <w:r>
        <w:t xml:space="preserve"> </w:t>
      </w:r>
      <w:r w:rsidRPr="006F75F1">
        <w:t>expand</w:t>
      </w:r>
      <w:r>
        <w:t>s</w:t>
      </w:r>
      <w:r w:rsidRPr="006F75F1">
        <w:t xml:space="preserve"> the extent of market</w:t>
      </w:r>
      <w:r>
        <w:t xml:space="preserve">s, </w:t>
      </w:r>
      <w:r w:rsidRPr="006F75F1">
        <w:t>enabl</w:t>
      </w:r>
      <w:r>
        <w:t>ing</w:t>
      </w:r>
      <w:r w:rsidRPr="006F75F1">
        <w:t xml:space="preserve"> countries to capture greater scale advantages and specialise in those things they do relatively </w:t>
      </w:r>
      <w:r w:rsidR="00E71DA6">
        <w:t>efficiently</w:t>
      </w:r>
      <w:r>
        <w:t xml:space="preserve">. Resources </w:t>
      </w:r>
      <w:r w:rsidR="00D87C34">
        <w:t xml:space="preserve">ultimately </w:t>
      </w:r>
      <w:r>
        <w:t>shift to these activities and lower priced imports take the place of more costly domestically</w:t>
      </w:r>
      <w:r>
        <w:noBreakHyphen/>
        <w:t xml:space="preserve">produced goods and services. </w:t>
      </w:r>
      <w:r w:rsidRPr="00647045">
        <w:t xml:space="preserve">This is a dynamic process </w:t>
      </w:r>
      <w:r>
        <w:t>that</w:t>
      </w:r>
      <w:r w:rsidRPr="00647045">
        <w:t xml:space="preserve"> encourages competition</w:t>
      </w:r>
      <w:r>
        <w:t xml:space="preserve"> and</w:t>
      </w:r>
      <w:r w:rsidRPr="00647045">
        <w:t xml:space="preserve"> innovation. </w:t>
      </w:r>
      <w:r w:rsidRPr="006F75F1">
        <w:t xml:space="preserve">Consumers benefit from lower prices and greater choice. </w:t>
      </w:r>
      <w:r>
        <w:t>T</w:t>
      </w:r>
      <w:r w:rsidRPr="006F75F1">
        <w:t xml:space="preserve">he integration of labour </w:t>
      </w:r>
      <w:r w:rsidRPr="006F75F1">
        <w:lastRenderedPageBreak/>
        <w:t>markets</w:t>
      </w:r>
      <w:r w:rsidR="00887413">
        <w:t xml:space="preserve"> —</w:t>
      </w:r>
      <w:r w:rsidRPr="006F75F1">
        <w:t xml:space="preserve"> a prominent feature </w:t>
      </w:r>
      <w:r>
        <w:t>of the trans</w:t>
      </w:r>
      <w:r>
        <w:noBreakHyphen/>
        <w:t>Tasman relationship</w:t>
      </w:r>
      <w:r w:rsidR="00887413">
        <w:t xml:space="preserve"> —</w:t>
      </w:r>
      <w:r>
        <w:t xml:space="preserve"> </w:t>
      </w:r>
      <w:r w:rsidRPr="006F75F1">
        <w:t>opens up opportunities for people to develop and apply their skills and earn higher wages.</w:t>
      </w:r>
    </w:p>
    <w:p w14:paraId="65F43CF3" w14:textId="122B737E" w:rsidR="002F18CD" w:rsidRDefault="002F18CD" w:rsidP="002F18CD">
      <w:pPr>
        <w:pStyle w:val="BodyText"/>
      </w:pPr>
      <w:r>
        <w:t xml:space="preserve">Government efforts to promote economic integration can achieve these types of benefits, but there are </w:t>
      </w:r>
      <w:r w:rsidR="00284C25">
        <w:t xml:space="preserve">potential </w:t>
      </w:r>
      <w:r>
        <w:t>costs. Aligning regulations can be complicated, administratively costly and politically difficult, and sometimes produce</w:t>
      </w:r>
      <w:r w:rsidR="0075102B">
        <w:t>s</w:t>
      </w:r>
      <w:r>
        <w:t xml:space="preserve"> results </w:t>
      </w:r>
      <w:r w:rsidR="003E78AB">
        <w:t xml:space="preserve">that </w:t>
      </w:r>
      <w:r w:rsidR="004C6BC3">
        <w:t xml:space="preserve">are not a good fit </w:t>
      </w:r>
      <w:r w:rsidR="00E64EFD">
        <w:t xml:space="preserve">for </w:t>
      </w:r>
      <w:r>
        <w:t xml:space="preserve">local circumstances. </w:t>
      </w:r>
      <w:r w:rsidR="004C6BC3">
        <w:t>Achieving g</w:t>
      </w:r>
      <w:r>
        <w:t xml:space="preserve">reater specialisation </w:t>
      </w:r>
      <w:r w:rsidR="009B29B4">
        <w:t xml:space="preserve">can bring significant </w:t>
      </w:r>
      <w:r>
        <w:t xml:space="preserve">benefits, but can also </w:t>
      </w:r>
      <w:r w:rsidR="009B29B4">
        <w:t>involve</w:t>
      </w:r>
      <w:r>
        <w:t xml:space="preserve"> adjustment costs. </w:t>
      </w:r>
      <w:r w:rsidR="007C6D3B">
        <w:t>Moreover</w:t>
      </w:r>
      <w:r>
        <w:t>, where integration is pursued bilaterally</w:t>
      </w:r>
      <w:r w:rsidR="00F759B0">
        <w:t xml:space="preserve"> —</w:t>
      </w:r>
      <w:r>
        <w:t xml:space="preserve"> </w:t>
      </w:r>
      <w:r w:rsidR="004C6BC3">
        <w:t>the focus of</w:t>
      </w:r>
      <w:r>
        <w:t xml:space="preserve"> this </w:t>
      </w:r>
      <w:r w:rsidR="007F12CC">
        <w:t xml:space="preserve">scoping </w:t>
      </w:r>
      <w:r>
        <w:t>study</w:t>
      </w:r>
      <w:r w:rsidR="00F759B0">
        <w:t xml:space="preserve"> —</w:t>
      </w:r>
      <w:r>
        <w:t xml:space="preserve"> there is a risk that it will </w:t>
      </w:r>
      <w:r w:rsidR="009B29B4">
        <w:t xml:space="preserve">be at the expense of </w:t>
      </w:r>
      <w:r w:rsidR="00570BFC">
        <w:t>productive exchange</w:t>
      </w:r>
      <w:r w:rsidR="004C6BC3">
        <w:t>s</w:t>
      </w:r>
      <w:r>
        <w:t xml:space="preserve"> with other countries. </w:t>
      </w:r>
      <w:r w:rsidR="00732CF3">
        <w:t>H</w:t>
      </w:r>
      <w:r>
        <w:t xml:space="preserve">igher levels of integration, such as </w:t>
      </w:r>
      <w:r w:rsidR="00284C25">
        <w:t xml:space="preserve">through </w:t>
      </w:r>
      <w:r w:rsidR="006C702D">
        <w:t xml:space="preserve">a </w:t>
      </w:r>
      <w:r w:rsidR="004C6BC3">
        <w:t>monetary union</w:t>
      </w:r>
      <w:r>
        <w:t xml:space="preserve">, </w:t>
      </w:r>
      <w:r w:rsidR="00DB3545">
        <w:t xml:space="preserve">also </w:t>
      </w:r>
      <w:r>
        <w:t xml:space="preserve">carry </w:t>
      </w:r>
      <w:r w:rsidR="00557960">
        <w:t xml:space="preserve">their own </w:t>
      </w:r>
      <w:r>
        <w:t>risks</w:t>
      </w:r>
      <w:r w:rsidR="00457BA8">
        <w:t>,</w:t>
      </w:r>
      <w:r>
        <w:t xml:space="preserve"> as demonstrated by the </w:t>
      </w:r>
      <w:r w:rsidR="003C4585">
        <w:t xml:space="preserve">recent </w:t>
      </w:r>
      <w:r>
        <w:t>European ex</w:t>
      </w:r>
      <w:r w:rsidR="00557960">
        <w:t>perience</w:t>
      </w:r>
      <w:r w:rsidR="00EE66B1">
        <w:t>.</w:t>
      </w:r>
    </w:p>
    <w:p w14:paraId="65D3180F" w14:textId="45091865" w:rsidR="004C6BC3" w:rsidRDefault="004C6BC3" w:rsidP="002F18CD">
      <w:pPr>
        <w:pStyle w:val="BodyText"/>
      </w:pPr>
      <w:r>
        <w:t xml:space="preserve">Accordingly, </w:t>
      </w:r>
      <w:r w:rsidR="00E64EFD">
        <w:t xml:space="preserve">rather than promoting economic integration </w:t>
      </w:r>
      <w:r>
        <w:t>to the maximum extent possible</w:t>
      </w:r>
      <w:r w:rsidR="00E64EFD">
        <w:t xml:space="preserve">, </w:t>
      </w:r>
      <w:r>
        <w:t xml:space="preserve">the policy objective should be to maximise </w:t>
      </w:r>
      <w:r w:rsidR="00E64EFD">
        <w:t>the</w:t>
      </w:r>
      <w:r w:rsidR="00457BA8">
        <w:t xml:space="preserve"> </w:t>
      </w:r>
      <w:r>
        <w:t>net benefits</w:t>
      </w:r>
      <w:r w:rsidR="00E64EFD">
        <w:t xml:space="preserve"> from integration</w:t>
      </w:r>
      <w:r w:rsidR="00457BA8">
        <w:t xml:space="preserve">, as implied by </w:t>
      </w:r>
      <w:r>
        <w:t>the terms of reference</w:t>
      </w:r>
      <w:r w:rsidR="00E64EFD">
        <w:t xml:space="preserve"> for this study</w:t>
      </w:r>
      <w:r>
        <w:t>.</w:t>
      </w:r>
    </w:p>
    <w:p w14:paraId="6E4ED2DC" w14:textId="77777777" w:rsidR="00A730A7" w:rsidRDefault="00A343CC" w:rsidP="002C796A">
      <w:pPr>
        <w:pStyle w:val="Heading3"/>
      </w:pPr>
      <w:r>
        <w:t xml:space="preserve">What </w:t>
      </w:r>
      <w:r w:rsidR="00457BA8">
        <w:t xml:space="preserve">role for </w:t>
      </w:r>
      <w:r>
        <w:t>gove</w:t>
      </w:r>
      <w:r w:rsidR="009A2BF1">
        <w:t>r</w:t>
      </w:r>
      <w:r>
        <w:t>nments?</w:t>
      </w:r>
    </w:p>
    <w:p w14:paraId="60FC32D6" w14:textId="0AA027C1" w:rsidR="006E2AD2" w:rsidRDefault="00FD556D" w:rsidP="000B3D85">
      <w:pPr>
        <w:pStyle w:val="BodyText"/>
      </w:pPr>
      <w:r>
        <w:t xml:space="preserve">In </w:t>
      </w:r>
      <w:r w:rsidR="009B29B4">
        <w:t>market</w:t>
      </w:r>
      <w:r w:rsidR="006E2AD2">
        <w:t>-based</w:t>
      </w:r>
      <w:r w:rsidR="009B29B4">
        <w:t xml:space="preserve"> econom</w:t>
      </w:r>
      <w:r w:rsidR="00284C25">
        <w:t>ies</w:t>
      </w:r>
      <w:r>
        <w:t xml:space="preserve"> </w:t>
      </w:r>
      <w:r w:rsidR="003C4585">
        <w:t>such as</w:t>
      </w:r>
      <w:r>
        <w:t xml:space="preserve"> Australia and New Zealand</w:t>
      </w:r>
      <w:r w:rsidR="000451F4">
        <w:t>,</w:t>
      </w:r>
      <w:r>
        <w:t xml:space="preserve"> firms make their own decisions about </w:t>
      </w:r>
      <w:r w:rsidR="00020AC0">
        <w:t xml:space="preserve">whether to export to, or </w:t>
      </w:r>
      <w:r w:rsidR="0075102B">
        <w:t xml:space="preserve">purchase </w:t>
      </w:r>
      <w:r w:rsidR="00020AC0">
        <w:t>inputs from, other countries. Likewise</w:t>
      </w:r>
      <w:r w:rsidR="00EA2DA5">
        <w:t>,</w:t>
      </w:r>
      <w:r w:rsidR="00020AC0">
        <w:t xml:space="preserve"> individuals </w:t>
      </w:r>
      <w:r w:rsidR="00EA2DA5">
        <w:t xml:space="preserve">make </w:t>
      </w:r>
      <w:r w:rsidR="0045711E">
        <w:t xml:space="preserve">independent </w:t>
      </w:r>
      <w:r w:rsidR="00EA2DA5">
        <w:t xml:space="preserve">purchasing decisions, often between domestic and </w:t>
      </w:r>
      <w:r w:rsidR="00284C25">
        <w:t>imported</w:t>
      </w:r>
      <w:r w:rsidR="00EA2DA5">
        <w:t xml:space="preserve"> goods and services. </w:t>
      </w:r>
      <w:r w:rsidR="0045711E">
        <w:t>Individuals also decide whether to m</w:t>
      </w:r>
      <w:r w:rsidR="00D01EEB">
        <w:t>ove to another country to work.</w:t>
      </w:r>
    </w:p>
    <w:p w14:paraId="463731C1" w14:textId="13E3E622" w:rsidR="002C796A" w:rsidRDefault="00EA2DA5" w:rsidP="000B3D85">
      <w:pPr>
        <w:pStyle w:val="BodyText"/>
      </w:pPr>
      <w:r>
        <w:t xml:space="preserve">Accordingly, </w:t>
      </w:r>
      <w:r w:rsidR="0045711E">
        <w:t xml:space="preserve">the main way that governments can </w:t>
      </w:r>
      <w:r w:rsidR="00ED082A">
        <w:t>promote integration</w:t>
      </w:r>
      <w:r w:rsidR="0045711E">
        <w:t xml:space="preserve"> with other </w:t>
      </w:r>
      <w:r w:rsidR="004C6BC3">
        <w:t>economies</w:t>
      </w:r>
      <w:r w:rsidR="0045711E">
        <w:t xml:space="preserve"> is by mak</w:t>
      </w:r>
      <w:r w:rsidR="00ED082A">
        <w:t>ing</w:t>
      </w:r>
      <w:r w:rsidR="0045711E">
        <w:t xml:space="preserve"> it easier and less costly to exchange goods, services and capital</w:t>
      </w:r>
      <w:r w:rsidR="00816B2F">
        <w:t xml:space="preserve">, and for </w:t>
      </w:r>
      <w:r w:rsidR="00212B6C">
        <w:t>labour</w:t>
      </w:r>
      <w:r w:rsidR="00816B2F">
        <w:t xml:space="preserve"> to move internationally</w:t>
      </w:r>
      <w:r w:rsidR="009B29B4">
        <w:t xml:space="preserve"> in response to economic opportunit</w:t>
      </w:r>
      <w:r w:rsidR="00284C25">
        <w:t>ies</w:t>
      </w:r>
      <w:r w:rsidR="00816B2F">
        <w:t>.</w:t>
      </w:r>
      <w:r w:rsidR="002F18CD">
        <w:t xml:space="preserve"> Governments have a more direct role in pursuing worthwhile opportunities to </w:t>
      </w:r>
      <w:r w:rsidR="00EE66B1">
        <w:t>integrate government functions.</w:t>
      </w:r>
    </w:p>
    <w:p w14:paraId="4E7C962C" w14:textId="10D5C569" w:rsidR="00150F6F" w:rsidRDefault="0075102B" w:rsidP="000B3D85">
      <w:pPr>
        <w:pStyle w:val="BodyText"/>
      </w:pPr>
      <w:r>
        <w:t>Examples of ways that g</w:t>
      </w:r>
      <w:r w:rsidR="00150F6F">
        <w:t xml:space="preserve">overnments promote economic integration </w:t>
      </w:r>
      <w:r>
        <w:t>include</w:t>
      </w:r>
      <w:r w:rsidR="00150F6F">
        <w:t>:</w:t>
      </w:r>
    </w:p>
    <w:p w14:paraId="1C9A06C1" w14:textId="6C3AF5FF" w:rsidR="00150F6F" w:rsidRDefault="00D30FA6" w:rsidP="00D30FA6">
      <w:pPr>
        <w:pStyle w:val="ListBullet"/>
      </w:pPr>
      <w:r w:rsidRPr="00D30FA6">
        <w:t>lower</w:t>
      </w:r>
      <w:r w:rsidR="0075102B">
        <w:t>ing</w:t>
      </w:r>
      <w:r w:rsidRPr="00D30FA6">
        <w:t xml:space="preserve"> or remov</w:t>
      </w:r>
      <w:r w:rsidR="0075102B">
        <w:t>ing</w:t>
      </w:r>
      <w:r w:rsidRPr="00D30FA6">
        <w:t xml:space="preserve"> tariffs and </w:t>
      </w:r>
      <w:r w:rsidR="00E862EB">
        <w:t xml:space="preserve">other measures </w:t>
      </w:r>
      <w:r w:rsidR="00CC08D3">
        <w:t xml:space="preserve">that deliberately </w:t>
      </w:r>
      <w:r w:rsidR="00E862EB">
        <w:t>favour domestic production over imports</w:t>
      </w:r>
    </w:p>
    <w:p w14:paraId="5C01DBC0" w14:textId="60FA3BAB" w:rsidR="00D30FA6" w:rsidRDefault="00D30FA6" w:rsidP="00D30FA6">
      <w:pPr>
        <w:pStyle w:val="ListBullet"/>
      </w:pPr>
      <w:r w:rsidRPr="00D30FA6">
        <w:t>remov</w:t>
      </w:r>
      <w:r w:rsidR="0075102B">
        <w:t>ing</w:t>
      </w:r>
      <w:r w:rsidRPr="00D30FA6">
        <w:t xml:space="preserve"> </w:t>
      </w:r>
      <w:r w:rsidR="009B29B4">
        <w:t xml:space="preserve">regulatory </w:t>
      </w:r>
      <w:r w:rsidRPr="00D30FA6">
        <w:t>barriers to competition</w:t>
      </w:r>
      <w:r>
        <w:t xml:space="preserve">, thereby </w:t>
      </w:r>
      <w:r w:rsidRPr="00D30FA6">
        <w:t>encourag</w:t>
      </w:r>
      <w:r>
        <w:t>ing</w:t>
      </w:r>
      <w:r w:rsidRPr="00D30FA6">
        <w:t xml:space="preserve"> </w:t>
      </w:r>
      <w:r w:rsidR="004C6BC3">
        <w:t xml:space="preserve">greater </w:t>
      </w:r>
      <w:r w:rsidR="00101CE2">
        <w:t xml:space="preserve">market </w:t>
      </w:r>
      <w:r w:rsidR="004C6BC3">
        <w:t xml:space="preserve">participation </w:t>
      </w:r>
      <w:r w:rsidRPr="00D30FA6">
        <w:t>by both foreign and domestic firms</w:t>
      </w:r>
    </w:p>
    <w:p w14:paraId="4E583316" w14:textId="08F9B522" w:rsidR="00E17FAF" w:rsidRDefault="00D30FA6" w:rsidP="00E862EB">
      <w:pPr>
        <w:pStyle w:val="ListBullet"/>
      </w:pPr>
      <w:r w:rsidRPr="00D30FA6">
        <w:t>align</w:t>
      </w:r>
      <w:r w:rsidR="0075102B">
        <w:t>ing</w:t>
      </w:r>
      <w:r w:rsidRPr="00D30FA6">
        <w:t xml:space="preserve"> </w:t>
      </w:r>
      <w:r w:rsidR="008F5144">
        <w:t>so-called ‘be</w:t>
      </w:r>
      <w:r w:rsidR="00961BF0">
        <w:t>hind</w:t>
      </w:r>
      <w:r w:rsidR="008F5144">
        <w:t xml:space="preserve">-the-border’ </w:t>
      </w:r>
      <w:r w:rsidRPr="00D30FA6">
        <w:t>regulations more closely with those of other countries</w:t>
      </w:r>
      <w:r w:rsidR="00E862EB" w:rsidRPr="00E862EB">
        <w:t xml:space="preserve"> </w:t>
      </w:r>
      <w:r w:rsidR="00E862EB">
        <w:t xml:space="preserve">(for example, </w:t>
      </w:r>
      <w:r w:rsidR="008F5144">
        <w:t>aligning product safety regulations</w:t>
      </w:r>
      <w:r w:rsidR="00E71DA6">
        <w:t>)</w:t>
      </w:r>
      <w:r w:rsidR="0075102B">
        <w:t>,</w:t>
      </w:r>
      <w:r w:rsidR="008F5144">
        <w:t xml:space="preserve"> </w:t>
      </w:r>
      <w:r w:rsidR="0075102B">
        <w:t xml:space="preserve">saving </w:t>
      </w:r>
      <w:r w:rsidR="00E862EB" w:rsidRPr="00E862EB">
        <w:t>export</w:t>
      </w:r>
      <w:r w:rsidR="0075102B">
        <w:t>ers</w:t>
      </w:r>
      <w:r w:rsidR="00E862EB" w:rsidRPr="00E862EB">
        <w:t xml:space="preserve"> the expense of </w:t>
      </w:r>
      <w:r w:rsidR="00E71DA6">
        <w:t xml:space="preserve">tailoring </w:t>
      </w:r>
      <w:r w:rsidR="00E862EB" w:rsidRPr="00E862EB">
        <w:t>product</w:t>
      </w:r>
      <w:r w:rsidR="00E71DA6">
        <w:t>ion</w:t>
      </w:r>
      <w:r w:rsidR="00E862EB" w:rsidRPr="00E862EB">
        <w:t xml:space="preserve"> to comply with </w:t>
      </w:r>
      <w:r w:rsidR="00E862EB">
        <w:t>country</w:t>
      </w:r>
      <w:r w:rsidR="00E862EB">
        <w:noBreakHyphen/>
        <w:t xml:space="preserve">specific </w:t>
      </w:r>
      <w:r w:rsidR="00E862EB" w:rsidRPr="00E862EB">
        <w:t>regulations</w:t>
      </w:r>
    </w:p>
    <w:p w14:paraId="28ACA0C5" w14:textId="72537D16" w:rsidR="00D30FA6" w:rsidRDefault="007E7173" w:rsidP="00E862EB">
      <w:pPr>
        <w:pStyle w:val="ListBullet"/>
      </w:pPr>
      <w:r>
        <w:lastRenderedPageBreak/>
        <w:t>pursu</w:t>
      </w:r>
      <w:r w:rsidR="0075102B">
        <w:t>ing</w:t>
      </w:r>
      <w:r>
        <w:t xml:space="preserve"> higher levels of integration</w:t>
      </w:r>
      <w:r w:rsidR="00957173">
        <w:t xml:space="preserve">, </w:t>
      </w:r>
      <w:r>
        <w:t>by</w:t>
      </w:r>
      <w:r w:rsidR="009B29B4">
        <w:t xml:space="preserve"> </w:t>
      </w:r>
      <w:r w:rsidR="001143C3">
        <w:t>adopt</w:t>
      </w:r>
      <w:r>
        <w:t>ing</w:t>
      </w:r>
      <w:r w:rsidR="00101CE2">
        <w:t xml:space="preserve"> </w:t>
      </w:r>
      <w:r w:rsidR="001143C3">
        <w:t>common</w:t>
      </w:r>
      <w:r w:rsidR="00101CE2">
        <w:t xml:space="preserve"> monetary </w:t>
      </w:r>
      <w:r w:rsidR="000A7B99">
        <w:t xml:space="preserve">or </w:t>
      </w:r>
      <w:r w:rsidR="00FE6A7D">
        <w:t>fiscal polic</w:t>
      </w:r>
      <w:r w:rsidR="00E71DA6">
        <w:t>ies</w:t>
      </w:r>
      <w:r w:rsidR="00FE6A7D">
        <w:t>.</w:t>
      </w:r>
    </w:p>
    <w:p w14:paraId="01A06DE0" w14:textId="27FA7055" w:rsidR="00816B2F" w:rsidRDefault="0075102B" w:rsidP="000B3D85">
      <w:pPr>
        <w:pStyle w:val="BodyText"/>
      </w:pPr>
      <w:r>
        <w:t>G</w:t>
      </w:r>
      <w:r w:rsidR="00E862EB">
        <w:t xml:space="preserve">overnments </w:t>
      </w:r>
      <w:r w:rsidR="00C730D1">
        <w:t>directly influence the environment in which firms and individuals operate</w:t>
      </w:r>
      <w:r w:rsidR="00DB3545">
        <w:t>;</w:t>
      </w:r>
      <w:r w:rsidR="00C730D1">
        <w:t xml:space="preserve"> </w:t>
      </w:r>
      <w:r>
        <w:t xml:space="preserve">however </w:t>
      </w:r>
      <w:r w:rsidR="00C730D1">
        <w:t xml:space="preserve">they </w:t>
      </w:r>
      <w:r w:rsidR="00E862EB">
        <w:t xml:space="preserve">are not the sole </w:t>
      </w:r>
      <w:r w:rsidR="00B8676B">
        <w:t>driver of</w:t>
      </w:r>
      <w:r w:rsidR="00E862EB">
        <w:t xml:space="preserve"> economic integration. </w:t>
      </w:r>
      <w:r w:rsidR="0043021A">
        <w:t>G</w:t>
      </w:r>
      <w:r w:rsidR="00735EBB" w:rsidRPr="00735EBB">
        <w:t>eography, institutional and social/cultural factors</w:t>
      </w:r>
      <w:r w:rsidR="0043021A">
        <w:t>, and the everyday operation of markets</w:t>
      </w:r>
      <w:r w:rsidR="00E862EB">
        <w:t xml:space="preserve"> are also important</w:t>
      </w:r>
      <w:r w:rsidR="00735EBB" w:rsidRPr="00735EBB">
        <w:t xml:space="preserve">. Markets </w:t>
      </w:r>
      <w:r w:rsidR="0043021A">
        <w:t xml:space="preserve">can </w:t>
      </w:r>
      <w:r w:rsidR="00735EBB" w:rsidRPr="00735EBB">
        <w:t xml:space="preserve">reduce transaction costs in </w:t>
      </w:r>
      <w:r w:rsidR="002F18CD">
        <w:t>many</w:t>
      </w:r>
      <w:r w:rsidR="00735EBB" w:rsidRPr="00735EBB">
        <w:t xml:space="preserve"> ways</w:t>
      </w:r>
      <w:r w:rsidR="002F18CD">
        <w:t>, including</w:t>
      </w:r>
      <w:r w:rsidR="00735EBB" w:rsidRPr="00735EBB">
        <w:t xml:space="preserve"> through innovation in communications, transport and logistics. For exampl</w:t>
      </w:r>
      <w:r w:rsidR="00735EBB">
        <w:t xml:space="preserve">e, </w:t>
      </w:r>
      <w:r w:rsidR="00E862EB">
        <w:t>market</w:t>
      </w:r>
      <w:r w:rsidR="00E862EB">
        <w:noBreakHyphen/>
        <w:t xml:space="preserve">driven processes </w:t>
      </w:r>
      <w:r w:rsidR="0043021A">
        <w:t>saw</w:t>
      </w:r>
      <w:r w:rsidR="00101CE2">
        <w:t xml:space="preserve"> </w:t>
      </w:r>
      <w:r w:rsidR="0043021A">
        <w:t xml:space="preserve">the costs of </w:t>
      </w:r>
      <w:r w:rsidR="00735EBB">
        <w:t>ocean freight f</w:t>
      </w:r>
      <w:r w:rsidR="00E862EB">
        <w:t xml:space="preserve">all </w:t>
      </w:r>
      <w:r w:rsidR="00735EBB">
        <w:t>by 8</w:t>
      </w:r>
      <w:r w:rsidR="00735EBB" w:rsidRPr="00735EBB">
        <w:t>0</w:t>
      </w:r>
      <w:r w:rsidR="00732CF3">
        <w:t> </w:t>
      </w:r>
      <w:proofErr w:type="spellStart"/>
      <w:r w:rsidR="00735EBB" w:rsidRPr="00735EBB">
        <w:t>percent</w:t>
      </w:r>
      <w:proofErr w:type="spellEnd"/>
      <w:r w:rsidR="00735EBB" w:rsidRPr="00735EBB">
        <w:t xml:space="preserve"> (in real terms) between 19</w:t>
      </w:r>
      <w:r w:rsidR="00735EBB">
        <w:t>3</w:t>
      </w:r>
      <w:r w:rsidR="00735EBB" w:rsidRPr="00735EBB">
        <w:t xml:space="preserve">0 and </w:t>
      </w:r>
      <w:r w:rsidR="00735EBB">
        <w:t>2000</w:t>
      </w:r>
      <w:r w:rsidR="00E862EB">
        <w:t xml:space="preserve">. This </w:t>
      </w:r>
      <w:r w:rsidR="00695A7C">
        <w:t>contribut</w:t>
      </w:r>
      <w:r w:rsidR="00E862EB">
        <w:t>ed</w:t>
      </w:r>
      <w:r w:rsidR="00695A7C">
        <w:t xml:space="preserve"> to </w:t>
      </w:r>
      <w:r w:rsidR="00101CE2">
        <w:t>an uplift</w:t>
      </w:r>
      <w:r w:rsidR="00735EBB" w:rsidRPr="00735EBB">
        <w:t xml:space="preserve"> in trade and </w:t>
      </w:r>
      <w:r w:rsidR="00101CE2">
        <w:t xml:space="preserve">greater </w:t>
      </w:r>
      <w:r w:rsidR="00735EBB" w:rsidRPr="00735EBB">
        <w:t>economic integration around the world.</w:t>
      </w:r>
      <w:r w:rsidR="00735EBB">
        <w:t xml:space="preserve"> </w:t>
      </w:r>
      <w:r w:rsidR="009A5C83">
        <w:t>The c</w:t>
      </w:r>
      <w:r w:rsidR="00735EBB">
        <w:t xml:space="preserve">osts </w:t>
      </w:r>
      <w:r w:rsidR="00101CE2">
        <w:t>of</w:t>
      </w:r>
      <w:r w:rsidR="00735EBB">
        <w:t xml:space="preserve"> </w:t>
      </w:r>
      <w:r>
        <w:t xml:space="preserve">air </w:t>
      </w:r>
      <w:r w:rsidR="00735EBB">
        <w:t xml:space="preserve">passenger transport and international </w:t>
      </w:r>
      <w:r w:rsidR="00DD70EB">
        <w:t>communications</w:t>
      </w:r>
      <w:r w:rsidR="00735EBB">
        <w:t xml:space="preserve"> </w:t>
      </w:r>
      <w:r w:rsidR="009A5C83">
        <w:t>fell</w:t>
      </w:r>
      <w:r w:rsidR="00735EBB">
        <w:t xml:space="preserve"> even further</w:t>
      </w:r>
      <w:r w:rsidR="006F75F1">
        <w:t xml:space="preserve"> (OECD</w:t>
      </w:r>
      <w:r w:rsidR="00101CE2">
        <w:t> </w:t>
      </w:r>
      <w:r w:rsidR="006F75F1">
        <w:t>2007)</w:t>
      </w:r>
      <w:r w:rsidR="00695A7C">
        <w:t>.</w:t>
      </w:r>
    </w:p>
    <w:p w14:paraId="02A3E8B8" w14:textId="77777777" w:rsidR="00101CE2" w:rsidRDefault="00101CE2" w:rsidP="000B3D85">
      <w:pPr>
        <w:pStyle w:val="BodyText"/>
      </w:pPr>
      <w:r>
        <w:t xml:space="preserve">Accordingly, economic integration should be seen as something that governments can </w:t>
      </w:r>
      <w:r w:rsidR="00957173">
        <w:t xml:space="preserve">choose to </w:t>
      </w:r>
      <w:r>
        <w:t xml:space="preserve">promote or inhibit, </w:t>
      </w:r>
      <w:r w:rsidR="00957173">
        <w:t>through actions that reduce or increase transaction costs for firms and individuals.</w:t>
      </w:r>
    </w:p>
    <w:p w14:paraId="6523931D" w14:textId="77777777" w:rsidR="00A343CC" w:rsidRDefault="00312A8C" w:rsidP="00A343CC">
      <w:pPr>
        <w:pStyle w:val="Heading2"/>
      </w:pPr>
      <w:fldSimple w:instr=" COMMENTS  \* MERGEFORMAT ">
        <w:r w:rsidR="00A343CC">
          <w:t>1.</w:t>
        </w:r>
      </w:fldSimple>
      <w:fldSimple w:instr=" SEQ Heading2 ">
        <w:r w:rsidR="00375BD6">
          <w:rPr>
            <w:noProof/>
          </w:rPr>
          <w:t>3</w:t>
        </w:r>
      </w:fldSimple>
      <w:r w:rsidR="00A343CC">
        <w:tab/>
        <w:t>The Commissions’ approach</w:t>
      </w:r>
    </w:p>
    <w:p w14:paraId="20CFB4AF" w14:textId="4DB43243" w:rsidR="00ED082A" w:rsidRDefault="00ED082A" w:rsidP="00ED082A">
      <w:pPr>
        <w:pStyle w:val="BodyText"/>
      </w:pPr>
      <w:r>
        <w:t>The Commissions have been guided by the terms of reference</w:t>
      </w:r>
      <w:r w:rsidR="00101CE2">
        <w:t xml:space="preserve"> and</w:t>
      </w:r>
      <w:r w:rsidR="00D3217E">
        <w:t xml:space="preserve"> </w:t>
      </w:r>
      <w:r>
        <w:t>the ‘scoping’ nature of the study</w:t>
      </w:r>
      <w:r w:rsidR="00416E63">
        <w:t xml:space="preserve">, while meeting the requirements of </w:t>
      </w:r>
      <w:r w:rsidR="00D3217E">
        <w:t>the</w:t>
      </w:r>
      <w:r w:rsidR="00C40196">
        <w:t>ir</w:t>
      </w:r>
      <w:r w:rsidR="008778EE">
        <w:t xml:space="preserve"> enabling legislation (</w:t>
      </w:r>
      <w:r w:rsidR="008778EE" w:rsidRPr="001A259D">
        <w:rPr>
          <w:i/>
        </w:rPr>
        <w:t>Productivity Commission Act 1998 (</w:t>
      </w:r>
      <w:proofErr w:type="spellStart"/>
      <w:r w:rsidR="008778EE" w:rsidRPr="001A259D">
        <w:rPr>
          <w:i/>
        </w:rPr>
        <w:t>Cwlth</w:t>
      </w:r>
      <w:proofErr w:type="spellEnd"/>
      <w:r w:rsidR="008778EE" w:rsidRPr="001A259D">
        <w:rPr>
          <w:i/>
        </w:rPr>
        <w:t>)</w:t>
      </w:r>
      <w:r w:rsidR="008778EE">
        <w:t xml:space="preserve">; </w:t>
      </w:r>
      <w:r w:rsidR="008778EE" w:rsidRPr="001A259D">
        <w:rPr>
          <w:i/>
        </w:rPr>
        <w:t>New Zealand Productivity Commission Act 2010</w:t>
      </w:r>
      <w:r w:rsidR="008778EE">
        <w:t>)</w:t>
      </w:r>
      <w:r w:rsidR="00EE66B1">
        <w:t>.</w:t>
      </w:r>
    </w:p>
    <w:p w14:paraId="5B537371" w14:textId="14F915D3" w:rsidR="00EA7B0E" w:rsidRDefault="009A5C83" w:rsidP="00ED082A">
      <w:pPr>
        <w:pStyle w:val="BodyText"/>
      </w:pPr>
      <w:r>
        <w:t>T</w:t>
      </w:r>
      <w:r w:rsidR="00EA7B0E">
        <w:t>he Commissions</w:t>
      </w:r>
      <w:r w:rsidR="00F96C78">
        <w:t xml:space="preserve">’ </w:t>
      </w:r>
      <w:r w:rsidR="00315C80">
        <w:t xml:space="preserve">approach </w:t>
      </w:r>
      <w:r w:rsidR="00DB3545">
        <w:t xml:space="preserve">has </w:t>
      </w:r>
      <w:r w:rsidR="00315C80">
        <w:t>centre</w:t>
      </w:r>
      <w:r w:rsidR="00DB3545">
        <w:t>d</w:t>
      </w:r>
      <w:r w:rsidR="00315C80">
        <w:t xml:space="preserve"> on </w:t>
      </w:r>
      <w:r w:rsidR="00EA7B0E">
        <w:t>identify</w:t>
      </w:r>
      <w:r w:rsidR="00C730D1">
        <w:t>ing</w:t>
      </w:r>
      <w:r w:rsidR="00EA7B0E">
        <w:t xml:space="preserve"> opportunities for </w:t>
      </w:r>
      <w:r w:rsidR="00315C80">
        <w:t>the Australian and New Zealand G</w:t>
      </w:r>
      <w:r w:rsidR="00EA7B0E">
        <w:t xml:space="preserve">overnments to lower the costs of exchange in ways that generate net benefits. Often these opportunities involve </w:t>
      </w:r>
      <w:r w:rsidR="008D240F">
        <w:t>modifying</w:t>
      </w:r>
      <w:r w:rsidR="00022C1B">
        <w:t xml:space="preserve"> </w:t>
      </w:r>
      <w:r w:rsidR="00315C80">
        <w:t>existing</w:t>
      </w:r>
      <w:r w:rsidR="00022C1B">
        <w:t xml:space="preserve"> policies that either deliberately or inadvertently make transaction costs higher than they need to be.</w:t>
      </w:r>
    </w:p>
    <w:p w14:paraId="2B809609" w14:textId="023C4446" w:rsidR="00957173" w:rsidRDefault="00C730D1" w:rsidP="00ED082A">
      <w:pPr>
        <w:pStyle w:val="BodyText"/>
      </w:pPr>
      <w:r>
        <w:t>D</w:t>
      </w:r>
      <w:r w:rsidR="00F96C78">
        <w:t xml:space="preserve">oing this </w:t>
      </w:r>
      <w:r w:rsidR="00DB3545">
        <w:t xml:space="preserve">has </w:t>
      </w:r>
      <w:r w:rsidR="00F96C78">
        <w:t xml:space="preserve">involved four main </w:t>
      </w:r>
      <w:r w:rsidR="004C4841">
        <w:t>tasks</w:t>
      </w:r>
      <w:r w:rsidR="00957173">
        <w:t>:</w:t>
      </w:r>
    </w:p>
    <w:p w14:paraId="7F08A4E4" w14:textId="77777777" w:rsidR="00F96C78" w:rsidRDefault="00F96C78" w:rsidP="00C40196">
      <w:pPr>
        <w:pStyle w:val="ListBullet"/>
      </w:pPr>
      <w:r>
        <w:t>First, glean</w:t>
      </w:r>
      <w:r w:rsidR="00957173">
        <w:t>ing</w:t>
      </w:r>
      <w:r>
        <w:t xml:space="preserve"> insights from the 30 year experience with </w:t>
      </w:r>
      <w:proofErr w:type="spellStart"/>
      <w:r>
        <w:t>CER</w:t>
      </w:r>
      <w:proofErr w:type="spellEnd"/>
      <w:r>
        <w:t xml:space="preserve"> to help guide the future integration agenda</w:t>
      </w:r>
      <w:r w:rsidR="00B8676B">
        <w:t xml:space="preserve"> — being cognisant of the</w:t>
      </w:r>
      <w:r>
        <w:t xml:space="preserve"> economic challenges and opportunities that lie ahead for Australia and New Zealand.</w:t>
      </w:r>
    </w:p>
    <w:p w14:paraId="09AAC5ED" w14:textId="7570598B" w:rsidR="00F96C78" w:rsidRDefault="00F96C78" w:rsidP="00C40196">
      <w:pPr>
        <w:pStyle w:val="ListBullet"/>
      </w:pPr>
      <w:r>
        <w:t xml:space="preserve">Second, </w:t>
      </w:r>
      <w:r w:rsidR="00A33633">
        <w:t>address</w:t>
      </w:r>
      <w:r w:rsidR="00957173">
        <w:t>ing</w:t>
      </w:r>
      <w:r w:rsidR="00A33633">
        <w:t xml:space="preserve"> unfinished business —</w:t>
      </w:r>
      <w:r w:rsidR="009A5C83">
        <w:t xml:space="preserve"> </w:t>
      </w:r>
      <w:proofErr w:type="spellStart"/>
      <w:r w:rsidR="00A33633">
        <w:t>CER</w:t>
      </w:r>
      <w:proofErr w:type="spellEnd"/>
      <w:r w:rsidR="00A33633">
        <w:t xml:space="preserve"> initiatives </w:t>
      </w:r>
      <w:r w:rsidR="00A33633" w:rsidRPr="00A33633">
        <w:t xml:space="preserve">to which both </w:t>
      </w:r>
      <w:r w:rsidR="00626141">
        <w:t>G</w:t>
      </w:r>
      <w:r w:rsidR="00A33633" w:rsidRPr="00A33633">
        <w:t>overnments have committed</w:t>
      </w:r>
      <w:r w:rsidR="00F0060A">
        <w:t>,</w:t>
      </w:r>
      <w:r w:rsidR="00A33633" w:rsidRPr="00A33633">
        <w:t xml:space="preserve"> but not yet completed</w:t>
      </w:r>
      <w:r w:rsidR="00A33633">
        <w:t>. Issues include how to overcome delays to worthwhile reforms and identif</w:t>
      </w:r>
      <w:r w:rsidR="00B8676B">
        <w:t>ying</w:t>
      </w:r>
      <w:r w:rsidR="00A33633">
        <w:t xml:space="preserve"> measures that should not proceed.</w:t>
      </w:r>
    </w:p>
    <w:p w14:paraId="7777DBC1" w14:textId="6EA6960A" w:rsidR="00CA009F" w:rsidRDefault="00A33633" w:rsidP="006C4634">
      <w:pPr>
        <w:pStyle w:val="ListBullet"/>
      </w:pPr>
      <w:r>
        <w:t xml:space="preserve">Third, </w:t>
      </w:r>
      <w:r w:rsidR="001303BA">
        <w:t>identify</w:t>
      </w:r>
      <w:r w:rsidR="00957173">
        <w:t>ing</w:t>
      </w:r>
      <w:r w:rsidR="001303BA">
        <w:t xml:space="preserve"> new integration initiatives </w:t>
      </w:r>
      <w:r w:rsidR="0075102B">
        <w:t>with</w:t>
      </w:r>
      <w:r w:rsidR="001303BA">
        <w:t xml:space="preserve"> the potential to generate net benefits across the two countries. </w:t>
      </w:r>
      <w:r w:rsidR="00C730D1">
        <w:t xml:space="preserve">There are </w:t>
      </w:r>
      <w:r w:rsidR="009841DD">
        <w:t>many</w:t>
      </w:r>
      <w:r w:rsidR="00C730D1">
        <w:t xml:space="preserve"> potential </w:t>
      </w:r>
      <w:r w:rsidR="007F047F">
        <w:t xml:space="preserve">initiatives, </w:t>
      </w:r>
      <w:r w:rsidR="007F047F">
        <w:lastRenderedPageBreak/>
        <w:t xml:space="preserve">spanning </w:t>
      </w:r>
      <w:r w:rsidR="00957173">
        <w:t>the traditional</w:t>
      </w:r>
      <w:r w:rsidR="007F047F">
        <w:t xml:space="preserve"> four </w:t>
      </w:r>
      <w:r w:rsidR="00903108">
        <w:t xml:space="preserve">economic </w:t>
      </w:r>
      <w:r w:rsidR="007F047F">
        <w:t xml:space="preserve">freedoms </w:t>
      </w:r>
      <w:r w:rsidR="00C45B86">
        <w:t xml:space="preserve">(as set out in the Treaty of Rome 1957) </w:t>
      </w:r>
      <w:r w:rsidR="007F047F">
        <w:t xml:space="preserve">— freedom of exchange of goods, services, capital and labour — </w:t>
      </w:r>
      <w:r w:rsidR="003E4410">
        <w:t>together with</w:t>
      </w:r>
      <w:r w:rsidR="007F047F">
        <w:t xml:space="preserve"> </w:t>
      </w:r>
      <w:r w:rsidR="003E4410">
        <w:t xml:space="preserve">the </w:t>
      </w:r>
      <w:r w:rsidR="007F047F">
        <w:t xml:space="preserve">free </w:t>
      </w:r>
      <w:r w:rsidR="003E4410">
        <w:t xml:space="preserve">exchange </w:t>
      </w:r>
      <w:r w:rsidR="007F047F">
        <w:t>of knowledge. To make this task tractable within the context of a scoping study,</w:t>
      </w:r>
      <w:r w:rsidR="007F047F" w:rsidRPr="007F047F">
        <w:t xml:space="preserve"> </w:t>
      </w:r>
      <w:r w:rsidR="007F047F">
        <w:t xml:space="preserve">filtering criteria have been used to </w:t>
      </w:r>
      <w:r w:rsidR="00957173">
        <w:t>identify</w:t>
      </w:r>
      <w:r w:rsidR="007F047F">
        <w:t xml:space="preserve"> those options </w:t>
      </w:r>
      <w:r w:rsidR="0075102B">
        <w:t>with</w:t>
      </w:r>
      <w:r w:rsidR="007F047F">
        <w:t xml:space="preserve"> the most potential.</w:t>
      </w:r>
      <w:r w:rsidR="00957173">
        <w:t xml:space="preserve"> </w:t>
      </w:r>
      <w:r w:rsidR="00CA009F" w:rsidRPr="00D165EF">
        <w:t>In some cases</w:t>
      </w:r>
      <w:r w:rsidR="00903108">
        <w:t>,</w:t>
      </w:r>
      <w:r w:rsidR="00CA009F" w:rsidRPr="00D165EF">
        <w:t xml:space="preserve"> sufficient evidence </w:t>
      </w:r>
      <w:r w:rsidR="003E4410">
        <w:t>was</w:t>
      </w:r>
      <w:r w:rsidR="00CA009F">
        <w:t xml:space="preserve"> obtained </w:t>
      </w:r>
      <w:r w:rsidR="00CA009F" w:rsidRPr="00D165EF">
        <w:t>to make specific recommend</w:t>
      </w:r>
      <w:r w:rsidR="00CA009F">
        <w:t>ation</w:t>
      </w:r>
      <w:r w:rsidR="00CA009F" w:rsidRPr="00D165EF">
        <w:t xml:space="preserve">s. </w:t>
      </w:r>
      <w:r w:rsidR="00CA009F">
        <w:t>In o</w:t>
      </w:r>
      <w:r w:rsidR="00CA009F" w:rsidRPr="00D165EF">
        <w:t>ther</w:t>
      </w:r>
      <w:r w:rsidR="00023244">
        <w:t>s</w:t>
      </w:r>
      <w:r w:rsidR="00CA009F">
        <w:t xml:space="preserve">, </w:t>
      </w:r>
      <w:r w:rsidR="00CA009F" w:rsidRPr="00D165EF">
        <w:t xml:space="preserve">areas </w:t>
      </w:r>
      <w:r w:rsidR="003E4410">
        <w:t>were</w:t>
      </w:r>
      <w:r w:rsidR="00CA009F" w:rsidRPr="00D165EF">
        <w:t xml:space="preserve"> identified </w:t>
      </w:r>
      <w:r w:rsidR="00C730D1">
        <w:t>that potential</w:t>
      </w:r>
      <w:r w:rsidR="0075102B">
        <w:t>ly</w:t>
      </w:r>
      <w:r w:rsidR="00CA009F" w:rsidRPr="00D165EF">
        <w:t xml:space="preserve"> </w:t>
      </w:r>
      <w:r w:rsidR="0075102B">
        <w:t xml:space="preserve">offer </w:t>
      </w:r>
      <w:r w:rsidR="00CA009F" w:rsidRPr="00D165EF">
        <w:t xml:space="preserve">net benefits, but further work </w:t>
      </w:r>
      <w:r w:rsidR="005A297B">
        <w:t>is</w:t>
      </w:r>
      <w:r w:rsidR="00CA009F" w:rsidRPr="00D165EF">
        <w:t xml:space="preserve"> </w:t>
      </w:r>
      <w:r w:rsidR="00CA009F">
        <w:t>needed</w:t>
      </w:r>
      <w:r w:rsidR="00CA009F" w:rsidRPr="00D165EF">
        <w:t xml:space="preserve"> to identify the best way forward.</w:t>
      </w:r>
      <w:r w:rsidR="00CA009F">
        <w:t xml:space="preserve"> ‘Directions of travel’ </w:t>
      </w:r>
      <w:r w:rsidR="0075102B">
        <w:t>were</w:t>
      </w:r>
      <w:r w:rsidR="00CA009F">
        <w:t xml:space="preserve"> identified for the economic relationship over the longer term.</w:t>
      </w:r>
    </w:p>
    <w:p w14:paraId="4C365FF7" w14:textId="07D702C9" w:rsidR="00CA009F" w:rsidRDefault="00FA30C5" w:rsidP="00FB3F96">
      <w:pPr>
        <w:pStyle w:val="ListBullet"/>
      </w:pPr>
      <w:r>
        <w:t>Fourth</w:t>
      </w:r>
      <w:r w:rsidR="00CA009F">
        <w:t xml:space="preserve">, as with all areas of public policy, implementation is important. </w:t>
      </w:r>
      <w:r w:rsidR="00957173">
        <w:t>T</w:t>
      </w:r>
      <w:r w:rsidR="00CA009F">
        <w:t>he Commissions considered institutional and governance arrangements for managing the trans-Tasman economic relationship</w:t>
      </w:r>
      <w:r w:rsidR="00957173">
        <w:t xml:space="preserve"> and what changes </w:t>
      </w:r>
      <w:r w:rsidR="0075102B">
        <w:t>are</w:t>
      </w:r>
      <w:r w:rsidR="00957173">
        <w:t xml:space="preserve"> </w:t>
      </w:r>
      <w:r w:rsidR="00C45B86">
        <w:t>warranted to advance the future agenda</w:t>
      </w:r>
      <w:r w:rsidR="00CA009F">
        <w:t>.</w:t>
      </w:r>
    </w:p>
    <w:p w14:paraId="403339A2" w14:textId="7151F619" w:rsidR="003F3CE5" w:rsidRDefault="003F3CE5" w:rsidP="0063343E">
      <w:pPr>
        <w:pStyle w:val="BodyText"/>
        <w:rPr>
          <w:lang w:val="en-NZ"/>
        </w:rPr>
      </w:pPr>
      <w:r>
        <w:t xml:space="preserve">The terms of reference request the Commissions to identify reforms where joint net benefits are highest. While </w:t>
      </w:r>
      <w:r>
        <w:rPr>
          <w:lang w:val="en-NZ"/>
        </w:rPr>
        <w:t>the coverage of the scoping study and the time available has made addressing all the issues raised in submissions infeasible, t</w:t>
      </w:r>
      <w:r>
        <w:t xml:space="preserve">he Commissions have identified the most promising areas for reform on the basis of the available evidence on the breadth and depth of particular impediments to integration. However, comparing the joint net benefits of potential reforms in those areas </w:t>
      </w:r>
      <w:r>
        <w:rPr>
          <w:lang w:val="en-NZ"/>
        </w:rPr>
        <w:t>is challenging in the context of a broad-ranging scoping study. The discussion draft trialled a</w:t>
      </w:r>
      <w:r>
        <w:t>n indicative,</w:t>
      </w:r>
      <w:r>
        <w:rPr>
          <w:lang w:val="en-NZ"/>
        </w:rPr>
        <w:t xml:space="preserve"> two grade ranking of the relative importance of potential reforms, but feedback suggests that it would be of limited value for determining priorities for a future integration agenda. It has also become clearer in preparing this final report that no reforms are ‘stand outs’ in terms of likely net benefits. Given the resultant risk that formal rankings of joint net benefits would be of little value and may even be misleading, such rankings have not been</w:t>
      </w:r>
      <w:r w:rsidR="0063343E">
        <w:rPr>
          <w:lang w:val="en-NZ"/>
        </w:rPr>
        <w:t xml:space="preserve"> included in this final report.</w:t>
      </w:r>
    </w:p>
    <w:p w14:paraId="0836DF0F" w14:textId="77777777" w:rsidR="003F3CE5" w:rsidRDefault="003F3CE5" w:rsidP="0063343E">
      <w:pPr>
        <w:pStyle w:val="BodyText"/>
      </w:pPr>
      <w:r>
        <w:rPr>
          <w:lang w:val="en-NZ"/>
        </w:rPr>
        <w:t>In any case, the packaging of initiatives into a coherent forward agenda that benefits both countries is primarily a matter for political judgment. Information on potential benefits and costs in each country that would arise from the different reforms, which can assist in such judgments, is included in the Commissions’ assessments, in chapters 4 and 5, and in the associated supplementary papers.</w:t>
      </w:r>
    </w:p>
    <w:p w14:paraId="5D0C734D" w14:textId="5E587FE8" w:rsidR="002C796A" w:rsidRDefault="00312A8C" w:rsidP="009A2BF1">
      <w:pPr>
        <w:pStyle w:val="Heading2"/>
      </w:pPr>
      <w:fldSimple w:instr=" COMMENTS  \* MERGEFORMAT ">
        <w:r w:rsidR="009A2BF1">
          <w:t>1.</w:t>
        </w:r>
      </w:fldSimple>
      <w:fldSimple w:instr=" SEQ Heading2 ">
        <w:r w:rsidR="00375BD6">
          <w:rPr>
            <w:noProof/>
          </w:rPr>
          <w:t>4</w:t>
        </w:r>
      </w:fldSimple>
      <w:r w:rsidR="009A2BF1">
        <w:tab/>
      </w:r>
      <w:r w:rsidR="002C796A">
        <w:t xml:space="preserve">Conduct of the </w:t>
      </w:r>
      <w:r w:rsidR="007F12CC">
        <w:t xml:space="preserve">scoping </w:t>
      </w:r>
      <w:r w:rsidR="002C796A">
        <w:t>study</w:t>
      </w:r>
    </w:p>
    <w:p w14:paraId="41B03261" w14:textId="042FCD7D" w:rsidR="000B08EF" w:rsidRDefault="00C86948" w:rsidP="000B08EF">
      <w:pPr>
        <w:pStyle w:val="BodyText"/>
      </w:pPr>
      <w:r>
        <w:t xml:space="preserve">The </w:t>
      </w:r>
      <w:r w:rsidR="007F12CC">
        <w:t xml:space="preserve">scoping </w:t>
      </w:r>
      <w:r>
        <w:t xml:space="preserve">study was announced </w:t>
      </w:r>
      <w:r w:rsidR="00C45B86">
        <w:t>at a meeting of</w:t>
      </w:r>
      <w:r>
        <w:t xml:space="preserve"> the Prime Ministers of Australia and New Zealand</w:t>
      </w:r>
      <w:r w:rsidR="00C45B86">
        <w:t>, with</w:t>
      </w:r>
      <w:r w:rsidR="00D7536B">
        <w:t xml:space="preserve"> t</w:t>
      </w:r>
      <w:r w:rsidR="000B08EF">
        <w:t xml:space="preserve">he terms of reference </w:t>
      </w:r>
      <w:r w:rsidR="00C45B86">
        <w:t xml:space="preserve">being </w:t>
      </w:r>
      <w:r w:rsidR="000B08EF">
        <w:t>received on</w:t>
      </w:r>
      <w:r w:rsidR="00F36388">
        <w:t xml:space="preserve"> 14 March 2012</w:t>
      </w:r>
      <w:r>
        <w:t xml:space="preserve">. </w:t>
      </w:r>
      <w:r w:rsidR="00416E63">
        <w:lastRenderedPageBreak/>
        <w:t>The two</w:t>
      </w:r>
      <w:r>
        <w:t xml:space="preserve"> </w:t>
      </w:r>
      <w:r w:rsidR="001A6286">
        <w:t xml:space="preserve">Chairmen and </w:t>
      </w:r>
      <w:r w:rsidR="00192AD5">
        <w:t>Commissioner</w:t>
      </w:r>
      <w:r w:rsidR="00C45B86">
        <w:t>s</w:t>
      </w:r>
      <w:r w:rsidR="00192AD5">
        <w:t xml:space="preserve"> from </w:t>
      </w:r>
      <w:r w:rsidR="00416E63">
        <w:t>each</w:t>
      </w:r>
      <w:r w:rsidR="00192AD5">
        <w:t xml:space="preserve"> </w:t>
      </w:r>
      <w:r w:rsidR="009841DD">
        <w:t>organisation</w:t>
      </w:r>
      <w:r w:rsidR="00192AD5">
        <w:t xml:space="preserve"> </w:t>
      </w:r>
      <w:r w:rsidR="008B6258">
        <w:t>led</w:t>
      </w:r>
      <w:r w:rsidR="00192AD5">
        <w:t xml:space="preserve"> the study, supported by a cross</w:t>
      </w:r>
      <w:r w:rsidR="00192AD5">
        <w:noBreakHyphen/>
      </w:r>
      <w:r w:rsidR="009841DD">
        <w:t>Commission</w:t>
      </w:r>
      <w:r w:rsidR="00D7536B">
        <w:t xml:space="preserve"> </w:t>
      </w:r>
      <w:r w:rsidR="00192AD5">
        <w:t>team.</w:t>
      </w:r>
    </w:p>
    <w:p w14:paraId="1F89922D" w14:textId="35DD048D" w:rsidR="003F2636" w:rsidRDefault="000B08EF" w:rsidP="000B08EF">
      <w:pPr>
        <w:pStyle w:val="BodyText"/>
      </w:pPr>
      <w:r>
        <w:t xml:space="preserve">The </w:t>
      </w:r>
      <w:r w:rsidR="00F36388">
        <w:t>study</w:t>
      </w:r>
      <w:r>
        <w:t xml:space="preserve"> was advertised in national and metropolitan newspapers</w:t>
      </w:r>
      <w:r w:rsidR="00F36388">
        <w:t xml:space="preserve"> in both countries</w:t>
      </w:r>
      <w:r>
        <w:t>, and promoted on the Commissions</w:t>
      </w:r>
      <w:r w:rsidR="00F36388">
        <w:t>’</w:t>
      </w:r>
      <w:r>
        <w:t xml:space="preserve"> website</w:t>
      </w:r>
      <w:r w:rsidR="00F36388">
        <w:t xml:space="preserve">s </w:t>
      </w:r>
      <w:r w:rsidR="00C45B86">
        <w:t xml:space="preserve">as well as </w:t>
      </w:r>
      <w:r w:rsidR="00F36388">
        <w:t xml:space="preserve">on a joint study website. </w:t>
      </w:r>
      <w:r>
        <w:t>The Commission</w:t>
      </w:r>
      <w:r w:rsidR="00F36388">
        <w:t>s</w:t>
      </w:r>
      <w:r>
        <w:t xml:space="preserve"> </w:t>
      </w:r>
      <w:r w:rsidR="00284C25">
        <w:t>engaged</w:t>
      </w:r>
      <w:r>
        <w:t xml:space="preserve"> widely with stakeholders, drawing on input from participants through visits, roundtable discussions and written submissions</w:t>
      </w:r>
      <w:r w:rsidR="00EB1C43">
        <w:t>. A technical modelling workshop on mutual recognition of company tax imputation credits was also held</w:t>
      </w:r>
      <w:r>
        <w:t xml:space="preserve"> (appendix A).</w:t>
      </w:r>
    </w:p>
    <w:p w14:paraId="7BB98124" w14:textId="2E268CF2" w:rsidR="000B08EF" w:rsidRDefault="003F2636" w:rsidP="000B08EF">
      <w:pPr>
        <w:pStyle w:val="BodyText"/>
      </w:pPr>
      <w:r>
        <w:t xml:space="preserve">Sixty submissions were received in response to the </w:t>
      </w:r>
      <w:r w:rsidR="000B08EF">
        <w:t xml:space="preserve">issues paper </w:t>
      </w:r>
      <w:r w:rsidR="008B6258">
        <w:t>released in April 2012. A</w:t>
      </w:r>
      <w:r>
        <w:t xml:space="preserve"> further</w:t>
      </w:r>
      <w:r w:rsidR="00D01EEB">
        <w:t xml:space="preserve"> </w:t>
      </w:r>
      <w:r w:rsidR="00EF5C6E">
        <w:t>7</w:t>
      </w:r>
      <w:r w:rsidR="00E44808">
        <w:t>1</w:t>
      </w:r>
      <w:r w:rsidR="00856BCF">
        <w:t xml:space="preserve"> </w:t>
      </w:r>
      <w:r w:rsidR="008B6258">
        <w:t xml:space="preserve">submissions </w:t>
      </w:r>
      <w:r>
        <w:t>were received in response to the discussion draft</w:t>
      </w:r>
      <w:r w:rsidR="008E2E9A">
        <w:t xml:space="preserve"> </w:t>
      </w:r>
      <w:r>
        <w:t>released in September 2012.</w:t>
      </w:r>
    </w:p>
    <w:p w14:paraId="169C3625" w14:textId="17F9F988" w:rsidR="004E17C4" w:rsidRDefault="001A6286" w:rsidP="000B08EF">
      <w:pPr>
        <w:pStyle w:val="BodyText"/>
      </w:pPr>
      <w:r>
        <w:t>Q</w:t>
      </w:r>
      <w:r w:rsidR="001547C5">
        <w:t xml:space="preserve">uantitative modelling </w:t>
      </w:r>
      <w:r>
        <w:t xml:space="preserve">has been undertaken </w:t>
      </w:r>
      <w:r w:rsidR="001547C5">
        <w:t xml:space="preserve">to provide insights </w:t>
      </w:r>
      <w:r w:rsidR="00416E63">
        <w:t xml:space="preserve">relevant to </w:t>
      </w:r>
      <w:r w:rsidR="001547C5">
        <w:t xml:space="preserve">various </w:t>
      </w:r>
      <w:r w:rsidR="00416E63">
        <w:t>parts</w:t>
      </w:r>
      <w:r w:rsidR="001547C5">
        <w:t xml:space="preserve"> of the study. </w:t>
      </w:r>
      <w:r w:rsidR="00C45B86">
        <w:t>Economy-wide modelling has been used to illustrate the wider effects of economic integration.</w:t>
      </w:r>
    </w:p>
    <w:p w14:paraId="01D5EADC" w14:textId="705B1544" w:rsidR="003F2636" w:rsidRDefault="00904B59" w:rsidP="000B08EF">
      <w:pPr>
        <w:pStyle w:val="BodyText"/>
      </w:pPr>
      <w:r>
        <w:t>Much of the detailed work undertaken for the study can be found in supplementary papers published on the study website.</w:t>
      </w:r>
    </w:p>
    <w:p w14:paraId="731580E6" w14:textId="7A70672D" w:rsidR="002A4213" w:rsidRPr="006F75F1" w:rsidRDefault="000B08EF" w:rsidP="00100C5D">
      <w:pPr>
        <w:pStyle w:val="BodyText"/>
      </w:pPr>
      <w:r>
        <w:t>The Commission</w:t>
      </w:r>
      <w:r w:rsidR="0031132B">
        <w:t>s</w:t>
      </w:r>
      <w:r>
        <w:t xml:space="preserve"> </w:t>
      </w:r>
      <w:r w:rsidR="0031132B">
        <w:t>are</w:t>
      </w:r>
      <w:r>
        <w:t xml:space="preserve"> grateful to participants </w:t>
      </w:r>
      <w:r w:rsidR="001A6286">
        <w:t xml:space="preserve">in this study </w:t>
      </w:r>
      <w:r>
        <w:t>for meeting with Commissioners and staff, participating in roundtables</w:t>
      </w:r>
      <w:r w:rsidR="00DB3545">
        <w:t xml:space="preserve"> and</w:t>
      </w:r>
      <w:r>
        <w:t xml:space="preserve"> making written submissions</w:t>
      </w:r>
      <w:r w:rsidR="0031132B">
        <w:t>.</w:t>
      </w:r>
    </w:p>
    <w:sectPr w:rsidR="002A4213" w:rsidRPr="006F75F1" w:rsidSect="006C36A1">
      <w:headerReference w:type="even" r:id="rId10"/>
      <w:headerReference w:type="default" r:id="rId11"/>
      <w:footerReference w:type="even" r:id="rId12"/>
      <w:footerReference w:type="default" r:id="rId13"/>
      <w:pgSz w:w="11907" w:h="16840" w:code="9"/>
      <w:pgMar w:top="1985" w:right="1304" w:bottom="1418" w:left="1814" w:header="1701" w:footer="567" w:gutter="0"/>
      <w:pgNumType w:start="1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C49F82" w14:textId="77777777" w:rsidR="00312A8C" w:rsidRDefault="00312A8C">
      <w:r>
        <w:separator/>
      </w:r>
    </w:p>
  </w:endnote>
  <w:endnote w:type="continuationSeparator" w:id="0">
    <w:p w14:paraId="45EB4476" w14:textId="77777777" w:rsidR="00312A8C" w:rsidRDefault="00312A8C">
      <w:r>
        <w:continuationSeparator/>
      </w:r>
    </w:p>
  </w:endnote>
  <w:endnote w:type="continuationNotice" w:id="1">
    <w:p w14:paraId="602C7437" w14:textId="77777777" w:rsidR="00312A8C" w:rsidRDefault="00312A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333333"/>
      </w:tblBorders>
      <w:tblLayout w:type="fixed"/>
      <w:tblCellMar>
        <w:left w:w="0" w:type="dxa"/>
        <w:right w:w="0" w:type="dxa"/>
      </w:tblCellMar>
      <w:tblLook w:val="0000" w:firstRow="0" w:lastRow="0" w:firstColumn="0" w:lastColumn="0" w:noHBand="0" w:noVBand="0"/>
    </w:tblPr>
    <w:tblGrid>
      <w:gridCol w:w="510"/>
      <w:gridCol w:w="8278"/>
    </w:tblGrid>
    <w:tr w:rsidR="00312A8C" w:rsidRPr="00135D87" w14:paraId="661E35DE" w14:textId="77777777" w:rsidTr="00E971AD">
      <w:trPr>
        <w:trHeight w:hRule="exact" w:val="740"/>
      </w:trPr>
      <w:tc>
        <w:tcPr>
          <w:tcW w:w="510" w:type="dxa"/>
        </w:tcPr>
        <w:p w14:paraId="69D7CE29" w14:textId="77777777" w:rsidR="00312A8C" w:rsidRPr="00135D87" w:rsidRDefault="00312A8C" w:rsidP="00147DE6">
          <w:pPr>
            <w:pStyle w:val="Footer"/>
            <w:tabs>
              <w:tab w:val="left" w:pos="0"/>
            </w:tabs>
            <w:ind w:right="0"/>
            <w:rPr>
              <w:rStyle w:val="PageNumber"/>
              <w:rFonts w:cs="Arial"/>
            </w:rPr>
          </w:pPr>
          <w:r w:rsidRPr="00135D87">
            <w:rPr>
              <w:rStyle w:val="PageNumber"/>
              <w:rFonts w:cs="Arial"/>
            </w:rPr>
            <w:fldChar w:fldCharType="begin"/>
          </w:r>
          <w:r w:rsidRPr="00135D87">
            <w:rPr>
              <w:rStyle w:val="PageNumber"/>
              <w:rFonts w:cs="Arial"/>
            </w:rPr>
            <w:instrText xml:space="preserve">PAGE  </w:instrText>
          </w:r>
          <w:r w:rsidRPr="00135D87">
            <w:rPr>
              <w:rStyle w:val="PageNumber"/>
              <w:rFonts w:cs="Arial"/>
            </w:rPr>
            <w:fldChar w:fldCharType="separate"/>
          </w:r>
          <w:r w:rsidR="00375BD6">
            <w:rPr>
              <w:rStyle w:val="PageNumber"/>
              <w:rFonts w:cs="Arial"/>
              <w:noProof/>
            </w:rPr>
            <w:t>24</w:t>
          </w:r>
          <w:r w:rsidRPr="00135D87">
            <w:rPr>
              <w:rStyle w:val="PageNumber"/>
              <w:rFonts w:cs="Arial"/>
            </w:rPr>
            <w:fldChar w:fldCharType="end"/>
          </w:r>
        </w:p>
      </w:tc>
      <w:tc>
        <w:tcPr>
          <w:tcW w:w="8278" w:type="dxa"/>
        </w:tcPr>
        <w:p w14:paraId="170CEE49" w14:textId="357DC34A" w:rsidR="00312A8C" w:rsidRPr="00135D87" w:rsidRDefault="00312A8C" w:rsidP="00495DAF">
          <w:pPr>
            <w:pStyle w:val="Footer"/>
            <w:rPr>
              <w:rFonts w:cs="Arial"/>
            </w:rPr>
          </w:pPr>
          <w:r>
            <w:rPr>
              <w:rFonts w:cs="Arial"/>
              <w:caps w:val="0"/>
            </w:rPr>
            <w:t>Strengthening trans-Tasman economic relations</w:t>
          </w:r>
        </w:p>
      </w:tc>
    </w:tr>
  </w:tbl>
  <w:p w14:paraId="30056D33" w14:textId="77777777" w:rsidR="00312A8C" w:rsidRDefault="00312A8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333333"/>
      </w:tblBorders>
      <w:tblLayout w:type="fixed"/>
      <w:tblCellMar>
        <w:left w:w="0" w:type="dxa"/>
        <w:right w:w="0" w:type="dxa"/>
      </w:tblCellMar>
      <w:tblLook w:val="0000" w:firstRow="0" w:lastRow="0" w:firstColumn="0" w:lastColumn="0" w:noHBand="0" w:noVBand="0"/>
    </w:tblPr>
    <w:tblGrid>
      <w:gridCol w:w="8278"/>
      <w:gridCol w:w="510"/>
    </w:tblGrid>
    <w:tr w:rsidR="00312A8C" w:rsidRPr="00135D87" w14:paraId="213C8347" w14:textId="77777777" w:rsidTr="00E971AD">
      <w:trPr>
        <w:trHeight w:hRule="exact" w:val="740"/>
      </w:trPr>
      <w:tc>
        <w:tcPr>
          <w:tcW w:w="8278" w:type="dxa"/>
        </w:tcPr>
        <w:p w14:paraId="05248103" w14:textId="1B62680B" w:rsidR="00312A8C" w:rsidRPr="00135D87" w:rsidRDefault="00312A8C" w:rsidP="0079569B">
          <w:pPr>
            <w:pStyle w:val="Footer"/>
            <w:jc w:val="right"/>
            <w:rPr>
              <w:rFonts w:cs="Arial"/>
            </w:rPr>
          </w:pPr>
          <w:r w:rsidRPr="00F1504C">
            <w:rPr>
              <w:rFonts w:cs="Arial"/>
              <w:caps w:val="0"/>
            </w:rPr>
            <w:fldChar w:fldCharType="begin"/>
          </w:r>
          <w:r w:rsidRPr="00F1504C">
            <w:rPr>
              <w:rFonts w:cs="Arial"/>
              <w:caps w:val="0"/>
            </w:rPr>
            <w:instrText xml:space="preserve"> TITLE  \* MERGEFORMAT </w:instrText>
          </w:r>
          <w:r w:rsidRPr="00F1504C">
            <w:rPr>
              <w:rFonts w:cs="Arial"/>
              <w:caps w:val="0"/>
            </w:rPr>
            <w:fldChar w:fldCharType="separate"/>
          </w:r>
          <w:r w:rsidR="00375BD6">
            <w:rPr>
              <w:rFonts w:cs="Arial"/>
              <w:caps w:val="0"/>
            </w:rPr>
            <w:t>Introduction</w:t>
          </w:r>
          <w:r w:rsidRPr="00F1504C">
            <w:rPr>
              <w:rFonts w:cs="Arial"/>
              <w:caps w:val="0"/>
            </w:rPr>
            <w:fldChar w:fldCharType="end"/>
          </w:r>
        </w:p>
      </w:tc>
      <w:tc>
        <w:tcPr>
          <w:tcW w:w="510" w:type="dxa"/>
        </w:tcPr>
        <w:p w14:paraId="64761625" w14:textId="77777777" w:rsidR="00312A8C" w:rsidRPr="00135D87" w:rsidRDefault="00312A8C" w:rsidP="00147DE6">
          <w:pPr>
            <w:pStyle w:val="Footer"/>
            <w:jc w:val="right"/>
            <w:rPr>
              <w:rFonts w:cs="Arial"/>
            </w:rPr>
          </w:pPr>
          <w:r w:rsidRPr="00135D87">
            <w:rPr>
              <w:rStyle w:val="PageNumber"/>
              <w:rFonts w:cs="Arial"/>
            </w:rPr>
            <w:fldChar w:fldCharType="begin"/>
          </w:r>
          <w:r w:rsidRPr="00135D87">
            <w:rPr>
              <w:rStyle w:val="PageNumber"/>
              <w:rFonts w:cs="Arial"/>
            </w:rPr>
            <w:instrText xml:space="preserve">PAGE  </w:instrText>
          </w:r>
          <w:r w:rsidRPr="00135D87">
            <w:rPr>
              <w:rStyle w:val="PageNumber"/>
              <w:rFonts w:cs="Arial"/>
            </w:rPr>
            <w:fldChar w:fldCharType="separate"/>
          </w:r>
          <w:r w:rsidR="00375BD6">
            <w:rPr>
              <w:rStyle w:val="PageNumber"/>
              <w:rFonts w:cs="Arial"/>
              <w:noProof/>
            </w:rPr>
            <w:t>25</w:t>
          </w:r>
          <w:r w:rsidRPr="00135D87">
            <w:rPr>
              <w:rStyle w:val="PageNumber"/>
              <w:rFonts w:cs="Arial"/>
            </w:rPr>
            <w:fldChar w:fldCharType="end"/>
          </w:r>
        </w:p>
      </w:tc>
    </w:tr>
  </w:tbl>
  <w:p w14:paraId="2984FB9C" w14:textId="77777777" w:rsidR="00312A8C" w:rsidRPr="009A6431" w:rsidRDefault="00312A8C" w:rsidP="001B53C3">
    <w:pPr>
      <w:pStyle w:val="FooterEnd"/>
    </w:pPr>
  </w:p>
  <w:p w14:paraId="6DB547B7" w14:textId="77777777" w:rsidR="00312A8C" w:rsidRDefault="00312A8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44D27" w14:textId="77777777" w:rsidR="00312A8C" w:rsidRDefault="00312A8C">
      <w:r>
        <w:separator/>
      </w:r>
    </w:p>
  </w:footnote>
  <w:footnote w:type="continuationSeparator" w:id="0">
    <w:p w14:paraId="6C456B08" w14:textId="77777777" w:rsidR="00312A8C" w:rsidRDefault="00312A8C">
      <w:r>
        <w:continuationSeparator/>
      </w:r>
    </w:p>
  </w:footnote>
  <w:footnote w:type="continuationNotice" w:id="1">
    <w:p w14:paraId="52419D4F" w14:textId="77777777" w:rsidR="00312A8C" w:rsidRDefault="00312A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12A8C" w14:paraId="0C015D4F" w14:textId="77777777" w:rsidTr="00582C63">
      <w:tc>
        <w:tcPr>
          <w:tcW w:w="2155" w:type="dxa"/>
          <w:tcBorders>
            <w:top w:val="single" w:sz="24" w:space="0" w:color="86A20B"/>
          </w:tcBorders>
        </w:tcPr>
        <w:p w14:paraId="1AFEFC7B" w14:textId="77777777" w:rsidR="00312A8C" w:rsidRDefault="00312A8C" w:rsidP="007A1ADB">
          <w:pPr>
            <w:pStyle w:val="HeaderEven"/>
          </w:pPr>
        </w:p>
      </w:tc>
      <w:tc>
        <w:tcPr>
          <w:tcW w:w="6634" w:type="dxa"/>
          <w:tcBorders>
            <w:top w:val="dotted" w:sz="18" w:space="0" w:color="B2B2B2"/>
          </w:tcBorders>
        </w:tcPr>
        <w:p w14:paraId="4328B700" w14:textId="0DBDA4C8" w:rsidR="00312A8C" w:rsidRDefault="00312A8C" w:rsidP="007A1ADB">
          <w:pPr>
            <w:pStyle w:val="HeaderEven"/>
          </w:pPr>
        </w:p>
      </w:tc>
    </w:tr>
  </w:tbl>
  <w:p w14:paraId="2B655F2A" w14:textId="77777777" w:rsidR="00312A8C" w:rsidRDefault="00312A8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12A8C" w14:paraId="2B2DCC59" w14:textId="77777777" w:rsidTr="00582C63">
      <w:tc>
        <w:tcPr>
          <w:tcW w:w="6634" w:type="dxa"/>
          <w:tcBorders>
            <w:top w:val="dotted" w:sz="18" w:space="0" w:color="B2B2B2"/>
          </w:tcBorders>
        </w:tcPr>
        <w:p w14:paraId="126042B7" w14:textId="417C5D81" w:rsidR="00312A8C" w:rsidRDefault="00312A8C" w:rsidP="007A1ADB">
          <w:pPr>
            <w:pStyle w:val="HeaderOdd"/>
          </w:pPr>
        </w:p>
      </w:tc>
      <w:tc>
        <w:tcPr>
          <w:tcW w:w="2155" w:type="dxa"/>
          <w:tcBorders>
            <w:top w:val="single" w:sz="24" w:space="0" w:color="86A20B"/>
          </w:tcBorders>
        </w:tcPr>
        <w:p w14:paraId="11EC2400" w14:textId="77777777" w:rsidR="00312A8C" w:rsidRDefault="00312A8C" w:rsidP="007A1ADB">
          <w:pPr>
            <w:pStyle w:val="HeaderOdd"/>
          </w:pPr>
        </w:p>
      </w:tc>
    </w:tr>
  </w:tbl>
  <w:p w14:paraId="17053C97" w14:textId="77777777" w:rsidR="00312A8C" w:rsidRDefault="00312A8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DAA6628"/>
    <w:multiLevelType w:val="hybridMultilevel"/>
    <w:tmpl w:val="702A9354"/>
    <w:lvl w:ilvl="0" w:tplc="C7801442">
      <w:start w:val="1"/>
      <w:numFmt w:val="bullet"/>
      <w:lvlText w:val="-"/>
      <w:lvlJc w:val="left"/>
      <w:pPr>
        <w:ind w:left="360" w:hanging="360"/>
      </w:pPr>
      <w:rPr>
        <w:rFonts w:ascii="Arial" w:eastAsiaTheme="minorHAnsi" w:hAnsi="Arial" w:cs="Aria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190046E8"/>
    <w:multiLevelType w:val="hybridMultilevel"/>
    <w:tmpl w:val="895AE01C"/>
    <w:lvl w:ilvl="0" w:tplc="4D9E0628">
      <w:start w:val="1"/>
      <w:numFmt w:val="bullet"/>
      <w:lvlText w:val="-"/>
      <w:lvlJc w:val="left"/>
      <w:pPr>
        <w:ind w:left="720" w:hanging="360"/>
      </w:pPr>
      <w:rPr>
        <w:rFonts w:ascii="Arial" w:eastAsiaTheme="minorHAnsi" w:hAnsi="Arial" w:cs="Aria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9">
    <w:nsid w:val="20354821"/>
    <w:multiLevelType w:val="hybridMultilevel"/>
    <w:tmpl w:val="875092C6"/>
    <w:lvl w:ilvl="0" w:tplc="5CF4924A">
      <w:start w:val="1"/>
      <w:numFmt w:val="bullet"/>
      <w:lvlText w:val="-"/>
      <w:lvlJc w:val="left"/>
      <w:pPr>
        <w:ind w:left="360" w:hanging="360"/>
      </w:pPr>
      <w:rPr>
        <w:rFonts w:ascii="Arial" w:eastAsiaTheme="minorHAnsi" w:hAnsi="Arial" w:cs="Aria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2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1">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2D567E57"/>
    <w:multiLevelType w:val="hybridMultilevel"/>
    <w:tmpl w:val="A3848120"/>
    <w:lvl w:ilvl="0" w:tplc="C180EAAE">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4">
    <w:nsid w:val="383C2768"/>
    <w:multiLevelType w:val="hybridMultilevel"/>
    <w:tmpl w:val="E4B82BCC"/>
    <w:lvl w:ilvl="0" w:tplc="1E74AFEE">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6">
    <w:nsid w:val="4AF72EBF"/>
    <w:multiLevelType w:val="hybridMultilevel"/>
    <w:tmpl w:val="494EC4A2"/>
    <w:lvl w:ilvl="0" w:tplc="6004DA88">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8">
    <w:nsid w:val="51F74561"/>
    <w:multiLevelType w:val="singleLevel"/>
    <w:tmpl w:val="ED98921A"/>
    <w:lvl w:ilvl="0">
      <w:start w:val="1"/>
      <w:numFmt w:val="decimal"/>
      <w:lvlText w:val="%1."/>
      <w:legacy w:legacy="1" w:legacySpace="0" w:legacyIndent="340"/>
      <w:lvlJc w:val="left"/>
      <w:pPr>
        <w:ind w:left="340" w:hanging="340"/>
      </w:pPr>
    </w:lvl>
  </w:abstractNum>
  <w:abstractNum w:abstractNumId="2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1">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3">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4">
    <w:nsid w:val="5A096576"/>
    <w:multiLevelType w:val="singleLevel"/>
    <w:tmpl w:val="ED98921A"/>
    <w:lvl w:ilvl="0">
      <w:start w:val="1"/>
      <w:numFmt w:val="decimal"/>
      <w:lvlText w:val="%1."/>
      <w:legacy w:legacy="1" w:legacySpace="0" w:legacyIndent="340"/>
      <w:lvlJc w:val="left"/>
      <w:pPr>
        <w:ind w:left="340" w:hanging="340"/>
      </w:pPr>
    </w:lvl>
  </w:abstractNum>
  <w:abstractNum w:abstractNumId="35">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0055F7F"/>
    <w:multiLevelType w:val="singleLevel"/>
    <w:tmpl w:val="ED98921A"/>
    <w:lvl w:ilvl="0">
      <w:start w:val="1"/>
      <w:numFmt w:val="decimal"/>
      <w:lvlText w:val="%1."/>
      <w:legacy w:legacy="1" w:legacySpace="0" w:legacyIndent="340"/>
      <w:lvlJc w:val="left"/>
      <w:pPr>
        <w:ind w:left="340" w:hanging="340"/>
      </w:pPr>
    </w:lvl>
  </w:abstractNum>
  <w:abstractNum w:abstractNumId="37">
    <w:nsid w:val="608E741E"/>
    <w:multiLevelType w:val="singleLevel"/>
    <w:tmpl w:val="ED98921A"/>
    <w:lvl w:ilvl="0">
      <w:start w:val="1"/>
      <w:numFmt w:val="decimal"/>
      <w:lvlText w:val="%1."/>
      <w:legacy w:legacy="1" w:legacySpace="0" w:legacyIndent="340"/>
      <w:lvlJc w:val="left"/>
      <w:pPr>
        <w:ind w:left="340" w:hanging="340"/>
      </w:pPr>
    </w:lvl>
  </w:abstractNum>
  <w:abstractNum w:abstractNumId="38">
    <w:nsid w:val="61320C1E"/>
    <w:multiLevelType w:val="singleLevel"/>
    <w:tmpl w:val="C444122C"/>
    <w:lvl w:ilvl="0">
      <w:start w:val="1"/>
      <w:numFmt w:val="decimal"/>
      <w:lvlText w:val="%1."/>
      <w:legacy w:legacy="1" w:legacySpace="0" w:legacyIndent="284"/>
      <w:lvlJc w:val="left"/>
      <w:pPr>
        <w:ind w:left="284" w:hanging="284"/>
      </w:pPr>
    </w:lvl>
  </w:abstractNum>
  <w:abstractNum w:abstractNumId="39">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1">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2">
    <w:nsid w:val="68C228A9"/>
    <w:multiLevelType w:val="hybridMultilevel"/>
    <w:tmpl w:val="103418BC"/>
    <w:lvl w:ilvl="0" w:tplc="AA0E6C1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4">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6">
    <w:nsid w:val="775C589A"/>
    <w:multiLevelType w:val="hybridMultilevel"/>
    <w:tmpl w:val="EE12D16E"/>
    <w:lvl w:ilvl="0" w:tplc="E2B4B804">
      <w:start w:val="1"/>
      <w:numFmt w:val="bullet"/>
      <w:lvlText w:val="-"/>
      <w:lvlJc w:val="left"/>
      <w:pPr>
        <w:ind w:left="720" w:hanging="360"/>
      </w:pPr>
      <w:rPr>
        <w:rFonts w:ascii="Arial" w:eastAsiaTheme="minorHAnsi" w:hAnsi="Arial" w:cs="Aria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9">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3"/>
  </w:num>
  <w:num w:numId="2">
    <w:abstractNumId w:val="10"/>
  </w:num>
  <w:num w:numId="3">
    <w:abstractNumId w:val="47"/>
  </w:num>
  <w:num w:numId="4">
    <w:abstractNumId w:val="7"/>
  </w:num>
  <w:num w:numId="5">
    <w:abstractNumId w:val="5"/>
  </w:num>
  <w:num w:numId="6">
    <w:abstractNumId w:val="29"/>
  </w:num>
  <w:num w:numId="7">
    <w:abstractNumId w:val="3"/>
  </w:num>
  <w:num w:numId="8">
    <w:abstractNumId w:val="9"/>
  </w:num>
  <w:num w:numId="9">
    <w:abstractNumId w:val="2"/>
  </w:num>
  <w:num w:numId="10">
    <w:abstractNumId w:val="40"/>
  </w:num>
  <w:num w:numId="11">
    <w:abstractNumId w:val="4"/>
  </w:num>
  <w:num w:numId="12">
    <w:abstractNumId w:val="1"/>
  </w:num>
  <w:num w:numId="13">
    <w:abstractNumId w:val="0"/>
  </w:num>
  <w:num w:numId="14">
    <w:abstractNumId w:val="32"/>
  </w:num>
  <w:num w:numId="15">
    <w:abstractNumId w:val="48"/>
  </w:num>
  <w:num w:numId="16">
    <w:abstractNumId w:val="20"/>
  </w:num>
  <w:num w:numId="17">
    <w:abstractNumId w:val="17"/>
  </w:num>
  <w:num w:numId="18">
    <w:abstractNumId w:val="30"/>
  </w:num>
  <w:num w:numId="19">
    <w:abstractNumId w:val="12"/>
  </w:num>
  <w:num w:numId="20">
    <w:abstractNumId w:val="37"/>
  </w:num>
  <w:num w:numId="21">
    <w:abstractNumId w:val="39"/>
  </w:num>
  <w:num w:numId="22">
    <w:abstractNumId w:val="28"/>
  </w:num>
  <w:num w:numId="23">
    <w:abstractNumId w:val="31"/>
  </w:num>
  <w:num w:numId="24">
    <w:abstractNumId w:val="33"/>
  </w:num>
  <w:num w:numId="25">
    <w:abstractNumId w:val="45"/>
  </w:num>
  <w:num w:numId="26">
    <w:abstractNumId w:val="36"/>
  </w:num>
  <w:num w:numId="27">
    <w:abstractNumId w:val="41"/>
  </w:num>
  <w:num w:numId="28">
    <w:abstractNumId w:val="43"/>
  </w:num>
  <w:num w:numId="29">
    <w:abstractNumId w:val="34"/>
  </w:num>
  <w:num w:numId="30">
    <w:abstractNumId w:val="25"/>
  </w:num>
  <w:num w:numId="31">
    <w:abstractNumId w:val="49"/>
  </w:num>
  <w:num w:numId="32">
    <w:abstractNumId w:val="16"/>
  </w:num>
  <w:num w:numId="33">
    <w:abstractNumId w:val="8"/>
  </w:num>
  <w:num w:numId="34">
    <w:abstractNumId w:val="21"/>
  </w:num>
  <w:num w:numId="35">
    <w:abstractNumId w:val="44"/>
  </w:num>
  <w:num w:numId="36">
    <w:abstractNumId w:val="35"/>
  </w:num>
  <w:num w:numId="37">
    <w:abstractNumId w:val="13"/>
  </w:num>
  <w:num w:numId="38">
    <w:abstractNumId w:val="38"/>
  </w:num>
  <w:num w:numId="39">
    <w:abstractNumId w:val="15"/>
  </w:num>
  <w:num w:numId="40">
    <w:abstractNumId w:val="20"/>
  </w:num>
  <w:num w:numId="41">
    <w:abstractNumId w:val="9"/>
  </w:num>
  <w:num w:numId="42">
    <w:abstractNumId w:val="27"/>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26"/>
  </w:num>
  <w:num w:numId="46">
    <w:abstractNumId w:val="42"/>
  </w:num>
  <w:num w:numId="47">
    <w:abstractNumId w:val="22"/>
  </w:num>
  <w:num w:numId="48">
    <w:abstractNumId w:val="24"/>
  </w:num>
  <w:num w:numId="49">
    <w:abstractNumId w:val="18"/>
  </w:num>
  <w:num w:numId="50">
    <w:abstractNumId w:val="46"/>
  </w:num>
  <w:num w:numId="51">
    <w:abstractNumId w:val="19"/>
  </w:num>
  <w:num w:numId="52">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troduction"/>
    <w:docVar w:name="ShortReportTitle" w:val="Strengthening Trans-Tasman Economic Relations"/>
  </w:docVars>
  <w:rsids>
    <w:rsidRoot w:val="00C36F99"/>
    <w:rsid w:val="00002555"/>
    <w:rsid w:val="00020AC0"/>
    <w:rsid w:val="000219AB"/>
    <w:rsid w:val="00022C1B"/>
    <w:rsid w:val="00023244"/>
    <w:rsid w:val="000245AA"/>
    <w:rsid w:val="00033F1E"/>
    <w:rsid w:val="0003664B"/>
    <w:rsid w:val="0004111F"/>
    <w:rsid w:val="00041329"/>
    <w:rsid w:val="000451F4"/>
    <w:rsid w:val="00045F4E"/>
    <w:rsid w:val="0005152B"/>
    <w:rsid w:val="000565B3"/>
    <w:rsid w:val="00057C03"/>
    <w:rsid w:val="0007150B"/>
    <w:rsid w:val="0007380A"/>
    <w:rsid w:val="000816F5"/>
    <w:rsid w:val="000938F5"/>
    <w:rsid w:val="000A2A4E"/>
    <w:rsid w:val="000A2F63"/>
    <w:rsid w:val="000A7B99"/>
    <w:rsid w:val="000B08EF"/>
    <w:rsid w:val="000B1651"/>
    <w:rsid w:val="000B3D85"/>
    <w:rsid w:val="000B601B"/>
    <w:rsid w:val="000B7862"/>
    <w:rsid w:val="000C207E"/>
    <w:rsid w:val="000E4F45"/>
    <w:rsid w:val="000E674E"/>
    <w:rsid w:val="000F4AAC"/>
    <w:rsid w:val="00100C5D"/>
    <w:rsid w:val="00101CE2"/>
    <w:rsid w:val="00110116"/>
    <w:rsid w:val="0011127A"/>
    <w:rsid w:val="001143C3"/>
    <w:rsid w:val="00126919"/>
    <w:rsid w:val="00126EB8"/>
    <w:rsid w:val="001274D4"/>
    <w:rsid w:val="001303BA"/>
    <w:rsid w:val="001363AA"/>
    <w:rsid w:val="00143850"/>
    <w:rsid w:val="00143D69"/>
    <w:rsid w:val="00147DE6"/>
    <w:rsid w:val="00150F6F"/>
    <w:rsid w:val="001547C5"/>
    <w:rsid w:val="001629FF"/>
    <w:rsid w:val="00170116"/>
    <w:rsid w:val="00171C30"/>
    <w:rsid w:val="00174CBF"/>
    <w:rsid w:val="00175405"/>
    <w:rsid w:val="00183E82"/>
    <w:rsid w:val="00191AE0"/>
    <w:rsid w:val="00192303"/>
    <w:rsid w:val="0019293B"/>
    <w:rsid w:val="001929D6"/>
    <w:rsid w:val="00192AD5"/>
    <w:rsid w:val="00194225"/>
    <w:rsid w:val="00194EA8"/>
    <w:rsid w:val="001A259D"/>
    <w:rsid w:val="001A6019"/>
    <w:rsid w:val="001A6286"/>
    <w:rsid w:val="001B0527"/>
    <w:rsid w:val="001B53C3"/>
    <w:rsid w:val="001C0865"/>
    <w:rsid w:val="001C3569"/>
    <w:rsid w:val="001C3ABA"/>
    <w:rsid w:val="001C4D97"/>
    <w:rsid w:val="001C50E5"/>
    <w:rsid w:val="001C793F"/>
    <w:rsid w:val="001D77A7"/>
    <w:rsid w:val="001E7BE8"/>
    <w:rsid w:val="001F0248"/>
    <w:rsid w:val="001F3EB3"/>
    <w:rsid w:val="00202C2C"/>
    <w:rsid w:val="002034B5"/>
    <w:rsid w:val="00212B6C"/>
    <w:rsid w:val="0021686E"/>
    <w:rsid w:val="002273B1"/>
    <w:rsid w:val="002362D5"/>
    <w:rsid w:val="00242279"/>
    <w:rsid w:val="00245C82"/>
    <w:rsid w:val="00257099"/>
    <w:rsid w:val="002745FB"/>
    <w:rsid w:val="00283653"/>
    <w:rsid w:val="002840B8"/>
    <w:rsid w:val="00284C25"/>
    <w:rsid w:val="00291B40"/>
    <w:rsid w:val="00291CB8"/>
    <w:rsid w:val="002962B2"/>
    <w:rsid w:val="002A4213"/>
    <w:rsid w:val="002B32E7"/>
    <w:rsid w:val="002B4008"/>
    <w:rsid w:val="002B6178"/>
    <w:rsid w:val="002C1737"/>
    <w:rsid w:val="002C4CEF"/>
    <w:rsid w:val="002C5E53"/>
    <w:rsid w:val="002C796A"/>
    <w:rsid w:val="002D0E8E"/>
    <w:rsid w:val="002D335B"/>
    <w:rsid w:val="002D4ADD"/>
    <w:rsid w:val="002F18CD"/>
    <w:rsid w:val="002F6625"/>
    <w:rsid w:val="00301189"/>
    <w:rsid w:val="0031132B"/>
    <w:rsid w:val="00311D95"/>
    <w:rsid w:val="00312819"/>
    <w:rsid w:val="00312A8C"/>
    <w:rsid w:val="00315C80"/>
    <w:rsid w:val="00322427"/>
    <w:rsid w:val="00322A2C"/>
    <w:rsid w:val="00323C43"/>
    <w:rsid w:val="00323E09"/>
    <w:rsid w:val="00324C6E"/>
    <w:rsid w:val="00333932"/>
    <w:rsid w:val="00347C6B"/>
    <w:rsid w:val="003518AA"/>
    <w:rsid w:val="00352165"/>
    <w:rsid w:val="00353182"/>
    <w:rsid w:val="003565D9"/>
    <w:rsid w:val="003602E1"/>
    <w:rsid w:val="00361D40"/>
    <w:rsid w:val="00367A2E"/>
    <w:rsid w:val="0037026F"/>
    <w:rsid w:val="00371240"/>
    <w:rsid w:val="003728B0"/>
    <w:rsid w:val="00374731"/>
    <w:rsid w:val="00375BD6"/>
    <w:rsid w:val="00380992"/>
    <w:rsid w:val="00383A8A"/>
    <w:rsid w:val="00385B95"/>
    <w:rsid w:val="003872B0"/>
    <w:rsid w:val="003919F9"/>
    <w:rsid w:val="00394B99"/>
    <w:rsid w:val="00397A38"/>
    <w:rsid w:val="003A5E29"/>
    <w:rsid w:val="003C12AB"/>
    <w:rsid w:val="003C38B5"/>
    <w:rsid w:val="003C4585"/>
    <w:rsid w:val="003C5D99"/>
    <w:rsid w:val="003D1C2F"/>
    <w:rsid w:val="003E08B4"/>
    <w:rsid w:val="003E294E"/>
    <w:rsid w:val="003E2F59"/>
    <w:rsid w:val="003E4410"/>
    <w:rsid w:val="003E78AB"/>
    <w:rsid w:val="003F0789"/>
    <w:rsid w:val="003F2636"/>
    <w:rsid w:val="003F3CE5"/>
    <w:rsid w:val="00401882"/>
    <w:rsid w:val="004032D5"/>
    <w:rsid w:val="004100C8"/>
    <w:rsid w:val="00411DBD"/>
    <w:rsid w:val="00412016"/>
    <w:rsid w:val="00412ACE"/>
    <w:rsid w:val="00416E63"/>
    <w:rsid w:val="00422D9D"/>
    <w:rsid w:val="0043021A"/>
    <w:rsid w:val="00431249"/>
    <w:rsid w:val="004317AD"/>
    <w:rsid w:val="00434C19"/>
    <w:rsid w:val="00450810"/>
    <w:rsid w:val="00450C5B"/>
    <w:rsid w:val="00451A01"/>
    <w:rsid w:val="004532BB"/>
    <w:rsid w:val="00455C5C"/>
    <w:rsid w:val="0045711E"/>
    <w:rsid w:val="00457BA8"/>
    <w:rsid w:val="00464738"/>
    <w:rsid w:val="004728BA"/>
    <w:rsid w:val="00477144"/>
    <w:rsid w:val="0049459F"/>
    <w:rsid w:val="00495DAF"/>
    <w:rsid w:val="004A03D8"/>
    <w:rsid w:val="004A38DD"/>
    <w:rsid w:val="004B43AE"/>
    <w:rsid w:val="004B6CD3"/>
    <w:rsid w:val="004C13EE"/>
    <w:rsid w:val="004C30ED"/>
    <w:rsid w:val="004C4841"/>
    <w:rsid w:val="004C6BC3"/>
    <w:rsid w:val="004C7DF8"/>
    <w:rsid w:val="004D5675"/>
    <w:rsid w:val="004E13F0"/>
    <w:rsid w:val="004E17C4"/>
    <w:rsid w:val="004E1B99"/>
    <w:rsid w:val="004E3B02"/>
    <w:rsid w:val="004F2805"/>
    <w:rsid w:val="00501F46"/>
    <w:rsid w:val="00510246"/>
    <w:rsid w:val="00511B56"/>
    <w:rsid w:val="00517B84"/>
    <w:rsid w:val="00523639"/>
    <w:rsid w:val="00557960"/>
    <w:rsid w:val="00570155"/>
    <w:rsid w:val="00570BFC"/>
    <w:rsid w:val="00582C63"/>
    <w:rsid w:val="00583C39"/>
    <w:rsid w:val="005909CF"/>
    <w:rsid w:val="00591E71"/>
    <w:rsid w:val="005A0D41"/>
    <w:rsid w:val="005A297B"/>
    <w:rsid w:val="005B3D92"/>
    <w:rsid w:val="005B5F24"/>
    <w:rsid w:val="005C263F"/>
    <w:rsid w:val="005C2C21"/>
    <w:rsid w:val="005C2C57"/>
    <w:rsid w:val="005C4D39"/>
    <w:rsid w:val="005C782E"/>
    <w:rsid w:val="005D0FF6"/>
    <w:rsid w:val="005D1BA3"/>
    <w:rsid w:val="005D5623"/>
    <w:rsid w:val="005E3232"/>
    <w:rsid w:val="005E7D1F"/>
    <w:rsid w:val="00600284"/>
    <w:rsid w:val="00600B1B"/>
    <w:rsid w:val="00603904"/>
    <w:rsid w:val="00607BF1"/>
    <w:rsid w:val="00612DF7"/>
    <w:rsid w:val="00614C1E"/>
    <w:rsid w:val="00626141"/>
    <w:rsid w:val="006279D8"/>
    <w:rsid w:val="00630D4D"/>
    <w:rsid w:val="00632A74"/>
    <w:rsid w:val="0063343E"/>
    <w:rsid w:val="0063615F"/>
    <w:rsid w:val="00646E54"/>
    <w:rsid w:val="00647045"/>
    <w:rsid w:val="00650346"/>
    <w:rsid w:val="00651F62"/>
    <w:rsid w:val="00655218"/>
    <w:rsid w:val="0067385D"/>
    <w:rsid w:val="00673ADA"/>
    <w:rsid w:val="00681558"/>
    <w:rsid w:val="00681916"/>
    <w:rsid w:val="00695A7C"/>
    <w:rsid w:val="006A42B0"/>
    <w:rsid w:val="006A4655"/>
    <w:rsid w:val="006B208F"/>
    <w:rsid w:val="006B2B3C"/>
    <w:rsid w:val="006C1D81"/>
    <w:rsid w:val="006C2863"/>
    <w:rsid w:val="006C36A1"/>
    <w:rsid w:val="006C4634"/>
    <w:rsid w:val="006C702D"/>
    <w:rsid w:val="006C7038"/>
    <w:rsid w:val="006E2397"/>
    <w:rsid w:val="006E2AD2"/>
    <w:rsid w:val="006E73EF"/>
    <w:rsid w:val="006F4F5F"/>
    <w:rsid w:val="006F75F1"/>
    <w:rsid w:val="007023FD"/>
    <w:rsid w:val="00711754"/>
    <w:rsid w:val="00714D4D"/>
    <w:rsid w:val="007172A1"/>
    <w:rsid w:val="00721CCA"/>
    <w:rsid w:val="00732CF3"/>
    <w:rsid w:val="00735EBB"/>
    <w:rsid w:val="007362B6"/>
    <w:rsid w:val="0074648A"/>
    <w:rsid w:val="0075102B"/>
    <w:rsid w:val="007604BB"/>
    <w:rsid w:val="007818D3"/>
    <w:rsid w:val="0078286B"/>
    <w:rsid w:val="00785232"/>
    <w:rsid w:val="00786E41"/>
    <w:rsid w:val="00792001"/>
    <w:rsid w:val="0079569B"/>
    <w:rsid w:val="007A1ADB"/>
    <w:rsid w:val="007A21EB"/>
    <w:rsid w:val="007C36C9"/>
    <w:rsid w:val="007C6D3B"/>
    <w:rsid w:val="007D087B"/>
    <w:rsid w:val="007D6401"/>
    <w:rsid w:val="007E01E4"/>
    <w:rsid w:val="007E7173"/>
    <w:rsid w:val="007F047F"/>
    <w:rsid w:val="007F12CC"/>
    <w:rsid w:val="007F670E"/>
    <w:rsid w:val="007F7107"/>
    <w:rsid w:val="00804560"/>
    <w:rsid w:val="0081030F"/>
    <w:rsid w:val="0081526A"/>
    <w:rsid w:val="00816B2F"/>
    <w:rsid w:val="0082087D"/>
    <w:rsid w:val="0083568B"/>
    <w:rsid w:val="00842933"/>
    <w:rsid w:val="0085092C"/>
    <w:rsid w:val="00856BCF"/>
    <w:rsid w:val="00857A31"/>
    <w:rsid w:val="0086082C"/>
    <w:rsid w:val="00864ADC"/>
    <w:rsid w:val="00871849"/>
    <w:rsid w:val="00876F41"/>
    <w:rsid w:val="008778EE"/>
    <w:rsid w:val="00880153"/>
    <w:rsid w:val="00880F97"/>
    <w:rsid w:val="0088133A"/>
    <w:rsid w:val="00887413"/>
    <w:rsid w:val="0089285E"/>
    <w:rsid w:val="00893D15"/>
    <w:rsid w:val="0089436C"/>
    <w:rsid w:val="008A2D3B"/>
    <w:rsid w:val="008A6F71"/>
    <w:rsid w:val="008B04DE"/>
    <w:rsid w:val="008B1D0B"/>
    <w:rsid w:val="008B6258"/>
    <w:rsid w:val="008B6CD9"/>
    <w:rsid w:val="008C04AC"/>
    <w:rsid w:val="008C0913"/>
    <w:rsid w:val="008C4CDF"/>
    <w:rsid w:val="008D240F"/>
    <w:rsid w:val="008D365C"/>
    <w:rsid w:val="008D3C33"/>
    <w:rsid w:val="008D4503"/>
    <w:rsid w:val="008E265F"/>
    <w:rsid w:val="008E2E9A"/>
    <w:rsid w:val="008E3C45"/>
    <w:rsid w:val="008F5144"/>
    <w:rsid w:val="008F56FA"/>
    <w:rsid w:val="008F5ECC"/>
    <w:rsid w:val="009030BF"/>
    <w:rsid w:val="00903108"/>
    <w:rsid w:val="00904B59"/>
    <w:rsid w:val="00914368"/>
    <w:rsid w:val="009148C7"/>
    <w:rsid w:val="009221D1"/>
    <w:rsid w:val="009268D4"/>
    <w:rsid w:val="00927457"/>
    <w:rsid w:val="00931002"/>
    <w:rsid w:val="00931076"/>
    <w:rsid w:val="009320AA"/>
    <w:rsid w:val="009345D9"/>
    <w:rsid w:val="00934B15"/>
    <w:rsid w:val="00942B62"/>
    <w:rsid w:val="00956A0C"/>
    <w:rsid w:val="00956BD9"/>
    <w:rsid w:val="00956BE3"/>
    <w:rsid w:val="00957173"/>
    <w:rsid w:val="009603A1"/>
    <w:rsid w:val="00961BF0"/>
    <w:rsid w:val="00962489"/>
    <w:rsid w:val="009634A2"/>
    <w:rsid w:val="00971E13"/>
    <w:rsid w:val="00975A12"/>
    <w:rsid w:val="0098405C"/>
    <w:rsid w:val="009841DD"/>
    <w:rsid w:val="00990269"/>
    <w:rsid w:val="00990C2C"/>
    <w:rsid w:val="009A1B15"/>
    <w:rsid w:val="009A2BF1"/>
    <w:rsid w:val="009A5C83"/>
    <w:rsid w:val="009B29B4"/>
    <w:rsid w:val="009E2BC3"/>
    <w:rsid w:val="009F2BA0"/>
    <w:rsid w:val="009F5BBD"/>
    <w:rsid w:val="009F696D"/>
    <w:rsid w:val="009F6BC6"/>
    <w:rsid w:val="00A01AC5"/>
    <w:rsid w:val="00A11B61"/>
    <w:rsid w:val="00A17328"/>
    <w:rsid w:val="00A17ED4"/>
    <w:rsid w:val="00A23A20"/>
    <w:rsid w:val="00A25D93"/>
    <w:rsid w:val="00A268B9"/>
    <w:rsid w:val="00A2703A"/>
    <w:rsid w:val="00A3076E"/>
    <w:rsid w:val="00A33395"/>
    <w:rsid w:val="00A33633"/>
    <w:rsid w:val="00A33DFF"/>
    <w:rsid w:val="00A343CC"/>
    <w:rsid w:val="00A35115"/>
    <w:rsid w:val="00A554AB"/>
    <w:rsid w:val="00A5741D"/>
    <w:rsid w:val="00A60E23"/>
    <w:rsid w:val="00A65F82"/>
    <w:rsid w:val="00A67127"/>
    <w:rsid w:val="00A730A7"/>
    <w:rsid w:val="00A92B53"/>
    <w:rsid w:val="00A94C13"/>
    <w:rsid w:val="00A94FA6"/>
    <w:rsid w:val="00AA0313"/>
    <w:rsid w:val="00AA49A0"/>
    <w:rsid w:val="00AA6710"/>
    <w:rsid w:val="00AA7470"/>
    <w:rsid w:val="00AB0681"/>
    <w:rsid w:val="00AC0BC3"/>
    <w:rsid w:val="00AD520B"/>
    <w:rsid w:val="00AF4950"/>
    <w:rsid w:val="00AF4E73"/>
    <w:rsid w:val="00B02147"/>
    <w:rsid w:val="00B04452"/>
    <w:rsid w:val="00B04F4A"/>
    <w:rsid w:val="00B14EF9"/>
    <w:rsid w:val="00B17734"/>
    <w:rsid w:val="00B23889"/>
    <w:rsid w:val="00B37604"/>
    <w:rsid w:val="00B40E5F"/>
    <w:rsid w:val="00B42E21"/>
    <w:rsid w:val="00B440AD"/>
    <w:rsid w:val="00B53E7E"/>
    <w:rsid w:val="00B61C5F"/>
    <w:rsid w:val="00B6342E"/>
    <w:rsid w:val="00B64F34"/>
    <w:rsid w:val="00B672C2"/>
    <w:rsid w:val="00B7113F"/>
    <w:rsid w:val="00B7393C"/>
    <w:rsid w:val="00B75555"/>
    <w:rsid w:val="00B8676B"/>
    <w:rsid w:val="00B94610"/>
    <w:rsid w:val="00BA73B6"/>
    <w:rsid w:val="00BB2603"/>
    <w:rsid w:val="00BB4FCD"/>
    <w:rsid w:val="00BC3691"/>
    <w:rsid w:val="00BC6DD1"/>
    <w:rsid w:val="00BD13EA"/>
    <w:rsid w:val="00BD6D58"/>
    <w:rsid w:val="00BE3808"/>
    <w:rsid w:val="00BE4061"/>
    <w:rsid w:val="00BF28A6"/>
    <w:rsid w:val="00C036DD"/>
    <w:rsid w:val="00C04B22"/>
    <w:rsid w:val="00C062E9"/>
    <w:rsid w:val="00C07B64"/>
    <w:rsid w:val="00C13721"/>
    <w:rsid w:val="00C14EA8"/>
    <w:rsid w:val="00C15843"/>
    <w:rsid w:val="00C163A8"/>
    <w:rsid w:val="00C249AE"/>
    <w:rsid w:val="00C3066D"/>
    <w:rsid w:val="00C32547"/>
    <w:rsid w:val="00C36F99"/>
    <w:rsid w:val="00C40196"/>
    <w:rsid w:val="00C45B86"/>
    <w:rsid w:val="00C543F4"/>
    <w:rsid w:val="00C6291C"/>
    <w:rsid w:val="00C633CB"/>
    <w:rsid w:val="00C6607E"/>
    <w:rsid w:val="00C730D1"/>
    <w:rsid w:val="00C7310D"/>
    <w:rsid w:val="00C73E20"/>
    <w:rsid w:val="00C740F1"/>
    <w:rsid w:val="00C82F0C"/>
    <w:rsid w:val="00C86948"/>
    <w:rsid w:val="00C8762C"/>
    <w:rsid w:val="00C94B4A"/>
    <w:rsid w:val="00CA009F"/>
    <w:rsid w:val="00CA00F9"/>
    <w:rsid w:val="00CA2961"/>
    <w:rsid w:val="00CA473E"/>
    <w:rsid w:val="00CB50D7"/>
    <w:rsid w:val="00CB6996"/>
    <w:rsid w:val="00CB6BF0"/>
    <w:rsid w:val="00CB7177"/>
    <w:rsid w:val="00CC08D3"/>
    <w:rsid w:val="00CC1998"/>
    <w:rsid w:val="00CC3D7B"/>
    <w:rsid w:val="00CC4946"/>
    <w:rsid w:val="00CE28FC"/>
    <w:rsid w:val="00CF0501"/>
    <w:rsid w:val="00D01EEB"/>
    <w:rsid w:val="00D114F1"/>
    <w:rsid w:val="00D165EF"/>
    <w:rsid w:val="00D270A4"/>
    <w:rsid w:val="00D30FA6"/>
    <w:rsid w:val="00D31FE9"/>
    <w:rsid w:val="00D3217E"/>
    <w:rsid w:val="00D34E1B"/>
    <w:rsid w:val="00D36008"/>
    <w:rsid w:val="00D3620C"/>
    <w:rsid w:val="00D376BA"/>
    <w:rsid w:val="00D404B9"/>
    <w:rsid w:val="00D5568A"/>
    <w:rsid w:val="00D63D73"/>
    <w:rsid w:val="00D66E1E"/>
    <w:rsid w:val="00D73943"/>
    <w:rsid w:val="00D7536B"/>
    <w:rsid w:val="00D75722"/>
    <w:rsid w:val="00D76C9E"/>
    <w:rsid w:val="00D874B9"/>
    <w:rsid w:val="00D87C34"/>
    <w:rsid w:val="00DA5BBA"/>
    <w:rsid w:val="00DB3545"/>
    <w:rsid w:val="00DB4D88"/>
    <w:rsid w:val="00DB67C9"/>
    <w:rsid w:val="00DC0C95"/>
    <w:rsid w:val="00DC5326"/>
    <w:rsid w:val="00DC7716"/>
    <w:rsid w:val="00DD6580"/>
    <w:rsid w:val="00DD70EB"/>
    <w:rsid w:val="00DE56AD"/>
    <w:rsid w:val="00E07633"/>
    <w:rsid w:val="00E1671F"/>
    <w:rsid w:val="00E17C72"/>
    <w:rsid w:val="00E17FAF"/>
    <w:rsid w:val="00E21786"/>
    <w:rsid w:val="00E21FC6"/>
    <w:rsid w:val="00E31362"/>
    <w:rsid w:val="00E40701"/>
    <w:rsid w:val="00E431A9"/>
    <w:rsid w:val="00E44808"/>
    <w:rsid w:val="00E471E6"/>
    <w:rsid w:val="00E47C1C"/>
    <w:rsid w:val="00E52120"/>
    <w:rsid w:val="00E53FCA"/>
    <w:rsid w:val="00E5560F"/>
    <w:rsid w:val="00E62208"/>
    <w:rsid w:val="00E64EFD"/>
    <w:rsid w:val="00E669E2"/>
    <w:rsid w:val="00E67B86"/>
    <w:rsid w:val="00E71DA6"/>
    <w:rsid w:val="00E76135"/>
    <w:rsid w:val="00E86128"/>
    <w:rsid w:val="00E862EB"/>
    <w:rsid w:val="00E94C31"/>
    <w:rsid w:val="00E95D8F"/>
    <w:rsid w:val="00E971AD"/>
    <w:rsid w:val="00EA2DA5"/>
    <w:rsid w:val="00EA7B0E"/>
    <w:rsid w:val="00EB1C43"/>
    <w:rsid w:val="00EB2E9F"/>
    <w:rsid w:val="00EC2844"/>
    <w:rsid w:val="00EC6ECD"/>
    <w:rsid w:val="00ED082A"/>
    <w:rsid w:val="00ED6816"/>
    <w:rsid w:val="00EE66B1"/>
    <w:rsid w:val="00EE7B49"/>
    <w:rsid w:val="00EF4431"/>
    <w:rsid w:val="00EF5C6E"/>
    <w:rsid w:val="00EF6C6C"/>
    <w:rsid w:val="00F0060A"/>
    <w:rsid w:val="00F01CAC"/>
    <w:rsid w:val="00F056FC"/>
    <w:rsid w:val="00F10476"/>
    <w:rsid w:val="00F135D8"/>
    <w:rsid w:val="00F20FEB"/>
    <w:rsid w:val="00F24868"/>
    <w:rsid w:val="00F31299"/>
    <w:rsid w:val="00F33A4B"/>
    <w:rsid w:val="00F3534A"/>
    <w:rsid w:val="00F36388"/>
    <w:rsid w:val="00F46337"/>
    <w:rsid w:val="00F62CEA"/>
    <w:rsid w:val="00F65720"/>
    <w:rsid w:val="00F759B0"/>
    <w:rsid w:val="00F85325"/>
    <w:rsid w:val="00F92164"/>
    <w:rsid w:val="00F96C78"/>
    <w:rsid w:val="00FA01D1"/>
    <w:rsid w:val="00FA040F"/>
    <w:rsid w:val="00FA30C5"/>
    <w:rsid w:val="00FB12F7"/>
    <w:rsid w:val="00FB1D36"/>
    <w:rsid w:val="00FB3F96"/>
    <w:rsid w:val="00FB51BF"/>
    <w:rsid w:val="00FC4FDA"/>
    <w:rsid w:val="00FC77F7"/>
    <w:rsid w:val="00FD22B1"/>
    <w:rsid w:val="00FD556D"/>
    <w:rsid w:val="00FE6A7D"/>
    <w:rsid w:val="00FE7F76"/>
    <w:rsid w:val="00FF2C9B"/>
    <w:rsid w:val="00FF45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er" w:uiPriority="99"/>
    <w:lsdException w:name="Default Paragraph Font" w:uiPriority="1"/>
    <w:lsdException w:name="Body Text" w:uiPriority="99" w:qFormat="1"/>
    <w:lsdException w:name="Subtitle"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F3CE5"/>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rsid w:val="00F62CEA"/>
    <w:pPr>
      <w:keepNext/>
      <w:spacing w:before="160" w:after="1360" w:line="600" w:lineRule="exact"/>
      <w:ind w:left="907" w:hanging="907"/>
      <w:jc w:val="left"/>
      <w:outlineLvl w:val="0"/>
    </w:pPr>
    <w:rPr>
      <w:b/>
      <w:color w:val="86A20B"/>
      <w:sz w:val="52"/>
    </w:rPr>
  </w:style>
  <w:style w:type="paragraph" w:styleId="Heading2">
    <w:name w:val="heading 2"/>
    <w:basedOn w:val="Chapter"/>
    <w:next w:val="BodyText"/>
    <w:qFormat/>
    <w:rsid w:val="00F62CEA"/>
    <w:pPr>
      <w:spacing w:before="600" w:after="0" w:line="480" w:lineRule="exact"/>
      <w:ind w:left="907" w:hanging="907"/>
      <w:outlineLvl w:val="1"/>
    </w:pPr>
    <w:rPr>
      <w:color w:val="4298B5"/>
      <w:sz w:val="40"/>
    </w:rPr>
  </w:style>
  <w:style w:type="paragraph" w:styleId="Heading3">
    <w:name w:val="heading 3"/>
    <w:basedOn w:val="Heading2"/>
    <w:next w:val="BodyText"/>
    <w:link w:val="Heading3Char"/>
    <w:qFormat/>
    <w:rsid w:val="00F62CEA"/>
    <w:pPr>
      <w:spacing w:before="560" w:line="380" w:lineRule="exact"/>
      <w:ind w:left="0" w:firstLine="0"/>
      <w:outlineLvl w:val="2"/>
    </w:pPr>
    <w:rPr>
      <w:color w:val="auto"/>
      <w:sz w:val="32"/>
    </w:rPr>
  </w:style>
  <w:style w:type="paragraph" w:styleId="Heading4">
    <w:name w:val="heading 4"/>
    <w:basedOn w:val="Heading3"/>
    <w:next w:val="BodyText"/>
    <w:qFormat/>
    <w:rsid w:val="00F62CEA"/>
    <w:pPr>
      <w:spacing w:before="480" w:line="360" w:lineRule="exact"/>
      <w:outlineLvl w:val="3"/>
    </w:pPr>
    <w:rPr>
      <w:b w:val="0"/>
      <w:i/>
      <w:sz w:val="28"/>
    </w:rPr>
  </w:style>
  <w:style w:type="paragraph" w:styleId="Heading5">
    <w:name w:val="heading 5"/>
    <w:basedOn w:val="Heading4"/>
    <w:next w:val="BodyText"/>
    <w:qFormat/>
    <w:rsid w:val="00F62CEA"/>
    <w:pPr>
      <w:spacing w:line="320" w:lineRule="exact"/>
      <w:outlineLvl w:val="4"/>
    </w:pPr>
    <w:rPr>
      <w:sz w:val="24"/>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sz w:val="20"/>
    </w:rPr>
  </w:style>
  <w:style w:type="paragraph" w:styleId="Heading8">
    <w:name w:val="heading 8"/>
    <w:basedOn w:val="BodyText"/>
    <w:next w:val="BodyText"/>
    <w:rsid w:val="00A17328"/>
    <w:pPr>
      <w:spacing w:after="60" w:line="240" w:lineRule="auto"/>
      <w:jc w:val="left"/>
      <w:outlineLvl w:val="7"/>
    </w:pPr>
    <w:rPr>
      <w:i/>
      <w:sz w:val="20"/>
    </w:rPr>
  </w:style>
  <w:style w:type="paragraph" w:styleId="Heading9">
    <w:name w:val="heading 9"/>
    <w:basedOn w:val="BodyText"/>
    <w:next w:val="BodyText"/>
    <w:rsid w:val="00A17328"/>
    <w:pPr>
      <w:spacing w:after="60" w:line="240" w:lineRule="auto"/>
      <w:jc w:val="left"/>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E47C1C"/>
    <w:pPr>
      <w:spacing w:before="240" w:line="320" w:lineRule="atLeast"/>
      <w:jc w:val="both"/>
    </w:pPr>
    <w:rPr>
      <w:rFonts w:ascii="Arial" w:hAnsi="Arial"/>
      <w:color w:val="1C1C1C"/>
      <w:sz w:val="24"/>
    </w:rPr>
  </w:style>
  <w:style w:type="paragraph" w:styleId="Footer">
    <w:name w:val="footer"/>
    <w:basedOn w:val="BodyText"/>
    <w:link w:val="FooterChar"/>
    <w:uiPriority w:val="99"/>
    <w:rsid w:val="002B6178"/>
    <w:pPr>
      <w:spacing w:before="80" w:line="200" w:lineRule="exact"/>
      <w:ind w:right="6"/>
      <w:jc w:val="left"/>
    </w:pPr>
    <w:rPr>
      <w:caps/>
      <w:color w:val="333333"/>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3076E"/>
    <w:rPr>
      <w:rFonts w:ascii="Arial" w:hAnsi="Arial"/>
      <w:b/>
      <w:color w:val="333333"/>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sz w:val="22"/>
    </w:rPr>
  </w:style>
  <w:style w:type="paragraph" w:customStyle="1" w:styleId="BoxContinued">
    <w:name w:val="Box Continued"/>
    <w:basedOn w:val="BodyText"/>
    <w:next w:val="BodyText"/>
    <w:semiHidden/>
    <w:rsid w:val="00A17328"/>
    <w:pPr>
      <w:spacing w:before="180" w:line="220" w:lineRule="exact"/>
      <w:jc w:val="right"/>
    </w:pPr>
    <w:rPr>
      <w:sz w:val="18"/>
    </w:rPr>
  </w:style>
  <w:style w:type="paragraph" w:customStyle="1" w:styleId="BoxHeading1">
    <w:name w:val="Box Heading 1"/>
    <w:basedOn w:val="BodyText"/>
    <w:next w:val="Box"/>
    <w:rsid w:val="00A17328"/>
    <w:pPr>
      <w:keepNext/>
      <w:spacing w:before="200" w:line="280" w:lineRule="atLeast"/>
    </w:pPr>
    <w:rPr>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sz w:val="22"/>
    </w:rPr>
  </w:style>
  <w:style w:type="paragraph" w:customStyle="1" w:styleId="BoxListNumber">
    <w:name w:val="Box List Number"/>
    <w:basedOn w:val="BodyText"/>
    <w:rsid w:val="00864ADC"/>
    <w:pPr>
      <w:keepNext/>
      <w:numPr>
        <w:numId w:val="39"/>
      </w:numPr>
      <w:spacing w:before="120" w:line="280" w:lineRule="atLeast"/>
    </w:pPr>
    <w:rPr>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sz w:val="20"/>
    </w:rPr>
  </w:style>
  <w:style w:type="paragraph" w:customStyle="1" w:styleId="Note">
    <w:name w:val="Note"/>
    <w:basedOn w:val="BodyText"/>
    <w:next w:val="Normal"/>
    <w:rsid w:val="00A17328"/>
    <w:pPr>
      <w:keepLines/>
      <w:spacing w:before="80" w:line="220" w:lineRule="exact"/>
    </w:pPr>
    <w:rPr>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eastAsia="Times New Roman" w:hAnsi="Arial" w:cs="Times New Roman"/>
      <w:b/>
      <w:sz w:val="26"/>
      <w:szCs w:val="24"/>
      <w:lang w:eastAsia="en-AU"/>
    </w:rPr>
  </w:style>
  <w:style w:type="paragraph" w:customStyle="1" w:styleId="BoxTitle">
    <w:name w:val="Box Title"/>
    <w:basedOn w:val="Caption"/>
    <w:next w:val="Normal"/>
    <w:rsid w:val="0005152B"/>
    <w:pPr>
      <w:spacing w:before="120" w:after="0" w:line="320" w:lineRule="exact"/>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after="0" w:line="240" w:lineRule="atLeast"/>
      <w:ind w:left="567" w:hanging="567"/>
    </w:pPr>
    <w:rPr>
      <w:rFonts w:ascii="Times New Roman" w:eastAsia="Times New Roman" w:hAnsi="Times New Roman" w:cs="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67127"/>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after="0" w:line="320" w:lineRule="atLeast"/>
      <w:jc w:val="both"/>
    </w:pPr>
    <w:rPr>
      <w:rFonts w:ascii="Times New Roman" w:eastAsia="Times New Roman" w:hAnsi="Times New Roman" w:cs="Times New Roman"/>
      <w:b/>
      <w:i/>
      <w:sz w:val="26"/>
      <w:szCs w:val="20"/>
      <w:lang w:eastAsia="en-AU"/>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67127"/>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eastAsia="Times New Roman" w:hAnsi="Times New Roman" w:cs="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pPr>
      <w:spacing w:after="0" w:line="240" w:lineRule="auto"/>
    </w:pPr>
    <w:rPr>
      <w:rFonts w:ascii="Tahoma" w:eastAsia="Times New Roman"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sz w:val="22"/>
    </w:rPr>
  </w:style>
  <w:style w:type="character" w:styleId="Emphasis">
    <w:name w:val="Emphasis"/>
    <w:basedOn w:val="DefaultParagraphFont"/>
    <w:rsid w:val="00DA5BBA"/>
    <w:rPr>
      <w:i/>
      <w:iCs/>
    </w:rPr>
  </w:style>
  <w:style w:type="paragraph" w:customStyle="1" w:styleId="OZNZQuestion">
    <w:name w:val="OZNZ Question"/>
    <w:basedOn w:val="Normal"/>
    <w:uiPriority w:val="99"/>
    <w:qFormat/>
    <w:rsid w:val="00291CB8"/>
    <w:pPr>
      <w:spacing w:after="0" w:line="320" w:lineRule="atLeast"/>
      <w:jc w:val="both"/>
    </w:pPr>
    <w:rPr>
      <w:rFonts w:ascii="Arial" w:eastAsia="Times New Roman" w:hAnsi="Arial" w:cs="Arial"/>
      <w:sz w:val="24"/>
      <w:szCs w:val="24"/>
      <w:lang w:eastAsia="en-AU"/>
    </w:rPr>
  </w:style>
  <w:style w:type="character" w:customStyle="1" w:styleId="FooterChar">
    <w:name w:val="Footer Char"/>
    <w:basedOn w:val="DefaultParagraphFont"/>
    <w:link w:val="Footer"/>
    <w:uiPriority w:val="99"/>
    <w:rsid w:val="002B6178"/>
    <w:rPr>
      <w:rFonts w:ascii="Arial" w:hAnsi="Arial"/>
      <w:caps/>
      <w:color w:val="333333"/>
      <w:spacing w:val="-4"/>
      <w:sz w:val="16"/>
    </w:rPr>
  </w:style>
  <w:style w:type="paragraph" w:customStyle="1" w:styleId="OZNZbodytext">
    <w:name w:val="OZNZ bodytext"/>
    <w:basedOn w:val="Normal"/>
    <w:link w:val="OZNZbodytextChar"/>
    <w:uiPriority w:val="99"/>
    <w:qFormat/>
    <w:rsid w:val="00C249AE"/>
    <w:pPr>
      <w:spacing w:before="240" w:after="0" w:line="320" w:lineRule="atLeast"/>
      <w:jc w:val="both"/>
    </w:pPr>
    <w:rPr>
      <w:rFonts w:ascii="Arial" w:eastAsia="Times New Roman" w:hAnsi="Arial" w:cs="Arial"/>
      <w:sz w:val="24"/>
      <w:szCs w:val="24"/>
      <w:lang w:eastAsia="en-AU"/>
    </w:rPr>
  </w:style>
  <w:style w:type="character" w:customStyle="1" w:styleId="OZNZbodytextChar">
    <w:name w:val="OZNZ bodytext Char"/>
    <w:basedOn w:val="DefaultParagraphFont"/>
    <w:link w:val="OZNZbodytext"/>
    <w:uiPriority w:val="99"/>
    <w:rsid w:val="00C249AE"/>
    <w:rPr>
      <w:rFonts w:ascii="Arial" w:hAnsi="Arial" w:cs="Arial"/>
      <w:sz w:val="24"/>
      <w:szCs w:val="24"/>
    </w:rPr>
  </w:style>
  <w:style w:type="character" w:customStyle="1" w:styleId="BodyTextChar">
    <w:name w:val="Body Text Char"/>
    <w:basedOn w:val="DefaultParagraphFont"/>
    <w:link w:val="BodyText"/>
    <w:uiPriority w:val="99"/>
    <w:rsid w:val="006F75F1"/>
    <w:rPr>
      <w:rFonts w:ascii="Arial" w:hAnsi="Arial"/>
      <w:color w:val="1C1C1C"/>
      <w:sz w:val="24"/>
    </w:rPr>
  </w:style>
  <w:style w:type="character" w:customStyle="1" w:styleId="Heading3Char">
    <w:name w:val="Heading 3 Char"/>
    <w:basedOn w:val="DefaultParagraphFont"/>
    <w:link w:val="Heading3"/>
    <w:rsid w:val="002F18CD"/>
    <w:rPr>
      <w:rFonts w:ascii="Arial" w:hAnsi="Arial"/>
      <w:b/>
      <w:sz w:val="32"/>
    </w:rPr>
  </w:style>
  <w:style w:type="character" w:styleId="Hyperlink">
    <w:name w:val="Hyperlink"/>
    <w:basedOn w:val="DefaultParagraphFont"/>
    <w:rsid w:val="007F670E"/>
    <w:rPr>
      <w:color w:val="0000FF" w:themeColor="hyperlink"/>
      <w:u w:val="single"/>
    </w:rPr>
  </w:style>
  <w:style w:type="paragraph" w:styleId="NoSpacing">
    <w:name w:val="No Spacing"/>
    <w:uiPriority w:val="1"/>
    <w:qFormat/>
    <w:rsid w:val="003E08B4"/>
    <w:rPr>
      <w:rFonts w:asciiTheme="minorHAnsi" w:eastAsiaTheme="minorHAnsi" w:hAnsiTheme="minorHAnsi" w:cstheme="minorBidi"/>
      <w:sz w:val="22"/>
      <w:szCs w:val="22"/>
      <w:lang w:val="en-NZ" w:eastAsia="en-US"/>
    </w:rPr>
  </w:style>
  <w:style w:type="paragraph" w:styleId="CommentSubject">
    <w:name w:val="annotation subject"/>
    <w:basedOn w:val="CommentText"/>
    <w:next w:val="CommentText"/>
    <w:link w:val="CommentSubjectChar"/>
    <w:rsid w:val="00F20FE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20FEB"/>
    <w:rPr>
      <w:szCs w:val="24"/>
    </w:rPr>
  </w:style>
  <w:style w:type="character" w:customStyle="1" w:styleId="CommentSubjectChar">
    <w:name w:val="Comment Subject Char"/>
    <w:basedOn w:val="CommentTextChar"/>
    <w:link w:val="CommentSubject"/>
    <w:rsid w:val="00F20FEB"/>
    <w:rPr>
      <w:b/>
      <w:bCs/>
      <w:szCs w:val="24"/>
    </w:rPr>
  </w:style>
  <w:style w:type="paragraph" w:styleId="Revision">
    <w:name w:val="Revision"/>
    <w:hidden/>
    <w:uiPriority w:val="99"/>
    <w:semiHidden/>
    <w:rsid w:val="00B7393C"/>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er" w:uiPriority="99"/>
    <w:lsdException w:name="Default Paragraph Font" w:uiPriority="1"/>
    <w:lsdException w:name="Body Text" w:uiPriority="99" w:qFormat="1"/>
    <w:lsdException w:name="Subtitle"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F3CE5"/>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rsid w:val="00F62CEA"/>
    <w:pPr>
      <w:keepNext/>
      <w:spacing w:before="160" w:after="1360" w:line="600" w:lineRule="exact"/>
      <w:ind w:left="907" w:hanging="907"/>
      <w:jc w:val="left"/>
      <w:outlineLvl w:val="0"/>
    </w:pPr>
    <w:rPr>
      <w:b/>
      <w:color w:val="86A20B"/>
      <w:sz w:val="52"/>
    </w:rPr>
  </w:style>
  <w:style w:type="paragraph" w:styleId="Heading2">
    <w:name w:val="heading 2"/>
    <w:basedOn w:val="Chapter"/>
    <w:next w:val="BodyText"/>
    <w:qFormat/>
    <w:rsid w:val="00F62CEA"/>
    <w:pPr>
      <w:spacing w:before="600" w:after="0" w:line="480" w:lineRule="exact"/>
      <w:ind w:left="907" w:hanging="907"/>
      <w:outlineLvl w:val="1"/>
    </w:pPr>
    <w:rPr>
      <w:color w:val="4298B5"/>
      <w:sz w:val="40"/>
    </w:rPr>
  </w:style>
  <w:style w:type="paragraph" w:styleId="Heading3">
    <w:name w:val="heading 3"/>
    <w:basedOn w:val="Heading2"/>
    <w:next w:val="BodyText"/>
    <w:link w:val="Heading3Char"/>
    <w:qFormat/>
    <w:rsid w:val="00F62CEA"/>
    <w:pPr>
      <w:spacing w:before="560" w:line="380" w:lineRule="exact"/>
      <w:ind w:left="0" w:firstLine="0"/>
      <w:outlineLvl w:val="2"/>
    </w:pPr>
    <w:rPr>
      <w:color w:val="auto"/>
      <w:sz w:val="32"/>
    </w:rPr>
  </w:style>
  <w:style w:type="paragraph" w:styleId="Heading4">
    <w:name w:val="heading 4"/>
    <w:basedOn w:val="Heading3"/>
    <w:next w:val="BodyText"/>
    <w:qFormat/>
    <w:rsid w:val="00F62CEA"/>
    <w:pPr>
      <w:spacing w:before="480" w:line="360" w:lineRule="exact"/>
      <w:outlineLvl w:val="3"/>
    </w:pPr>
    <w:rPr>
      <w:b w:val="0"/>
      <w:i/>
      <w:sz w:val="28"/>
    </w:rPr>
  </w:style>
  <w:style w:type="paragraph" w:styleId="Heading5">
    <w:name w:val="heading 5"/>
    <w:basedOn w:val="Heading4"/>
    <w:next w:val="BodyText"/>
    <w:qFormat/>
    <w:rsid w:val="00F62CEA"/>
    <w:pPr>
      <w:spacing w:line="320" w:lineRule="exact"/>
      <w:outlineLvl w:val="4"/>
    </w:pPr>
    <w:rPr>
      <w:sz w:val="24"/>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sz w:val="20"/>
    </w:rPr>
  </w:style>
  <w:style w:type="paragraph" w:styleId="Heading8">
    <w:name w:val="heading 8"/>
    <w:basedOn w:val="BodyText"/>
    <w:next w:val="BodyText"/>
    <w:rsid w:val="00A17328"/>
    <w:pPr>
      <w:spacing w:after="60" w:line="240" w:lineRule="auto"/>
      <w:jc w:val="left"/>
      <w:outlineLvl w:val="7"/>
    </w:pPr>
    <w:rPr>
      <w:i/>
      <w:sz w:val="20"/>
    </w:rPr>
  </w:style>
  <w:style w:type="paragraph" w:styleId="Heading9">
    <w:name w:val="heading 9"/>
    <w:basedOn w:val="BodyText"/>
    <w:next w:val="BodyText"/>
    <w:rsid w:val="00A17328"/>
    <w:pPr>
      <w:spacing w:after="60" w:line="240" w:lineRule="auto"/>
      <w:jc w:val="left"/>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E47C1C"/>
    <w:pPr>
      <w:spacing w:before="240" w:line="320" w:lineRule="atLeast"/>
      <w:jc w:val="both"/>
    </w:pPr>
    <w:rPr>
      <w:rFonts w:ascii="Arial" w:hAnsi="Arial"/>
      <w:color w:val="1C1C1C"/>
      <w:sz w:val="24"/>
    </w:rPr>
  </w:style>
  <w:style w:type="paragraph" w:styleId="Footer">
    <w:name w:val="footer"/>
    <w:basedOn w:val="BodyText"/>
    <w:link w:val="FooterChar"/>
    <w:uiPriority w:val="99"/>
    <w:rsid w:val="002B6178"/>
    <w:pPr>
      <w:spacing w:before="80" w:line="200" w:lineRule="exact"/>
      <w:ind w:right="6"/>
      <w:jc w:val="left"/>
    </w:pPr>
    <w:rPr>
      <w:caps/>
      <w:color w:val="333333"/>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3076E"/>
    <w:rPr>
      <w:rFonts w:ascii="Arial" w:hAnsi="Arial"/>
      <w:b/>
      <w:color w:val="333333"/>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sz w:val="22"/>
    </w:rPr>
  </w:style>
  <w:style w:type="paragraph" w:customStyle="1" w:styleId="BoxContinued">
    <w:name w:val="Box Continued"/>
    <w:basedOn w:val="BodyText"/>
    <w:next w:val="BodyText"/>
    <w:semiHidden/>
    <w:rsid w:val="00A17328"/>
    <w:pPr>
      <w:spacing w:before="180" w:line="220" w:lineRule="exact"/>
      <w:jc w:val="right"/>
    </w:pPr>
    <w:rPr>
      <w:sz w:val="18"/>
    </w:rPr>
  </w:style>
  <w:style w:type="paragraph" w:customStyle="1" w:styleId="BoxHeading1">
    <w:name w:val="Box Heading 1"/>
    <w:basedOn w:val="BodyText"/>
    <w:next w:val="Box"/>
    <w:rsid w:val="00A17328"/>
    <w:pPr>
      <w:keepNext/>
      <w:spacing w:before="200" w:line="280" w:lineRule="atLeast"/>
    </w:pPr>
    <w:rPr>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sz w:val="22"/>
    </w:rPr>
  </w:style>
  <w:style w:type="paragraph" w:customStyle="1" w:styleId="BoxListNumber">
    <w:name w:val="Box List Number"/>
    <w:basedOn w:val="BodyText"/>
    <w:rsid w:val="00864ADC"/>
    <w:pPr>
      <w:keepNext/>
      <w:numPr>
        <w:numId w:val="39"/>
      </w:numPr>
      <w:spacing w:before="120" w:line="280" w:lineRule="atLeast"/>
    </w:pPr>
    <w:rPr>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sz w:val="20"/>
    </w:rPr>
  </w:style>
  <w:style w:type="paragraph" w:customStyle="1" w:styleId="Note">
    <w:name w:val="Note"/>
    <w:basedOn w:val="BodyText"/>
    <w:next w:val="Normal"/>
    <w:rsid w:val="00A17328"/>
    <w:pPr>
      <w:keepLines/>
      <w:spacing w:before="80" w:line="220" w:lineRule="exact"/>
    </w:pPr>
    <w:rPr>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eastAsia="Times New Roman" w:hAnsi="Arial" w:cs="Times New Roman"/>
      <w:b/>
      <w:sz w:val="26"/>
      <w:szCs w:val="24"/>
      <w:lang w:eastAsia="en-AU"/>
    </w:rPr>
  </w:style>
  <w:style w:type="paragraph" w:customStyle="1" w:styleId="BoxTitle">
    <w:name w:val="Box Title"/>
    <w:basedOn w:val="Caption"/>
    <w:next w:val="Normal"/>
    <w:rsid w:val="0005152B"/>
    <w:pPr>
      <w:spacing w:before="120" w:after="0" w:line="320" w:lineRule="exact"/>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after="0" w:line="240" w:lineRule="atLeast"/>
      <w:ind w:left="567" w:hanging="567"/>
    </w:pPr>
    <w:rPr>
      <w:rFonts w:ascii="Times New Roman" w:eastAsia="Times New Roman" w:hAnsi="Times New Roman" w:cs="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67127"/>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after="0" w:line="320" w:lineRule="atLeast"/>
      <w:jc w:val="both"/>
    </w:pPr>
    <w:rPr>
      <w:rFonts w:ascii="Times New Roman" w:eastAsia="Times New Roman" w:hAnsi="Times New Roman" w:cs="Times New Roman"/>
      <w:b/>
      <w:i/>
      <w:sz w:val="26"/>
      <w:szCs w:val="20"/>
      <w:lang w:eastAsia="en-AU"/>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67127"/>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eastAsia="Times New Roman" w:hAnsi="Times New Roman" w:cs="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pPr>
      <w:spacing w:after="0" w:line="240" w:lineRule="auto"/>
    </w:pPr>
    <w:rPr>
      <w:rFonts w:ascii="Tahoma" w:eastAsia="Times New Roman"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sz w:val="22"/>
    </w:rPr>
  </w:style>
  <w:style w:type="character" w:styleId="Emphasis">
    <w:name w:val="Emphasis"/>
    <w:basedOn w:val="DefaultParagraphFont"/>
    <w:rsid w:val="00DA5BBA"/>
    <w:rPr>
      <w:i/>
      <w:iCs/>
    </w:rPr>
  </w:style>
  <w:style w:type="paragraph" w:customStyle="1" w:styleId="OZNZQuestion">
    <w:name w:val="OZNZ Question"/>
    <w:basedOn w:val="Normal"/>
    <w:uiPriority w:val="99"/>
    <w:qFormat/>
    <w:rsid w:val="00291CB8"/>
    <w:pPr>
      <w:spacing w:after="0" w:line="320" w:lineRule="atLeast"/>
      <w:jc w:val="both"/>
    </w:pPr>
    <w:rPr>
      <w:rFonts w:ascii="Arial" w:eastAsia="Times New Roman" w:hAnsi="Arial" w:cs="Arial"/>
      <w:sz w:val="24"/>
      <w:szCs w:val="24"/>
      <w:lang w:eastAsia="en-AU"/>
    </w:rPr>
  </w:style>
  <w:style w:type="character" w:customStyle="1" w:styleId="FooterChar">
    <w:name w:val="Footer Char"/>
    <w:basedOn w:val="DefaultParagraphFont"/>
    <w:link w:val="Footer"/>
    <w:uiPriority w:val="99"/>
    <w:rsid w:val="002B6178"/>
    <w:rPr>
      <w:rFonts w:ascii="Arial" w:hAnsi="Arial"/>
      <w:caps/>
      <w:color w:val="333333"/>
      <w:spacing w:val="-4"/>
      <w:sz w:val="16"/>
    </w:rPr>
  </w:style>
  <w:style w:type="paragraph" w:customStyle="1" w:styleId="OZNZbodytext">
    <w:name w:val="OZNZ bodytext"/>
    <w:basedOn w:val="Normal"/>
    <w:link w:val="OZNZbodytextChar"/>
    <w:uiPriority w:val="99"/>
    <w:qFormat/>
    <w:rsid w:val="00C249AE"/>
    <w:pPr>
      <w:spacing w:before="240" w:after="0" w:line="320" w:lineRule="atLeast"/>
      <w:jc w:val="both"/>
    </w:pPr>
    <w:rPr>
      <w:rFonts w:ascii="Arial" w:eastAsia="Times New Roman" w:hAnsi="Arial" w:cs="Arial"/>
      <w:sz w:val="24"/>
      <w:szCs w:val="24"/>
      <w:lang w:eastAsia="en-AU"/>
    </w:rPr>
  </w:style>
  <w:style w:type="character" w:customStyle="1" w:styleId="OZNZbodytextChar">
    <w:name w:val="OZNZ bodytext Char"/>
    <w:basedOn w:val="DefaultParagraphFont"/>
    <w:link w:val="OZNZbodytext"/>
    <w:uiPriority w:val="99"/>
    <w:rsid w:val="00C249AE"/>
    <w:rPr>
      <w:rFonts w:ascii="Arial" w:hAnsi="Arial" w:cs="Arial"/>
      <w:sz w:val="24"/>
      <w:szCs w:val="24"/>
    </w:rPr>
  </w:style>
  <w:style w:type="character" w:customStyle="1" w:styleId="BodyTextChar">
    <w:name w:val="Body Text Char"/>
    <w:basedOn w:val="DefaultParagraphFont"/>
    <w:link w:val="BodyText"/>
    <w:uiPriority w:val="99"/>
    <w:rsid w:val="006F75F1"/>
    <w:rPr>
      <w:rFonts w:ascii="Arial" w:hAnsi="Arial"/>
      <w:color w:val="1C1C1C"/>
      <w:sz w:val="24"/>
    </w:rPr>
  </w:style>
  <w:style w:type="character" w:customStyle="1" w:styleId="Heading3Char">
    <w:name w:val="Heading 3 Char"/>
    <w:basedOn w:val="DefaultParagraphFont"/>
    <w:link w:val="Heading3"/>
    <w:rsid w:val="002F18CD"/>
    <w:rPr>
      <w:rFonts w:ascii="Arial" w:hAnsi="Arial"/>
      <w:b/>
      <w:sz w:val="32"/>
    </w:rPr>
  </w:style>
  <w:style w:type="character" w:styleId="Hyperlink">
    <w:name w:val="Hyperlink"/>
    <w:basedOn w:val="DefaultParagraphFont"/>
    <w:rsid w:val="007F670E"/>
    <w:rPr>
      <w:color w:val="0000FF" w:themeColor="hyperlink"/>
      <w:u w:val="single"/>
    </w:rPr>
  </w:style>
  <w:style w:type="paragraph" w:styleId="NoSpacing">
    <w:name w:val="No Spacing"/>
    <w:uiPriority w:val="1"/>
    <w:qFormat/>
    <w:rsid w:val="003E08B4"/>
    <w:rPr>
      <w:rFonts w:asciiTheme="minorHAnsi" w:eastAsiaTheme="minorHAnsi" w:hAnsiTheme="minorHAnsi" w:cstheme="minorBidi"/>
      <w:sz w:val="22"/>
      <w:szCs w:val="22"/>
      <w:lang w:val="en-NZ" w:eastAsia="en-US"/>
    </w:rPr>
  </w:style>
  <w:style w:type="paragraph" w:styleId="CommentSubject">
    <w:name w:val="annotation subject"/>
    <w:basedOn w:val="CommentText"/>
    <w:next w:val="CommentText"/>
    <w:link w:val="CommentSubjectChar"/>
    <w:rsid w:val="00F20FE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20FEB"/>
    <w:rPr>
      <w:szCs w:val="24"/>
    </w:rPr>
  </w:style>
  <w:style w:type="character" w:customStyle="1" w:styleId="CommentSubjectChar">
    <w:name w:val="Comment Subject Char"/>
    <w:basedOn w:val="CommentTextChar"/>
    <w:link w:val="CommentSubject"/>
    <w:rsid w:val="00F20FEB"/>
    <w:rPr>
      <w:b/>
      <w:bCs/>
      <w:szCs w:val="24"/>
    </w:rPr>
  </w:style>
  <w:style w:type="paragraph" w:styleId="Revision">
    <w:name w:val="Revision"/>
    <w:hidden/>
    <w:uiPriority w:val="99"/>
    <w:semiHidden/>
    <w:rsid w:val="00B7393C"/>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648475">
      <w:bodyDiv w:val="1"/>
      <w:marLeft w:val="0"/>
      <w:marRight w:val="0"/>
      <w:marTop w:val="0"/>
      <w:marBottom w:val="0"/>
      <w:divBdr>
        <w:top w:val="none" w:sz="0" w:space="0" w:color="auto"/>
        <w:left w:val="none" w:sz="0" w:space="0" w:color="auto"/>
        <w:bottom w:val="none" w:sz="0" w:space="0" w:color="auto"/>
        <w:right w:val="none" w:sz="0" w:space="0" w:color="auto"/>
      </w:divBdr>
    </w:div>
    <w:div w:id="502472142">
      <w:bodyDiv w:val="1"/>
      <w:marLeft w:val="0"/>
      <w:marRight w:val="0"/>
      <w:marTop w:val="0"/>
      <w:marBottom w:val="0"/>
      <w:divBdr>
        <w:top w:val="none" w:sz="0" w:space="0" w:color="auto"/>
        <w:left w:val="none" w:sz="0" w:space="0" w:color="auto"/>
        <w:bottom w:val="none" w:sz="0" w:space="0" w:color="auto"/>
        <w:right w:val="none" w:sz="0" w:space="0" w:color="auto"/>
      </w:divBdr>
    </w:div>
    <w:div w:id="160118493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193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ANZPC\template2010\chapterANZ.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03DE3-1530-460D-AC64-086F653D4A59}">
  <ds:schemaRefs>
    <ds:schemaRef ds:uri="http://schemas.openxmlformats.org/officeDocument/2006/bibliography"/>
  </ds:schemaRefs>
</ds:datastoreItem>
</file>

<file path=customXml/itemProps2.xml><?xml version="1.0" encoding="utf-8"?>
<ds:datastoreItem xmlns:ds="http://schemas.openxmlformats.org/officeDocument/2006/customXml" ds:itemID="{01519FD9-3706-4F8E-8A84-38808728D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chapterANZ.dotm</Template>
  <TotalTime>486</TotalTime>
  <Pages>7</Pages>
  <Words>2134</Words>
  <Characters>12375</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Introduction</vt:lpstr>
    </vt:vector>
  </TitlesOfParts>
  <Company>Productivity Commission</Company>
  <LinksUpToDate>false</LinksUpToDate>
  <CharactersWithSpaces>14481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Strengthening Trans-Tasman Economic Relations</dc:subject>
  <dc:creator>Australian and New Zealand Productivity Commissions</dc:creator>
  <dc:description>1.</dc:description>
  <cp:lastModifiedBy>Cross, Michelle</cp:lastModifiedBy>
  <cp:revision>45</cp:revision>
  <cp:lastPrinted>2012-12-04T05:38:00Z</cp:lastPrinted>
  <dcterms:created xsi:type="dcterms:W3CDTF">2012-10-11T21:10:00Z</dcterms:created>
  <dcterms:modified xsi:type="dcterms:W3CDTF">2012-12-04T05:38:00Z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1954951804</vt:i4>
  </property>
  <property fmtid="{D5CDD505-2E9C-101B-9397-08002B2CF9AE}" pid="3" name="_NewReviewCycle">
    <vt:lpwstr/>
  </property>
  <property fmtid="{D5CDD505-2E9C-101B-9397-08002B2CF9AE}" pid="4" name="_EmailSubject">
    <vt:lpwstr>Web files for the OZ-NZ final report</vt:lpwstr>
  </property>
  <property fmtid="{D5CDD505-2E9C-101B-9397-08002B2CF9AE}" pid="5" name="_AuthorEmail">
    <vt:lpwstr>Louise.Jordan@pc.gov.au</vt:lpwstr>
  </property>
  <property fmtid="{D5CDD505-2E9C-101B-9397-08002B2CF9AE}" pid="6" name="_AuthorEmailDisplayName">
    <vt:lpwstr>Jordan, Louise</vt:lpwstr>
  </property>
</Properties>
</file>