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72B32" w14:textId="77777777" w:rsidR="00A33DFF" w:rsidRDefault="005256BE" w:rsidP="007C1C05">
      <w:pPr>
        <w:pStyle w:val="Heading1"/>
        <w:spacing w:before="0"/>
      </w:pPr>
      <w:r>
        <w:t>3</w:t>
      </w:r>
      <w:r>
        <w:tab/>
      </w:r>
      <w:bookmarkStart w:id="0" w:name="ChapterTitle"/>
      <w:proofErr w:type="spellStart"/>
      <w:r>
        <w:t>CER</w:t>
      </w:r>
      <w:proofErr w:type="spellEnd"/>
      <w:r>
        <w:t xml:space="preserve"> — achievements and implications for the futur</w:t>
      </w:r>
      <w:bookmarkEnd w:id="0"/>
      <w:r w:rsidR="00FA4BB0">
        <w:t>e</w:t>
      </w:r>
    </w:p>
    <w:p w14:paraId="7A40F520" w14:textId="77777777" w:rsidR="00AC77C7" w:rsidRDefault="00AC77C7">
      <w:pPr>
        <w:pStyle w:val="BoxSpace"/>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AC77C7" w14:paraId="5310E277" w14:textId="77777777" w:rsidTr="00AC77C7">
        <w:tc>
          <w:tcPr>
            <w:tcW w:w="8771" w:type="dxa"/>
            <w:shd w:val="clear" w:color="auto" w:fill="E7ECCE"/>
          </w:tcPr>
          <w:p w14:paraId="2908D645" w14:textId="77777777" w:rsidR="00AC77C7" w:rsidRPr="0005152B" w:rsidRDefault="00AC77C7" w:rsidP="00AC77C7">
            <w:pPr>
              <w:pStyle w:val="BoxTitle"/>
            </w:pPr>
            <w:r>
              <w:t>Key points</w:t>
            </w:r>
          </w:p>
        </w:tc>
      </w:tr>
      <w:tr w:rsidR="00AC77C7" w14:paraId="20AC08E6" w14:textId="77777777" w:rsidTr="00AC77C7">
        <w:trPr>
          <w:cantSplit/>
        </w:trPr>
        <w:tc>
          <w:tcPr>
            <w:tcW w:w="8771" w:type="dxa"/>
            <w:shd w:val="clear" w:color="auto" w:fill="E7ECCE"/>
          </w:tcPr>
          <w:p w14:paraId="49CCE16C" w14:textId="7DB3D490" w:rsidR="00AC77C7" w:rsidRPr="007B3BF3" w:rsidRDefault="00CD601A" w:rsidP="00FF2CFB">
            <w:pPr>
              <w:pStyle w:val="BoxListBullet"/>
              <w:spacing w:before="100"/>
            </w:pPr>
            <w:proofErr w:type="spellStart"/>
            <w:r>
              <w:t>CER</w:t>
            </w:r>
            <w:proofErr w:type="spellEnd"/>
            <w:r>
              <w:t xml:space="preserve"> dates from the 1983 </w:t>
            </w:r>
            <w:proofErr w:type="spellStart"/>
            <w:r w:rsidR="00AC77C7" w:rsidRPr="007B3BF3">
              <w:t>A</w:t>
            </w:r>
            <w:r w:rsidR="00800198">
              <w:t>NZCERTA</w:t>
            </w:r>
            <w:proofErr w:type="spellEnd"/>
            <w:r w:rsidR="00AC77C7" w:rsidRPr="007B3BF3">
              <w:t xml:space="preserve"> </w:t>
            </w:r>
            <w:r>
              <w:t xml:space="preserve">agreement. It </w:t>
            </w:r>
            <w:r w:rsidR="00AC77C7">
              <w:t>started slowly, but rapid progress on economic integration was made after a review in 1988. T</w:t>
            </w:r>
            <w:r w:rsidR="00AC77C7" w:rsidRPr="007B3BF3">
              <w:t xml:space="preserve">ariffs and quantitative restrictions on </w:t>
            </w:r>
            <w:r w:rsidR="00AC77C7">
              <w:t xml:space="preserve">virtually </w:t>
            </w:r>
            <w:r w:rsidR="00AC77C7" w:rsidRPr="007B3BF3">
              <w:t xml:space="preserve">all goods traded </w:t>
            </w:r>
            <w:r w:rsidR="003C622C">
              <w:t>across the Tasman</w:t>
            </w:r>
            <w:r w:rsidR="00AC77C7" w:rsidRPr="007B3BF3">
              <w:t xml:space="preserve"> were eliminated by 1990</w:t>
            </w:r>
            <w:r w:rsidR="00AC77C7">
              <w:t xml:space="preserve"> and the </w:t>
            </w:r>
            <w:proofErr w:type="spellStart"/>
            <w:r w:rsidR="003C622C">
              <w:t>CER</w:t>
            </w:r>
            <w:proofErr w:type="spellEnd"/>
            <w:r w:rsidR="003C622C">
              <w:t xml:space="preserve"> </w:t>
            </w:r>
            <w:r>
              <w:t xml:space="preserve">expanded into </w:t>
            </w:r>
            <w:r w:rsidR="00AC77C7">
              <w:t>services trade and behind</w:t>
            </w:r>
            <w:r w:rsidR="00985400">
              <w:noBreakHyphen/>
            </w:r>
            <w:r w:rsidR="00AC77C7">
              <w:t>the</w:t>
            </w:r>
            <w:r w:rsidR="004F6DCB">
              <w:noBreakHyphen/>
            </w:r>
            <w:r w:rsidR="00AC77C7">
              <w:t>border regulatory barriers.</w:t>
            </w:r>
          </w:p>
          <w:p w14:paraId="53F0BF2E" w14:textId="1191B57B" w:rsidR="00AC77C7" w:rsidRDefault="00AC77C7" w:rsidP="00FF2CFB">
            <w:pPr>
              <w:pStyle w:val="BoxListBullet"/>
              <w:spacing w:before="100"/>
            </w:pPr>
            <w:r>
              <w:t>Since 1990</w:t>
            </w:r>
            <w:r w:rsidR="00216F6E">
              <w:t>,</w:t>
            </w:r>
            <w:r>
              <w:t xml:space="preserve"> </w:t>
            </w:r>
            <w:proofErr w:type="spellStart"/>
            <w:r>
              <w:t>CER</w:t>
            </w:r>
            <w:proofErr w:type="spellEnd"/>
            <w:r>
              <w:t xml:space="preserve"> initiatives have incrementally increased the </w:t>
            </w:r>
            <w:r w:rsidR="00800198">
              <w:t>extent</w:t>
            </w:r>
            <w:r>
              <w:t xml:space="preserve"> of trans</w:t>
            </w:r>
            <w:r w:rsidR="007E1A0E">
              <w:noBreakHyphen/>
            </w:r>
            <w:r>
              <w:t>Tasman integration. Progress has also been made through informal engagement</w:t>
            </w:r>
            <w:r w:rsidR="00CD601A">
              <w:t xml:space="preserve"> between</w:t>
            </w:r>
            <w:r>
              <w:t xml:space="preserve"> government agencies.</w:t>
            </w:r>
          </w:p>
          <w:p w14:paraId="55E32479" w14:textId="7D0EF238" w:rsidR="00AC77C7" w:rsidRDefault="00AC77C7" w:rsidP="00FF2CFB">
            <w:pPr>
              <w:pStyle w:val="BoxListBullet"/>
              <w:spacing w:before="100"/>
            </w:pPr>
            <w:r w:rsidRPr="00515020">
              <w:t xml:space="preserve">There have been marked similarities in economic policy approaches taken in the two countries, </w:t>
            </w:r>
            <w:r w:rsidR="00CD601A">
              <w:t>and m</w:t>
            </w:r>
            <w:r w:rsidR="00800198">
              <w:t>utual p</w:t>
            </w:r>
            <w:r w:rsidRPr="00515020">
              <w:t>olicy learning has been a feature</w:t>
            </w:r>
            <w:r w:rsidR="009F7DC0">
              <w:t xml:space="preserve"> of the relationship</w:t>
            </w:r>
            <w:r w:rsidRPr="00515020">
              <w:t>.</w:t>
            </w:r>
          </w:p>
          <w:p w14:paraId="05FB0ADB" w14:textId="77777777" w:rsidR="00AC77C7" w:rsidRDefault="00AC77C7" w:rsidP="00FF2CFB">
            <w:pPr>
              <w:pStyle w:val="BoxListBullet"/>
              <w:spacing w:before="100"/>
            </w:pPr>
            <w:proofErr w:type="spellStart"/>
            <w:r w:rsidRPr="0075145C">
              <w:t>CER</w:t>
            </w:r>
            <w:proofErr w:type="spellEnd"/>
            <w:r w:rsidRPr="0075145C">
              <w:t xml:space="preserve"> has been highly successful in removing explicit restrictions on trade and substantial progress has been made on reducing </w:t>
            </w:r>
            <w:r w:rsidR="00CB2597">
              <w:t>other</w:t>
            </w:r>
            <w:r w:rsidRPr="0075145C">
              <w:t xml:space="preserve"> barriers</w:t>
            </w:r>
            <w:r>
              <w:t xml:space="preserve"> to integration</w:t>
            </w:r>
            <w:r w:rsidRPr="0075145C">
              <w:t>.</w:t>
            </w:r>
          </w:p>
          <w:p w14:paraId="0ADC1F52" w14:textId="416F4900" w:rsidR="00AC77C7" w:rsidRDefault="00AC77C7" w:rsidP="00FF2CFB">
            <w:pPr>
              <w:pStyle w:val="BoxListBullet"/>
              <w:spacing w:before="100"/>
            </w:pPr>
            <w:r>
              <w:t xml:space="preserve">Australia and New Zealand have </w:t>
            </w:r>
            <w:r w:rsidR="00800198">
              <w:t>greatly</w:t>
            </w:r>
            <w:r w:rsidRPr="004E73BC">
              <w:t xml:space="preserve"> reduc</w:t>
            </w:r>
            <w:r>
              <w:t>ed</w:t>
            </w:r>
            <w:r w:rsidRPr="004E73BC">
              <w:t xml:space="preserve"> their import barriers </w:t>
            </w:r>
            <w:r w:rsidR="009F7DC0">
              <w:t>against</w:t>
            </w:r>
            <w:r>
              <w:t xml:space="preserve"> other countries, </w:t>
            </w:r>
            <w:r w:rsidR="004F6DCB">
              <w:t xml:space="preserve">producing </w:t>
            </w:r>
            <w:r>
              <w:t xml:space="preserve">large benefits for both countries. </w:t>
            </w:r>
            <w:r w:rsidRPr="004E73BC">
              <w:t xml:space="preserve">It </w:t>
            </w:r>
            <w:r>
              <w:t>is likely</w:t>
            </w:r>
            <w:r w:rsidRPr="004E73BC">
              <w:t xml:space="preserve"> that </w:t>
            </w:r>
            <w:proofErr w:type="spellStart"/>
            <w:r w:rsidRPr="004E73BC">
              <w:t>CER</w:t>
            </w:r>
            <w:proofErr w:type="spellEnd"/>
            <w:r w:rsidRPr="004E73BC">
              <w:t xml:space="preserve"> helped pave </w:t>
            </w:r>
            <w:r>
              <w:t xml:space="preserve">the way </w:t>
            </w:r>
            <w:r w:rsidRPr="004E73BC">
              <w:t xml:space="preserve">for </w:t>
            </w:r>
            <w:r w:rsidR="009F7DC0">
              <w:t>wider</w:t>
            </w:r>
            <w:r w:rsidRPr="004E73BC">
              <w:t xml:space="preserve"> reductions in tariffs, particularly in New Zealand</w:t>
            </w:r>
            <w:r>
              <w:t>.</w:t>
            </w:r>
          </w:p>
          <w:p w14:paraId="39AA4343" w14:textId="5952D8C2" w:rsidR="00216F6E" w:rsidRDefault="00216F6E" w:rsidP="00FF2CFB">
            <w:pPr>
              <w:pStyle w:val="BoxListBullet"/>
              <w:spacing w:before="100"/>
            </w:pPr>
            <w:proofErr w:type="spellStart"/>
            <w:r w:rsidRPr="0075145C">
              <w:t>CER</w:t>
            </w:r>
            <w:proofErr w:type="spellEnd"/>
            <w:r w:rsidRPr="0075145C">
              <w:t xml:space="preserve"> has produced net benefits for Australia and New Zealand, notwithstanding uncertainty about the magnitude</w:t>
            </w:r>
            <w:r>
              <w:t>s</w:t>
            </w:r>
            <w:r w:rsidRPr="0075145C">
              <w:t>.</w:t>
            </w:r>
          </w:p>
          <w:p w14:paraId="53E33D33" w14:textId="77777777" w:rsidR="00AC77C7" w:rsidRDefault="009F7DC0" w:rsidP="00FF2CFB">
            <w:pPr>
              <w:pStyle w:val="BoxListBullet"/>
              <w:spacing w:before="100"/>
            </w:pPr>
            <w:r>
              <w:t>Following</w:t>
            </w:r>
            <w:r w:rsidR="00AC77C7">
              <w:t xml:space="preserve"> </w:t>
            </w:r>
            <w:r w:rsidR="007E06FF">
              <w:t xml:space="preserve">the </w:t>
            </w:r>
            <w:r w:rsidR="00AC77C7">
              <w:t xml:space="preserve">30 year experience with </w:t>
            </w:r>
            <w:proofErr w:type="spellStart"/>
            <w:r w:rsidR="00AC77C7">
              <w:t>CER</w:t>
            </w:r>
            <w:proofErr w:type="spellEnd"/>
            <w:r w:rsidR="00F44962">
              <w:t>,</w:t>
            </w:r>
            <w:r w:rsidR="00AC77C7">
              <w:t xml:space="preserve"> </w:t>
            </w:r>
            <w:r>
              <w:t>it is apparent that</w:t>
            </w:r>
            <w:r w:rsidR="00AC77C7">
              <w:t>:</w:t>
            </w:r>
          </w:p>
          <w:p w14:paraId="4FAFC1E4" w14:textId="77777777" w:rsidR="00785B9E" w:rsidRDefault="007E06FF" w:rsidP="00FF2CFB">
            <w:pPr>
              <w:pStyle w:val="BoxListBullet2"/>
              <w:spacing w:before="40"/>
              <w:ind w:left="568" w:hanging="284"/>
            </w:pPr>
            <w:r>
              <w:t>e</w:t>
            </w:r>
            <w:r w:rsidR="00785B9E" w:rsidRPr="00E638A7">
              <w:t xml:space="preserve">conomic integration </w:t>
            </w:r>
            <w:r w:rsidR="00CB2597">
              <w:t xml:space="preserve">initiatives </w:t>
            </w:r>
            <w:r w:rsidR="007B2D58">
              <w:t xml:space="preserve">should generally be </w:t>
            </w:r>
            <w:r w:rsidR="00785B9E" w:rsidRPr="00E638A7">
              <w:t>outward looking</w:t>
            </w:r>
          </w:p>
          <w:p w14:paraId="24AE250A" w14:textId="251BD1E5" w:rsidR="00AC77C7" w:rsidRDefault="00AC77C7" w:rsidP="00FF2CFB">
            <w:pPr>
              <w:pStyle w:val="BoxListBullet2"/>
              <w:spacing w:before="40"/>
              <w:ind w:left="568" w:hanging="284"/>
            </w:pPr>
            <w:r>
              <w:t>t</w:t>
            </w:r>
            <w:r w:rsidRPr="00E638A7">
              <w:t xml:space="preserve">he shift </w:t>
            </w:r>
            <w:r>
              <w:t xml:space="preserve">in focus </w:t>
            </w:r>
            <w:r w:rsidRPr="00E638A7">
              <w:t xml:space="preserve">towards </w:t>
            </w:r>
            <w:r>
              <w:t>reducing barriers to s</w:t>
            </w:r>
            <w:r w:rsidRPr="00E638A7">
              <w:t>ervices</w:t>
            </w:r>
            <w:r>
              <w:t xml:space="preserve"> trade </w:t>
            </w:r>
            <w:r w:rsidR="00FA4769">
              <w:t xml:space="preserve">and investment </w:t>
            </w:r>
            <w:r>
              <w:t>should continue</w:t>
            </w:r>
          </w:p>
          <w:p w14:paraId="47CFC8F9" w14:textId="77777777" w:rsidR="00800198" w:rsidRDefault="00800198" w:rsidP="00FF2CFB">
            <w:pPr>
              <w:pStyle w:val="BoxListBullet2"/>
              <w:spacing w:before="40"/>
              <w:ind w:left="568" w:hanging="284"/>
            </w:pPr>
            <w:r w:rsidRPr="00800198">
              <w:t>further integration is becoming more difficult as the focus shifts to these more complex areas</w:t>
            </w:r>
          </w:p>
          <w:p w14:paraId="095DD838" w14:textId="77777777" w:rsidR="00AC77C7" w:rsidRDefault="007E06FF" w:rsidP="00FF2CFB">
            <w:pPr>
              <w:pStyle w:val="BoxListBullet2"/>
              <w:spacing w:before="40"/>
              <w:ind w:left="568" w:hanging="284"/>
            </w:pPr>
            <w:r>
              <w:t>d</w:t>
            </w:r>
            <w:r w:rsidR="00AC77C7">
              <w:t xml:space="preserve">omestic reform remains important for lifting productivity, and </w:t>
            </w:r>
            <w:proofErr w:type="spellStart"/>
            <w:r w:rsidR="00AC77C7" w:rsidRPr="00E638A7">
              <w:t>CER</w:t>
            </w:r>
            <w:proofErr w:type="spellEnd"/>
            <w:r w:rsidR="00AC77C7" w:rsidRPr="00E638A7">
              <w:t xml:space="preserve"> </w:t>
            </w:r>
            <w:r w:rsidR="00AC77C7">
              <w:t xml:space="preserve">can </w:t>
            </w:r>
            <w:r w:rsidR="009F7DC0">
              <w:t xml:space="preserve">play a </w:t>
            </w:r>
            <w:r w:rsidR="00AC77C7">
              <w:t>useful complement</w:t>
            </w:r>
            <w:r w:rsidR="009F7DC0">
              <w:t>ary</w:t>
            </w:r>
            <w:r w:rsidR="00AC77C7">
              <w:t xml:space="preserve"> </w:t>
            </w:r>
            <w:r w:rsidR="009F7DC0">
              <w:t>role</w:t>
            </w:r>
          </w:p>
          <w:p w14:paraId="703C9510" w14:textId="77777777" w:rsidR="00800198" w:rsidRDefault="00800198" w:rsidP="00FF2CFB">
            <w:pPr>
              <w:pStyle w:val="BoxListBullet2"/>
              <w:spacing w:before="40"/>
              <w:ind w:left="568" w:hanging="284"/>
            </w:pPr>
            <w:r>
              <w:t>regulatory h</w:t>
            </w:r>
            <w:r w:rsidRPr="008F5E77">
              <w:t>armonisation can be c</w:t>
            </w:r>
            <w:r>
              <w:t>ostly and will only be the best option in some circumstances</w:t>
            </w:r>
          </w:p>
          <w:p w14:paraId="5F2F73E8" w14:textId="76FC401D" w:rsidR="00785B9E" w:rsidRDefault="007E06FF" w:rsidP="00FF2CFB">
            <w:pPr>
              <w:pStyle w:val="BoxListBullet2"/>
              <w:spacing w:before="40"/>
              <w:ind w:left="568" w:hanging="284"/>
            </w:pPr>
            <w:r>
              <w:t>a</w:t>
            </w:r>
            <w:r w:rsidR="00AC77C7">
              <w:t xml:space="preserve"> p</w:t>
            </w:r>
            <w:r w:rsidR="00AC77C7" w:rsidRPr="008F5E77">
              <w:t>ragmati</w:t>
            </w:r>
            <w:r w:rsidR="00AC77C7">
              <w:t>c</w:t>
            </w:r>
            <w:r w:rsidR="00AC77C7" w:rsidRPr="008F5E77">
              <w:t xml:space="preserve"> </w:t>
            </w:r>
            <w:r w:rsidR="00AC77C7">
              <w:t xml:space="preserve">approach to setting </w:t>
            </w:r>
            <w:r w:rsidR="00CD601A">
              <w:t xml:space="preserve">integration </w:t>
            </w:r>
            <w:r w:rsidR="00AC77C7">
              <w:t>priorities</w:t>
            </w:r>
            <w:r w:rsidR="00800198">
              <w:t>,</w:t>
            </w:r>
            <w:r w:rsidR="00AC77C7">
              <w:t xml:space="preserve"> and </w:t>
            </w:r>
            <w:r w:rsidR="00800198">
              <w:t xml:space="preserve">light-handed </w:t>
            </w:r>
            <w:r w:rsidR="00AC77C7" w:rsidRPr="006235DF">
              <w:t>governance</w:t>
            </w:r>
            <w:r w:rsidR="00CD601A">
              <w:t xml:space="preserve"> </w:t>
            </w:r>
            <w:r w:rsidR="00AC77C7" w:rsidRPr="006235DF">
              <w:t xml:space="preserve">arrangements </w:t>
            </w:r>
            <w:r w:rsidR="00AC77C7">
              <w:t>ha</w:t>
            </w:r>
            <w:r w:rsidR="00800198">
              <w:t>ve</w:t>
            </w:r>
            <w:r w:rsidR="00AC77C7">
              <w:t xml:space="preserve"> worked wel</w:t>
            </w:r>
            <w:r w:rsidR="00785B9E">
              <w:t>l</w:t>
            </w:r>
          </w:p>
          <w:p w14:paraId="3A7E771B" w14:textId="77777777" w:rsidR="00AC77C7" w:rsidRDefault="007E06FF" w:rsidP="00FF2CFB">
            <w:pPr>
              <w:pStyle w:val="BoxListBullet2"/>
              <w:spacing w:before="40"/>
              <w:ind w:left="568" w:hanging="284"/>
            </w:pPr>
            <w:r>
              <w:t>p</w:t>
            </w:r>
            <w:r w:rsidR="00785B9E" w:rsidRPr="00E638A7">
              <w:t xml:space="preserve">olitical leadership is </w:t>
            </w:r>
            <w:r w:rsidR="00800198">
              <w:t xml:space="preserve">likely to remain </w:t>
            </w:r>
            <w:r w:rsidR="00785B9E" w:rsidRPr="00E638A7">
              <w:t>important</w:t>
            </w:r>
            <w:r w:rsidR="00785B9E">
              <w:t xml:space="preserve"> to progressing integration.</w:t>
            </w:r>
          </w:p>
        </w:tc>
      </w:tr>
      <w:tr w:rsidR="00AC77C7" w14:paraId="1DBD9DDF" w14:textId="77777777" w:rsidTr="00AC77C7">
        <w:trPr>
          <w:cantSplit/>
        </w:trPr>
        <w:tc>
          <w:tcPr>
            <w:tcW w:w="8771" w:type="dxa"/>
            <w:shd w:val="clear" w:color="auto" w:fill="E7ECCE"/>
          </w:tcPr>
          <w:p w14:paraId="02DE1AFA" w14:textId="77777777" w:rsidR="00AC77C7" w:rsidRDefault="00AC77C7">
            <w:pPr>
              <w:pStyle w:val="Box"/>
              <w:spacing w:before="0" w:line="120" w:lineRule="exact"/>
            </w:pPr>
          </w:p>
        </w:tc>
      </w:tr>
      <w:tr w:rsidR="00F405F0" w:rsidRPr="00F405F0" w14:paraId="50932740" w14:textId="77777777" w:rsidTr="00AC77C7">
        <w:tc>
          <w:tcPr>
            <w:tcW w:w="8771" w:type="dxa"/>
          </w:tcPr>
          <w:p w14:paraId="0E5E3E92" w14:textId="77777777" w:rsidR="00AC77C7" w:rsidRPr="00F405F0" w:rsidRDefault="00AC77C7">
            <w:pPr>
              <w:pStyle w:val="Box"/>
              <w:keepNext w:val="0"/>
              <w:spacing w:before="60" w:after="60" w:line="80" w:lineRule="exact"/>
              <w:rPr>
                <w:b/>
                <w:color w:val="auto"/>
                <w:sz w:val="14"/>
              </w:rPr>
            </w:pPr>
          </w:p>
        </w:tc>
      </w:tr>
    </w:tbl>
    <w:p w14:paraId="3855B5A4" w14:textId="77777777" w:rsidR="00DD0ACE" w:rsidRDefault="004A47CD" w:rsidP="00DE572E">
      <w:pPr>
        <w:pStyle w:val="Heading2"/>
      </w:pPr>
      <w:fldSimple w:instr=" COMMENTS  \* MERGEFORMAT ">
        <w:r w:rsidR="005256BE">
          <w:t>3.</w:t>
        </w:r>
      </w:fldSimple>
      <w:fldSimple w:instr=" SEQ Heading2 ">
        <w:r w:rsidR="00EE0939">
          <w:rPr>
            <w:noProof/>
          </w:rPr>
          <w:t>1</w:t>
        </w:r>
      </w:fldSimple>
      <w:r w:rsidR="00DE572E">
        <w:tab/>
        <w:t xml:space="preserve">Evolution of the </w:t>
      </w:r>
      <w:proofErr w:type="spellStart"/>
      <w:r w:rsidR="00DE572E">
        <w:t>CER</w:t>
      </w:r>
      <w:proofErr w:type="spellEnd"/>
      <w:r w:rsidR="00DE572E">
        <w:t xml:space="preserve"> agenda</w:t>
      </w:r>
    </w:p>
    <w:p w14:paraId="4B2623ED" w14:textId="7474CF6F" w:rsidR="00AD4D7C" w:rsidRDefault="004267F6" w:rsidP="007A1ADB">
      <w:pPr>
        <w:pStyle w:val="BodyText"/>
      </w:pPr>
      <w:r>
        <w:t xml:space="preserve">The first trade agreement between Australia and New Zealand, signed in 1922, extended British preferential tariff rates </w:t>
      </w:r>
      <w:r w:rsidR="00445798">
        <w:t>across the Tasman</w:t>
      </w:r>
      <w:r>
        <w:t xml:space="preserve"> on some goods. </w:t>
      </w:r>
      <w:r w:rsidR="00C4065A">
        <w:t xml:space="preserve">However, </w:t>
      </w:r>
      <w:r w:rsidR="000D3DF4">
        <w:t>trade</w:t>
      </w:r>
      <w:r w:rsidR="00C4065A">
        <w:t xml:space="preserve"> relations between the two countries w</w:t>
      </w:r>
      <w:r w:rsidR="0048372B">
        <w:t>ere</w:t>
      </w:r>
      <w:r w:rsidR="00C4065A">
        <w:t xml:space="preserve"> not a high priority</w:t>
      </w:r>
      <w:r w:rsidR="00AC21C9">
        <w:t xml:space="preserve"> </w:t>
      </w:r>
      <w:r w:rsidR="00CD601A">
        <w:t xml:space="preserve">until the </w:t>
      </w:r>
      <w:proofErr w:type="spellStart"/>
      <w:r w:rsidR="00CD601A">
        <w:t>1960s</w:t>
      </w:r>
      <w:proofErr w:type="spellEnd"/>
      <w:r w:rsidR="00CD601A">
        <w:t xml:space="preserve"> </w:t>
      </w:r>
      <w:r w:rsidR="00AC21C9">
        <w:t>(</w:t>
      </w:r>
      <w:proofErr w:type="spellStart"/>
      <w:r w:rsidR="00AC21C9">
        <w:t>BIE</w:t>
      </w:r>
      <w:proofErr w:type="spellEnd"/>
      <w:r w:rsidR="003B38C6">
        <w:t> </w:t>
      </w:r>
      <w:r w:rsidR="00AC21C9">
        <w:t>1995)</w:t>
      </w:r>
      <w:r w:rsidR="00C11972">
        <w:t xml:space="preserve">. </w:t>
      </w:r>
      <w:r w:rsidR="00CD601A">
        <w:t>Australia and New Zealand were more competitors than trade partners</w:t>
      </w:r>
      <w:r w:rsidR="00FB3CB0">
        <w:t xml:space="preserve"> as b</w:t>
      </w:r>
      <w:r w:rsidR="00C11972">
        <w:t xml:space="preserve">oth countries </w:t>
      </w:r>
      <w:r w:rsidR="00AD45AD">
        <w:t>concentrated on agricultural and resource exports and sought to protect domestic manufacturers from import competition</w:t>
      </w:r>
      <w:r w:rsidR="00103EDD">
        <w:t xml:space="preserve"> (including from one another)</w:t>
      </w:r>
      <w:r w:rsidR="00AD45AD">
        <w:t>.</w:t>
      </w:r>
    </w:p>
    <w:p w14:paraId="113D22A7" w14:textId="3287B6FD" w:rsidR="000D3DF4" w:rsidRDefault="000D3DF4" w:rsidP="007A1ADB">
      <w:pPr>
        <w:pStyle w:val="BodyText"/>
      </w:pPr>
      <w:r>
        <w:t xml:space="preserve">By contrast, </w:t>
      </w:r>
      <w:r w:rsidR="00CF6BBD">
        <w:t xml:space="preserve">most </w:t>
      </w:r>
      <w:r>
        <w:t>Australian</w:t>
      </w:r>
      <w:r w:rsidR="00CF6BBD">
        <w:t>s</w:t>
      </w:r>
      <w:r>
        <w:t xml:space="preserve"> and New Zealand</w:t>
      </w:r>
      <w:r w:rsidR="00CF6BBD">
        <w:t>ers</w:t>
      </w:r>
      <w:r>
        <w:t xml:space="preserve"> have been free to move </w:t>
      </w:r>
      <w:r w:rsidR="00CF6BBD">
        <w:t xml:space="preserve">across the Tasman </w:t>
      </w:r>
      <w:r w:rsidR="00CC4832">
        <w:t xml:space="preserve">since </w:t>
      </w:r>
      <w:r w:rsidR="004A56FD">
        <w:t>pre</w:t>
      </w:r>
      <w:r w:rsidR="004A56FD">
        <w:noBreakHyphen/>
      </w:r>
      <w:r w:rsidR="00630379">
        <w:t>colonial times</w:t>
      </w:r>
      <w:r w:rsidR="00CC4832">
        <w:t>. In 1973, f</w:t>
      </w:r>
      <w:r w:rsidR="00CC4832" w:rsidRPr="00CC4832">
        <w:t xml:space="preserve">ormalisation of the free flow of people </w:t>
      </w:r>
      <w:r w:rsidR="00CC4832">
        <w:t xml:space="preserve">occurred </w:t>
      </w:r>
      <w:r w:rsidR="00CC4832" w:rsidRPr="00CC4832">
        <w:t>through the Trans-Tasman Travel Arrangement (</w:t>
      </w:r>
      <w:proofErr w:type="spellStart"/>
      <w:r w:rsidR="00CC4832" w:rsidRPr="00CC4832">
        <w:t>TTTA</w:t>
      </w:r>
      <w:proofErr w:type="spellEnd"/>
      <w:r w:rsidR="00CC4832" w:rsidRPr="00CC4832">
        <w:t xml:space="preserve">), which allows </w:t>
      </w:r>
      <w:r w:rsidR="00CF6BBD">
        <w:t xml:space="preserve">all </w:t>
      </w:r>
      <w:r w:rsidR="00CC4832" w:rsidRPr="00CC4832">
        <w:t>citizens of Australia and New Zealand to travel</w:t>
      </w:r>
      <w:r w:rsidR="00A6567B">
        <w:t xml:space="preserve">, </w:t>
      </w:r>
      <w:r w:rsidR="00CC4832" w:rsidRPr="00CC4832">
        <w:t xml:space="preserve">work </w:t>
      </w:r>
      <w:r w:rsidR="00A6567B">
        <w:t>and reside</w:t>
      </w:r>
      <w:r w:rsidR="00CC4832" w:rsidRPr="00CC4832">
        <w:t xml:space="preserve"> in both countries</w:t>
      </w:r>
      <w:r w:rsidR="009F7DC0">
        <w:t xml:space="preserve"> indefinitely</w:t>
      </w:r>
      <w:r w:rsidR="0097200D">
        <w:t xml:space="preserve"> (supplementary paper D)</w:t>
      </w:r>
      <w:r w:rsidR="00CC4832" w:rsidRPr="00CC4832">
        <w:t>.</w:t>
      </w:r>
      <w:r w:rsidR="00103EDD">
        <w:t xml:space="preserve"> </w:t>
      </w:r>
      <w:r w:rsidR="00796850">
        <w:t>With the exception of the European Union, s</w:t>
      </w:r>
      <w:r w:rsidR="009630C2">
        <w:t xml:space="preserve">uch free movement of people is </w:t>
      </w:r>
      <w:r w:rsidR="00FB3CB0">
        <w:t>rare</w:t>
      </w:r>
      <w:r w:rsidR="009630C2">
        <w:t>.</w:t>
      </w:r>
    </w:p>
    <w:p w14:paraId="71671531" w14:textId="796902FA" w:rsidR="00AD4D7C" w:rsidRDefault="00EB4F7D" w:rsidP="007A1ADB">
      <w:pPr>
        <w:pStyle w:val="BodyText"/>
      </w:pPr>
      <w:r>
        <w:t xml:space="preserve">Australia and New Zealand </w:t>
      </w:r>
      <w:r w:rsidR="00CF6BBD">
        <w:t xml:space="preserve">began to pay greater attention to their </w:t>
      </w:r>
      <w:r w:rsidR="00A6567B">
        <w:t xml:space="preserve">bilateral </w:t>
      </w:r>
      <w:r w:rsidR="00CF6BBD">
        <w:t>trading relationship</w:t>
      </w:r>
      <w:r w:rsidR="00FB3CB0" w:rsidRPr="00FB3CB0">
        <w:t xml:space="preserve"> </w:t>
      </w:r>
      <w:r w:rsidR="00FB3CB0">
        <w:t>in the mid</w:t>
      </w:r>
      <w:r w:rsidR="003B38C6">
        <w:t> </w:t>
      </w:r>
      <w:proofErr w:type="spellStart"/>
      <w:r w:rsidR="00FB3CB0">
        <w:t>1960s</w:t>
      </w:r>
      <w:proofErr w:type="spellEnd"/>
      <w:r w:rsidR="00CF6BBD">
        <w:t>, in part because of</w:t>
      </w:r>
      <w:r w:rsidR="007171CB">
        <w:t xml:space="preserve"> concern</w:t>
      </w:r>
      <w:r w:rsidR="00CF6BBD">
        <w:t>s</w:t>
      </w:r>
      <w:r w:rsidR="007171CB">
        <w:t xml:space="preserve"> about the consequences of </w:t>
      </w:r>
      <w:r>
        <w:t>the United Kingdom</w:t>
      </w:r>
      <w:r w:rsidR="00AC21C9">
        <w:t xml:space="preserve"> join</w:t>
      </w:r>
      <w:r w:rsidR="007171CB">
        <w:t>ing</w:t>
      </w:r>
      <w:r w:rsidR="00AC21C9">
        <w:t xml:space="preserve"> the European Economic Community</w:t>
      </w:r>
      <w:r w:rsidR="0097200D">
        <w:t xml:space="preserve"> (</w:t>
      </w:r>
      <w:proofErr w:type="spellStart"/>
      <w:r w:rsidR="0097200D">
        <w:t>BIE</w:t>
      </w:r>
      <w:proofErr w:type="spellEnd"/>
      <w:r w:rsidR="003B38C6">
        <w:t> </w:t>
      </w:r>
      <w:r w:rsidR="0097200D">
        <w:t>1995)</w:t>
      </w:r>
      <w:r w:rsidR="00910893">
        <w:t>. In 1965</w:t>
      </w:r>
      <w:r>
        <w:t>,</w:t>
      </w:r>
      <w:r w:rsidR="00910893">
        <w:t xml:space="preserve"> the </w:t>
      </w:r>
      <w:r>
        <w:t>New Zealand Australia Free Trade Agreement was signed. This was a ‘positive list’ agreement</w:t>
      </w:r>
      <w:r w:rsidR="00646829">
        <w:t>, with tariff reductions and relaxation of quantitative</w:t>
      </w:r>
      <w:r w:rsidR="006230BB">
        <w:t xml:space="preserve"> trade</w:t>
      </w:r>
      <w:r w:rsidR="00646829">
        <w:t xml:space="preserve"> restrictions applying only to an agreed list of products on each side.</w:t>
      </w:r>
    </w:p>
    <w:p w14:paraId="1AA4DF4E" w14:textId="77777777" w:rsidR="00F10F2C" w:rsidRDefault="007E06FF" w:rsidP="007A1ADB">
      <w:pPr>
        <w:pStyle w:val="BodyText"/>
      </w:pPr>
      <w:r>
        <w:t>New</w:t>
      </w:r>
      <w:r w:rsidR="00646829">
        <w:t xml:space="preserve"> products </w:t>
      </w:r>
      <w:r>
        <w:t xml:space="preserve">were intended to </w:t>
      </w:r>
      <w:r w:rsidR="00646829">
        <w:t xml:space="preserve">be added to the list over time, but the process for doing this </w:t>
      </w:r>
      <w:r w:rsidR="00243645">
        <w:t>floundered</w:t>
      </w:r>
      <w:r w:rsidR="00CF6BBD">
        <w:t xml:space="preserve">. </w:t>
      </w:r>
      <w:r w:rsidR="00257628">
        <w:t xml:space="preserve">Some </w:t>
      </w:r>
      <w:r w:rsidR="000469FA">
        <w:t>sense of</w:t>
      </w:r>
      <w:r w:rsidR="00F10F2C">
        <w:t xml:space="preserve"> the tortuous nature of the negotiations can be gained by considering the </w:t>
      </w:r>
      <w:r w:rsidR="00E60A76">
        <w:t xml:space="preserve">three </w:t>
      </w:r>
      <w:r w:rsidR="00F10F2C">
        <w:t>additions made in 1976:</w:t>
      </w:r>
    </w:p>
    <w:p w14:paraId="42177965" w14:textId="77777777" w:rsidR="00F10F2C" w:rsidRPr="003614C5" w:rsidRDefault="00F10F2C" w:rsidP="00F5132F">
      <w:pPr>
        <w:pStyle w:val="QuoteBullet"/>
        <w:rPr>
          <w:sz w:val="22"/>
          <w:szCs w:val="22"/>
        </w:rPr>
      </w:pPr>
      <w:r w:rsidRPr="003614C5">
        <w:rPr>
          <w:sz w:val="22"/>
          <w:szCs w:val="22"/>
        </w:rPr>
        <w:t>meat extract preparations in solid forms (</w:t>
      </w:r>
      <w:r w:rsidR="00FA4769" w:rsidRPr="003614C5">
        <w:rPr>
          <w:sz w:val="22"/>
          <w:szCs w:val="22"/>
        </w:rPr>
        <w:t xml:space="preserve">for example, </w:t>
      </w:r>
      <w:r w:rsidRPr="003614C5">
        <w:rPr>
          <w:sz w:val="22"/>
          <w:szCs w:val="22"/>
        </w:rPr>
        <w:t>Oxo)</w:t>
      </w:r>
    </w:p>
    <w:p w14:paraId="1998EB2A" w14:textId="77777777" w:rsidR="00F10F2C" w:rsidRPr="003614C5" w:rsidRDefault="00F10F2C" w:rsidP="00F5132F">
      <w:pPr>
        <w:pStyle w:val="QuoteBullet"/>
        <w:rPr>
          <w:sz w:val="22"/>
          <w:szCs w:val="22"/>
        </w:rPr>
      </w:pPr>
      <w:r w:rsidRPr="003614C5">
        <w:rPr>
          <w:sz w:val="22"/>
          <w:szCs w:val="22"/>
        </w:rPr>
        <w:t>heraldic badges and crests (polyester)</w:t>
      </w:r>
    </w:p>
    <w:p w14:paraId="1A826B13" w14:textId="4CA433CB" w:rsidR="00F10F2C" w:rsidRPr="003614C5" w:rsidRDefault="00F10F2C" w:rsidP="00F5132F">
      <w:pPr>
        <w:pStyle w:val="QuoteBullet"/>
        <w:rPr>
          <w:sz w:val="22"/>
          <w:szCs w:val="22"/>
        </w:rPr>
      </w:pPr>
      <w:r w:rsidRPr="003614C5">
        <w:rPr>
          <w:sz w:val="22"/>
          <w:szCs w:val="22"/>
        </w:rPr>
        <w:t>photomechanical process plates (not aluminium grained and anodised, and not further worked) for use as lithographic printing plates (Holmes</w:t>
      </w:r>
      <w:r w:rsidR="007F45C1" w:rsidRPr="003614C5">
        <w:rPr>
          <w:sz w:val="22"/>
          <w:szCs w:val="22"/>
        </w:rPr>
        <w:t> </w:t>
      </w:r>
      <w:r w:rsidRPr="003614C5">
        <w:rPr>
          <w:sz w:val="22"/>
          <w:szCs w:val="22"/>
        </w:rPr>
        <w:t>2003</w:t>
      </w:r>
      <w:r w:rsidR="00B33BC4" w:rsidRPr="003614C5">
        <w:rPr>
          <w:sz w:val="22"/>
          <w:szCs w:val="22"/>
        </w:rPr>
        <w:t>, p. 16</w:t>
      </w:r>
      <w:r w:rsidRPr="003614C5">
        <w:rPr>
          <w:sz w:val="22"/>
          <w:szCs w:val="22"/>
        </w:rPr>
        <w:t>).</w:t>
      </w:r>
    </w:p>
    <w:p w14:paraId="18526FF4" w14:textId="76B492DF" w:rsidR="007171CB" w:rsidRDefault="00F44962" w:rsidP="007A1ADB">
      <w:pPr>
        <w:pStyle w:val="BodyText"/>
      </w:pPr>
      <w:r>
        <w:t>No additions at all were made i</w:t>
      </w:r>
      <w:r w:rsidR="00800198">
        <w:t xml:space="preserve">n </w:t>
      </w:r>
      <w:r w:rsidR="007E06FF">
        <w:t>the following year</w:t>
      </w:r>
      <w:r w:rsidR="00800198">
        <w:t>. This</w:t>
      </w:r>
      <w:r w:rsidR="007E06FF">
        <w:t xml:space="preserve"> </w:t>
      </w:r>
      <w:r w:rsidR="00F10F2C">
        <w:t xml:space="preserve">glacial rate </w:t>
      </w:r>
      <w:r w:rsidR="007171CB">
        <w:t xml:space="preserve">of progress </w:t>
      </w:r>
      <w:r w:rsidR="00800198">
        <w:t xml:space="preserve">was </w:t>
      </w:r>
      <w:r w:rsidR="007171CB">
        <w:t xml:space="preserve">attributable </w:t>
      </w:r>
      <w:r w:rsidR="00FB3CB0">
        <w:t>to both</w:t>
      </w:r>
      <w:r w:rsidR="007171CB">
        <w:t xml:space="preserve"> </w:t>
      </w:r>
      <w:r w:rsidR="00B8394F">
        <w:t>the process</w:t>
      </w:r>
      <w:r w:rsidR="00FB3CB0">
        <w:t xml:space="preserve"> and </w:t>
      </w:r>
      <w:r w:rsidR="00B8394F">
        <w:t xml:space="preserve">the </w:t>
      </w:r>
      <w:r>
        <w:t xml:space="preserve">philosophy </w:t>
      </w:r>
      <w:r w:rsidR="00B8394F">
        <w:t xml:space="preserve">underlying the agreement. It had been </w:t>
      </w:r>
      <w:r w:rsidR="00A77183">
        <w:t xml:space="preserve">decided </w:t>
      </w:r>
      <w:r w:rsidR="00B8394F">
        <w:t>not to expand duty-free coverage to goods where this might harm domestic producers in either country (</w:t>
      </w:r>
      <w:proofErr w:type="spellStart"/>
      <w:r w:rsidR="00B8394F">
        <w:t>Alchin</w:t>
      </w:r>
      <w:proofErr w:type="spellEnd"/>
      <w:r w:rsidR="00F10F2C">
        <w:t> </w:t>
      </w:r>
      <w:r w:rsidR="00B8394F">
        <w:t>1990).</w:t>
      </w:r>
    </w:p>
    <w:p w14:paraId="2D9D9206" w14:textId="1083A7C3" w:rsidR="00DE572E" w:rsidRDefault="00243645" w:rsidP="007A1ADB">
      <w:pPr>
        <w:pStyle w:val="BodyText"/>
      </w:pPr>
      <w:r>
        <w:t xml:space="preserve">By the late </w:t>
      </w:r>
      <w:proofErr w:type="spellStart"/>
      <w:r>
        <w:t>1970s</w:t>
      </w:r>
      <w:proofErr w:type="spellEnd"/>
      <w:r>
        <w:t xml:space="preserve"> it was clear to </w:t>
      </w:r>
      <w:r w:rsidR="000469FA">
        <w:t xml:space="preserve">both </w:t>
      </w:r>
      <w:r w:rsidR="00DF7D2C">
        <w:t>G</w:t>
      </w:r>
      <w:r>
        <w:t xml:space="preserve">overnments </w:t>
      </w:r>
      <w:r w:rsidR="00117216">
        <w:t xml:space="preserve">and </w:t>
      </w:r>
      <w:r w:rsidR="00800198">
        <w:t xml:space="preserve">to </w:t>
      </w:r>
      <w:r w:rsidR="00C03F07">
        <w:t xml:space="preserve">some in </w:t>
      </w:r>
      <w:r w:rsidR="00D115D3">
        <w:t xml:space="preserve">the </w:t>
      </w:r>
      <w:r w:rsidR="00117216">
        <w:t xml:space="preserve">business </w:t>
      </w:r>
      <w:r w:rsidR="00D115D3">
        <w:t xml:space="preserve">community </w:t>
      </w:r>
      <w:r>
        <w:t>that a new approach to improving economic relations was needed.</w:t>
      </w:r>
      <w:r w:rsidR="00B8394F">
        <w:t xml:space="preserve"> </w:t>
      </w:r>
      <w:r w:rsidR="00F16025">
        <w:t>In New Zealand</w:t>
      </w:r>
      <w:r w:rsidR="0024407D">
        <w:t>,</w:t>
      </w:r>
      <w:r w:rsidR="00F16025">
        <w:t xml:space="preserve"> support came from </w:t>
      </w:r>
      <w:r w:rsidR="00DE692B">
        <w:t xml:space="preserve">various </w:t>
      </w:r>
      <w:r w:rsidR="00F16025">
        <w:t xml:space="preserve">politicians, </w:t>
      </w:r>
      <w:r w:rsidR="001E545C">
        <w:t>senior government officials</w:t>
      </w:r>
      <w:r w:rsidR="00F16025">
        <w:t xml:space="preserve"> and business </w:t>
      </w:r>
      <w:r w:rsidR="001E545C">
        <w:t>leaders</w:t>
      </w:r>
      <w:r w:rsidR="00F16025">
        <w:t xml:space="preserve"> who </w:t>
      </w:r>
      <w:r w:rsidR="00DE692B">
        <w:t xml:space="preserve">shared </w:t>
      </w:r>
      <w:r w:rsidR="007E06FF">
        <w:t xml:space="preserve">a </w:t>
      </w:r>
      <w:r w:rsidR="00DE692B">
        <w:t>view that</w:t>
      </w:r>
      <w:r w:rsidR="00DE692B" w:rsidRPr="00DE692B">
        <w:t xml:space="preserve"> </w:t>
      </w:r>
      <w:r w:rsidR="00DE692B">
        <w:t xml:space="preserve">the </w:t>
      </w:r>
      <w:r w:rsidR="00DE692B" w:rsidRPr="00DE692B">
        <w:t xml:space="preserve">domestic </w:t>
      </w:r>
      <w:r w:rsidR="00DE692B">
        <w:t xml:space="preserve">economy should be </w:t>
      </w:r>
      <w:r w:rsidR="00F16025">
        <w:lastRenderedPageBreak/>
        <w:t>redirect</w:t>
      </w:r>
      <w:r w:rsidR="00DE692B">
        <w:t>ed</w:t>
      </w:r>
      <w:r w:rsidR="00F16025">
        <w:t xml:space="preserve"> from import</w:t>
      </w:r>
      <w:r w:rsidR="00F16025">
        <w:noBreakHyphen/>
        <w:t>substitution to export</w:t>
      </w:r>
      <w:r w:rsidR="00F16025">
        <w:noBreakHyphen/>
        <w:t xml:space="preserve">led economic growth. </w:t>
      </w:r>
      <w:r w:rsidR="006F52A5">
        <w:t>(</w:t>
      </w:r>
      <w:r w:rsidR="00A4213F">
        <w:t xml:space="preserve">There were also </w:t>
      </w:r>
      <w:r w:rsidR="001E545C">
        <w:t>sections</w:t>
      </w:r>
      <w:r w:rsidR="00A4213F">
        <w:t xml:space="preserve"> of </w:t>
      </w:r>
      <w:r w:rsidR="00D115D3">
        <w:t xml:space="preserve">business </w:t>
      </w:r>
      <w:r w:rsidR="006230BB">
        <w:t xml:space="preserve">in New Zealand </w:t>
      </w:r>
      <w:r w:rsidR="00A4213F">
        <w:t>that remained strongly opposed to trade liberalisation.</w:t>
      </w:r>
      <w:r w:rsidR="006F52A5">
        <w:t>)</w:t>
      </w:r>
      <w:r w:rsidR="00A4213F">
        <w:t xml:space="preserve"> </w:t>
      </w:r>
      <w:r w:rsidR="00F16025">
        <w:t xml:space="preserve">On the Australian side, </w:t>
      </w:r>
      <w:r w:rsidR="00F11246">
        <w:t xml:space="preserve">the </w:t>
      </w:r>
      <w:r w:rsidR="00DF7D2C">
        <w:t>G</w:t>
      </w:r>
      <w:r w:rsidR="00F11246">
        <w:t xml:space="preserve">overnment was keen to respond to the rise of other trading blocs and </w:t>
      </w:r>
      <w:r w:rsidR="00F16025">
        <w:t xml:space="preserve">manufacturers </w:t>
      </w:r>
      <w:r w:rsidR="0024407D">
        <w:t xml:space="preserve">sought the </w:t>
      </w:r>
      <w:r w:rsidR="00F11246">
        <w:t>improved access to New Zealand markets</w:t>
      </w:r>
      <w:r w:rsidR="0024407D">
        <w:t xml:space="preserve"> that the existing agreement </w:t>
      </w:r>
      <w:r w:rsidR="000469FA">
        <w:t xml:space="preserve">had not delivered </w:t>
      </w:r>
      <w:r w:rsidR="0024407D">
        <w:t>(</w:t>
      </w:r>
      <w:proofErr w:type="spellStart"/>
      <w:r w:rsidR="0024407D">
        <w:t>Alchin</w:t>
      </w:r>
      <w:proofErr w:type="spellEnd"/>
      <w:r w:rsidR="00DE692B">
        <w:t> </w:t>
      </w:r>
      <w:r w:rsidR="0024407D">
        <w:t>1990)</w:t>
      </w:r>
      <w:r w:rsidR="003716EA">
        <w:t>.</w:t>
      </w:r>
    </w:p>
    <w:p w14:paraId="10F7B45E" w14:textId="77777777" w:rsidR="00243645" w:rsidRDefault="00F11246" w:rsidP="00243645">
      <w:pPr>
        <w:pStyle w:val="Heading3"/>
      </w:pPr>
      <w:r>
        <w:t>I</w:t>
      </w:r>
      <w:r w:rsidR="00243645">
        <w:t xml:space="preserve">nception </w:t>
      </w:r>
      <w:r>
        <w:t xml:space="preserve">of </w:t>
      </w:r>
      <w:proofErr w:type="spellStart"/>
      <w:r w:rsidR="00EA7135">
        <w:t>ANZ</w:t>
      </w:r>
      <w:r>
        <w:t>CER</w:t>
      </w:r>
      <w:r w:rsidR="00EA7135">
        <w:t>TA</w:t>
      </w:r>
      <w:proofErr w:type="spellEnd"/>
      <w:r>
        <w:t xml:space="preserve"> </w:t>
      </w:r>
      <w:r w:rsidR="00243645">
        <w:t>and early years</w:t>
      </w:r>
    </w:p>
    <w:p w14:paraId="09CF38DE" w14:textId="74E251A6" w:rsidR="00243645" w:rsidRPr="000469FA" w:rsidRDefault="00445798" w:rsidP="000469FA">
      <w:pPr>
        <w:pStyle w:val="BodyText"/>
      </w:pPr>
      <w:r w:rsidRPr="000469FA">
        <w:t xml:space="preserve">Following earlier </w:t>
      </w:r>
      <w:r w:rsidR="001E545C">
        <w:t xml:space="preserve">ground </w:t>
      </w:r>
      <w:r w:rsidRPr="000469FA">
        <w:t xml:space="preserve">work by Deputy Prime Ministers Anthony and </w:t>
      </w:r>
      <w:proofErr w:type="spellStart"/>
      <w:r w:rsidRPr="000469FA">
        <w:t>Talboys</w:t>
      </w:r>
      <w:proofErr w:type="spellEnd"/>
      <w:r w:rsidRPr="000469FA">
        <w:t>, a</w:t>
      </w:r>
      <w:r w:rsidR="00585EFA" w:rsidRPr="000469FA">
        <w:t xml:space="preserve"> meeting between Prime Ministers Fraser and Muldoon in Wellington in 1980 set in train negotiations for </w:t>
      </w:r>
      <w:r w:rsidR="00075206" w:rsidRPr="000469FA">
        <w:t xml:space="preserve">what became the </w:t>
      </w:r>
      <w:r w:rsidR="00585EFA" w:rsidRPr="000469FA">
        <w:t>Australia New Zealand</w:t>
      </w:r>
      <w:r w:rsidR="00075206" w:rsidRPr="000469FA">
        <w:t xml:space="preserve"> Closer Economic Relations Trade Agreement</w:t>
      </w:r>
      <w:r w:rsidR="00DE692B" w:rsidRPr="000469FA">
        <w:t xml:space="preserve"> (</w:t>
      </w:r>
      <w:proofErr w:type="spellStart"/>
      <w:r w:rsidR="00EA7135" w:rsidRPr="000469FA">
        <w:t>ANZ</w:t>
      </w:r>
      <w:r w:rsidR="00DE692B" w:rsidRPr="000469FA">
        <w:t>CER</w:t>
      </w:r>
      <w:r w:rsidR="00EA7135" w:rsidRPr="000469FA">
        <w:t>TA</w:t>
      </w:r>
      <w:proofErr w:type="spellEnd"/>
      <w:r w:rsidR="00DE692B" w:rsidRPr="000469FA">
        <w:t>)</w:t>
      </w:r>
      <w:r w:rsidR="00EA7135" w:rsidRPr="000469FA">
        <w:t xml:space="preserve"> (box </w:t>
      </w:r>
      <w:r w:rsidR="00243156" w:rsidRPr="000469FA">
        <w:t>3.1</w:t>
      </w:r>
      <w:r w:rsidR="00CB5D1F" w:rsidRPr="000469FA">
        <w:t>)</w:t>
      </w:r>
      <w:r w:rsidR="00075206" w:rsidRPr="000469FA">
        <w:t xml:space="preserve">. Both </w:t>
      </w:r>
      <w:r w:rsidR="00DF7D2C">
        <w:t>G</w:t>
      </w:r>
      <w:r w:rsidR="00075206" w:rsidRPr="000469FA">
        <w:t>overnments sought an outward-looking agreement that promoted broader regional integration. The Australian Prime Minister stated:</w:t>
      </w:r>
    </w:p>
    <w:p w14:paraId="6DC55165" w14:textId="04E4FB40" w:rsidR="00075206" w:rsidRPr="00B34C5B" w:rsidRDefault="002411EB" w:rsidP="002411EB">
      <w:pPr>
        <w:pStyle w:val="Quote"/>
        <w:rPr>
          <w:sz w:val="22"/>
          <w:szCs w:val="22"/>
        </w:rPr>
      </w:pPr>
      <w:r w:rsidRPr="00B34C5B">
        <w:rPr>
          <w:sz w:val="22"/>
          <w:szCs w:val="22"/>
        </w:rPr>
        <w:t xml:space="preserve">If the two countries can cooperate more closely in their own trading relationship, with each concentrating on what it </w:t>
      </w:r>
      <w:r w:rsidR="00FF24EE" w:rsidRPr="00B34C5B">
        <w:rPr>
          <w:sz w:val="22"/>
          <w:szCs w:val="22"/>
        </w:rPr>
        <w:t>can do</w:t>
      </w:r>
      <w:r w:rsidRPr="00B34C5B">
        <w:rPr>
          <w:sz w:val="22"/>
          <w:szCs w:val="22"/>
        </w:rPr>
        <w:t xml:space="preserve"> best, it will help both countries to grow stronger and to compete in wider markets. We agreed in Wellington that any closer economic relationship must be outward-looking, helping to strengthen our trading relationships with third countries, particularly in the South East Asian and Pacific Regions.</w:t>
      </w:r>
      <w:r w:rsidR="00842237" w:rsidRPr="00B34C5B">
        <w:rPr>
          <w:sz w:val="22"/>
          <w:szCs w:val="22"/>
        </w:rPr>
        <w:t xml:space="preserve"> </w:t>
      </w:r>
      <w:r w:rsidRPr="00B34C5B">
        <w:rPr>
          <w:sz w:val="22"/>
          <w:szCs w:val="22"/>
        </w:rPr>
        <w:t>(Fraser</w:t>
      </w:r>
      <w:r w:rsidR="00744C31">
        <w:rPr>
          <w:sz w:val="22"/>
          <w:szCs w:val="22"/>
        </w:rPr>
        <w:t> </w:t>
      </w:r>
      <w:r w:rsidRPr="00B34C5B">
        <w:rPr>
          <w:sz w:val="22"/>
          <w:szCs w:val="22"/>
        </w:rPr>
        <w:t xml:space="preserve">1980, quoted in Snape, Gropp and </w:t>
      </w:r>
      <w:proofErr w:type="spellStart"/>
      <w:r w:rsidRPr="00B34C5B">
        <w:rPr>
          <w:sz w:val="22"/>
          <w:szCs w:val="22"/>
        </w:rPr>
        <w:t>Luttrall</w:t>
      </w:r>
      <w:proofErr w:type="spellEnd"/>
      <w:r w:rsidR="00744C31">
        <w:rPr>
          <w:sz w:val="22"/>
          <w:szCs w:val="22"/>
        </w:rPr>
        <w:t> </w:t>
      </w:r>
      <w:r w:rsidRPr="00B34C5B">
        <w:rPr>
          <w:sz w:val="22"/>
          <w:szCs w:val="22"/>
        </w:rPr>
        <w:t>1998</w:t>
      </w:r>
      <w:r w:rsidR="00FF24EE" w:rsidRPr="00B34C5B">
        <w:rPr>
          <w:sz w:val="22"/>
          <w:szCs w:val="22"/>
        </w:rPr>
        <w:t>, p. 508</w:t>
      </w:r>
      <w:r w:rsidRPr="00B34C5B">
        <w:rPr>
          <w:sz w:val="22"/>
          <w:szCs w:val="22"/>
        </w:rPr>
        <w:t>)</w:t>
      </w:r>
    </w:p>
    <w:p w14:paraId="45D08B19" w14:textId="77777777" w:rsidR="00EA7135" w:rsidRDefault="00EA713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7135" w14:paraId="6414FF8A" w14:textId="77777777" w:rsidTr="00EA7135">
        <w:tc>
          <w:tcPr>
            <w:tcW w:w="8771" w:type="dxa"/>
            <w:tcBorders>
              <w:top w:val="nil"/>
              <w:left w:val="nil"/>
              <w:bottom w:val="nil"/>
              <w:right w:val="nil"/>
            </w:tcBorders>
            <w:shd w:val="clear" w:color="auto" w:fill="D9EAF0"/>
          </w:tcPr>
          <w:p w14:paraId="6C751E36" w14:textId="77777777" w:rsidR="00EA7135" w:rsidRDefault="00EA7135" w:rsidP="00FA4769">
            <w:pPr>
              <w:pStyle w:val="BoxTitle"/>
            </w:pPr>
            <w:r>
              <w:rPr>
                <w:b w:val="0"/>
              </w:rPr>
              <w:t xml:space="preserve">Box </w:t>
            </w:r>
            <w:bookmarkStart w:id="1" w:name="OLE_LINK11"/>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1</w:t>
            </w:r>
            <w:r>
              <w:rPr>
                <w:b w:val="0"/>
              </w:rPr>
              <w:fldChar w:fldCharType="end"/>
            </w:r>
            <w:bookmarkEnd w:id="1"/>
            <w:r>
              <w:tab/>
            </w:r>
            <w:r w:rsidR="008143BA" w:rsidRPr="008143BA">
              <w:t xml:space="preserve">What exactly is </w:t>
            </w:r>
            <w:proofErr w:type="spellStart"/>
            <w:r w:rsidR="008143BA" w:rsidRPr="008143BA">
              <w:t>CER</w:t>
            </w:r>
            <w:proofErr w:type="spellEnd"/>
            <w:r w:rsidR="008143BA" w:rsidRPr="008143BA">
              <w:t>?</w:t>
            </w:r>
          </w:p>
        </w:tc>
      </w:tr>
      <w:tr w:rsidR="00EA7135" w14:paraId="08D3755E" w14:textId="77777777" w:rsidTr="00EA7135">
        <w:trPr>
          <w:cantSplit/>
        </w:trPr>
        <w:tc>
          <w:tcPr>
            <w:tcW w:w="8771" w:type="dxa"/>
            <w:tcBorders>
              <w:top w:val="nil"/>
              <w:left w:val="nil"/>
              <w:bottom w:val="nil"/>
              <w:right w:val="nil"/>
            </w:tcBorders>
            <w:shd w:val="clear" w:color="auto" w:fill="D9EAF0"/>
          </w:tcPr>
          <w:p w14:paraId="149C4FFD" w14:textId="35582E1A" w:rsidR="00EA7135" w:rsidRDefault="00903DF4" w:rsidP="00EA7135">
            <w:pPr>
              <w:pStyle w:val="Box"/>
            </w:pPr>
            <w:r>
              <w:t>T</w:t>
            </w:r>
            <w:r w:rsidR="00EA7135">
              <w:t>he Australia</w:t>
            </w:r>
            <w:r w:rsidR="0097200D">
              <w:t xml:space="preserve"> </w:t>
            </w:r>
            <w:r w:rsidR="00EA7135">
              <w:t>New Zealand Closer Economic Relations Trade Agreement</w:t>
            </w:r>
            <w:r>
              <w:t xml:space="preserve"> (1983)</w:t>
            </w:r>
            <w:r w:rsidR="00205DB6">
              <w:t xml:space="preserve"> </w:t>
            </w:r>
            <w:r w:rsidR="00EA7135">
              <w:t xml:space="preserve">is </w:t>
            </w:r>
            <w:r w:rsidR="009E2B8A">
              <w:t>one of the few</w:t>
            </w:r>
            <w:r w:rsidR="00EA7135">
              <w:t xml:space="preserve"> agreement</w:t>
            </w:r>
            <w:r w:rsidR="009E2B8A">
              <w:t>s</w:t>
            </w:r>
            <w:r w:rsidR="00EA7135">
              <w:t xml:space="preserve"> with ‘Closer Economic Relations’ in its title. However, some subsequent agreements are known as ‘protocols’ to the agreement, giving the impression of being linked to the original </w:t>
            </w:r>
            <w:proofErr w:type="spellStart"/>
            <w:r w:rsidR="00EA7135">
              <w:t>ANZCERTA</w:t>
            </w:r>
            <w:proofErr w:type="spellEnd"/>
            <w:r w:rsidR="00EA7135">
              <w:t xml:space="preserve"> document. Other agreements seem to stand alone, although they also cover </w:t>
            </w:r>
            <w:r w:rsidR="003D18F5">
              <w:t>integration</w:t>
            </w:r>
            <w:r w:rsidR="00EA7135">
              <w:t xml:space="preserve"> issues. And since 2004, the concept of a single economic market (</w:t>
            </w:r>
            <w:proofErr w:type="spellStart"/>
            <w:r w:rsidR="00EA7135">
              <w:t>SEM</w:t>
            </w:r>
            <w:proofErr w:type="spellEnd"/>
            <w:r w:rsidR="00EA7135">
              <w:t xml:space="preserve">) has resulted in </w:t>
            </w:r>
            <w:r w:rsidR="000469FA">
              <w:t>initiatives across a range of issues</w:t>
            </w:r>
            <w:r w:rsidR="00EA7135">
              <w:t>.</w:t>
            </w:r>
          </w:p>
          <w:p w14:paraId="4BB5643E" w14:textId="77777777" w:rsidR="00EA7135" w:rsidRDefault="00EA7135" w:rsidP="00FF67A2">
            <w:pPr>
              <w:pStyle w:val="Box"/>
            </w:pPr>
            <w:r>
              <w:t>It is not clear that there are meaningful distinctions between labels such as ‘</w:t>
            </w:r>
            <w:proofErr w:type="spellStart"/>
            <w:r>
              <w:t>CER</w:t>
            </w:r>
            <w:proofErr w:type="spellEnd"/>
            <w:r>
              <w:t>’, ‘</w:t>
            </w:r>
            <w:proofErr w:type="spellStart"/>
            <w:r>
              <w:t>CER</w:t>
            </w:r>
            <w:proofErr w:type="spellEnd"/>
            <w:r>
              <w:t xml:space="preserve"> and related agreements’ and ‘</w:t>
            </w:r>
            <w:proofErr w:type="spellStart"/>
            <w:r>
              <w:t>SEM</w:t>
            </w:r>
            <w:proofErr w:type="spellEnd"/>
            <w:r>
              <w:t xml:space="preserve">’ (which some might consider to be a rebranding of the evolving </w:t>
            </w:r>
            <w:proofErr w:type="spellStart"/>
            <w:r>
              <w:t>CER</w:t>
            </w:r>
            <w:proofErr w:type="spellEnd"/>
            <w:r>
              <w:t xml:space="preserve"> agenda). Accordingly, this </w:t>
            </w:r>
            <w:r w:rsidR="00CB5D1F">
              <w:t>report</w:t>
            </w:r>
            <w:r>
              <w:t xml:space="preserve"> uses the terms ‘</w:t>
            </w:r>
            <w:proofErr w:type="spellStart"/>
            <w:r>
              <w:t>CER</w:t>
            </w:r>
            <w:proofErr w:type="spellEnd"/>
            <w:r>
              <w:t>’ and ‘</w:t>
            </w:r>
            <w:proofErr w:type="spellStart"/>
            <w:r>
              <w:t>CER</w:t>
            </w:r>
            <w:proofErr w:type="spellEnd"/>
            <w:r>
              <w:t xml:space="preserve"> agenda’ to refer collectively to all </w:t>
            </w:r>
            <w:r w:rsidR="004F6DCB">
              <w:t xml:space="preserve">of these </w:t>
            </w:r>
            <w:r>
              <w:t>trans</w:t>
            </w:r>
            <w:r w:rsidR="0082372A">
              <w:t>-</w:t>
            </w:r>
            <w:r>
              <w:t xml:space="preserve">Tasman </w:t>
            </w:r>
            <w:r w:rsidR="00FF67A2">
              <w:t xml:space="preserve">integration </w:t>
            </w:r>
            <w:r>
              <w:t>initiatives.</w:t>
            </w:r>
            <w:r w:rsidR="00CB5D1F">
              <w:t xml:space="preserve"> </w:t>
            </w:r>
            <w:proofErr w:type="spellStart"/>
            <w:r w:rsidR="00CB5D1F">
              <w:t>ANZCERTA</w:t>
            </w:r>
            <w:proofErr w:type="spellEnd"/>
            <w:r w:rsidR="00CB5D1F">
              <w:t xml:space="preserve"> is used to refer specifically to the 1983 agreement.</w:t>
            </w:r>
          </w:p>
        </w:tc>
      </w:tr>
      <w:tr w:rsidR="00EA7135" w14:paraId="471D2B44" w14:textId="77777777" w:rsidTr="00EA7135">
        <w:trPr>
          <w:cantSplit/>
        </w:trPr>
        <w:tc>
          <w:tcPr>
            <w:tcW w:w="8771" w:type="dxa"/>
            <w:tcBorders>
              <w:top w:val="nil"/>
              <w:left w:val="nil"/>
              <w:bottom w:val="nil"/>
              <w:right w:val="nil"/>
            </w:tcBorders>
            <w:shd w:val="clear" w:color="auto" w:fill="D9EAF0"/>
          </w:tcPr>
          <w:p w14:paraId="334A5EA2" w14:textId="77777777" w:rsidR="00EA7135" w:rsidRDefault="00EA7135">
            <w:pPr>
              <w:pStyle w:val="Box"/>
              <w:spacing w:before="0" w:line="120" w:lineRule="exact"/>
            </w:pPr>
          </w:p>
        </w:tc>
      </w:tr>
      <w:tr w:rsidR="00F405F0" w:rsidRPr="00F405F0" w14:paraId="536556DD" w14:textId="77777777" w:rsidTr="00EA7135">
        <w:tc>
          <w:tcPr>
            <w:tcW w:w="8771" w:type="dxa"/>
            <w:tcBorders>
              <w:top w:val="nil"/>
              <w:left w:val="nil"/>
              <w:bottom w:val="nil"/>
              <w:right w:val="nil"/>
            </w:tcBorders>
          </w:tcPr>
          <w:p w14:paraId="4511B54E" w14:textId="77777777" w:rsidR="00EA7135" w:rsidRPr="00F405F0" w:rsidRDefault="00EA7135">
            <w:pPr>
              <w:pStyle w:val="Box"/>
              <w:keepNext w:val="0"/>
              <w:spacing w:before="60" w:after="60" w:line="80" w:lineRule="exact"/>
              <w:rPr>
                <w:b/>
                <w:color w:val="auto"/>
                <w:sz w:val="14"/>
              </w:rPr>
            </w:pPr>
          </w:p>
        </w:tc>
      </w:tr>
    </w:tbl>
    <w:p w14:paraId="71C23AD8" w14:textId="77777777" w:rsidR="007D2D4D" w:rsidRDefault="007D2D4D" w:rsidP="007D2D4D">
      <w:pPr>
        <w:pStyle w:val="BodyText"/>
      </w:pPr>
      <w:r>
        <w:t xml:space="preserve">The </w:t>
      </w:r>
      <w:proofErr w:type="spellStart"/>
      <w:r>
        <w:t>ANZCERTA</w:t>
      </w:r>
      <w:proofErr w:type="spellEnd"/>
      <w:r>
        <w:t xml:space="preserve"> came into force in 1983. Under the agreement, both countries agreed to extend preferential market access to each other. The stated objectives were to:</w:t>
      </w:r>
    </w:p>
    <w:p w14:paraId="43585326" w14:textId="77777777" w:rsidR="007D2D4D" w:rsidRPr="00E440CB" w:rsidRDefault="007D2D4D" w:rsidP="007D2D4D">
      <w:pPr>
        <w:pStyle w:val="ListBullet"/>
      </w:pPr>
      <w:r w:rsidRPr="00E440CB">
        <w:t>strengthen the broader relationship between Australia and New Zealand</w:t>
      </w:r>
    </w:p>
    <w:p w14:paraId="2E7ABB30" w14:textId="77777777" w:rsidR="007D2D4D" w:rsidRPr="00E440CB" w:rsidRDefault="007D2D4D" w:rsidP="007D2D4D">
      <w:pPr>
        <w:pStyle w:val="ListBullet"/>
      </w:pPr>
      <w:r w:rsidRPr="00E440CB">
        <w:lastRenderedPageBreak/>
        <w:t>develop closer economic relations through a mutually beneficial expansion of free trade between the two countries</w:t>
      </w:r>
    </w:p>
    <w:p w14:paraId="356BE6DF" w14:textId="77777777" w:rsidR="007D2D4D" w:rsidRPr="00E440CB" w:rsidRDefault="007D2D4D" w:rsidP="007D2D4D">
      <w:pPr>
        <w:pStyle w:val="ListBullet"/>
      </w:pPr>
      <w:r w:rsidRPr="00E440CB">
        <w:t xml:space="preserve">eliminate barriers to </w:t>
      </w:r>
      <w:r>
        <w:t xml:space="preserve">bilateral </w:t>
      </w:r>
      <w:r w:rsidRPr="00E440CB">
        <w:t>trade</w:t>
      </w:r>
      <w:r>
        <w:t xml:space="preserve"> </w:t>
      </w:r>
      <w:r w:rsidRPr="00E440CB">
        <w:t>in a gradual and progressive manner under an agreed timetable and with a minimum of disruption</w:t>
      </w:r>
    </w:p>
    <w:p w14:paraId="0784C8F7" w14:textId="77777777" w:rsidR="007D2D4D" w:rsidRPr="00E440CB" w:rsidRDefault="007D2D4D" w:rsidP="007D2D4D">
      <w:pPr>
        <w:pStyle w:val="ListBullet"/>
      </w:pPr>
      <w:r w:rsidRPr="00E440CB">
        <w:t xml:space="preserve">develop trade between </w:t>
      </w:r>
      <w:r>
        <w:t>the two countries</w:t>
      </w:r>
      <w:r w:rsidRPr="00E440CB">
        <w:t xml:space="preserve"> under conditions of fair competition.</w:t>
      </w:r>
    </w:p>
    <w:p w14:paraId="0C1E57F1" w14:textId="77777777" w:rsidR="00F11246" w:rsidRDefault="009604AA" w:rsidP="007A1ADB">
      <w:pPr>
        <w:pStyle w:val="BodyText"/>
      </w:pPr>
      <w:r>
        <w:t xml:space="preserve">In addition, the </w:t>
      </w:r>
      <w:proofErr w:type="spellStart"/>
      <w:r w:rsidR="00EA7135">
        <w:t>ANZ</w:t>
      </w:r>
      <w:r>
        <w:t>CER</w:t>
      </w:r>
      <w:r w:rsidR="00EA7135">
        <w:t>TA</w:t>
      </w:r>
      <w:proofErr w:type="spellEnd"/>
      <w:r>
        <w:t xml:space="preserve"> served as a means of exposing the tradeable goods sectors in both countries to greater international competition. </w:t>
      </w:r>
      <w:r w:rsidR="001E545C">
        <w:t xml:space="preserve">It </w:t>
      </w:r>
      <w:r w:rsidR="00AA2FE8">
        <w:t>included:</w:t>
      </w:r>
    </w:p>
    <w:p w14:paraId="03207279" w14:textId="77777777" w:rsidR="00AA2FE8" w:rsidRDefault="00AA2FE8" w:rsidP="00AA2FE8">
      <w:pPr>
        <w:pStyle w:val="ListBullet"/>
      </w:pPr>
      <w:r>
        <w:t>the gradual elimination of tariffs on all goods not specified in the annexes to the agreement by 1988</w:t>
      </w:r>
      <w:r w:rsidR="00F97217">
        <w:t xml:space="preserve"> (that </w:t>
      </w:r>
      <w:r w:rsidR="003716EA">
        <w:t>is, a ‘negative list’ approach)</w:t>
      </w:r>
    </w:p>
    <w:p w14:paraId="0ED44F19" w14:textId="77777777" w:rsidR="00AA2FE8" w:rsidRPr="00B34C5B" w:rsidRDefault="00AA2FE8" w:rsidP="00B34C5B">
      <w:pPr>
        <w:pStyle w:val="ListBullet"/>
      </w:pPr>
      <w:r w:rsidRPr="00B34C5B">
        <w:t>the progressive elimination of quantitative restrictions by 1995</w:t>
      </w:r>
      <w:r w:rsidR="00BD4331" w:rsidRPr="00B34C5B">
        <w:t xml:space="preserve"> (such restrictions, in the form of import licences, were a major element of New Zealand’s protectionist policies)</w:t>
      </w:r>
    </w:p>
    <w:p w14:paraId="01EB1BF9" w14:textId="77777777" w:rsidR="00AA2FE8" w:rsidRPr="00B34C5B" w:rsidRDefault="00AA2FE8" w:rsidP="00B34C5B">
      <w:pPr>
        <w:pStyle w:val="ListBullet"/>
      </w:pPr>
      <w:r w:rsidRPr="00B34C5B">
        <w:t>a commitment to work towards the elimination of export subsidies on goods traded between Australia and New Zealand.</w:t>
      </w:r>
    </w:p>
    <w:p w14:paraId="339CD82E" w14:textId="171FCCE1" w:rsidR="001D419A" w:rsidRDefault="00F97217" w:rsidP="00AA2FE8">
      <w:pPr>
        <w:pStyle w:val="BodyText"/>
      </w:pPr>
      <w:r>
        <w:t xml:space="preserve">The initial </w:t>
      </w:r>
      <w:r w:rsidR="001E545C">
        <w:t>agreement</w:t>
      </w:r>
      <w:r>
        <w:t xml:space="preserve"> has been characterised as ‘cautious, even</w:t>
      </w:r>
      <w:r w:rsidR="001E545C">
        <w:t xml:space="preserve"> tim</w:t>
      </w:r>
      <w:r>
        <w:t>id’ (</w:t>
      </w:r>
      <w:proofErr w:type="spellStart"/>
      <w:r>
        <w:t>Scollay</w:t>
      </w:r>
      <w:proofErr w:type="spellEnd"/>
      <w:r>
        <w:t>, Findlay and Kaufma</w:t>
      </w:r>
      <w:r w:rsidR="00011E67">
        <w:t>n</w:t>
      </w:r>
      <w:r>
        <w:t>n</w:t>
      </w:r>
      <w:r w:rsidR="00744C31">
        <w:t> </w:t>
      </w:r>
      <w:r>
        <w:t>2011</w:t>
      </w:r>
      <w:r w:rsidR="00F940D2">
        <w:t>, p. 22</w:t>
      </w:r>
      <w:r>
        <w:t xml:space="preserve">). The ‘negative list’ consisted of a large number </w:t>
      </w:r>
      <w:r w:rsidR="00025005">
        <w:t xml:space="preserve">of manufactured products for which </w:t>
      </w:r>
      <w:r w:rsidR="001D419A">
        <w:t xml:space="preserve">the phasing out of </w:t>
      </w:r>
      <w:r w:rsidR="00025005">
        <w:t>trade restrictions and support schemes w</w:t>
      </w:r>
      <w:r w:rsidR="001D419A">
        <w:t>as</w:t>
      </w:r>
      <w:r w:rsidR="00025005">
        <w:t xml:space="preserve"> </w:t>
      </w:r>
      <w:r w:rsidR="001D419A">
        <w:t xml:space="preserve">delayed or scheduled to occur </w:t>
      </w:r>
      <w:r w:rsidR="00025005">
        <w:t>over a longer period</w:t>
      </w:r>
      <w:r w:rsidR="00A4213F">
        <w:t>.</w:t>
      </w:r>
      <w:r w:rsidR="00732D12">
        <w:t xml:space="preserve"> </w:t>
      </w:r>
      <w:r w:rsidR="00025005">
        <w:t xml:space="preserve">There were also </w:t>
      </w:r>
      <w:r w:rsidR="001D419A">
        <w:t>modified</w:t>
      </w:r>
      <w:r w:rsidR="00025005">
        <w:t xml:space="preserve"> arrangements for some agricultural products, including dairy products, wheat, sugar and tobacco.</w:t>
      </w:r>
    </w:p>
    <w:p w14:paraId="231E2373" w14:textId="6C443B81" w:rsidR="00A4213F" w:rsidRDefault="00A4213F" w:rsidP="00D0296C">
      <w:pPr>
        <w:pStyle w:val="BodyText"/>
      </w:pPr>
      <w:r w:rsidRPr="00A4213F">
        <w:t xml:space="preserve">The </w:t>
      </w:r>
      <w:r w:rsidR="0097200D">
        <w:t xml:space="preserve">Australian Bureau of Industry Economics </w:t>
      </w:r>
      <w:r w:rsidRPr="00A4213F">
        <w:t>found that manufacturing industries affected by immediate reductions in trade restrictions accounted for only 5.5</w:t>
      </w:r>
      <w:r w:rsidR="005C1B4B">
        <w:t> </w:t>
      </w:r>
      <w:proofErr w:type="spellStart"/>
      <w:r w:rsidR="000469FA">
        <w:t>percent</w:t>
      </w:r>
      <w:proofErr w:type="spellEnd"/>
      <w:r w:rsidRPr="00A4213F">
        <w:t xml:space="preserve"> of total trans</w:t>
      </w:r>
      <w:r>
        <w:noBreakHyphen/>
      </w:r>
      <w:r w:rsidRPr="00A4213F">
        <w:t>Tasman manufactured trade in 1986</w:t>
      </w:r>
      <w:r>
        <w:noBreakHyphen/>
      </w:r>
      <w:r w:rsidRPr="00A4213F">
        <w:t>87</w:t>
      </w:r>
      <w:r w:rsidR="001137CB">
        <w:t xml:space="preserve"> (</w:t>
      </w:r>
      <w:proofErr w:type="spellStart"/>
      <w:r w:rsidR="001137CB">
        <w:t>BIE</w:t>
      </w:r>
      <w:proofErr w:type="spellEnd"/>
      <w:r w:rsidR="00744C31">
        <w:t> </w:t>
      </w:r>
      <w:r w:rsidR="001137CB">
        <w:t>1989)</w:t>
      </w:r>
      <w:r w:rsidRPr="00A4213F">
        <w:t>.</w:t>
      </w:r>
      <w:r>
        <w:t xml:space="preserve"> </w:t>
      </w:r>
      <w:r w:rsidR="007B2D58">
        <w:t xml:space="preserve">Industries </w:t>
      </w:r>
      <w:r w:rsidR="00BF5327">
        <w:t xml:space="preserve">scheduled for later </w:t>
      </w:r>
      <w:r w:rsidR="002F2914">
        <w:t xml:space="preserve">liberalisation </w:t>
      </w:r>
      <w:r w:rsidR="007B2D58">
        <w:t>(through the negative list)</w:t>
      </w:r>
      <w:r>
        <w:t xml:space="preserve"> accounted for 44 </w:t>
      </w:r>
      <w:proofErr w:type="spellStart"/>
      <w:r w:rsidR="000469FA">
        <w:t>percent</w:t>
      </w:r>
      <w:proofErr w:type="spellEnd"/>
      <w:r>
        <w:t xml:space="preserve"> of manufacturing trade, while around 50 </w:t>
      </w:r>
      <w:proofErr w:type="spellStart"/>
      <w:r w:rsidR="000469FA">
        <w:t>percent</w:t>
      </w:r>
      <w:proofErr w:type="spellEnd"/>
      <w:r>
        <w:t xml:space="preserve"> w</w:t>
      </w:r>
      <w:r w:rsidR="001E545C">
        <w:t>ere</w:t>
      </w:r>
      <w:r>
        <w:t xml:space="preserve"> in sectors that were free of trade restrictions before 1983.</w:t>
      </w:r>
      <w:r w:rsidR="00D0296C" w:rsidRPr="00D0296C">
        <w:t xml:space="preserve"> </w:t>
      </w:r>
      <w:r w:rsidR="00D0296C">
        <w:t xml:space="preserve">The share of bilateral trade in manufactured goods immediately affected was thus quite small. However, trade in this relatively small group </w:t>
      </w:r>
      <w:r w:rsidR="000469FA">
        <w:t>grew</w:t>
      </w:r>
      <w:r w:rsidR="00D0296C">
        <w:t xml:space="preserve"> rapidly after </w:t>
      </w:r>
      <w:proofErr w:type="spellStart"/>
      <w:r w:rsidR="00D0296C">
        <w:t>CER</w:t>
      </w:r>
      <w:proofErr w:type="spellEnd"/>
      <w:r w:rsidR="00D0296C">
        <w:t xml:space="preserve"> came into force (</w:t>
      </w:r>
      <w:proofErr w:type="spellStart"/>
      <w:r w:rsidR="00D0296C">
        <w:t>BIE</w:t>
      </w:r>
      <w:proofErr w:type="spellEnd"/>
      <w:r w:rsidR="00D0296C">
        <w:t> 1989).</w:t>
      </w:r>
    </w:p>
    <w:p w14:paraId="5642A8E0" w14:textId="77777777" w:rsidR="005B1388" w:rsidRDefault="00F940D2" w:rsidP="00AA2FE8">
      <w:pPr>
        <w:pStyle w:val="BodyText"/>
      </w:pPr>
      <w:r>
        <w:t xml:space="preserve">There were </w:t>
      </w:r>
      <w:r w:rsidR="001E545C">
        <w:t>some</w:t>
      </w:r>
      <w:r w:rsidR="005B1388">
        <w:t xml:space="preserve"> tension</w:t>
      </w:r>
      <w:r w:rsidR="001E545C">
        <w:t>s</w:t>
      </w:r>
      <w:r>
        <w:t xml:space="preserve"> </w:t>
      </w:r>
      <w:r w:rsidR="003B60C7">
        <w:t xml:space="preserve">in the early years of </w:t>
      </w:r>
      <w:proofErr w:type="spellStart"/>
      <w:r w:rsidR="00EA7135">
        <w:t>ANZ</w:t>
      </w:r>
      <w:r w:rsidR="003B60C7">
        <w:t>CER</w:t>
      </w:r>
      <w:r w:rsidR="00EA7135">
        <w:t>TA</w:t>
      </w:r>
      <w:proofErr w:type="spellEnd"/>
      <w:r w:rsidR="003B60C7">
        <w:t>.</w:t>
      </w:r>
      <w:r w:rsidR="005B1388">
        <w:t xml:space="preserve"> New Zealand business was concerned about the growing use of production subsidies in Australia to compensate for reductions in tariff protection. Australian exporters complained that New Zealand competitors received an unfair advantage from a 20 </w:t>
      </w:r>
      <w:proofErr w:type="spellStart"/>
      <w:r w:rsidR="000469FA">
        <w:t>percent</w:t>
      </w:r>
      <w:proofErr w:type="spellEnd"/>
      <w:r w:rsidR="005B1388">
        <w:t xml:space="preserve"> devaluation of the New Zealand dollar. There was also a</w:t>
      </w:r>
      <w:r w:rsidR="001E545C">
        <w:t>n escalation</w:t>
      </w:r>
      <w:r w:rsidR="005B1388">
        <w:t xml:space="preserve"> in anti-dumping actions between the two countries (</w:t>
      </w:r>
      <w:proofErr w:type="spellStart"/>
      <w:r w:rsidR="005B1388">
        <w:t>Scollay</w:t>
      </w:r>
      <w:proofErr w:type="spellEnd"/>
      <w:r w:rsidR="005B1388">
        <w:t>, Findlay and Kaufmann</w:t>
      </w:r>
      <w:r w:rsidR="0075325E">
        <w:t> </w:t>
      </w:r>
      <w:r w:rsidR="005B1388">
        <w:t>2011).</w:t>
      </w:r>
    </w:p>
    <w:p w14:paraId="565578C2" w14:textId="0B730323" w:rsidR="00AA2FE8" w:rsidRDefault="005B1388" w:rsidP="00AA2FE8">
      <w:pPr>
        <w:pStyle w:val="BodyText"/>
      </w:pPr>
      <w:r>
        <w:lastRenderedPageBreak/>
        <w:t>De</w:t>
      </w:r>
      <w:r w:rsidR="00025CD5">
        <w:t xml:space="preserve">spite limited effects in the early years, </w:t>
      </w:r>
      <w:r w:rsidR="00025005">
        <w:t xml:space="preserve">the </w:t>
      </w:r>
      <w:r w:rsidR="0075325E">
        <w:t xml:space="preserve">strengths of </w:t>
      </w:r>
      <w:proofErr w:type="spellStart"/>
      <w:r w:rsidR="00EA7135">
        <w:t>ANZ</w:t>
      </w:r>
      <w:r w:rsidR="00025005">
        <w:t>CER</w:t>
      </w:r>
      <w:r w:rsidR="00EA7135">
        <w:t>TA</w:t>
      </w:r>
      <w:proofErr w:type="spellEnd"/>
      <w:r w:rsidR="00025005">
        <w:t xml:space="preserve"> </w:t>
      </w:r>
      <w:r w:rsidR="0075325E">
        <w:t>were</w:t>
      </w:r>
      <w:r w:rsidR="00025005">
        <w:t xml:space="preserve"> that it was comprehensive, with procedures that </w:t>
      </w:r>
      <w:r w:rsidR="00BD4331">
        <w:t>al</w:t>
      </w:r>
      <w:r w:rsidR="00025005">
        <w:t>though gradual</w:t>
      </w:r>
      <w:r w:rsidR="001D419A">
        <w:t>,</w:t>
      </w:r>
      <w:r w:rsidR="00025005">
        <w:t xml:space="preserve"> were automatic and progressive.</w:t>
      </w:r>
      <w:r w:rsidR="00025CD5">
        <w:t xml:space="preserve"> These features gave industries time to adjust, while avoiding protracted political renegotiations.</w:t>
      </w:r>
    </w:p>
    <w:p w14:paraId="28068D15" w14:textId="564C0D89" w:rsidR="004B5BB5" w:rsidRDefault="00986D80" w:rsidP="004B5BB5">
      <w:pPr>
        <w:pStyle w:val="Heading3"/>
      </w:pPr>
      <w:r>
        <w:t xml:space="preserve">Rapid progress after </w:t>
      </w:r>
      <w:r w:rsidR="0046678A">
        <w:t>the 1988</w:t>
      </w:r>
      <w:r>
        <w:t xml:space="preserve"> review</w:t>
      </w:r>
    </w:p>
    <w:p w14:paraId="1E5F39F8" w14:textId="4CC09141" w:rsidR="004B5BB5" w:rsidRDefault="0046678A" w:rsidP="00B51516">
      <w:pPr>
        <w:pStyle w:val="BodyText"/>
      </w:pPr>
      <w:r>
        <w:t xml:space="preserve">The </w:t>
      </w:r>
      <w:r w:rsidR="009115EF">
        <w:t>political environment was conducive to making progress on tra</w:t>
      </w:r>
      <w:r w:rsidR="000469DA">
        <w:t>n</w:t>
      </w:r>
      <w:r w:rsidR="009115EF">
        <w:t>s-Tasman integration</w:t>
      </w:r>
      <w:r w:rsidRPr="0046678A">
        <w:t xml:space="preserve"> </w:t>
      </w:r>
      <w:r>
        <w:t xml:space="preserve">when the first review of </w:t>
      </w:r>
      <w:proofErr w:type="spellStart"/>
      <w:r>
        <w:t>ANZCERTA</w:t>
      </w:r>
      <w:proofErr w:type="spellEnd"/>
      <w:r>
        <w:t xml:space="preserve"> took place in 1988</w:t>
      </w:r>
      <w:r w:rsidR="009115EF">
        <w:t xml:space="preserve">. Both the </w:t>
      </w:r>
      <w:r w:rsidR="0082372A">
        <w:t xml:space="preserve">Australian and </w:t>
      </w:r>
      <w:r w:rsidR="009115EF">
        <w:t xml:space="preserve">New Zealand Governments </w:t>
      </w:r>
      <w:r w:rsidR="00A92B2C">
        <w:t xml:space="preserve">had embarked on </w:t>
      </w:r>
      <w:r w:rsidR="0075325E">
        <w:t xml:space="preserve">domestic </w:t>
      </w:r>
      <w:r w:rsidR="00780E55">
        <w:t>economic</w:t>
      </w:r>
      <w:r w:rsidR="00367100">
        <w:t xml:space="preserve"> </w:t>
      </w:r>
      <w:r w:rsidR="00A92B2C">
        <w:t xml:space="preserve">reform agendas </w:t>
      </w:r>
      <w:r>
        <w:t>that were compl</w:t>
      </w:r>
      <w:r w:rsidR="004F6DCB">
        <w:t>e</w:t>
      </w:r>
      <w:r>
        <w:t xml:space="preserve">mentary with </w:t>
      </w:r>
      <w:r w:rsidR="002D55C3">
        <w:t>increased</w:t>
      </w:r>
      <w:r w:rsidR="00367100">
        <w:t xml:space="preserve"> trans-Tasman integration</w:t>
      </w:r>
      <w:r w:rsidR="00780E55">
        <w:t xml:space="preserve"> (box </w:t>
      </w:r>
      <w:r w:rsidR="00D41A7C">
        <w:t>3.2</w:t>
      </w:r>
      <w:r w:rsidR="00780E55">
        <w:t>)</w:t>
      </w:r>
      <w:r w:rsidR="00367100">
        <w:t xml:space="preserve">. </w:t>
      </w:r>
      <w:proofErr w:type="spellStart"/>
      <w:r>
        <w:t>Alchin</w:t>
      </w:r>
      <w:proofErr w:type="spellEnd"/>
      <w:r>
        <w:t xml:space="preserve"> (1990) </w:t>
      </w:r>
      <w:r w:rsidR="00367100">
        <w:t>has also suggested that Australia</w:t>
      </w:r>
      <w:r w:rsidR="001D5033">
        <w:t xml:space="preserve"> </w:t>
      </w:r>
      <w:r w:rsidR="00B51516">
        <w:t xml:space="preserve">developed a renewed sense of the importance of the relationship after the United States suspended </w:t>
      </w:r>
      <w:r w:rsidR="00DA2D74">
        <w:t>i</w:t>
      </w:r>
      <w:r w:rsidR="00B51516">
        <w:t>ts security obligation to New Zealand</w:t>
      </w:r>
      <w:r w:rsidR="00DA2D74">
        <w:t xml:space="preserve"> under the </w:t>
      </w:r>
      <w:proofErr w:type="spellStart"/>
      <w:r w:rsidR="00DA2D74">
        <w:t>ANZUS</w:t>
      </w:r>
      <w:proofErr w:type="spellEnd"/>
      <w:r w:rsidR="00DA2D74">
        <w:t xml:space="preserve"> Treaty.</w:t>
      </w:r>
    </w:p>
    <w:p w14:paraId="463FA2AE" w14:textId="1880C22E" w:rsidR="007D2D4D" w:rsidRDefault="007D2D4D" w:rsidP="007D2D4D">
      <w:pPr>
        <w:pStyle w:val="BodyText"/>
      </w:pPr>
      <w:r>
        <w:t xml:space="preserve">The review culminated in the signing of the </w:t>
      </w:r>
      <w:proofErr w:type="spellStart"/>
      <w:r>
        <w:t>CER</w:t>
      </w:r>
      <w:proofErr w:type="spellEnd"/>
      <w:r>
        <w:t xml:space="preserve"> Second Phase Agreements</w:t>
      </w:r>
      <w:r w:rsidR="0046678A" w:rsidRPr="0046678A">
        <w:t xml:space="preserve"> </w:t>
      </w:r>
      <w:r w:rsidR="0046678A">
        <w:t>in August 1988</w:t>
      </w:r>
      <w:r>
        <w:t xml:space="preserve">. </w:t>
      </w:r>
      <w:r w:rsidR="0046678A">
        <w:t xml:space="preserve">These </w:t>
      </w:r>
      <w:r>
        <w:t>accelerate</w:t>
      </w:r>
      <w:r w:rsidR="0046678A">
        <w:t>d</w:t>
      </w:r>
      <w:r>
        <w:t xml:space="preserve"> the liberalisation of goods trade, </w:t>
      </w:r>
      <w:r w:rsidR="0088647D">
        <w:t>so that</w:t>
      </w:r>
      <w:r>
        <w:t xml:space="preserve"> remaining tariffs and quantitative restrictions on virtually all goods traded between the two countries were eliminated by 1990, rather than 1995 as originally scheduled.</w:t>
      </w:r>
      <w:r w:rsidRPr="00E25FF3">
        <w:t xml:space="preserve"> </w:t>
      </w:r>
      <w:r>
        <w:t>Agreement was also reached to eliminate anti-dumping actions on trade between the two countries.</w:t>
      </w:r>
    </w:p>
    <w:p w14:paraId="1250C0E9" w14:textId="4A83716F" w:rsidR="007D2D4D" w:rsidRDefault="007D2D4D" w:rsidP="007D2D4D">
      <w:pPr>
        <w:pStyle w:val="BodyText"/>
      </w:pPr>
      <w:r>
        <w:t xml:space="preserve">Beyond this, much of the focus was on pushing the </w:t>
      </w:r>
      <w:proofErr w:type="spellStart"/>
      <w:r>
        <w:t>CER</w:t>
      </w:r>
      <w:proofErr w:type="spellEnd"/>
      <w:r>
        <w:t xml:space="preserve"> agenda into new areas, to free up trade in services and reduce behind</w:t>
      </w:r>
      <w:r>
        <w:noBreakHyphen/>
        <w:t>the</w:t>
      </w:r>
      <w:r>
        <w:noBreakHyphen/>
        <w:t>border barriers to trade and investment caused by differences and deficiencies in standards, regulations and policies. Second Phase Agreements included the:</w:t>
      </w:r>
    </w:p>
    <w:p w14:paraId="3F055A00" w14:textId="1DE85B9E" w:rsidR="007D2D4D" w:rsidRPr="002161B8" w:rsidRDefault="007D2D4D" w:rsidP="007D2D4D">
      <w:pPr>
        <w:pStyle w:val="ListBullet"/>
      </w:pPr>
      <w:proofErr w:type="spellStart"/>
      <w:r w:rsidRPr="002161B8">
        <w:rPr>
          <w:i/>
        </w:rPr>
        <w:t>CER</w:t>
      </w:r>
      <w:proofErr w:type="spellEnd"/>
      <w:r w:rsidRPr="002161B8">
        <w:rPr>
          <w:i/>
        </w:rPr>
        <w:t xml:space="preserve"> Services Protocol</w:t>
      </w:r>
      <w:r>
        <w:rPr>
          <w:i/>
        </w:rPr>
        <w:t>,</w:t>
      </w:r>
      <w:r w:rsidRPr="002161B8">
        <w:t xml:space="preserve"> </w:t>
      </w:r>
      <w:r w:rsidR="0046678A">
        <w:t>committing</w:t>
      </w:r>
      <w:r w:rsidRPr="002161B8">
        <w:t xml:space="preserve"> the countries to eliminating restrictions on the trade in services by 1989, e</w:t>
      </w:r>
      <w:r>
        <w:t>xcept for prescribed industries</w:t>
      </w:r>
    </w:p>
    <w:p w14:paraId="4B5A840C" w14:textId="760F8800" w:rsidR="007D2D4D" w:rsidRPr="002161B8" w:rsidRDefault="007D2D4D" w:rsidP="007D2D4D">
      <w:pPr>
        <w:pStyle w:val="ListBullet"/>
      </w:pPr>
      <w:r w:rsidRPr="002161B8">
        <w:rPr>
          <w:i/>
        </w:rPr>
        <w:t>Protocol on the Harmonisation of Quarantine Administrative Procedures</w:t>
      </w:r>
      <w:r w:rsidRPr="002161B8">
        <w:t xml:space="preserve">, </w:t>
      </w:r>
      <w:r w:rsidR="0046678A">
        <w:t>seeking</w:t>
      </w:r>
      <w:r w:rsidRPr="002161B8">
        <w:t xml:space="preserve"> to achieve consistent quarantine a</w:t>
      </w:r>
      <w:r>
        <w:t>dministration in both countries</w:t>
      </w:r>
    </w:p>
    <w:p w14:paraId="6A88963A" w14:textId="1EA62ED0" w:rsidR="007D2D4D" w:rsidRPr="002161B8" w:rsidRDefault="007D2D4D" w:rsidP="007D2D4D">
      <w:pPr>
        <w:pStyle w:val="ListBullet"/>
      </w:pPr>
      <w:r w:rsidRPr="002161B8">
        <w:rPr>
          <w:i/>
        </w:rPr>
        <w:t>Memorandum of Understanding on Technical Barriers to Trade</w:t>
      </w:r>
      <w:r w:rsidRPr="002161B8">
        <w:t xml:space="preserve">, </w:t>
      </w:r>
      <w:r w:rsidR="0046678A" w:rsidRPr="002161B8">
        <w:t>commit</w:t>
      </w:r>
      <w:r w:rsidR="0046678A">
        <w:t>ting</w:t>
      </w:r>
      <w:r w:rsidR="0046678A" w:rsidRPr="002161B8">
        <w:t xml:space="preserve"> </w:t>
      </w:r>
      <w:r w:rsidRPr="002161B8">
        <w:t xml:space="preserve">both countries to </w:t>
      </w:r>
      <w:r w:rsidR="0046678A" w:rsidRPr="002161B8">
        <w:t>harmonis</w:t>
      </w:r>
      <w:r w:rsidR="0088647D">
        <w:t>ing</w:t>
      </w:r>
      <w:r w:rsidR="0046678A" w:rsidRPr="002161B8">
        <w:t xml:space="preserve"> </w:t>
      </w:r>
      <w:r>
        <w:t xml:space="preserve">technical </w:t>
      </w:r>
      <w:r w:rsidRPr="002161B8">
        <w:t>s</w:t>
      </w:r>
      <w:r>
        <w:t>pecifications</w:t>
      </w:r>
      <w:r w:rsidRPr="002161B8">
        <w:t xml:space="preserve"> and </w:t>
      </w:r>
      <w:r>
        <w:t>testing procedures</w:t>
      </w:r>
    </w:p>
    <w:p w14:paraId="21FF8171" w14:textId="3ED12ED4" w:rsidR="007D2D4D" w:rsidRPr="007D2D4D" w:rsidRDefault="007D2D4D" w:rsidP="007D2D4D">
      <w:pPr>
        <w:pStyle w:val="ListBullet"/>
      </w:pPr>
      <w:r w:rsidRPr="007D2D4D">
        <w:rPr>
          <w:i/>
        </w:rPr>
        <w:t>Memorandum of Understanding on Harmonisation of Business Law</w:t>
      </w:r>
      <w:r w:rsidRPr="007D2D4D">
        <w:t xml:space="preserve">, </w:t>
      </w:r>
      <w:r w:rsidR="0046678A" w:rsidRPr="007D2D4D">
        <w:t>committ</w:t>
      </w:r>
      <w:r w:rsidR="0046678A">
        <w:t>ing</w:t>
      </w:r>
      <w:r w:rsidR="0046678A" w:rsidRPr="007D2D4D">
        <w:t xml:space="preserve"> </w:t>
      </w:r>
      <w:r w:rsidRPr="007D2D4D">
        <w:t>both countries to work towards identifying and pursuing potential areas for harmonisation with the aim of reducing transaction costs for firms that operate in both markets</w:t>
      </w:r>
    </w:p>
    <w:p w14:paraId="62158119" w14:textId="685E9BB4" w:rsidR="001123B2" w:rsidRPr="002161B8" w:rsidRDefault="001123B2" w:rsidP="001123B2">
      <w:pPr>
        <w:pStyle w:val="ListBullet"/>
      </w:pPr>
      <w:r w:rsidRPr="002161B8">
        <w:rPr>
          <w:i/>
        </w:rPr>
        <w:t>Agreement on Standards, Accreditation and Quality</w:t>
      </w:r>
      <w:r>
        <w:t xml:space="preserve">, </w:t>
      </w:r>
      <w:r w:rsidR="0046678A">
        <w:t>aiming</w:t>
      </w:r>
      <w:r w:rsidRPr="002161B8">
        <w:t xml:space="preserve"> to achieve a single system for product standards and accreditation</w:t>
      </w:r>
      <w:r>
        <w:t xml:space="preserve"> (t</w:t>
      </w:r>
      <w:r w:rsidRPr="002161B8">
        <w:t>his led to the Joint Accreditation System of Australia</w:t>
      </w:r>
      <w:r w:rsidR="0022091A">
        <w:t xml:space="preserve"> and </w:t>
      </w:r>
      <w:r w:rsidRPr="002161B8">
        <w:t>New Zealand (JAS</w:t>
      </w:r>
      <w:r w:rsidR="00BD4F9A">
        <w:t>-</w:t>
      </w:r>
      <w:proofErr w:type="spellStart"/>
      <w:r w:rsidRPr="002161B8">
        <w:t>ANZ</w:t>
      </w:r>
      <w:proofErr w:type="spellEnd"/>
      <w:r w:rsidRPr="002161B8">
        <w:t>) in 1991</w:t>
      </w:r>
      <w:r>
        <w:t>)</w:t>
      </w:r>
      <w:r w:rsidRPr="002161B8">
        <w:t>.</w:t>
      </w:r>
    </w:p>
    <w:p w14:paraId="2ACA597F" w14:textId="22DA588C" w:rsidR="00D52F29" w:rsidRDefault="00D52F2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2F29" w14:paraId="10D99380" w14:textId="77777777" w:rsidTr="00D52F29">
        <w:tc>
          <w:tcPr>
            <w:tcW w:w="8771" w:type="dxa"/>
            <w:tcBorders>
              <w:top w:val="nil"/>
              <w:left w:val="nil"/>
              <w:bottom w:val="nil"/>
              <w:right w:val="nil"/>
            </w:tcBorders>
            <w:shd w:val="clear" w:color="auto" w:fill="D9EAF0"/>
          </w:tcPr>
          <w:p w14:paraId="2FD81CE7" w14:textId="2E26C1B9" w:rsidR="00D52F29" w:rsidRDefault="00D52F29" w:rsidP="00D52F2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2</w:t>
            </w:r>
            <w:r>
              <w:rPr>
                <w:b w:val="0"/>
              </w:rPr>
              <w:fldChar w:fldCharType="end"/>
            </w:r>
            <w:r>
              <w:tab/>
            </w:r>
            <w:r w:rsidRPr="00042585">
              <w:t>Three decades of shared economic reform</w:t>
            </w:r>
          </w:p>
        </w:tc>
      </w:tr>
      <w:tr w:rsidR="00D52F29" w14:paraId="3CAA97EC" w14:textId="77777777" w:rsidTr="00D52F29">
        <w:trPr>
          <w:cantSplit/>
        </w:trPr>
        <w:tc>
          <w:tcPr>
            <w:tcW w:w="8771" w:type="dxa"/>
            <w:tcBorders>
              <w:top w:val="nil"/>
              <w:left w:val="nil"/>
              <w:bottom w:val="nil"/>
              <w:right w:val="nil"/>
            </w:tcBorders>
            <w:shd w:val="clear" w:color="auto" w:fill="D9EAF0"/>
          </w:tcPr>
          <w:p w14:paraId="15495644" w14:textId="77777777" w:rsidR="00D52F29" w:rsidRDefault="00D52F29" w:rsidP="00D52F29">
            <w:pPr>
              <w:pStyle w:val="Box"/>
            </w:pPr>
            <w:r>
              <w:t xml:space="preserve">Both Australia and New Zealand commenced wide ranging economic reforms in the </w:t>
            </w:r>
            <w:proofErr w:type="spellStart"/>
            <w:r>
              <w:t>mid 1980s</w:t>
            </w:r>
            <w:proofErr w:type="spellEnd"/>
            <w:r>
              <w:t xml:space="preserve">. In essence, the reforms aimed to free up markets, promote competition and ensure prices provided appropriate market signals. During the </w:t>
            </w:r>
            <w:proofErr w:type="spellStart"/>
            <w:r>
              <w:t>1980s</w:t>
            </w:r>
            <w:proofErr w:type="spellEnd"/>
            <w:r>
              <w:t xml:space="preserve"> and </w:t>
            </w:r>
            <w:proofErr w:type="spellStart"/>
            <w:r>
              <w:t>1990s</w:t>
            </w:r>
            <w:proofErr w:type="spellEnd"/>
            <w:r>
              <w:t>:</w:t>
            </w:r>
          </w:p>
          <w:p w14:paraId="397F22EE" w14:textId="77777777" w:rsidR="00D52F29" w:rsidRDefault="00D52F29" w:rsidP="00D52F29">
            <w:pPr>
              <w:pStyle w:val="BoxListBullet"/>
            </w:pPr>
            <w:r>
              <w:t xml:space="preserve">the reduction in tariffs that had begun in the </w:t>
            </w:r>
            <w:proofErr w:type="spellStart"/>
            <w:r>
              <w:t>1970s</w:t>
            </w:r>
            <w:proofErr w:type="spellEnd"/>
            <w:r>
              <w:t xml:space="preserve"> continued, and quantitative import controls were abolished</w:t>
            </w:r>
          </w:p>
          <w:p w14:paraId="5D6BCF17" w14:textId="5710C3FE" w:rsidR="00D52F29" w:rsidRDefault="00D52F29" w:rsidP="00D52F29">
            <w:pPr>
              <w:pStyle w:val="BoxListBullet"/>
              <w:spacing w:before="80"/>
            </w:pPr>
            <w:r>
              <w:t>financial and capital markets were significantly liberalised, including floating the currencies and the removal of interest rate and capital controls</w:t>
            </w:r>
          </w:p>
          <w:p w14:paraId="0BF47BE7" w14:textId="77777777" w:rsidR="00D52F29" w:rsidRDefault="00D52F29" w:rsidP="00D52F29">
            <w:pPr>
              <w:pStyle w:val="BoxListBullet"/>
              <w:spacing w:before="80"/>
            </w:pPr>
            <w:r>
              <w:t>there was a shift from centralised wage fixing to enterprise bargaining and individual employment contracts</w:t>
            </w:r>
          </w:p>
          <w:p w14:paraId="3D41F887" w14:textId="393BD6D8" w:rsidR="00D52F29" w:rsidRDefault="00D52F29" w:rsidP="00D52F29">
            <w:pPr>
              <w:pStyle w:val="BoxListBullet"/>
              <w:spacing w:before="80"/>
            </w:pPr>
            <w:r>
              <w:t>inflation targeting commenced and reserve bank independence was formalised (1989 in New Zealand</w:t>
            </w:r>
            <w:r w:rsidR="0088647D">
              <w:t>,</w:t>
            </w:r>
            <w:r>
              <w:t xml:space="preserve"> and 1993 and 1996 respectively in Australia)</w:t>
            </w:r>
          </w:p>
          <w:p w14:paraId="26E821F2" w14:textId="77777777" w:rsidR="00D52F29" w:rsidRDefault="00D52F29" w:rsidP="00D52F29">
            <w:pPr>
              <w:pStyle w:val="BoxListBullet"/>
              <w:spacing w:before="80"/>
            </w:pPr>
            <w:r>
              <w:t xml:space="preserve">many government business enterprises were commercialised, </w:t>
            </w:r>
            <w:proofErr w:type="spellStart"/>
            <w:r>
              <w:t>corporatised</w:t>
            </w:r>
            <w:proofErr w:type="spellEnd"/>
            <w:r>
              <w:t xml:space="preserve"> and/or privatised and some network sectors, such as electricity, were opened up to competition</w:t>
            </w:r>
          </w:p>
          <w:p w14:paraId="326AFEA8" w14:textId="47ADE1B4" w:rsidR="00D52F29" w:rsidRDefault="00D52F29" w:rsidP="00D52F29">
            <w:pPr>
              <w:pStyle w:val="BoxListBullet"/>
              <w:spacing w:before="80"/>
            </w:pPr>
            <w:r>
              <w:t>major reforms to the public sector were introduced, including frameworks for sound fiscal management and accountability, and output</w:t>
            </w:r>
            <w:r w:rsidR="0088647D">
              <w:noBreakHyphen/>
            </w:r>
            <w:r>
              <w:t>based budgeting (Maher 1995; Goldfinch 2006).</w:t>
            </w:r>
          </w:p>
          <w:p w14:paraId="4DB84048" w14:textId="77777777" w:rsidR="00D52F29" w:rsidRDefault="00D52F29" w:rsidP="00D52F29">
            <w:pPr>
              <w:pStyle w:val="Box"/>
            </w:pPr>
            <w:r>
              <w:t>These reforms were influenced by international economic thought, and by direct linkages and learning between the two countries. For example, New Zealand officials visited Australia to examine the float of the Australian dollar carried out in December 1983, before floating the New Zealand dollar in March 1985 (Goldfinch 2006).</w:t>
            </w:r>
          </w:p>
          <w:p w14:paraId="3086EE69" w14:textId="25420AB2" w:rsidR="00D52F29" w:rsidRDefault="00D52F29" w:rsidP="00D52F29">
            <w:pPr>
              <w:pStyle w:val="Box"/>
            </w:pPr>
            <w:r>
              <w:t xml:space="preserve">The composition of reforms in each country over this period were similar, but with some differences in timing, sequencing and detail. For example, New Zealand introduced a broad-based consumption tax in 1986, while a similar tax was not introduced in Australia until 2000. New Zealand is said to have adopted more of a ‘big bang’ approach, whereas </w:t>
            </w:r>
            <w:r w:rsidR="00F114C8">
              <w:t>Australia took an incremental</w:t>
            </w:r>
            <w:r>
              <w:t xml:space="preserve"> approach to reform (Brash</w:t>
            </w:r>
            <w:r w:rsidR="0088647D">
              <w:t> </w:t>
            </w:r>
            <w:r>
              <w:t>1996).</w:t>
            </w:r>
          </w:p>
          <w:p w14:paraId="43750D55" w14:textId="669083F7" w:rsidR="00D52F29" w:rsidRDefault="00D52F29" w:rsidP="00D52F29">
            <w:pPr>
              <w:pStyle w:val="Box"/>
            </w:pPr>
            <w:r>
              <w:t>Subsequent reforms built on earlier measures and strengthened links between the two countries. For example, in Australia, the 1995 National Competition Policy reforms and the 2005 National Reform Agenda sought to establish a broad competition policy framework that does not impede economic activity, productivity, or constrain the scope of markets for infrastructure and other services (Banks 2010). These reforms have been progressed through the Council of Australian Governments (</w:t>
            </w:r>
            <w:proofErr w:type="spellStart"/>
            <w:r>
              <w:t>COAG</w:t>
            </w:r>
            <w:proofErr w:type="spellEnd"/>
            <w:r>
              <w:t xml:space="preserve">). New Zealand is a member or observer on the majority of the </w:t>
            </w:r>
            <w:proofErr w:type="spellStart"/>
            <w:r>
              <w:t>COAG</w:t>
            </w:r>
            <w:proofErr w:type="spellEnd"/>
            <w:r>
              <w:t xml:space="preserve"> ministerial councils, and in some cases has voting rights where issues impact on the Trans-Tasman Mutual Recognition Arrangement (Goldfinch 2006).</w:t>
            </w:r>
          </w:p>
          <w:p w14:paraId="05FC5737" w14:textId="37B0DB7C" w:rsidR="00D52F29" w:rsidRDefault="00D52F29" w:rsidP="0088647D">
            <w:pPr>
              <w:pStyle w:val="Box"/>
            </w:pPr>
            <w:r>
              <w:t>Recent economic reforms have included: the establishment of pension reserve funds in order to meet future superannuation liabilities (</w:t>
            </w:r>
            <w:r w:rsidR="0088647D">
              <w:t xml:space="preserve">2003 in </w:t>
            </w:r>
            <w:r>
              <w:t xml:space="preserve">New Zealand and </w:t>
            </w:r>
            <w:r w:rsidR="0088647D">
              <w:t xml:space="preserve">2006 in </w:t>
            </w:r>
            <w:r>
              <w:t>Australia); and the introduction of market-based policy instruments to reduce greenhouse gas emissions (</w:t>
            </w:r>
            <w:r w:rsidR="0088647D">
              <w:t xml:space="preserve">2008 in </w:t>
            </w:r>
            <w:r>
              <w:t xml:space="preserve">New Zealand and </w:t>
            </w:r>
            <w:r w:rsidR="0088647D">
              <w:t xml:space="preserve">2012 in </w:t>
            </w:r>
            <w:r>
              <w:t>Australia).</w:t>
            </w:r>
          </w:p>
        </w:tc>
      </w:tr>
      <w:tr w:rsidR="00D52F29" w14:paraId="7D54C4AC" w14:textId="77777777" w:rsidTr="00D52F29">
        <w:trPr>
          <w:cantSplit/>
        </w:trPr>
        <w:tc>
          <w:tcPr>
            <w:tcW w:w="8771" w:type="dxa"/>
            <w:tcBorders>
              <w:top w:val="nil"/>
              <w:left w:val="nil"/>
              <w:bottom w:val="nil"/>
              <w:right w:val="nil"/>
            </w:tcBorders>
            <w:shd w:val="clear" w:color="auto" w:fill="D9EAF0"/>
          </w:tcPr>
          <w:p w14:paraId="7C4850E8" w14:textId="77777777" w:rsidR="00D52F29" w:rsidRDefault="00D52F29">
            <w:pPr>
              <w:pStyle w:val="Box"/>
              <w:spacing w:before="0" w:line="120" w:lineRule="exact"/>
            </w:pPr>
          </w:p>
        </w:tc>
      </w:tr>
      <w:tr w:rsidR="00D52F29" w:rsidRPr="00854173" w14:paraId="6EC9A760" w14:textId="77777777" w:rsidTr="00D52F29">
        <w:tc>
          <w:tcPr>
            <w:tcW w:w="8771" w:type="dxa"/>
            <w:tcBorders>
              <w:top w:val="nil"/>
              <w:left w:val="nil"/>
              <w:bottom w:val="nil"/>
              <w:right w:val="nil"/>
            </w:tcBorders>
          </w:tcPr>
          <w:p w14:paraId="3809E602" w14:textId="77777777" w:rsidR="00D52F29" w:rsidRPr="00854173" w:rsidRDefault="00D52F29">
            <w:pPr>
              <w:pStyle w:val="Box"/>
              <w:keepNext w:val="0"/>
              <w:spacing w:before="60" w:after="60" w:line="80" w:lineRule="exact"/>
              <w:rPr>
                <w:b/>
                <w:color w:val="auto"/>
                <w:sz w:val="14"/>
              </w:rPr>
            </w:pPr>
          </w:p>
        </w:tc>
      </w:tr>
    </w:tbl>
    <w:p w14:paraId="6E068CFF" w14:textId="63B85D8B" w:rsidR="002161B8" w:rsidRDefault="002161B8" w:rsidP="002161B8">
      <w:pPr>
        <w:pStyle w:val="BodyText"/>
      </w:pPr>
      <w:r>
        <w:lastRenderedPageBreak/>
        <w:t xml:space="preserve">The priority given to </w:t>
      </w:r>
      <w:proofErr w:type="spellStart"/>
      <w:r>
        <w:t>CER</w:t>
      </w:r>
      <w:proofErr w:type="spellEnd"/>
      <w:r>
        <w:t xml:space="preserve"> fluctuated during the </w:t>
      </w:r>
      <w:proofErr w:type="spellStart"/>
      <w:r>
        <w:t>1990s</w:t>
      </w:r>
      <w:proofErr w:type="spellEnd"/>
      <w:r>
        <w:t>, with pressure for deepening integration coming mainly from the New Zealand side (Lloyd</w:t>
      </w:r>
      <w:r w:rsidR="007F45C1">
        <w:t> </w:t>
      </w:r>
      <w:r>
        <w:t xml:space="preserve">1995). </w:t>
      </w:r>
      <w:proofErr w:type="spellStart"/>
      <w:r>
        <w:t>Scollay</w:t>
      </w:r>
      <w:proofErr w:type="spellEnd"/>
      <w:r>
        <w:t xml:space="preserve">, Findlay and Kaufmann (2011, </w:t>
      </w:r>
      <w:r w:rsidR="003716EA">
        <w:t>p. </w:t>
      </w:r>
      <w:r>
        <w:t>35) report:</w:t>
      </w:r>
    </w:p>
    <w:p w14:paraId="0C5C0894" w14:textId="77777777" w:rsidR="002161B8" w:rsidRPr="00B34C5B" w:rsidRDefault="002161B8" w:rsidP="002161B8">
      <w:pPr>
        <w:pStyle w:val="Quote"/>
        <w:rPr>
          <w:sz w:val="22"/>
          <w:szCs w:val="22"/>
        </w:rPr>
      </w:pPr>
      <w:r w:rsidRPr="00B34C5B">
        <w:rPr>
          <w:sz w:val="22"/>
          <w:szCs w:val="22"/>
        </w:rPr>
        <w:t xml:space="preserve">… the maintenance of momentum owed much to the intensive programme of regular meetings established between various groups of officials and ministers to give effect to the understandings reached between the two governments, as well as the formal reviews of </w:t>
      </w:r>
      <w:proofErr w:type="spellStart"/>
      <w:r w:rsidRPr="00B34C5B">
        <w:rPr>
          <w:sz w:val="22"/>
          <w:szCs w:val="22"/>
        </w:rPr>
        <w:t>ANZCERTA</w:t>
      </w:r>
      <w:proofErr w:type="spellEnd"/>
      <w:r w:rsidRPr="00B34C5B">
        <w:rPr>
          <w:sz w:val="22"/>
          <w:szCs w:val="22"/>
        </w:rPr>
        <w:t xml:space="preserve"> which took place, for example, in 1992 and 1995.</w:t>
      </w:r>
    </w:p>
    <w:p w14:paraId="41C1C57F" w14:textId="77777777" w:rsidR="001123B2" w:rsidRDefault="002161B8" w:rsidP="002161B8">
      <w:pPr>
        <w:pStyle w:val="BodyText"/>
      </w:pPr>
      <w:r>
        <w:t xml:space="preserve">The </w:t>
      </w:r>
      <w:proofErr w:type="spellStart"/>
      <w:r w:rsidR="001123B2">
        <w:t>CER</w:t>
      </w:r>
      <w:proofErr w:type="spellEnd"/>
      <w:r w:rsidR="00DD24E4">
        <w:t xml:space="preserve"> </w:t>
      </w:r>
      <w:r>
        <w:t xml:space="preserve">agreements </w:t>
      </w:r>
      <w:r w:rsidR="00FA48F9">
        <w:t xml:space="preserve">made </w:t>
      </w:r>
      <w:r>
        <w:t xml:space="preserve">during the </w:t>
      </w:r>
      <w:proofErr w:type="spellStart"/>
      <w:r>
        <w:t>1990s</w:t>
      </w:r>
      <w:proofErr w:type="spellEnd"/>
      <w:r>
        <w:t xml:space="preserve"> </w:t>
      </w:r>
      <w:r w:rsidR="001123B2">
        <w:t>were</w:t>
      </w:r>
      <w:r w:rsidR="00A909F8">
        <w:t xml:space="preserve"> largely about following through on </w:t>
      </w:r>
      <w:r w:rsidR="00416EF8">
        <w:t>commitments made in 1988. The main agreements were</w:t>
      </w:r>
      <w:r w:rsidR="006B36B7">
        <w:t xml:space="preserve"> the</w:t>
      </w:r>
      <w:r w:rsidR="00416EF8">
        <w:t>:</w:t>
      </w:r>
    </w:p>
    <w:p w14:paraId="41C267A9" w14:textId="74CB8664" w:rsidR="001123B2" w:rsidRDefault="00AD643F" w:rsidP="001123B2">
      <w:pPr>
        <w:pStyle w:val="ListBullet"/>
      </w:pPr>
      <w:r w:rsidRPr="00AD643F">
        <w:rPr>
          <w:i/>
        </w:rPr>
        <w:t xml:space="preserve">Agreement Concerning a Joint Food Standards System </w:t>
      </w:r>
      <w:r w:rsidR="00622B24">
        <w:t>(</w:t>
      </w:r>
      <w:r>
        <w:t>or ‘</w:t>
      </w:r>
      <w:r w:rsidR="00622B24">
        <w:t xml:space="preserve">Food </w:t>
      </w:r>
      <w:r>
        <w:t>T</w:t>
      </w:r>
      <w:r w:rsidR="00622B24">
        <w:t>reaty</w:t>
      </w:r>
      <w:r>
        <w:t>’</w:t>
      </w:r>
      <w:r w:rsidR="00622B24">
        <w:t xml:space="preserve">) </w:t>
      </w:r>
      <w:r w:rsidR="00FA48F9">
        <w:t>(1996)</w:t>
      </w:r>
      <w:r w:rsidR="001123B2" w:rsidRPr="001123B2">
        <w:t xml:space="preserve">, </w:t>
      </w:r>
      <w:r w:rsidR="0046678A" w:rsidRPr="001123B2">
        <w:t>establish</w:t>
      </w:r>
      <w:r w:rsidR="0046678A">
        <w:t>ing</w:t>
      </w:r>
      <w:r w:rsidR="0046678A" w:rsidRPr="001123B2">
        <w:t xml:space="preserve"> </w:t>
      </w:r>
      <w:r>
        <w:t xml:space="preserve">what is </w:t>
      </w:r>
      <w:r w:rsidR="001123B2" w:rsidRPr="001123B2">
        <w:t>now called Food Standards Australia New Zealand</w:t>
      </w:r>
      <w:r w:rsidR="000972E4">
        <w:t xml:space="preserve"> </w:t>
      </w:r>
      <w:r w:rsidR="004F71B8">
        <w:t>(</w:t>
      </w:r>
      <w:proofErr w:type="spellStart"/>
      <w:r w:rsidR="004F71B8">
        <w:t>FSANZ</w:t>
      </w:r>
      <w:proofErr w:type="spellEnd"/>
      <w:r w:rsidR="004F71B8">
        <w:t xml:space="preserve">) </w:t>
      </w:r>
      <w:r w:rsidR="000972E4">
        <w:t>(box </w:t>
      </w:r>
      <w:r w:rsidR="00984FC7">
        <w:t>3.3)</w:t>
      </w:r>
    </w:p>
    <w:p w14:paraId="12D77BDE" w14:textId="77777777" w:rsidR="000972E4" w:rsidRDefault="000972E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972E4" w14:paraId="766A8793" w14:textId="77777777" w:rsidTr="000803C1">
        <w:tc>
          <w:tcPr>
            <w:tcW w:w="8771" w:type="dxa"/>
            <w:tcBorders>
              <w:top w:val="nil"/>
              <w:left w:val="nil"/>
              <w:bottom w:val="nil"/>
              <w:right w:val="nil"/>
            </w:tcBorders>
            <w:shd w:val="clear" w:color="auto" w:fill="D9EAF0"/>
          </w:tcPr>
          <w:p w14:paraId="6FB7BA14" w14:textId="77777777" w:rsidR="000972E4" w:rsidRDefault="000972E4" w:rsidP="003443E0">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3</w:t>
            </w:r>
            <w:r>
              <w:rPr>
                <w:b w:val="0"/>
              </w:rPr>
              <w:fldChar w:fldCharType="end"/>
            </w:r>
            <w:r>
              <w:tab/>
              <w:t>A case study</w:t>
            </w:r>
            <w:r w:rsidR="003443E0">
              <w:t>:</w:t>
            </w:r>
            <w:r>
              <w:t xml:space="preserve"> trans-Tasman food safety regulation</w:t>
            </w:r>
          </w:p>
        </w:tc>
      </w:tr>
      <w:tr w:rsidR="000972E4" w14:paraId="3BE1DE6A" w14:textId="77777777" w:rsidTr="000803C1">
        <w:trPr>
          <w:cantSplit/>
        </w:trPr>
        <w:tc>
          <w:tcPr>
            <w:tcW w:w="8771" w:type="dxa"/>
            <w:tcBorders>
              <w:top w:val="nil"/>
              <w:left w:val="nil"/>
              <w:bottom w:val="nil"/>
              <w:right w:val="nil"/>
            </w:tcBorders>
            <w:shd w:val="clear" w:color="auto" w:fill="D9EAF0"/>
          </w:tcPr>
          <w:p w14:paraId="6FE00B69" w14:textId="5D79B5D3" w:rsidR="00A61907" w:rsidRDefault="000972E4" w:rsidP="00A61907">
            <w:pPr>
              <w:pStyle w:val="Box"/>
            </w:pPr>
            <w:r>
              <w:t>Food Standards Australia New Zealand (</w:t>
            </w:r>
            <w:proofErr w:type="spellStart"/>
            <w:r>
              <w:t>FSANZ</w:t>
            </w:r>
            <w:proofErr w:type="spellEnd"/>
            <w:r w:rsidR="00AD643F">
              <w:t>)</w:t>
            </w:r>
            <w:r>
              <w:t xml:space="preserve"> </w:t>
            </w:r>
            <w:r w:rsidR="00A61907" w:rsidRPr="00A61907">
              <w:t xml:space="preserve">was set up to develop a joint </w:t>
            </w:r>
            <w:r w:rsidR="008F4CF4">
              <w:t>f</w:t>
            </w:r>
            <w:r w:rsidR="00A61907" w:rsidRPr="00A61907">
              <w:t xml:space="preserve">ood </w:t>
            </w:r>
            <w:r w:rsidR="008F4CF4">
              <w:t>standards c</w:t>
            </w:r>
            <w:r w:rsidR="00A61907" w:rsidRPr="00A61907">
              <w:t>ode</w:t>
            </w:r>
            <w:r w:rsidR="00B920EC">
              <w:t xml:space="preserve"> under the Food Treaty (1996)</w:t>
            </w:r>
            <w:r w:rsidR="00A61907" w:rsidRPr="00A61907">
              <w:t xml:space="preserve">. </w:t>
            </w:r>
            <w:r w:rsidR="00B920EC">
              <w:t>T</w:t>
            </w:r>
            <w:r w:rsidR="00A61907">
              <w:t xml:space="preserve">he </w:t>
            </w:r>
            <w:r w:rsidR="00A61907" w:rsidRPr="00AC77C7">
              <w:t>Australia New Zealand Food Standards Code</w:t>
            </w:r>
            <w:r w:rsidR="00A61907">
              <w:t xml:space="preserve"> (</w:t>
            </w:r>
            <w:proofErr w:type="spellStart"/>
            <w:r w:rsidR="00A61907">
              <w:t>ANZFS</w:t>
            </w:r>
            <w:proofErr w:type="spellEnd"/>
            <w:r w:rsidR="00A61907">
              <w:t xml:space="preserve"> Code</w:t>
            </w:r>
            <w:r w:rsidR="00A61907" w:rsidRPr="00A61907">
              <w:t xml:space="preserve">) was adopted by both </w:t>
            </w:r>
            <w:r w:rsidR="00DF7D2C">
              <w:t>G</w:t>
            </w:r>
            <w:r w:rsidR="00A61907" w:rsidRPr="00A61907">
              <w:t>overnments in 2002.</w:t>
            </w:r>
          </w:p>
          <w:p w14:paraId="0122A27A" w14:textId="68406436" w:rsidR="000972E4" w:rsidRDefault="00A61907" w:rsidP="00A61907">
            <w:pPr>
              <w:pStyle w:val="Box"/>
            </w:pPr>
            <w:r w:rsidRPr="00A61907">
              <w:t xml:space="preserve">The Food Treaty </w:t>
            </w:r>
            <w:r w:rsidR="00B920EC" w:rsidRPr="00A61907">
              <w:t>aim</w:t>
            </w:r>
            <w:r w:rsidR="00B920EC">
              <w:t>ed</w:t>
            </w:r>
            <w:r w:rsidR="00B920EC" w:rsidRPr="00A61907">
              <w:t xml:space="preserve"> </w:t>
            </w:r>
            <w:r w:rsidRPr="00A61907">
              <w:t>to harmonise</w:t>
            </w:r>
            <w:r w:rsidR="00AD643F">
              <w:t xml:space="preserve"> </w:t>
            </w:r>
            <w:r w:rsidR="000972E4">
              <w:t xml:space="preserve">food standards between the two countries, reduce industry compliance costs and help remove regulatory barriers to trade in food. The ‘single-regulator/many jurisdictions’ model sees </w:t>
            </w:r>
            <w:proofErr w:type="spellStart"/>
            <w:r w:rsidR="000972E4">
              <w:t>FSANZ</w:t>
            </w:r>
            <w:proofErr w:type="spellEnd"/>
            <w:r w:rsidR="000972E4">
              <w:t xml:space="preserve"> researching and developing changes to the </w:t>
            </w:r>
            <w:proofErr w:type="spellStart"/>
            <w:r w:rsidR="000972E4">
              <w:t>ANZFS</w:t>
            </w:r>
            <w:proofErr w:type="spellEnd"/>
            <w:r w:rsidR="000972E4">
              <w:t xml:space="preserve"> Code, which are incorporated, subject to amendment</w:t>
            </w:r>
            <w:r w:rsidR="00BC0E24">
              <w:t>,</w:t>
            </w:r>
            <w:r w:rsidR="000972E4">
              <w:t xml:space="preserve"> into the Food Acts of </w:t>
            </w:r>
            <w:r w:rsidR="00A307AA">
              <w:t xml:space="preserve">New Zealand and </w:t>
            </w:r>
            <w:r w:rsidR="000972E4">
              <w:t xml:space="preserve">each of the Australian states and territories. The </w:t>
            </w:r>
            <w:proofErr w:type="spellStart"/>
            <w:r w:rsidR="000972E4">
              <w:t>ANZFS</w:t>
            </w:r>
            <w:proofErr w:type="spellEnd"/>
            <w:r w:rsidR="000972E4">
              <w:t xml:space="preserve"> Code covers food standards that apply in both countries,</w:t>
            </w:r>
            <w:r w:rsidR="00BC0E24">
              <w:t xml:space="preserve"> </w:t>
            </w:r>
            <w:r w:rsidR="000972E4">
              <w:t xml:space="preserve">as well as food hygiene standards and primary production standards that apply in Australia only. Enforcement and interpretation of the code is undertaken by </w:t>
            </w:r>
            <w:r w:rsidR="00AD643F">
              <w:t xml:space="preserve">different </w:t>
            </w:r>
            <w:r w:rsidR="000972E4">
              <w:t xml:space="preserve">regulators in </w:t>
            </w:r>
            <w:r w:rsidR="00AD643F">
              <w:t xml:space="preserve">each </w:t>
            </w:r>
            <w:r w:rsidR="000972E4">
              <w:t>jurisdiction (</w:t>
            </w:r>
            <w:r w:rsidR="00BC0E24">
              <w:t xml:space="preserve">including </w:t>
            </w:r>
            <w:r w:rsidR="000972E4">
              <w:t xml:space="preserve">local governments in </w:t>
            </w:r>
            <w:r w:rsidR="003716EA">
              <w:t>Australia).</w:t>
            </w:r>
          </w:p>
          <w:p w14:paraId="28BFC204" w14:textId="5707844F" w:rsidR="000972E4" w:rsidRDefault="004167E1" w:rsidP="000972E4">
            <w:pPr>
              <w:pStyle w:val="Box"/>
            </w:pPr>
            <w:r>
              <w:t>Despite the joint approach, t</w:t>
            </w:r>
            <w:r w:rsidR="00A307AA">
              <w:t>he</w:t>
            </w:r>
            <w:r w:rsidR="000972E4">
              <w:t xml:space="preserve"> food safety system is not fully harmonised between Australia and New Zealand, or even across the Australian states. The Food Treaty contains provisions that allow New Zealand to opt out of jointly</w:t>
            </w:r>
            <w:r w:rsidR="00D468C5">
              <w:t xml:space="preserve"> </w:t>
            </w:r>
            <w:r w:rsidR="000972E4">
              <w:t xml:space="preserve">set standards relating to safety and health outcomes, environmental concerns and trade or cultural issues. New Zealand also has separate food hygiene standards for consumer food safety </w:t>
            </w:r>
            <w:r w:rsidR="008F4CF4">
              <w:t xml:space="preserve">that </w:t>
            </w:r>
            <w:r w:rsidR="000972E4">
              <w:t>are more prescript</w:t>
            </w:r>
            <w:r w:rsidR="003716EA">
              <w:t>ive than Australia</w:t>
            </w:r>
            <w:r w:rsidR="002911F2">
              <w:t>’</w:t>
            </w:r>
            <w:r w:rsidR="003716EA">
              <w:t>s (PC</w:t>
            </w:r>
            <w:r w:rsidR="007F45C1">
              <w:t> </w:t>
            </w:r>
            <w:proofErr w:type="spellStart"/>
            <w:r w:rsidR="003716EA">
              <w:t>2009</w:t>
            </w:r>
            <w:r w:rsidR="002911F2">
              <w:t>b</w:t>
            </w:r>
            <w:proofErr w:type="spellEnd"/>
            <w:r w:rsidR="003716EA">
              <w:t>).</w:t>
            </w:r>
          </w:p>
          <w:p w14:paraId="5F82E6EC" w14:textId="606D3F85" w:rsidR="000972E4" w:rsidRDefault="00A307AA" w:rsidP="0088647D">
            <w:pPr>
              <w:pStyle w:val="Box"/>
            </w:pPr>
            <w:proofErr w:type="spellStart"/>
            <w:r>
              <w:t>FSANZ</w:t>
            </w:r>
            <w:proofErr w:type="spellEnd"/>
            <w:r>
              <w:t xml:space="preserve"> is generally regarded as a success, d</w:t>
            </w:r>
            <w:r w:rsidR="000972E4">
              <w:t>espite operating in a complex multi</w:t>
            </w:r>
            <w:r w:rsidR="004167E1">
              <w:noBreakHyphen/>
            </w:r>
            <w:r w:rsidR="000972E4">
              <w:t xml:space="preserve">jurisdictional environment where regulatory differences remain. Submissions to the scoping study </w:t>
            </w:r>
            <w:r w:rsidR="0088647D">
              <w:t>were</w:t>
            </w:r>
            <w:r w:rsidR="000972E4">
              <w:t xml:space="preserve"> </w:t>
            </w:r>
            <w:r>
              <w:t xml:space="preserve">largely </w:t>
            </w:r>
            <w:r w:rsidR="000972E4">
              <w:t xml:space="preserve">positive about the joint food safety regulator. In particular, the Australian Food and Grocery Council </w:t>
            </w:r>
            <w:r w:rsidR="001847B3">
              <w:t xml:space="preserve">(sub. 22) </w:t>
            </w:r>
            <w:r w:rsidR="000972E4">
              <w:t>support</w:t>
            </w:r>
            <w:r w:rsidR="0088647D">
              <w:t>ed</w:t>
            </w:r>
            <w:r w:rsidR="000972E4">
              <w:t xml:space="preserve"> retaining </w:t>
            </w:r>
            <w:proofErr w:type="spellStart"/>
            <w:r w:rsidR="000972E4">
              <w:t>FSANZ</w:t>
            </w:r>
            <w:proofErr w:type="spellEnd"/>
            <w:r w:rsidR="000972E4">
              <w:t xml:space="preserve"> as the lead agency and mechanism for developing food regulation in Australia and New Zealand, and the New Zealand Food and Grocery Council </w:t>
            </w:r>
            <w:r w:rsidR="001847B3">
              <w:t xml:space="preserve">(sub. 34) </w:t>
            </w:r>
            <w:r w:rsidR="000972E4">
              <w:t>also strongly support</w:t>
            </w:r>
            <w:r w:rsidR="0088647D">
              <w:t>ed</w:t>
            </w:r>
            <w:r w:rsidR="000972E4">
              <w:t xml:space="preserve"> the joint food standards setting system, while not supporting an ex</w:t>
            </w:r>
            <w:r w:rsidR="003716EA">
              <w:t>pansion of its scope.</w:t>
            </w:r>
          </w:p>
        </w:tc>
      </w:tr>
      <w:tr w:rsidR="000972E4" w14:paraId="1CD2C2FC" w14:textId="77777777" w:rsidTr="000803C1">
        <w:trPr>
          <w:cantSplit/>
        </w:trPr>
        <w:tc>
          <w:tcPr>
            <w:tcW w:w="8771" w:type="dxa"/>
            <w:tcBorders>
              <w:top w:val="nil"/>
              <w:left w:val="nil"/>
              <w:bottom w:val="nil"/>
              <w:right w:val="nil"/>
            </w:tcBorders>
            <w:shd w:val="clear" w:color="auto" w:fill="D9EAF0"/>
          </w:tcPr>
          <w:p w14:paraId="631E4F3D" w14:textId="77777777" w:rsidR="000972E4" w:rsidRDefault="000972E4">
            <w:pPr>
              <w:pStyle w:val="Box"/>
              <w:spacing w:before="0" w:line="120" w:lineRule="exact"/>
            </w:pPr>
          </w:p>
        </w:tc>
      </w:tr>
      <w:tr w:rsidR="000972E4" w:rsidRPr="00B34C5B" w14:paraId="74F1CBA1" w14:textId="77777777" w:rsidTr="000803C1">
        <w:tc>
          <w:tcPr>
            <w:tcW w:w="8771" w:type="dxa"/>
            <w:tcBorders>
              <w:top w:val="nil"/>
              <w:left w:val="nil"/>
              <w:bottom w:val="nil"/>
              <w:right w:val="nil"/>
            </w:tcBorders>
          </w:tcPr>
          <w:p w14:paraId="5C8EFFA2" w14:textId="77777777" w:rsidR="000972E4" w:rsidRPr="00B34C5B" w:rsidRDefault="000972E4">
            <w:pPr>
              <w:pStyle w:val="Box"/>
              <w:keepNext w:val="0"/>
              <w:spacing w:before="60" w:after="60" w:line="80" w:lineRule="exact"/>
              <w:rPr>
                <w:b/>
                <w:color w:val="auto"/>
                <w:sz w:val="14"/>
              </w:rPr>
            </w:pPr>
          </w:p>
        </w:tc>
      </w:tr>
    </w:tbl>
    <w:p w14:paraId="27697626" w14:textId="3A222588" w:rsidR="00674A5E" w:rsidRPr="00674A5E" w:rsidRDefault="00674A5E" w:rsidP="00674A5E">
      <w:pPr>
        <w:pStyle w:val="ListBullet"/>
      </w:pPr>
      <w:r w:rsidRPr="00674A5E">
        <w:rPr>
          <w:i/>
        </w:rPr>
        <w:lastRenderedPageBreak/>
        <w:t>Trans-Tasman Mutual Recognition Arrangement</w:t>
      </w:r>
      <w:r w:rsidRPr="00674A5E">
        <w:t xml:space="preserve"> (</w:t>
      </w:r>
      <w:proofErr w:type="spellStart"/>
      <w:r w:rsidRPr="00674A5E">
        <w:t>TTMRA</w:t>
      </w:r>
      <w:proofErr w:type="spellEnd"/>
      <w:r w:rsidRPr="00674A5E">
        <w:t>) (1996), aiming to allow producers and people in registered occupations to meet only a single set of regulatory requirements to do business in Australia and New Zealand</w:t>
      </w:r>
    </w:p>
    <w:p w14:paraId="3A5B9D7A" w14:textId="77777777" w:rsidR="00674A5E" w:rsidRPr="00674A5E" w:rsidRDefault="00674A5E" w:rsidP="00674A5E">
      <w:pPr>
        <w:pStyle w:val="ListBullet"/>
      </w:pPr>
      <w:r w:rsidRPr="00674A5E">
        <w:rPr>
          <w:i/>
        </w:rPr>
        <w:t>Australia New Zealand Government Procurement Agreement</w:t>
      </w:r>
      <w:r w:rsidRPr="00674A5E">
        <w:t xml:space="preserve"> (1997), creating a single trans-Tasman government procurement market.</w:t>
      </w:r>
    </w:p>
    <w:p w14:paraId="7B1DE143" w14:textId="6AD8F309" w:rsidR="001848D9" w:rsidRDefault="00A307AA" w:rsidP="004B5BB5">
      <w:pPr>
        <w:pStyle w:val="BodyText"/>
      </w:pPr>
      <w:r>
        <w:t>I</w:t>
      </w:r>
      <w:r w:rsidR="00630379">
        <w:t xml:space="preserve">mplementing agreements </w:t>
      </w:r>
      <w:r w:rsidR="006B36B7">
        <w:t xml:space="preserve">to </w:t>
      </w:r>
      <w:r w:rsidR="00630379">
        <w:t>reduc</w:t>
      </w:r>
      <w:r w:rsidR="006B36B7">
        <w:t>e</w:t>
      </w:r>
      <w:r w:rsidR="00630379">
        <w:t xml:space="preserve"> behind</w:t>
      </w:r>
      <w:r w:rsidR="001848D9">
        <w:t>-the-border barriers</w:t>
      </w:r>
      <w:r w:rsidR="00630379">
        <w:t xml:space="preserve"> </w:t>
      </w:r>
      <w:r w:rsidR="00D468C5">
        <w:t>has been</w:t>
      </w:r>
      <w:r w:rsidR="00630379">
        <w:t xml:space="preserve"> complicated and time consuming. </w:t>
      </w:r>
      <w:r w:rsidR="006E3D78">
        <w:t xml:space="preserve">A striking </w:t>
      </w:r>
      <w:r w:rsidR="00692775">
        <w:t>example</w:t>
      </w:r>
      <w:r w:rsidR="006E3D78">
        <w:t xml:space="preserve"> is</w:t>
      </w:r>
      <w:r w:rsidR="00692775">
        <w:t xml:space="preserve"> the </w:t>
      </w:r>
      <w:r w:rsidR="00E83630" w:rsidRPr="00E83630">
        <w:t>Australia New Zealand Therapeutic Products Agency</w:t>
      </w:r>
      <w:r w:rsidR="004F71B8">
        <w:t xml:space="preserve"> (</w:t>
      </w:r>
      <w:proofErr w:type="spellStart"/>
      <w:r w:rsidR="004F71B8">
        <w:t>ANZTPA</w:t>
      </w:r>
      <w:proofErr w:type="spellEnd"/>
      <w:r w:rsidR="004F71B8">
        <w:t>)</w:t>
      </w:r>
      <w:r w:rsidR="006E3D78">
        <w:t xml:space="preserve">, which </w:t>
      </w:r>
      <w:r w:rsidR="004F5C1B">
        <w:t>is</w:t>
      </w:r>
      <w:r w:rsidR="00E83630">
        <w:t xml:space="preserve"> due to commence by 2016, </w:t>
      </w:r>
      <w:r w:rsidR="00674A5E">
        <w:t>17 </w:t>
      </w:r>
      <w:r w:rsidR="004F5C1B">
        <w:t>years after Ministers</w:t>
      </w:r>
      <w:r w:rsidR="004F5C1B" w:rsidRPr="00D50008">
        <w:t xml:space="preserve"> agree</w:t>
      </w:r>
      <w:r w:rsidR="004F5C1B">
        <w:t>d to explore a joint agency</w:t>
      </w:r>
      <w:r w:rsidR="00E83630">
        <w:t xml:space="preserve"> (</w:t>
      </w:r>
      <w:r w:rsidR="00630379">
        <w:t>box </w:t>
      </w:r>
      <w:r w:rsidR="00243156">
        <w:t>3.</w:t>
      </w:r>
      <w:r w:rsidR="00984FC7">
        <w:t>4</w:t>
      </w:r>
      <w:r w:rsidR="007E4061">
        <w:t>)</w:t>
      </w:r>
      <w:r w:rsidR="003A6185">
        <w:t>.</w:t>
      </w:r>
    </w:p>
    <w:p w14:paraId="4457B842" w14:textId="77777777" w:rsidR="00461E83" w:rsidRDefault="00461E8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1E83" w14:paraId="04AD5631" w14:textId="77777777" w:rsidTr="00461E83">
        <w:tc>
          <w:tcPr>
            <w:tcW w:w="8771" w:type="dxa"/>
            <w:tcBorders>
              <w:top w:val="nil"/>
              <w:left w:val="nil"/>
              <w:bottom w:val="nil"/>
              <w:right w:val="nil"/>
            </w:tcBorders>
            <w:shd w:val="clear" w:color="auto" w:fill="D9EAF0"/>
          </w:tcPr>
          <w:p w14:paraId="74448B9F" w14:textId="77777777" w:rsidR="00461E83" w:rsidRDefault="00461E83" w:rsidP="00087BBA">
            <w:pPr>
              <w:pStyle w:val="BoxTitle"/>
            </w:pPr>
            <w:r>
              <w:rPr>
                <w:b w:val="0"/>
              </w:rPr>
              <w:t xml:space="preserve">Box </w:t>
            </w:r>
            <w:bookmarkStart w:id="2" w:name="OLE_LINK1"/>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4</w:t>
            </w:r>
            <w:r>
              <w:rPr>
                <w:b w:val="0"/>
              </w:rPr>
              <w:fldChar w:fldCharType="end"/>
            </w:r>
            <w:bookmarkEnd w:id="2"/>
            <w:r>
              <w:tab/>
            </w:r>
            <w:r w:rsidR="00087BBA">
              <w:t>The long journey to a joint</w:t>
            </w:r>
            <w:r w:rsidRPr="00461E83">
              <w:t xml:space="preserve"> </w:t>
            </w:r>
            <w:r w:rsidR="00087BBA">
              <w:t>t</w:t>
            </w:r>
            <w:r w:rsidRPr="00461E83">
              <w:t xml:space="preserve">herapeutic </w:t>
            </w:r>
            <w:r w:rsidR="00087BBA">
              <w:t>p</w:t>
            </w:r>
            <w:r w:rsidRPr="00461E83">
              <w:t xml:space="preserve">roducts </w:t>
            </w:r>
            <w:r w:rsidR="00087BBA">
              <w:t>a</w:t>
            </w:r>
            <w:r w:rsidRPr="00461E83">
              <w:t>gency</w:t>
            </w:r>
          </w:p>
        </w:tc>
      </w:tr>
      <w:tr w:rsidR="00461E83" w14:paraId="36C2BA7C" w14:textId="77777777" w:rsidTr="00461E83">
        <w:trPr>
          <w:cantSplit/>
        </w:trPr>
        <w:tc>
          <w:tcPr>
            <w:tcW w:w="8771" w:type="dxa"/>
            <w:tcBorders>
              <w:top w:val="nil"/>
              <w:left w:val="nil"/>
              <w:bottom w:val="nil"/>
              <w:right w:val="nil"/>
            </w:tcBorders>
            <w:shd w:val="clear" w:color="auto" w:fill="D9EAF0"/>
          </w:tcPr>
          <w:p w14:paraId="59C74B24" w14:textId="62540C84" w:rsidR="00D50008" w:rsidRDefault="00A307AA">
            <w:pPr>
              <w:pStyle w:val="Box"/>
            </w:pPr>
            <w:r>
              <w:t>Therapeutic goods are one of the ex</w:t>
            </w:r>
            <w:r w:rsidR="00D27FFD">
              <w:t>emptions</w:t>
            </w:r>
            <w:r>
              <w:t xml:space="preserve"> in the</w:t>
            </w:r>
            <w:r w:rsidR="00461E83">
              <w:t xml:space="preserve"> </w:t>
            </w:r>
            <w:r w:rsidR="00461E83" w:rsidRPr="00461E83">
              <w:t xml:space="preserve">Trans-Tasman </w:t>
            </w:r>
            <w:r w:rsidR="00461E83">
              <w:t>Mutual Recognition Arrangement (</w:t>
            </w:r>
            <w:proofErr w:type="spellStart"/>
            <w:r w:rsidR="00461E83">
              <w:t>TTMRA</w:t>
            </w:r>
            <w:proofErr w:type="spellEnd"/>
            <w:r w:rsidR="00461E83">
              <w:t>)</w:t>
            </w:r>
            <w:r>
              <w:t>.</w:t>
            </w:r>
            <w:r w:rsidR="00461E83">
              <w:t xml:space="preserve"> </w:t>
            </w:r>
            <w:r w:rsidR="005F33BE">
              <w:t xml:space="preserve">Following the signing of the </w:t>
            </w:r>
            <w:proofErr w:type="spellStart"/>
            <w:r w:rsidR="005F33BE">
              <w:t>TTMRA</w:t>
            </w:r>
            <w:proofErr w:type="spellEnd"/>
            <w:r w:rsidR="005F33BE">
              <w:t xml:space="preserve"> in 1996, various options for harmonising regulation of therapeutic goods were explored. The preferred option was to create a </w:t>
            </w:r>
            <w:r w:rsidR="00BC6C55">
              <w:t>joint regulatory scheme administered by a single regulator — the Australia New Zealand Therapeutic Products Agency</w:t>
            </w:r>
            <w:r w:rsidR="00D50008">
              <w:t xml:space="preserve"> (</w:t>
            </w:r>
            <w:proofErr w:type="spellStart"/>
            <w:r w:rsidR="00D50008">
              <w:t>ANZTPA</w:t>
            </w:r>
            <w:proofErr w:type="spellEnd"/>
            <w:r w:rsidR="00D50008">
              <w:t>)</w:t>
            </w:r>
            <w:r w:rsidR="00BC6C55">
              <w:t>. One reason for this was that the increasing complexity of therapeutic products was making it difficult for New Zealand in particular to maintain the necessar</w:t>
            </w:r>
            <w:r w:rsidR="003716EA">
              <w:t>y level of regulatory capacity.</w:t>
            </w:r>
            <w:r w:rsidR="007207DD">
              <w:t xml:space="preserve"> </w:t>
            </w:r>
            <w:r w:rsidR="00D50008">
              <w:t>The journey toward</w:t>
            </w:r>
            <w:r w:rsidR="006B36B7">
              <w:t>s</w:t>
            </w:r>
            <w:r w:rsidR="00D50008">
              <w:t xml:space="preserve"> the introduction of the </w:t>
            </w:r>
            <w:proofErr w:type="spellStart"/>
            <w:r w:rsidR="00D50008">
              <w:t>ANZTPA</w:t>
            </w:r>
            <w:proofErr w:type="spellEnd"/>
            <w:r w:rsidR="00D50008">
              <w:t xml:space="preserve"> has been a long and difficult one</w:t>
            </w:r>
            <w:r w:rsidR="00450890">
              <w:t xml:space="preserve">, and it is </w:t>
            </w:r>
            <w:r w:rsidR="00087BBA">
              <w:t>yet</w:t>
            </w:r>
            <w:r w:rsidR="00450890">
              <w:t xml:space="preserve"> to be completed</w:t>
            </w:r>
            <w:r w:rsidR="00D50008">
              <w:t>:</w:t>
            </w:r>
          </w:p>
          <w:p w14:paraId="4D9A9837" w14:textId="77777777" w:rsidR="00D50008" w:rsidRDefault="00D50008" w:rsidP="00D50008">
            <w:pPr>
              <w:pStyle w:val="Box"/>
              <w:ind w:left="720" w:hanging="720"/>
            </w:pPr>
            <w:r>
              <w:t>1999</w:t>
            </w:r>
            <w:r>
              <w:tab/>
            </w:r>
            <w:r w:rsidRPr="00D50008">
              <w:t>Australian and New Zealand Ministers agree</w:t>
            </w:r>
            <w:r>
              <w:t xml:space="preserve"> to explore the viability of establishing a joint agency</w:t>
            </w:r>
            <w:r w:rsidR="008D4E64">
              <w:t>.</w:t>
            </w:r>
          </w:p>
          <w:p w14:paraId="3ECE64A6" w14:textId="2455036E" w:rsidR="00D50008" w:rsidRDefault="00D50008" w:rsidP="00D50008">
            <w:pPr>
              <w:pStyle w:val="Box"/>
              <w:ind w:left="720" w:hanging="720"/>
            </w:pPr>
            <w:r>
              <w:t>2000</w:t>
            </w:r>
            <w:r w:rsidR="008D4E64">
              <w:tab/>
              <w:t xml:space="preserve">A consultation paper on </w:t>
            </w:r>
            <w:r w:rsidR="00BC0E24">
              <w:t>a possible framework</w:t>
            </w:r>
            <w:r w:rsidR="008D4E64">
              <w:t xml:space="preserve"> for a joint agency </w:t>
            </w:r>
            <w:r w:rsidR="00ED0564">
              <w:t>is</w:t>
            </w:r>
            <w:r w:rsidR="008D4E64">
              <w:t xml:space="preserve"> released.</w:t>
            </w:r>
            <w:r w:rsidR="00C964E7">
              <w:t xml:space="preserve"> </w:t>
            </w:r>
            <w:r w:rsidR="007207DD">
              <w:t>A</w:t>
            </w:r>
            <w:r w:rsidR="00C964E7">
              <w:t xml:space="preserve"> regulat</w:t>
            </w:r>
            <w:r w:rsidR="00BC0E24">
              <w:t>ory</w:t>
            </w:r>
            <w:r w:rsidR="00C964E7">
              <w:t xml:space="preserve"> impact analysis for a joint therapeutics agency finds modest net economic gains for both countries.</w:t>
            </w:r>
          </w:p>
          <w:p w14:paraId="0EF81903" w14:textId="77777777" w:rsidR="00BA5159" w:rsidRDefault="008D4E64" w:rsidP="00BA5159">
            <w:pPr>
              <w:pStyle w:val="Box"/>
              <w:ind w:left="720" w:hanging="720"/>
            </w:pPr>
            <w:r>
              <w:t>2003</w:t>
            </w:r>
            <w:r>
              <w:tab/>
            </w:r>
            <w:r w:rsidRPr="008D4E64">
              <w:t xml:space="preserve">The Agreement for the Establishment of a Joint Scheme for the Regulation of Therapeutic Products (the Treaty) </w:t>
            </w:r>
            <w:r w:rsidR="00ED0564">
              <w:t>is</w:t>
            </w:r>
            <w:r>
              <w:t xml:space="preserve"> signed.</w:t>
            </w:r>
            <w:r w:rsidR="001B0467">
              <w:t xml:space="preserve"> </w:t>
            </w:r>
            <w:r w:rsidR="00BA5159">
              <w:t xml:space="preserve">The Therapeutic Products Interim Ministerial Council </w:t>
            </w:r>
            <w:r w:rsidR="00ED0564">
              <w:t>is</w:t>
            </w:r>
            <w:r w:rsidR="00BA5159">
              <w:t xml:space="preserve"> established to facilitate the creation of the joint regulatory scheme and joint agency</w:t>
            </w:r>
            <w:r w:rsidR="001B0467">
              <w:t>.</w:t>
            </w:r>
          </w:p>
          <w:p w14:paraId="5EE4405C" w14:textId="29FA709A" w:rsidR="008D4E64" w:rsidRDefault="008D4E64" w:rsidP="00D50008">
            <w:pPr>
              <w:pStyle w:val="Box"/>
              <w:ind w:left="720" w:hanging="720"/>
            </w:pPr>
            <w:r>
              <w:t>2006</w:t>
            </w:r>
            <w:r>
              <w:tab/>
              <w:t xml:space="preserve">Enabling legislation </w:t>
            </w:r>
            <w:r w:rsidR="001B0467">
              <w:t>is</w:t>
            </w:r>
            <w:r>
              <w:t xml:space="preserve"> introduced in New Zealand, but fail</w:t>
            </w:r>
            <w:r w:rsidR="001B0467">
              <w:t>s</w:t>
            </w:r>
            <w:r>
              <w:t xml:space="preserve"> to pass</w:t>
            </w:r>
            <w:r w:rsidR="00A307AA">
              <w:t>,</w:t>
            </w:r>
            <w:r w:rsidR="001B0467">
              <w:t xml:space="preserve"> due to</w:t>
            </w:r>
            <w:r w:rsidR="008737AE">
              <w:t xml:space="preserve"> concerns that </w:t>
            </w:r>
            <w:r w:rsidR="00ED0564" w:rsidRPr="00ED0564">
              <w:t xml:space="preserve">the </w:t>
            </w:r>
            <w:r w:rsidR="00A307AA" w:rsidRPr="00ED0564">
              <w:t>propos</w:t>
            </w:r>
            <w:r w:rsidR="00A307AA">
              <w:t>al</w:t>
            </w:r>
            <w:r w:rsidR="00ED0564" w:rsidRPr="00ED0564">
              <w:t xml:space="preserve"> </w:t>
            </w:r>
            <w:r w:rsidR="00ED0564">
              <w:t xml:space="preserve">would make </w:t>
            </w:r>
            <w:r w:rsidR="008737AE">
              <w:t xml:space="preserve">complementary medicines and natural health products (including those used in </w:t>
            </w:r>
            <w:r w:rsidR="002543FA">
              <w:t>Māori</w:t>
            </w:r>
            <w:r w:rsidR="008737AE">
              <w:t xml:space="preserve"> medicine) </w:t>
            </w:r>
            <w:r w:rsidR="00ED0564">
              <w:t xml:space="preserve">more expensive and that some could become </w:t>
            </w:r>
            <w:r w:rsidR="008737AE">
              <w:t>illegal.</w:t>
            </w:r>
          </w:p>
          <w:p w14:paraId="7585F311" w14:textId="77777777" w:rsidR="008737AE" w:rsidRDefault="008737AE" w:rsidP="00D50008">
            <w:pPr>
              <w:pStyle w:val="Box"/>
              <w:ind w:left="720" w:hanging="720"/>
            </w:pPr>
            <w:r>
              <w:t>2007</w:t>
            </w:r>
            <w:r>
              <w:tab/>
              <w:t xml:space="preserve">Negotiations </w:t>
            </w:r>
            <w:r w:rsidR="00450890">
              <w:t>suspended (but the Treaty remain</w:t>
            </w:r>
            <w:r w:rsidR="001B0467">
              <w:t>s</w:t>
            </w:r>
            <w:r w:rsidR="00450890">
              <w:t xml:space="preserve"> in place).</w:t>
            </w:r>
          </w:p>
          <w:p w14:paraId="2ECAD7BA" w14:textId="07BE99E4" w:rsidR="00461E83" w:rsidRDefault="00450890" w:rsidP="00A307AA">
            <w:pPr>
              <w:pStyle w:val="Box"/>
              <w:ind w:left="720" w:hanging="720"/>
            </w:pPr>
            <w:r>
              <w:t>2011</w:t>
            </w:r>
            <w:r>
              <w:tab/>
              <w:t xml:space="preserve">The Prime Ministers sign a statement of intent to implement the </w:t>
            </w:r>
            <w:proofErr w:type="spellStart"/>
            <w:r w:rsidR="00ED0564">
              <w:t>ANZTPA</w:t>
            </w:r>
            <w:proofErr w:type="spellEnd"/>
            <w:r>
              <w:t xml:space="preserve"> progressively over a period of up to fi</w:t>
            </w:r>
            <w:r w:rsidR="00BA5159">
              <w:t xml:space="preserve">ve years. </w:t>
            </w:r>
            <w:r w:rsidR="00ED0564">
              <w:t>The New Zealand Government announces</w:t>
            </w:r>
            <w:r w:rsidR="001B0467">
              <w:t xml:space="preserve"> it will develop a separate framework for domestic regulation of </w:t>
            </w:r>
            <w:r w:rsidR="001B0467" w:rsidRPr="001B0467">
              <w:t>complementary medicines and natural health products</w:t>
            </w:r>
            <w:r w:rsidR="001B0467">
              <w:t>.</w:t>
            </w:r>
          </w:p>
        </w:tc>
      </w:tr>
      <w:tr w:rsidR="00461E83" w14:paraId="27CABA26" w14:textId="77777777" w:rsidTr="00461E83">
        <w:trPr>
          <w:cantSplit/>
        </w:trPr>
        <w:tc>
          <w:tcPr>
            <w:tcW w:w="8771" w:type="dxa"/>
            <w:tcBorders>
              <w:top w:val="nil"/>
              <w:left w:val="nil"/>
              <w:bottom w:val="nil"/>
              <w:right w:val="nil"/>
            </w:tcBorders>
            <w:shd w:val="clear" w:color="auto" w:fill="D9EAF0"/>
          </w:tcPr>
          <w:p w14:paraId="6778FE90" w14:textId="7A78A860" w:rsidR="00461E83" w:rsidRDefault="00461E83" w:rsidP="00B36E47">
            <w:pPr>
              <w:pStyle w:val="BoxSource"/>
            </w:pPr>
            <w:r>
              <w:rPr>
                <w:i/>
              </w:rPr>
              <w:t>Source</w:t>
            </w:r>
            <w:r w:rsidR="00033DC5">
              <w:rPr>
                <w:i/>
              </w:rPr>
              <w:t>s</w:t>
            </w:r>
            <w:r w:rsidRPr="00167F06">
              <w:t xml:space="preserve">: </w:t>
            </w:r>
            <w:r w:rsidR="00033DC5" w:rsidRPr="00033DC5">
              <w:t>Gillard</w:t>
            </w:r>
            <w:r w:rsidR="007F45C1">
              <w:t> </w:t>
            </w:r>
            <w:r w:rsidR="00033DC5">
              <w:t>(</w:t>
            </w:r>
            <w:proofErr w:type="spellStart"/>
            <w:r w:rsidR="00033DC5" w:rsidRPr="00033DC5">
              <w:t>2011</w:t>
            </w:r>
            <w:r w:rsidR="009D49DE">
              <w:t>b</w:t>
            </w:r>
            <w:proofErr w:type="spellEnd"/>
            <w:r w:rsidR="00033DC5">
              <w:t>)</w:t>
            </w:r>
            <w:r w:rsidR="00033DC5" w:rsidRPr="00033DC5">
              <w:t xml:space="preserve">; </w:t>
            </w:r>
            <w:proofErr w:type="spellStart"/>
            <w:r w:rsidR="00033DC5" w:rsidRPr="00033DC5">
              <w:t>TGA</w:t>
            </w:r>
            <w:proofErr w:type="spellEnd"/>
            <w:r w:rsidR="007F45C1">
              <w:t> </w:t>
            </w:r>
            <w:r w:rsidR="00033DC5">
              <w:t>(</w:t>
            </w:r>
            <w:r w:rsidR="00033DC5" w:rsidRPr="00033DC5">
              <w:t>2012</w:t>
            </w:r>
            <w:r w:rsidR="00033DC5">
              <w:t>)</w:t>
            </w:r>
            <w:r w:rsidR="00B36E47">
              <w:t>.</w:t>
            </w:r>
          </w:p>
        </w:tc>
      </w:tr>
      <w:tr w:rsidR="00461E83" w14:paraId="5D16E1BF" w14:textId="77777777" w:rsidTr="00461E83">
        <w:trPr>
          <w:cantSplit/>
        </w:trPr>
        <w:tc>
          <w:tcPr>
            <w:tcW w:w="8771" w:type="dxa"/>
            <w:tcBorders>
              <w:top w:val="nil"/>
              <w:left w:val="nil"/>
              <w:bottom w:val="nil"/>
              <w:right w:val="nil"/>
            </w:tcBorders>
            <w:shd w:val="clear" w:color="auto" w:fill="D9EAF0"/>
          </w:tcPr>
          <w:p w14:paraId="2754037F" w14:textId="77777777" w:rsidR="00461E83" w:rsidRDefault="00461E83">
            <w:pPr>
              <w:pStyle w:val="Box"/>
              <w:spacing w:before="0" w:line="120" w:lineRule="exact"/>
            </w:pPr>
          </w:p>
        </w:tc>
      </w:tr>
      <w:tr w:rsidR="00461E83" w:rsidRPr="00B34C5B" w14:paraId="7DF0610E" w14:textId="77777777" w:rsidTr="00461E83">
        <w:tc>
          <w:tcPr>
            <w:tcW w:w="8771" w:type="dxa"/>
            <w:tcBorders>
              <w:top w:val="nil"/>
              <w:left w:val="nil"/>
              <w:bottom w:val="nil"/>
              <w:right w:val="nil"/>
            </w:tcBorders>
          </w:tcPr>
          <w:p w14:paraId="51DF4895" w14:textId="77777777" w:rsidR="00461E83" w:rsidRPr="00B34C5B" w:rsidRDefault="00461E83">
            <w:pPr>
              <w:pStyle w:val="Box"/>
              <w:keepNext w:val="0"/>
              <w:spacing w:before="60" w:after="60" w:line="80" w:lineRule="exact"/>
              <w:rPr>
                <w:b/>
                <w:color w:val="auto"/>
                <w:sz w:val="14"/>
              </w:rPr>
            </w:pPr>
          </w:p>
        </w:tc>
      </w:tr>
    </w:tbl>
    <w:p w14:paraId="09C849A1" w14:textId="77777777" w:rsidR="001848D9" w:rsidRDefault="001848D9" w:rsidP="001848D9">
      <w:pPr>
        <w:pStyle w:val="Heading3"/>
      </w:pPr>
      <w:r>
        <w:lastRenderedPageBreak/>
        <w:t>Towards a single economic market</w:t>
      </w:r>
    </w:p>
    <w:p w14:paraId="63BD5C69" w14:textId="13DAF88A" w:rsidR="009B0DCD" w:rsidRDefault="00A307AA" w:rsidP="004B5BB5">
      <w:pPr>
        <w:pStyle w:val="BodyText"/>
      </w:pPr>
      <w:r>
        <w:t>Countries in the Asia-Pacific region</w:t>
      </w:r>
      <w:r w:rsidR="00B33BC4">
        <w:t xml:space="preserve">, including New Zealand and Australia, </w:t>
      </w:r>
      <w:r>
        <w:t xml:space="preserve">actively pursued preferential trade agreements </w:t>
      </w:r>
      <w:r w:rsidR="009B0DCD">
        <w:t xml:space="preserve">at the </w:t>
      </w:r>
      <w:r w:rsidR="00107DBA">
        <w:t>start of the new millennium</w:t>
      </w:r>
      <w:r w:rsidR="002A0E8E">
        <w:t xml:space="preserve"> (box </w:t>
      </w:r>
      <w:r w:rsidR="00D41A7C">
        <w:t>3.</w:t>
      </w:r>
      <w:r w:rsidR="00984FC7">
        <w:t>5</w:t>
      </w:r>
      <w:r w:rsidR="00256256">
        <w:t>)</w:t>
      </w:r>
      <w:r w:rsidR="009B0DCD">
        <w:t>.</w:t>
      </w:r>
      <w:r w:rsidR="00D87333">
        <w:t xml:space="preserve"> </w:t>
      </w:r>
      <w:proofErr w:type="spellStart"/>
      <w:r w:rsidR="009B0DCD">
        <w:t>Scollay</w:t>
      </w:r>
      <w:proofErr w:type="spellEnd"/>
      <w:r w:rsidR="009B0DCD">
        <w:t>, Findlay and Kaufmann (2011, p. 58) report:</w:t>
      </w:r>
    </w:p>
    <w:p w14:paraId="728F0773" w14:textId="77777777" w:rsidR="009B0DCD" w:rsidRPr="00B34C5B" w:rsidRDefault="009B0DCD" w:rsidP="009B0DCD">
      <w:pPr>
        <w:pStyle w:val="Quote"/>
        <w:rPr>
          <w:sz w:val="22"/>
          <w:szCs w:val="22"/>
        </w:rPr>
      </w:pPr>
      <w:r w:rsidRPr="00B34C5B">
        <w:rPr>
          <w:sz w:val="22"/>
          <w:szCs w:val="22"/>
        </w:rPr>
        <w:t>These developments raised questions over the degree of priority that both countries would in future place on their bilateral relationship, especially as they chose to pursue their new preferential arrangements individually rather than jointly.</w:t>
      </w:r>
      <w:r w:rsidR="005D51BD" w:rsidRPr="00B34C5B">
        <w:rPr>
          <w:sz w:val="22"/>
          <w:szCs w:val="22"/>
        </w:rPr>
        <w:t xml:space="preserve"> </w:t>
      </w:r>
      <w:r w:rsidRPr="00B34C5B">
        <w:rPr>
          <w:sz w:val="22"/>
          <w:szCs w:val="22"/>
        </w:rPr>
        <w:t>Rather than allow the bilateral economic relationship to wither, however, the two countries decided instead to try to rejuvenate it.</w:t>
      </w:r>
    </w:p>
    <w:p w14:paraId="741DC8C6" w14:textId="77777777" w:rsidR="00256256" w:rsidRDefault="0025625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56256" w14:paraId="2FFEE445" w14:textId="77777777" w:rsidTr="00256256">
        <w:tc>
          <w:tcPr>
            <w:tcW w:w="8771" w:type="dxa"/>
            <w:tcBorders>
              <w:top w:val="nil"/>
              <w:left w:val="nil"/>
              <w:bottom w:val="nil"/>
              <w:right w:val="nil"/>
            </w:tcBorders>
            <w:shd w:val="clear" w:color="auto" w:fill="D9EAF0"/>
          </w:tcPr>
          <w:p w14:paraId="35AC59D4" w14:textId="77777777" w:rsidR="00256256" w:rsidRDefault="00256256" w:rsidP="00256256">
            <w:pPr>
              <w:pStyle w:val="BoxTitle"/>
            </w:pPr>
            <w:r>
              <w:rPr>
                <w:b w:val="0"/>
              </w:rPr>
              <w:t xml:space="preserve">Box </w:t>
            </w:r>
            <w:bookmarkStart w:id="3" w:name="OLE_LINK8"/>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5</w:t>
            </w:r>
            <w:r>
              <w:rPr>
                <w:b w:val="0"/>
              </w:rPr>
              <w:fldChar w:fldCharType="end"/>
            </w:r>
            <w:bookmarkEnd w:id="3"/>
            <w:r>
              <w:tab/>
              <w:t>The broader trade policy context</w:t>
            </w:r>
          </w:p>
        </w:tc>
      </w:tr>
      <w:tr w:rsidR="00256256" w14:paraId="7ADE435D" w14:textId="77777777" w:rsidTr="00256256">
        <w:trPr>
          <w:cantSplit/>
        </w:trPr>
        <w:tc>
          <w:tcPr>
            <w:tcW w:w="8771" w:type="dxa"/>
            <w:tcBorders>
              <w:top w:val="nil"/>
              <w:left w:val="nil"/>
              <w:bottom w:val="nil"/>
              <w:right w:val="nil"/>
            </w:tcBorders>
            <w:shd w:val="clear" w:color="auto" w:fill="D9EAF0"/>
          </w:tcPr>
          <w:p w14:paraId="60880521" w14:textId="3A9E2F1A" w:rsidR="00256256" w:rsidRPr="00592993" w:rsidRDefault="00256256" w:rsidP="00256256">
            <w:pPr>
              <w:pStyle w:val="Box"/>
            </w:pPr>
            <w:r w:rsidRPr="00592993">
              <w:t xml:space="preserve">Australia and New Zealand are members of a number of bilateral, regional and multilateral trade </w:t>
            </w:r>
            <w:r w:rsidR="009E2B8A">
              <w:t xml:space="preserve">and investment </w:t>
            </w:r>
            <w:r w:rsidRPr="00592993">
              <w:t xml:space="preserve">agreements. </w:t>
            </w:r>
            <w:r w:rsidR="00F44962">
              <w:t xml:space="preserve">Both countries </w:t>
            </w:r>
            <w:r w:rsidR="00276AAC">
              <w:t>ha</w:t>
            </w:r>
            <w:r w:rsidR="00F44962">
              <w:t>ve</w:t>
            </w:r>
            <w:r w:rsidRPr="00592993">
              <w:t xml:space="preserve"> also undertaken significant unilateral trade reform.</w:t>
            </w:r>
          </w:p>
          <w:p w14:paraId="5D39A990" w14:textId="1A2FE12A" w:rsidR="00256256" w:rsidRPr="00592993" w:rsidRDefault="00256256" w:rsidP="00256256">
            <w:pPr>
              <w:pStyle w:val="Box"/>
            </w:pPr>
            <w:r w:rsidRPr="00592993">
              <w:t xml:space="preserve">Both countries are </w:t>
            </w:r>
            <w:r w:rsidR="00276AAC">
              <w:t xml:space="preserve">foundation </w:t>
            </w:r>
            <w:r w:rsidRPr="00592993">
              <w:t xml:space="preserve">members of the World Trade Organization </w:t>
            </w:r>
            <w:r w:rsidR="00EA50E3">
              <w:t xml:space="preserve">and its </w:t>
            </w:r>
            <w:r w:rsidR="00276AAC">
              <w:t>long</w:t>
            </w:r>
            <w:r w:rsidR="00276AAC">
              <w:noBreakHyphen/>
              <w:t xml:space="preserve">standing </w:t>
            </w:r>
            <w:r w:rsidR="00EA50E3">
              <w:t xml:space="preserve">predecessor, the </w:t>
            </w:r>
            <w:r w:rsidR="00F60F1E">
              <w:t>General Agreement on Tariffs and Trade</w:t>
            </w:r>
            <w:r w:rsidRPr="00592993">
              <w:t>, as well as the Asia-Pacific Economic Cooperation (APEC) forum.</w:t>
            </w:r>
          </w:p>
          <w:p w14:paraId="082AECB5" w14:textId="7581BE25" w:rsidR="00671AB1" w:rsidRPr="00F5132F" w:rsidRDefault="00671AB1" w:rsidP="000B7550">
            <w:pPr>
              <w:pStyle w:val="Box"/>
            </w:pPr>
            <w:r w:rsidRPr="00F5132F">
              <w:t xml:space="preserve">New Zealand has signed </w:t>
            </w:r>
            <w:r w:rsidR="00FB5A2B" w:rsidRPr="00F5132F">
              <w:t xml:space="preserve">many </w:t>
            </w:r>
            <w:r w:rsidRPr="00F5132F">
              <w:t>bilateral preferential trade agreements, including Free Trade Agreements with China and Malaysia, and Closer Economic Partnership agreements with Hong Kong, Singapore</w:t>
            </w:r>
            <w:r w:rsidR="00254B99" w:rsidRPr="00F5132F">
              <w:t xml:space="preserve"> and Thailand</w:t>
            </w:r>
            <w:r w:rsidRPr="00F5132F">
              <w:t>. It is also a member of the Trans</w:t>
            </w:r>
            <w:r w:rsidRPr="00F5132F">
              <w:noBreakHyphen/>
              <w:t xml:space="preserve">Pacific Strategic Economic Partnership </w:t>
            </w:r>
            <w:r w:rsidR="00E630EF" w:rsidRPr="00F5132F">
              <w:t xml:space="preserve">(known as the </w:t>
            </w:r>
            <w:proofErr w:type="spellStart"/>
            <w:r w:rsidR="00E630EF" w:rsidRPr="00F5132F">
              <w:t>P4</w:t>
            </w:r>
            <w:proofErr w:type="spellEnd"/>
            <w:r w:rsidR="00E630EF" w:rsidRPr="00F5132F">
              <w:t xml:space="preserve"> Agreement) </w:t>
            </w:r>
            <w:r w:rsidRPr="00F5132F">
              <w:t>and the Pacific Agreement on Closer Economic Relations. It is negotiating agreements with India, Korea, the Gulf Cooperation Council (</w:t>
            </w:r>
            <w:proofErr w:type="spellStart"/>
            <w:r w:rsidRPr="00F5132F">
              <w:t>GCC</w:t>
            </w:r>
            <w:proofErr w:type="spellEnd"/>
            <w:r w:rsidRPr="00F5132F">
              <w:t>), and with Russia, Belarus and Kazakhstan.</w:t>
            </w:r>
            <w:r w:rsidRPr="00F5132F">
              <w:rPr>
                <w:rFonts w:eastAsiaTheme="minorHAnsi"/>
              </w:rPr>
              <w:t xml:space="preserve"> </w:t>
            </w:r>
            <w:r w:rsidRPr="00F5132F">
              <w:t>New Zealand is also part of the negotiations on the Trans-Pacific Partnership Agreement, an extension of the Trans-Pacific Strategic Economic Partnership.</w:t>
            </w:r>
          </w:p>
          <w:p w14:paraId="71C784BD" w14:textId="77777777" w:rsidR="00F60F1E" w:rsidRPr="00592993" w:rsidRDefault="00256256" w:rsidP="00256256">
            <w:pPr>
              <w:pStyle w:val="Box"/>
            </w:pPr>
            <w:r w:rsidRPr="00592993">
              <w:t xml:space="preserve">Australia has </w:t>
            </w:r>
            <w:r w:rsidR="002543FA">
              <w:t xml:space="preserve">signed </w:t>
            </w:r>
            <w:r w:rsidRPr="00592993">
              <w:t xml:space="preserve">preferential trade agreements with </w:t>
            </w:r>
            <w:r w:rsidR="00254B99" w:rsidRPr="00592993">
              <w:t>Chile</w:t>
            </w:r>
            <w:r w:rsidR="00254B99">
              <w:t>, Malaysia,</w:t>
            </w:r>
            <w:r w:rsidR="00254B99" w:rsidRPr="00592993">
              <w:t xml:space="preserve"> </w:t>
            </w:r>
            <w:r w:rsidRPr="00592993">
              <w:t xml:space="preserve">Singapore, Thailand and the United States. It is </w:t>
            </w:r>
            <w:r w:rsidR="00276AAC">
              <w:t xml:space="preserve">currently </w:t>
            </w:r>
            <w:r w:rsidRPr="00592993">
              <w:t xml:space="preserve">negotiating agreements with China, the </w:t>
            </w:r>
            <w:proofErr w:type="spellStart"/>
            <w:r w:rsidRPr="00592993">
              <w:t>GCC</w:t>
            </w:r>
            <w:proofErr w:type="spellEnd"/>
            <w:r w:rsidRPr="00592993">
              <w:t xml:space="preserve">, </w:t>
            </w:r>
            <w:r w:rsidR="00254B99" w:rsidRPr="00592993">
              <w:t>India</w:t>
            </w:r>
            <w:r w:rsidR="00254B99">
              <w:t xml:space="preserve">, </w:t>
            </w:r>
            <w:r w:rsidR="00BC0E24">
              <w:t>Indonesia</w:t>
            </w:r>
            <w:r w:rsidRPr="00592993">
              <w:t>, Japan</w:t>
            </w:r>
            <w:r w:rsidR="00254B99">
              <w:t xml:space="preserve"> and</w:t>
            </w:r>
            <w:r w:rsidRPr="00592993">
              <w:t xml:space="preserve"> Korea</w:t>
            </w:r>
            <w:r w:rsidR="003F72F2">
              <w:t xml:space="preserve">. </w:t>
            </w:r>
            <w:r w:rsidRPr="00592993">
              <w:t>It is also negotiating with other countries to join the Trans-Pacific Partnership Agreement</w:t>
            </w:r>
            <w:r w:rsidR="002543FA">
              <w:t>.</w:t>
            </w:r>
            <w:r w:rsidR="003F72F2">
              <w:t xml:space="preserve"> Similarly it is negotiating, along with New Zealand, an extension of the </w:t>
            </w:r>
            <w:r w:rsidR="003F72F2" w:rsidRPr="00592993">
              <w:t>Pacific Agreement on Closer Economic Relations</w:t>
            </w:r>
            <w:r w:rsidR="003F72F2">
              <w:t xml:space="preserve"> (PACER </w:t>
            </w:r>
            <w:r w:rsidR="00102313">
              <w:t>P</w:t>
            </w:r>
            <w:r w:rsidR="003F72F2">
              <w:t>lus).</w:t>
            </w:r>
          </w:p>
          <w:p w14:paraId="0E3C2E37" w14:textId="2B5A9336" w:rsidR="00256256" w:rsidRPr="00592993" w:rsidRDefault="00256256" w:rsidP="00256256">
            <w:pPr>
              <w:pStyle w:val="Box"/>
            </w:pPr>
            <w:r w:rsidRPr="00592993">
              <w:t xml:space="preserve">Australia and New Zealand are also both members of a trade agreement with the </w:t>
            </w:r>
            <w:r w:rsidR="00B866D6">
              <w:t>10</w:t>
            </w:r>
            <w:r w:rsidR="002543FA">
              <w:t> </w:t>
            </w:r>
            <w:r w:rsidRPr="00592993">
              <w:t>ASEAN nations (the ASEAN</w:t>
            </w:r>
            <w:r w:rsidR="00BD4F9A">
              <w:t>-</w:t>
            </w:r>
            <w:r w:rsidRPr="00592993">
              <w:t>Australia</w:t>
            </w:r>
            <w:r w:rsidR="00BD4F9A">
              <w:t>-</w:t>
            </w:r>
            <w:r w:rsidRPr="00592993">
              <w:t>New Zealand Free Trade Agreement).</w:t>
            </w:r>
            <w:r w:rsidR="00B866D6">
              <w:t xml:space="preserve"> </w:t>
            </w:r>
            <w:r w:rsidR="00A738B4" w:rsidRPr="00D52F29">
              <w:t xml:space="preserve">Both countries are also negotiating a </w:t>
            </w:r>
            <w:r w:rsidR="003E7437">
              <w:t xml:space="preserve">Regional </w:t>
            </w:r>
            <w:r w:rsidR="00A738B4" w:rsidRPr="00D52F29">
              <w:t>Comprehensive Economic Partnership Agreement with the ASEAN countries and China, Japan, India and South Korea.</w:t>
            </w:r>
          </w:p>
          <w:p w14:paraId="35C5A882" w14:textId="5CA539AF" w:rsidR="00256256" w:rsidRDefault="00FB5A2B" w:rsidP="00011E67">
            <w:pPr>
              <w:pStyle w:val="Box"/>
            </w:pPr>
            <w:r>
              <w:t>T</w:t>
            </w:r>
            <w:r w:rsidR="00256256" w:rsidRPr="00592993">
              <w:t xml:space="preserve">here are many single-issue international organisations that impact on global trade levels and patterns, </w:t>
            </w:r>
            <w:r w:rsidR="00276AAC">
              <w:t xml:space="preserve">covering </w:t>
            </w:r>
            <w:r w:rsidR="00256256" w:rsidRPr="00592993">
              <w:t>intellectual property, telecommunications</w:t>
            </w:r>
            <w:r w:rsidR="002543FA">
              <w:t>,</w:t>
            </w:r>
            <w:r w:rsidR="00256256" w:rsidRPr="00592993">
              <w:t xml:space="preserve"> </w:t>
            </w:r>
            <w:r w:rsidR="00BC0E24">
              <w:t>banking</w:t>
            </w:r>
            <w:r w:rsidR="00256256" w:rsidRPr="00592993">
              <w:t>, shipping</w:t>
            </w:r>
            <w:r w:rsidR="002543FA">
              <w:t>,</w:t>
            </w:r>
            <w:r w:rsidR="00256256" w:rsidRPr="00592993">
              <w:t xml:space="preserve"> aviation and </w:t>
            </w:r>
            <w:r w:rsidR="002543FA">
              <w:t xml:space="preserve">the </w:t>
            </w:r>
            <w:r w:rsidR="00256256" w:rsidRPr="00592993">
              <w:t>environment issues (PC</w:t>
            </w:r>
            <w:r w:rsidR="002543FA">
              <w:t> </w:t>
            </w:r>
            <w:r w:rsidR="00256256" w:rsidRPr="00592993">
              <w:t xml:space="preserve">2010). Australia and New Zealand </w:t>
            </w:r>
            <w:r>
              <w:t>are members of many of these organisations.</w:t>
            </w:r>
          </w:p>
        </w:tc>
      </w:tr>
      <w:tr w:rsidR="00256256" w14:paraId="7D784BCC" w14:textId="77777777" w:rsidTr="00256256">
        <w:trPr>
          <w:cantSplit/>
        </w:trPr>
        <w:tc>
          <w:tcPr>
            <w:tcW w:w="8771" w:type="dxa"/>
            <w:tcBorders>
              <w:top w:val="nil"/>
              <w:left w:val="nil"/>
              <w:bottom w:val="nil"/>
              <w:right w:val="nil"/>
            </w:tcBorders>
            <w:shd w:val="clear" w:color="auto" w:fill="D9EAF0"/>
          </w:tcPr>
          <w:p w14:paraId="3BCB3335" w14:textId="77777777" w:rsidR="00256256" w:rsidRDefault="00256256">
            <w:pPr>
              <w:pStyle w:val="Box"/>
              <w:spacing w:before="0" w:line="120" w:lineRule="exact"/>
            </w:pPr>
          </w:p>
        </w:tc>
      </w:tr>
      <w:tr w:rsidR="00256256" w:rsidRPr="00B34C5B" w14:paraId="36B5FAE7" w14:textId="77777777" w:rsidTr="00256256">
        <w:tc>
          <w:tcPr>
            <w:tcW w:w="8771" w:type="dxa"/>
            <w:tcBorders>
              <w:top w:val="nil"/>
              <w:left w:val="nil"/>
              <w:bottom w:val="nil"/>
              <w:right w:val="nil"/>
            </w:tcBorders>
          </w:tcPr>
          <w:p w14:paraId="0B00BF42" w14:textId="77777777" w:rsidR="00256256" w:rsidRPr="00B34C5B" w:rsidRDefault="00256256">
            <w:pPr>
              <w:pStyle w:val="Box"/>
              <w:keepNext w:val="0"/>
              <w:spacing w:before="60" w:after="60" w:line="80" w:lineRule="exact"/>
              <w:rPr>
                <w:b/>
                <w:color w:val="auto"/>
                <w:sz w:val="14"/>
              </w:rPr>
            </w:pPr>
          </w:p>
        </w:tc>
      </w:tr>
    </w:tbl>
    <w:p w14:paraId="7E674508" w14:textId="42F218AE" w:rsidR="00EE11E1" w:rsidRDefault="009B0DCD" w:rsidP="004B5BB5">
      <w:pPr>
        <w:pStyle w:val="BodyText"/>
      </w:pPr>
      <w:r>
        <w:lastRenderedPageBreak/>
        <w:t xml:space="preserve">This </w:t>
      </w:r>
      <w:r w:rsidR="00774BE0">
        <w:t xml:space="preserve">rejuvenation </w:t>
      </w:r>
      <w:r>
        <w:t xml:space="preserve">was </w:t>
      </w:r>
      <w:r w:rsidR="00276AAC">
        <w:t>effected</w:t>
      </w:r>
      <w:r>
        <w:t xml:space="preserve"> through </w:t>
      </w:r>
      <w:r w:rsidR="002E050B">
        <w:t xml:space="preserve">establishing </w:t>
      </w:r>
      <w:r>
        <w:t>a Single Economic Market (</w:t>
      </w:r>
      <w:proofErr w:type="spellStart"/>
      <w:r>
        <w:t>SEM</w:t>
      </w:r>
      <w:proofErr w:type="spellEnd"/>
      <w:r>
        <w:t>)</w:t>
      </w:r>
      <w:r w:rsidR="00770A6A">
        <w:t xml:space="preserve"> </w:t>
      </w:r>
      <w:r w:rsidR="002E050B">
        <w:t xml:space="preserve">agenda </w:t>
      </w:r>
      <w:r w:rsidR="00770A6A">
        <w:t>in 2004</w:t>
      </w:r>
      <w:r>
        <w:t>.</w:t>
      </w:r>
      <w:r w:rsidR="003B1DF9">
        <w:t xml:space="preserve"> </w:t>
      </w:r>
      <w:r w:rsidR="00FB5A2B">
        <w:t>T</w:t>
      </w:r>
      <w:r w:rsidR="00110FD6">
        <w:t xml:space="preserve">his involved a continuation of the existing integration agenda, </w:t>
      </w:r>
      <w:r w:rsidR="00F7154A">
        <w:t xml:space="preserve">but </w:t>
      </w:r>
      <w:r w:rsidR="00FB5A2B">
        <w:t xml:space="preserve">with </w:t>
      </w:r>
      <w:r w:rsidR="00110FD6">
        <w:t>new</w:t>
      </w:r>
      <w:r w:rsidR="00F162DC">
        <w:t xml:space="preserve"> impetus </w:t>
      </w:r>
      <w:r w:rsidR="00110FD6">
        <w:t xml:space="preserve">given </w:t>
      </w:r>
      <w:r w:rsidR="00F162DC">
        <w:t>to efforts to harm</w:t>
      </w:r>
      <w:r w:rsidR="00170169">
        <w:t>onise elements of business law.</w:t>
      </w:r>
    </w:p>
    <w:p w14:paraId="5AD0514B" w14:textId="77777777" w:rsidR="00BA445F" w:rsidRPr="003614C5" w:rsidRDefault="00276AAC" w:rsidP="003716EA">
      <w:pPr>
        <w:pStyle w:val="ListBullet"/>
      </w:pPr>
      <w:r w:rsidRPr="003716EA">
        <w:t>A</w:t>
      </w:r>
      <w:r w:rsidR="00914858" w:rsidRPr="003716EA">
        <w:t xml:space="preserve"> </w:t>
      </w:r>
      <w:r w:rsidR="00A46ADA" w:rsidRPr="003716EA">
        <w:t>2004 r</w:t>
      </w:r>
      <w:r w:rsidR="00914858" w:rsidRPr="003716EA">
        <w:t>eview by the Australian Commissio</w:t>
      </w:r>
      <w:r w:rsidR="00D20679" w:rsidRPr="003716EA">
        <w:t xml:space="preserve">n </w:t>
      </w:r>
      <w:r w:rsidR="00914858" w:rsidRPr="003716EA">
        <w:t>led to enhanced cooperation between t</w:t>
      </w:r>
      <w:r w:rsidR="00170169" w:rsidRPr="003716EA">
        <w:t>he Australian Competition and Consumer Commission (</w:t>
      </w:r>
      <w:proofErr w:type="spellStart"/>
      <w:r w:rsidR="00170169" w:rsidRPr="003716EA">
        <w:t>ACCC</w:t>
      </w:r>
      <w:proofErr w:type="spellEnd"/>
      <w:r w:rsidR="00170169" w:rsidRPr="003716EA">
        <w:t>) and the Commerce Commission New Zealand</w:t>
      </w:r>
      <w:r w:rsidR="00D20679" w:rsidRPr="003716EA">
        <w:t xml:space="preserve"> </w:t>
      </w:r>
      <w:r w:rsidR="00A46ADA" w:rsidRPr="003716EA">
        <w:t xml:space="preserve">on cross-border competition and consumer issues </w:t>
      </w:r>
      <w:r w:rsidR="00D20679" w:rsidRPr="003716EA">
        <w:t>(</w:t>
      </w:r>
      <w:r w:rsidR="00EF1EBC" w:rsidRPr="003716EA">
        <w:t xml:space="preserve">PC </w:t>
      </w:r>
      <w:proofErr w:type="spellStart"/>
      <w:r w:rsidR="00EF1EBC" w:rsidRPr="003716EA">
        <w:t>2004</w:t>
      </w:r>
      <w:r w:rsidR="009D49DE" w:rsidRPr="003716EA">
        <w:t>a</w:t>
      </w:r>
      <w:proofErr w:type="spellEnd"/>
      <w:r w:rsidR="00D20679" w:rsidRPr="003716EA">
        <w:t>)</w:t>
      </w:r>
      <w:r w:rsidR="00914858" w:rsidRPr="003716EA">
        <w:t>.</w:t>
      </w:r>
    </w:p>
    <w:p w14:paraId="04CBA129" w14:textId="77777777" w:rsidR="00A46ADA" w:rsidRPr="00B34C5B" w:rsidRDefault="00276AAC" w:rsidP="00B34C5B">
      <w:pPr>
        <w:pStyle w:val="ListBullet"/>
      </w:pPr>
      <w:r w:rsidRPr="00B34C5B">
        <w:t>T</w:t>
      </w:r>
      <w:r w:rsidR="00367CA4" w:rsidRPr="00B34C5B">
        <w:t>he Trans</w:t>
      </w:r>
      <w:r w:rsidR="00367CA4" w:rsidRPr="00B34C5B">
        <w:noBreakHyphen/>
        <w:t>Tasman Council on Banking Supervision was established in 200</w:t>
      </w:r>
      <w:r w:rsidR="006364CD" w:rsidRPr="00B34C5B">
        <w:t>5</w:t>
      </w:r>
      <w:r w:rsidR="00367CA4" w:rsidRPr="00B34C5B">
        <w:t xml:space="preserve"> to promote a joint approach to banking supervision and to deliver a more seamless regulatory environment in banking services.</w:t>
      </w:r>
    </w:p>
    <w:p w14:paraId="12F25F7D" w14:textId="77777777" w:rsidR="001106B8" w:rsidRPr="00B34C5B" w:rsidRDefault="00276AAC" w:rsidP="00B34C5B">
      <w:pPr>
        <w:pStyle w:val="ListBullet"/>
      </w:pPr>
      <w:r w:rsidRPr="00B34C5B">
        <w:t>A</w:t>
      </w:r>
      <w:r w:rsidR="001106B8" w:rsidRPr="00B34C5B">
        <w:t xml:space="preserve"> Treaty on Mutual Recognition of Securitie</w:t>
      </w:r>
      <w:r w:rsidR="003716EA" w:rsidRPr="00B34C5B">
        <w:t>s Offerings was signed in 2006.</w:t>
      </w:r>
    </w:p>
    <w:p w14:paraId="7745FDB9" w14:textId="4526952B" w:rsidR="00EF1EBC" w:rsidRPr="00B34C5B" w:rsidRDefault="00EF1EBC" w:rsidP="00B34C5B">
      <w:pPr>
        <w:pStyle w:val="BodyText"/>
      </w:pPr>
      <w:r w:rsidRPr="00B34C5B">
        <w:t xml:space="preserve">In </w:t>
      </w:r>
      <w:r w:rsidR="001106B8" w:rsidRPr="00B34C5B">
        <w:t xml:space="preserve">the first two </w:t>
      </w:r>
      <w:r w:rsidRPr="00B34C5B">
        <w:t>cases</w:t>
      </w:r>
      <w:r w:rsidR="004B72FC" w:rsidRPr="00B34C5B">
        <w:t>,</w:t>
      </w:r>
      <w:r w:rsidRPr="00B34C5B">
        <w:t xml:space="preserve"> </w:t>
      </w:r>
      <w:r w:rsidR="00FB5A2B" w:rsidRPr="00B34C5B">
        <w:t xml:space="preserve">‘full integration’ </w:t>
      </w:r>
      <w:r w:rsidR="00FB5A2B">
        <w:t>options were considered but</w:t>
      </w:r>
      <w:r w:rsidRPr="00B34C5B">
        <w:t xml:space="preserve"> were rejected because </w:t>
      </w:r>
      <w:r w:rsidR="00EC72CF" w:rsidRPr="00B34C5B">
        <w:t>assessed</w:t>
      </w:r>
      <w:r w:rsidRPr="00B34C5B">
        <w:t xml:space="preserve"> costs</w:t>
      </w:r>
      <w:r w:rsidR="008E4A52" w:rsidRPr="00B34C5B">
        <w:t xml:space="preserve"> </w:t>
      </w:r>
      <w:r w:rsidRPr="00B34C5B">
        <w:t>ex</w:t>
      </w:r>
      <w:r w:rsidR="000B2161" w:rsidRPr="00B34C5B">
        <w:t>ceed</w:t>
      </w:r>
      <w:r w:rsidR="00FB5A2B">
        <w:t>ed</w:t>
      </w:r>
      <w:r w:rsidR="008E4A52" w:rsidRPr="00B34C5B">
        <w:t xml:space="preserve"> </w:t>
      </w:r>
      <w:r w:rsidR="000B2161" w:rsidRPr="00B34C5B">
        <w:t xml:space="preserve">benefits. </w:t>
      </w:r>
      <w:r w:rsidR="00110FD6" w:rsidRPr="00B34C5B">
        <w:t>On competition and consumer protection regimes, t</w:t>
      </w:r>
      <w:r w:rsidR="000B2161" w:rsidRPr="00B34C5B">
        <w:t xml:space="preserve">he Australian Commission </w:t>
      </w:r>
      <w:r w:rsidR="008E4A52" w:rsidRPr="00B34C5B">
        <w:t>concluded</w:t>
      </w:r>
      <w:r w:rsidR="000B2161" w:rsidRPr="00B34C5B">
        <w:t>:</w:t>
      </w:r>
    </w:p>
    <w:p w14:paraId="53238EB4" w14:textId="5A2AAE4D" w:rsidR="00110FD6" w:rsidRPr="00B34C5B" w:rsidRDefault="00110FD6" w:rsidP="00B34C5B">
      <w:pPr>
        <w:pStyle w:val="Quote"/>
        <w:rPr>
          <w:sz w:val="22"/>
          <w:szCs w:val="22"/>
        </w:rPr>
      </w:pPr>
      <w:r w:rsidRPr="00B34C5B">
        <w:rPr>
          <w:sz w:val="22"/>
          <w:szCs w:val="22"/>
        </w:rPr>
        <w:t>Full integration, requiring identical laws and procedures and a single institutional framework, would have high implementation and ongoing costs, change the operation of the existing national regimes and achieve only moderate benefits. (PC </w:t>
      </w:r>
      <w:proofErr w:type="spellStart"/>
      <w:r w:rsidRPr="00B34C5B">
        <w:rPr>
          <w:sz w:val="22"/>
          <w:szCs w:val="22"/>
        </w:rPr>
        <w:t>2004</w:t>
      </w:r>
      <w:r w:rsidR="009D49DE" w:rsidRPr="00B34C5B">
        <w:rPr>
          <w:sz w:val="22"/>
          <w:szCs w:val="22"/>
        </w:rPr>
        <w:t>a</w:t>
      </w:r>
      <w:proofErr w:type="spellEnd"/>
      <w:r w:rsidRPr="00B34C5B">
        <w:rPr>
          <w:sz w:val="22"/>
          <w:szCs w:val="22"/>
        </w:rPr>
        <w:t>,</w:t>
      </w:r>
      <w:r w:rsidR="0088647D">
        <w:rPr>
          <w:sz w:val="22"/>
          <w:szCs w:val="22"/>
        </w:rPr>
        <w:t> </w:t>
      </w:r>
      <w:r w:rsidR="004B72FC" w:rsidRPr="00B34C5B">
        <w:rPr>
          <w:sz w:val="22"/>
          <w:szCs w:val="22"/>
        </w:rPr>
        <w:t>p. xiv)</w:t>
      </w:r>
    </w:p>
    <w:p w14:paraId="162669D5" w14:textId="356EBEE0" w:rsidR="004B72FC" w:rsidRPr="00B34C5B" w:rsidRDefault="004B72FC" w:rsidP="00B34C5B">
      <w:pPr>
        <w:pStyle w:val="BodyText"/>
      </w:pPr>
      <w:r w:rsidRPr="00B34C5B">
        <w:t xml:space="preserve">On banking regulation, the Reserve Bank of New Zealand reported that various options were assessed </w:t>
      </w:r>
      <w:r w:rsidR="001106B8" w:rsidRPr="00B34C5B">
        <w:t>in the mid</w:t>
      </w:r>
      <w:r w:rsidR="003B38C6">
        <w:t> </w:t>
      </w:r>
      <w:proofErr w:type="spellStart"/>
      <w:r w:rsidR="001106B8" w:rsidRPr="00B34C5B">
        <w:t>2000s</w:t>
      </w:r>
      <w:proofErr w:type="spellEnd"/>
      <w:r w:rsidR="001106B8" w:rsidRPr="00B34C5B">
        <w:t>, including:</w:t>
      </w:r>
    </w:p>
    <w:p w14:paraId="5AB6CD12" w14:textId="77777777" w:rsidR="000B2161" w:rsidRPr="00B34C5B" w:rsidRDefault="001106B8" w:rsidP="00B34C5B">
      <w:pPr>
        <w:pStyle w:val="Quote"/>
        <w:rPr>
          <w:sz w:val="22"/>
          <w:szCs w:val="22"/>
        </w:rPr>
      </w:pPr>
      <w:r w:rsidRPr="00B34C5B">
        <w:rPr>
          <w:sz w:val="22"/>
          <w:szCs w:val="22"/>
        </w:rPr>
        <w:t>… the creation of a single new regulator as well as a model in which the Australian Prudential Regulation Authority would become the supervisor for banks operating on both</w:t>
      </w:r>
      <w:r w:rsidR="004B72FC" w:rsidRPr="00B34C5B">
        <w:rPr>
          <w:sz w:val="22"/>
          <w:szCs w:val="22"/>
        </w:rPr>
        <w:t xml:space="preserve"> </w:t>
      </w:r>
      <w:r w:rsidRPr="00B34C5B">
        <w:rPr>
          <w:sz w:val="22"/>
          <w:szCs w:val="22"/>
        </w:rPr>
        <w:t>sides of the Tasman. The [New Zealand] Government concluded at that time that the risks and costs associated with a single regulator model outweighed any benefits. (</w:t>
      </w:r>
      <w:r w:rsidR="003716EA" w:rsidRPr="00B34C5B">
        <w:rPr>
          <w:sz w:val="22"/>
          <w:szCs w:val="22"/>
        </w:rPr>
        <w:t>sub. </w:t>
      </w:r>
      <w:r w:rsidRPr="00B34C5B">
        <w:rPr>
          <w:sz w:val="22"/>
          <w:szCs w:val="22"/>
        </w:rPr>
        <w:t>12, p</w:t>
      </w:r>
      <w:r w:rsidR="001B1511" w:rsidRPr="00B34C5B">
        <w:rPr>
          <w:sz w:val="22"/>
          <w:szCs w:val="22"/>
        </w:rPr>
        <w:t>p</w:t>
      </w:r>
      <w:r w:rsidRPr="00B34C5B">
        <w:rPr>
          <w:sz w:val="22"/>
          <w:szCs w:val="22"/>
        </w:rPr>
        <w:t>. </w:t>
      </w:r>
      <w:r w:rsidR="001B1511" w:rsidRPr="00B34C5B">
        <w:rPr>
          <w:sz w:val="22"/>
          <w:szCs w:val="22"/>
        </w:rPr>
        <w:t>4–</w:t>
      </w:r>
      <w:r w:rsidRPr="00B34C5B">
        <w:rPr>
          <w:sz w:val="22"/>
          <w:szCs w:val="22"/>
        </w:rPr>
        <w:t>5)</w:t>
      </w:r>
    </w:p>
    <w:p w14:paraId="31E60A53" w14:textId="51AE4ECB" w:rsidR="000B6F7A" w:rsidRPr="00B34C5B" w:rsidRDefault="000B6F7A" w:rsidP="00B34C5B">
      <w:pPr>
        <w:pStyle w:val="BodyText"/>
      </w:pPr>
      <w:r w:rsidRPr="00B34C5B">
        <w:t>The creation of the Australia New Zealand Leadership Forum</w:t>
      </w:r>
      <w:r w:rsidR="00F6000B" w:rsidRPr="00B34C5B">
        <w:t xml:space="preserve"> </w:t>
      </w:r>
      <w:r w:rsidRPr="00B34C5B">
        <w:t xml:space="preserve">was also part of the move to </w:t>
      </w:r>
      <w:r w:rsidR="00EC72CF" w:rsidRPr="00B34C5B">
        <w:t>add momentum to</w:t>
      </w:r>
      <w:r w:rsidRPr="00B34C5B">
        <w:t xml:space="preserve"> the </w:t>
      </w:r>
      <w:proofErr w:type="spellStart"/>
      <w:r w:rsidRPr="00B34C5B">
        <w:t>CER</w:t>
      </w:r>
      <w:proofErr w:type="spellEnd"/>
      <w:r w:rsidRPr="00B34C5B">
        <w:t xml:space="preserve"> agenda. </w:t>
      </w:r>
      <w:r w:rsidR="00F6000B" w:rsidRPr="00B34C5B">
        <w:t>Th</w:t>
      </w:r>
      <w:r w:rsidR="00DD0D0F">
        <w:t xml:space="preserve">is forum </w:t>
      </w:r>
      <w:r w:rsidR="00F6000B" w:rsidRPr="00B34C5B">
        <w:t>is a business</w:t>
      </w:r>
      <w:r w:rsidR="00E049C8" w:rsidRPr="00B34C5B">
        <w:noBreakHyphen/>
      </w:r>
      <w:r w:rsidR="00F6000B" w:rsidRPr="00B34C5B">
        <w:t xml:space="preserve">led initiative designed to further develop Australia and New Zealand's bilateral relationship as well as joint relations in the region. It brings together leaders from business, government, academia and the public sector. The Forum plays an active role in supporting progress </w:t>
      </w:r>
      <w:r w:rsidR="00545DC0" w:rsidRPr="00B34C5B">
        <w:t>on trans-Tasman integration initiatives (</w:t>
      </w:r>
      <w:proofErr w:type="spellStart"/>
      <w:r w:rsidR="00545DC0" w:rsidRPr="00B34C5B">
        <w:t>ANZLF</w:t>
      </w:r>
      <w:proofErr w:type="spellEnd"/>
      <w:r w:rsidR="00545DC0" w:rsidRPr="00B34C5B">
        <w:t xml:space="preserve">, </w:t>
      </w:r>
      <w:r w:rsidR="003716EA" w:rsidRPr="00B34C5B">
        <w:t>sub. </w:t>
      </w:r>
      <w:r w:rsidR="00545DC0" w:rsidRPr="00B34C5B">
        <w:t>15).</w:t>
      </w:r>
    </w:p>
    <w:p w14:paraId="6126E35F" w14:textId="4A4E592D" w:rsidR="00523FEA" w:rsidRPr="00B34C5B" w:rsidRDefault="00523FEA" w:rsidP="00523FEA">
      <w:pPr>
        <w:pStyle w:val="BodyText"/>
      </w:pPr>
      <w:r w:rsidRPr="00B34C5B">
        <w:t xml:space="preserve">In 2009, </w:t>
      </w:r>
      <w:r w:rsidR="00B33BC4" w:rsidRPr="00B34C5B">
        <w:t xml:space="preserve">the Australian and New Zealand Prime Ministers </w:t>
      </w:r>
      <w:r w:rsidR="00B33BC4">
        <w:t xml:space="preserve">agreed to </w:t>
      </w:r>
      <w:r w:rsidRPr="00B34C5B">
        <w:t xml:space="preserve">a set of </w:t>
      </w:r>
      <w:proofErr w:type="spellStart"/>
      <w:r w:rsidRPr="00B34C5B">
        <w:t>SEM</w:t>
      </w:r>
      <w:proofErr w:type="spellEnd"/>
      <w:r w:rsidRPr="00B34C5B">
        <w:t xml:space="preserve"> principles</w:t>
      </w:r>
      <w:r w:rsidR="00A523F2">
        <w:t>.</w:t>
      </w:r>
      <w:r w:rsidR="001C2A74">
        <w:t xml:space="preserve"> </w:t>
      </w:r>
      <w:r w:rsidR="00A523F2">
        <w:t>A</w:t>
      </w:r>
      <w:r w:rsidR="006364CD">
        <w:t xml:space="preserve"> </w:t>
      </w:r>
      <w:r w:rsidR="00B33BC4">
        <w:t xml:space="preserve">list </w:t>
      </w:r>
      <w:r w:rsidR="006364CD">
        <w:t>of trans-Tasman</w:t>
      </w:r>
      <w:r>
        <w:t xml:space="preserve"> outcomes </w:t>
      </w:r>
      <w:r w:rsidRPr="00B34C5B">
        <w:t xml:space="preserve">spanning areas of business law </w:t>
      </w:r>
      <w:r w:rsidR="00A523F2">
        <w:t xml:space="preserve">and </w:t>
      </w:r>
      <w:r w:rsidRPr="00B34C5B">
        <w:t xml:space="preserve">designed to </w:t>
      </w:r>
      <w:r w:rsidRPr="00A10AB8">
        <w:t>accelerate and deepen trans-Tasman regulatory integration</w:t>
      </w:r>
      <w:r w:rsidR="00A523F2">
        <w:t xml:space="preserve"> was also agreed</w:t>
      </w:r>
      <w:r>
        <w:t>.</w:t>
      </w:r>
    </w:p>
    <w:p w14:paraId="2BEDAFD2" w14:textId="12A7F8AB" w:rsidR="00523FEA" w:rsidRPr="00B34C5B" w:rsidRDefault="00523FEA" w:rsidP="00523FEA">
      <w:pPr>
        <w:pStyle w:val="BodyText"/>
      </w:pPr>
      <w:r w:rsidRPr="00B34C5B">
        <w:lastRenderedPageBreak/>
        <w:t xml:space="preserve">The Trans-Tasman Outcomes Implementation Group, jointly chaired by representatives of the Australian Treasury and New Zealand Ministry of </w:t>
      </w:r>
      <w:r w:rsidR="009E1136" w:rsidRPr="00B34C5B">
        <w:t>Business, Innovation and Employment</w:t>
      </w:r>
      <w:r w:rsidRPr="00B34C5B">
        <w:t xml:space="preserve">, was set up to oversee </w:t>
      </w:r>
      <w:r w:rsidR="008E4A52" w:rsidRPr="00B34C5B">
        <w:t>implementation of</w:t>
      </w:r>
      <w:r w:rsidRPr="00B34C5B">
        <w:t xml:space="preserve"> the </w:t>
      </w:r>
      <w:r w:rsidR="00997F1D" w:rsidRPr="00B34C5B">
        <w:t>agreed outcomes</w:t>
      </w:r>
      <w:r w:rsidRPr="00B34C5B">
        <w:t>. The Implementation Group’s most recent progress report noted the considerable progress toward achieving many of the outcomes</w:t>
      </w:r>
      <w:r w:rsidR="009D2BA3">
        <w:t xml:space="preserve">. It also </w:t>
      </w:r>
      <w:r w:rsidRPr="00B34C5B">
        <w:t xml:space="preserve">drew attention to some areas </w:t>
      </w:r>
      <w:r w:rsidR="00EC72CF" w:rsidRPr="00B34C5B">
        <w:t xml:space="preserve">where progress was slowing </w:t>
      </w:r>
      <w:r w:rsidRPr="00B34C5B">
        <w:t>(box 3.</w:t>
      </w:r>
      <w:r w:rsidR="00984FC7" w:rsidRPr="00B34C5B">
        <w:t>6</w:t>
      </w:r>
      <w:r w:rsidRPr="00B34C5B">
        <w:t>).</w:t>
      </w:r>
    </w:p>
    <w:p w14:paraId="70F26400" w14:textId="7051583A" w:rsidR="006A49A3" w:rsidRPr="003614C5" w:rsidRDefault="00971014" w:rsidP="00EF1EBC">
      <w:pPr>
        <w:pStyle w:val="BodyText"/>
      </w:pPr>
      <w:r w:rsidRPr="003614C5">
        <w:t>R</w:t>
      </w:r>
      <w:r w:rsidR="00F77837" w:rsidRPr="003614C5">
        <w:t xml:space="preserve">ecent </w:t>
      </w:r>
      <w:r w:rsidR="00F77837" w:rsidRPr="00B34C5B">
        <w:t>developmen</w:t>
      </w:r>
      <w:r w:rsidR="002D73B7" w:rsidRPr="00B34C5B">
        <w:t>t</w:t>
      </w:r>
      <w:r w:rsidR="006A49A3">
        <w:t>s</w:t>
      </w:r>
      <w:r w:rsidR="002D73B7" w:rsidRPr="003614C5">
        <w:t xml:space="preserve"> in </w:t>
      </w:r>
      <w:r w:rsidR="003217B1" w:rsidRPr="003614C5">
        <w:t xml:space="preserve">the </w:t>
      </w:r>
      <w:r w:rsidR="002D73B7" w:rsidRPr="003614C5">
        <w:t xml:space="preserve">trans-Tasman </w:t>
      </w:r>
      <w:r w:rsidR="003217B1" w:rsidRPr="003614C5">
        <w:t>economic relationship</w:t>
      </w:r>
      <w:r w:rsidR="002D73B7" w:rsidRPr="003614C5">
        <w:t xml:space="preserve"> </w:t>
      </w:r>
      <w:r w:rsidR="006A49A3" w:rsidRPr="003614C5">
        <w:t>include:</w:t>
      </w:r>
    </w:p>
    <w:p w14:paraId="6900F4C3" w14:textId="2500D973" w:rsidR="00AC7BF9" w:rsidRDefault="006A49A3" w:rsidP="00D52F29">
      <w:pPr>
        <w:pStyle w:val="ListBullet"/>
      </w:pPr>
      <w:r w:rsidRPr="003614C5">
        <w:t>T</w:t>
      </w:r>
      <w:r w:rsidR="002D73B7" w:rsidRPr="003614C5">
        <w:t>he signing of an Investment Protocol i</w:t>
      </w:r>
      <w:r w:rsidR="002D73B7">
        <w:t xml:space="preserve">n 2011. The </w:t>
      </w:r>
      <w:r w:rsidR="00B8357E">
        <w:t>P</w:t>
      </w:r>
      <w:r w:rsidR="002D73B7">
        <w:t xml:space="preserve">rotocol, which </w:t>
      </w:r>
      <w:r w:rsidR="008E4A52">
        <w:t xml:space="preserve">is yet to be </w:t>
      </w:r>
      <w:r w:rsidR="002D73B7">
        <w:t xml:space="preserve">enacted, reduces restrictions </w:t>
      </w:r>
      <w:r w:rsidR="00A64C18">
        <w:t>on</w:t>
      </w:r>
      <w:r w:rsidR="002D73B7">
        <w:t xml:space="preserve"> trans</w:t>
      </w:r>
      <w:r w:rsidR="002D73B7">
        <w:noBreakHyphen/>
        <w:t>Tasman investments</w:t>
      </w:r>
      <w:r w:rsidR="008E6F04">
        <w:t>.</w:t>
      </w:r>
    </w:p>
    <w:p w14:paraId="3CB5D4A5" w14:textId="0DEB2531" w:rsidR="00AC7BF9" w:rsidRDefault="006A49A3" w:rsidP="00EF1EBC">
      <w:pPr>
        <w:pStyle w:val="ListBullet"/>
      </w:pPr>
      <w:r>
        <w:t xml:space="preserve">Implementation of a framework for the effective resolution of trans-Tasman civil disputes and regulatory enforcement, </w:t>
      </w:r>
      <w:r w:rsidR="00971014">
        <w:t>through</w:t>
      </w:r>
      <w:r>
        <w:t xml:space="preserve"> legislation passed in 2010 and 2012 (</w:t>
      </w:r>
      <w:r w:rsidR="00971014">
        <w:t>Commonwealth Attorney</w:t>
      </w:r>
      <w:r w:rsidR="00F114C8">
        <w:noBreakHyphen/>
      </w:r>
      <w:r w:rsidR="00971014">
        <w:t>General’s Department, sub. </w:t>
      </w:r>
      <w:proofErr w:type="spellStart"/>
      <w:r w:rsidR="00971014">
        <w:t>DR129</w:t>
      </w:r>
      <w:proofErr w:type="spellEnd"/>
      <w:r w:rsidR="00971014">
        <w:t>).</w:t>
      </w:r>
    </w:p>
    <w:p w14:paraId="1360403F" w14:textId="77777777" w:rsidR="00D87333" w:rsidRDefault="00D8733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87333" w14:paraId="4266E8EA" w14:textId="77777777" w:rsidTr="00D87333">
        <w:tc>
          <w:tcPr>
            <w:tcW w:w="8771" w:type="dxa"/>
            <w:tcBorders>
              <w:top w:val="nil"/>
              <w:left w:val="nil"/>
              <w:bottom w:val="nil"/>
              <w:right w:val="nil"/>
            </w:tcBorders>
            <w:shd w:val="clear" w:color="auto" w:fill="D9EAF0"/>
          </w:tcPr>
          <w:p w14:paraId="6E8D6BA1" w14:textId="2848BA9F" w:rsidR="00D87333" w:rsidRDefault="00D87333" w:rsidP="0059291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6</w:t>
            </w:r>
            <w:r>
              <w:rPr>
                <w:b w:val="0"/>
              </w:rPr>
              <w:fldChar w:fldCharType="end"/>
            </w:r>
            <w:r>
              <w:tab/>
              <w:t>Single Economic Market:</w:t>
            </w:r>
            <w:r w:rsidRPr="00294C69">
              <w:t xml:space="preserve"> </w:t>
            </w:r>
            <w:r w:rsidR="0059291E">
              <w:t>p</w:t>
            </w:r>
            <w:r>
              <w:t>rogress made but more to do</w:t>
            </w:r>
          </w:p>
        </w:tc>
      </w:tr>
      <w:tr w:rsidR="00D87333" w14:paraId="17DE1C7C" w14:textId="77777777" w:rsidTr="00D87333">
        <w:trPr>
          <w:cantSplit/>
        </w:trPr>
        <w:tc>
          <w:tcPr>
            <w:tcW w:w="8771" w:type="dxa"/>
            <w:tcBorders>
              <w:top w:val="nil"/>
              <w:left w:val="nil"/>
              <w:bottom w:val="nil"/>
              <w:right w:val="nil"/>
            </w:tcBorders>
            <w:shd w:val="clear" w:color="auto" w:fill="D9EAF0"/>
          </w:tcPr>
          <w:p w14:paraId="0102225E" w14:textId="3F3138A3" w:rsidR="00EE014D" w:rsidRPr="00EB2FC5" w:rsidRDefault="00EE014D" w:rsidP="009C7D7F">
            <w:pPr>
              <w:keepNext/>
              <w:spacing w:before="120" w:line="280" w:lineRule="atLeast"/>
              <w:jc w:val="both"/>
            </w:pPr>
            <w:r w:rsidRPr="009C7D7F">
              <w:rPr>
                <w:rFonts w:ascii="Arial" w:hAnsi="Arial"/>
                <w:color w:val="1C1C1C"/>
                <w:sz w:val="22"/>
              </w:rPr>
              <w:t xml:space="preserve">The Trans-Tasman Outcomes Implementation Group </w:t>
            </w:r>
            <w:r w:rsidRPr="00EE014D">
              <w:rPr>
                <w:rFonts w:ascii="Arial" w:hAnsi="Arial"/>
                <w:color w:val="1C1C1C"/>
                <w:sz w:val="22"/>
                <w:szCs w:val="20"/>
              </w:rPr>
              <w:t>(</w:t>
            </w:r>
            <w:proofErr w:type="spellStart"/>
            <w:r w:rsidRPr="00EE014D">
              <w:rPr>
                <w:rFonts w:ascii="Arial" w:hAnsi="Arial"/>
                <w:color w:val="1C1C1C"/>
                <w:sz w:val="22"/>
                <w:szCs w:val="20"/>
              </w:rPr>
              <w:t>TTOIG</w:t>
            </w:r>
            <w:proofErr w:type="spellEnd"/>
            <w:r w:rsidRPr="00EE014D">
              <w:rPr>
                <w:rFonts w:ascii="Arial" w:hAnsi="Arial"/>
                <w:color w:val="1C1C1C"/>
                <w:sz w:val="22"/>
                <w:szCs w:val="20"/>
              </w:rPr>
              <w:t xml:space="preserve">) </w:t>
            </w:r>
            <w:r w:rsidRPr="009C7D7F">
              <w:rPr>
                <w:rFonts w:ascii="Arial" w:hAnsi="Arial"/>
                <w:color w:val="1C1C1C"/>
                <w:sz w:val="22"/>
              </w:rPr>
              <w:t xml:space="preserve">assessed that, as at </w:t>
            </w:r>
            <w:r w:rsidRPr="00EE014D">
              <w:rPr>
                <w:rFonts w:ascii="Arial" w:hAnsi="Arial"/>
                <w:color w:val="1C1C1C"/>
                <w:sz w:val="22"/>
                <w:szCs w:val="20"/>
              </w:rPr>
              <w:t>September</w:t>
            </w:r>
            <w:r w:rsidRPr="009C7D7F">
              <w:rPr>
                <w:rFonts w:ascii="Arial" w:hAnsi="Arial"/>
                <w:color w:val="1C1C1C"/>
                <w:sz w:val="22"/>
              </w:rPr>
              <w:t xml:space="preserve"> 2012, </w:t>
            </w:r>
            <w:r w:rsidR="009C5ACE" w:rsidRPr="009C5ACE">
              <w:rPr>
                <w:rFonts w:ascii="Arial" w:hAnsi="Arial"/>
                <w:color w:val="1C1C1C"/>
                <w:sz w:val="22"/>
                <w:szCs w:val="20"/>
              </w:rPr>
              <w:t>one of the 19 medium term outcomes had been completed, 12 were on track for completion by the end of 2014, four were slowing or on hold, and two have been removed, with ministerial agreement. Eight short term outcomes have been completed</w:t>
            </w:r>
            <w:r w:rsidR="009C5ACE">
              <w:rPr>
                <w:rFonts w:ascii="Arial" w:hAnsi="Arial"/>
                <w:color w:val="1C1C1C"/>
                <w:sz w:val="22"/>
                <w:szCs w:val="20"/>
              </w:rPr>
              <w:t xml:space="preserve"> and</w:t>
            </w:r>
            <w:r w:rsidR="009C5ACE" w:rsidRPr="009C5ACE">
              <w:rPr>
                <w:rFonts w:ascii="Arial" w:hAnsi="Arial"/>
                <w:color w:val="1C1C1C"/>
                <w:sz w:val="22"/>
                <w:szCs w:val="20"/>
              </w:rPr>
              <w:t xml:space="preserve"> one has been delayed.</w:t>
            </w:r>
          </w:p>
          <w:p w14:paraId="49ED1CF5" w14:textId="01E0E7EB" w:rsidR="00EE014D" w:rsidRPr="00EE014D" w:rsidRDefault="00EE014D" w:rsidP="009C7D7F">
            <w:pPr>
              <w:keepNext/>
              <w:spacing w:before="120" w:line="280" w:lineRule="atLeast"/>
              <w:jc w:val="both"/>
            </w:pPr>
            <w:r w:rsidRPr="009C7D7F">
              <w:rPr>
                <w:rFonts w:ascii="Arial" w:hAnsi="Arial"/>
                <w:b/>
                <w:color w:val="1C1C1C"/>
                <w:sz w:val="22"/>
              </w:rPr>
              <w:t xml:space="preserve">Insolvency law: </w:t>
            </w:r>
            <w:r w:rsidRPr="009C7D7F">
              <w:rPr>
                <w:rFonts w:ascii="Arial" w:hAnsi="Arial"/>
                <w:color w:val="1C1C1C"/>
                <w:sz w:val="22"/>
              </w:rPr>
              <w:t xml:space="preserve">The Australian and New Zealand Governments have agreed to create a single cross-border insolvency proceeding with equivalent outcomes for insolvents in both countries. </w:t>
            </w:r>
            <w:r w:rsidRPr="00EE014D">
              <w:rPr>
                <w:rFonts w:ascii="Arial" w:hAnsi="Arial"/>
                <w:color w:val="1C1C1C"/>
                <w:sz w:val="22"/>
                <w:szCs w:val="20"/>
              </w:rPr>
              <w:t>A cross</w:t>
            </w:r>
            <w:r w:rsidR="00B33BC4">
              <w:rPr>
                <w:rFonts w:ascii="Arial" w:hAnsi="Arial"/>
                <w:color w:val="1C1C1C"/>
                <w:sz w:val="22"/>
                <w:szCs w:val="20"/>
              </w:rPr>
              <w:noBreakHyphen/>
            </w:r>
            <w:r w:rsidRPr="00EE014D">
              <w:rPr>
                <w:rFonts w:ascii="Arial" w:hAnsi="Arial"/>
                <w:color w:val="1C1C1C"/>
                <w:sz w:val="22"/>
                <w:szCs w:val="20"/>
              </w:rPr>
              <w:t>border</w:t>
            </w:r>
            <w:r w:rsidRPr="009C7D7F">
              <w:rPr>
                <w:rFonts w:ascii="Arial" w:hAnsi="Arial"/>
                <w:color w:val="1C1C1C"/>
                <w:sz w:val="22"/>
              </w:rPr>
              <w:t xml:space="preserve"> working group is currently </w:t>
            </w:r>
            <w:r w:rsidRPr="00EE014D">
              <w:rPr>
                <w:rFonts w:ascii="Arial" w:hAnsi="Arial"/>
                <w:color w:val="1C1C1C"/>
                <w:sz w:val="22"/>
                <w:szCs w:val="20"/>
              </w:rPr>
              <w:t>considering</w:t>
            </w:r>
            <w:r w:rsidRPr="009C7D7F">
              <w:rPr>
                <w:rFonts w:ascii="Arial" w:hAnsi="Arial"/>
                <w:color w:val="1C1C1C"/>
                <w:sz w:val="22"/>
              </w:rPr>
              <w:t xml:space="preserve"> a </w:t>
            </w:r>
            <w:r w:rsidRPr="00EE014D">
              <w:rPr>
                <w:rFonts w:ascii="Arial" w:hAnsi="Arial"/>
                <w:color w:val="1C1C1C"/>
                <w:sz w:val="22"/>
                <w:szCs w:val="20"/>
              </w:rPr>
              <w:t>discussion paper, which should be released for public consultation early in 2013. Joint policy approval</w:t>
            </w:r>
            <w:r w:rsidRPr="009C7D7F">
              <w:rPr>
                <w:rFonts w:ascii="Arial" w:hAnsi="Arial"/>
                <w:color w:val="1C1C1C"/>
                <w:sz w:val="22"/>
              </w:rPr>
              <w:t xml:space="preserve"> is </w:t>
            </w:r>
            <w:r w:rsidRPr="00EE014D">
              <w:rPr>
                <w:rFonts w:ascii="Arial" w:hAnsi="Arial"/>
                <w:color w:val="1C1C1C"/>
                <w:sz w:val="22"/>
                <w:szCs w:val="20"/>
              </w:rPr>
              <w:t>expected</w:t>
            </w:r>
            <w:r w:rsidRPr="009C7D7F">
              <w:rPr>
                <w:rFonts w:ascii="Arial" w:hAnsi="Arial"/>
                <w:color w:val="1C1C1C"/>
                <w:sz w:val="22"/>
              </w:rPr>
              <w:t xml:space="preserve"> to be </w:t>
            </w:r>
            <w:r w:rsidRPr="00EE014D">
              <w:rPr>
                <w:rFonts w:ascii="Arial" w:hAnsi="Arial"/>
                <w:color w:val="1C1C1C"/>
                <w:sz w:val="22"/>
                <w:szCs w:val="20"/>
              </w:rPr>
              <w:t>sought in mid</w:t>
            </w:r>
            <w:r w:rsidR="00FC366A">
              <w:rPr>
                <w:rFonts w:ascii="Arial" w:hAnsi="Arial"/>
                <w:color w:val="1C1C1C"/>
                <w:sz w:val="22"/>
                <w:szCs w:val="20"/>
              </w:rPr>
              <w:t xml:space="preserve"> to </w:t>
            </w:r>
            <w:r w:rsidRPr="00EE014D">
              <w:rPr>
                <w:rFonts w:ascii="Arial" w:hAnsi="Arial"/>
                <w:color w:val="1C1C1C"/>
                <w:sz w:val="22"/>
                <w:szCs w:val="20"/>
              </w:rPr>
              <w:t>late 2013</w:t>
            </w:r>
            <w:r w:rsidRPr="009C7D7F">
              <w:rPr>
                <w:rFonts w:ascii="Arial" w:hAnsi="Arial"/>
                <w:color w:val="1C1C1C"/>
                <w:sz w:val="22"/>
              </w:rPr>
              <w:t>.</w:t>
            </w:r>
          </w:p>
          <w:p w14:paraId="287CAE4F" w14:textId="7D6E9ED4" w:rsidR="00EE014D" w:rsidRPr="00EE014D" w:rsidRDefault="00EE014D" w:rsidP="009C7D7F">
            <w:pPr>
              <w:keepNext/>
              <w:spacing w:before="120" w:line="280" w:lineRule="atLeast"/>
              <w:jc w:val="both"/>
            </w:pPr>
            <w:r w:rsidRPr="009C7D7F">
              <w:rPr>
                <w:rFonts w:ascii="Arial" w:hAnsi="Arial"/>
                <w:b/>
                <w:color w:val="1C1C1C"/>
                <w:sz w:val="22"/>
              </w:rPr>
              <w:t xml:space="preserve">Financial reporting policy: </w:t>
            </w:r>
            <w:r w:rsidRPr="009C7D7F">
              <w:rPr>
                <w:rFonts w:ascii="Arial" w:hAnsi="Arial"/>
                <w:color w:val="1C1C1C"/>
                <w:sz w:val="22"/>
              </w:rPr>
              <w:t>Governments have agreed that entities can use a single set of financial statements</w:t>
            </w:r>
            <w:r w:rsidRPr="00EE014D">
              <w:rPr>
                <w:rFonts w:ascii="Arial" w:hAnsi="Arial"/>
                <w:color w:val="1C1C1C"/>
                <w:sz w:val="22"/>
                <w:szCs w:val="20"/>
              </w:rPr>
              <w:t xml:space="preserve"> to meet the requirements in both countries</w:t>
            </w:r>
            <w:r w:rsidRPr="009C7D7F">
              <w:rPr>
                <w:rFonts w:ascii="Arial" w:hAnsi="Arial"/>
                <w:color w:val="1C1C1C"/>
                <w:sz w:val="22"/>
              </w:rPr>
              <w:t>. This outcome has been achieved for publicly accountable for-profit entities and is on track for non</w:t>
            </w:r>
            <w:r w:rsidRPr="009C7D7F">
              <w:rPr>
                <w:rFonts w:ascii="Arial" w:hAnsi="Arial"/>
                <w:color w:val="1C1C1C"/>
                <w:sz w:val="22"/>
              </w:rPr>
              <w:noBreakHyphen/>
              <w:t xml:space="preserve">publicly accountable </w:t>
            </w:r>
            <w:r w:rsidRPr="00EE014D">
              <w:rPr>
                <w:rFonts w:ascii="Arial" w:hAnsi="Arial"/>
                <w:color w:val="1C1C1C"/>
                <w:sz w:val="22"/>
                <w:szCs w:val="20"/>
              </w:rPr>
              <w:t xml:space="preserve">for-profit entities. </w:t>
            </w:r>
            <w:r w:rsidR="00FC366A">
              <w:rPr>
                <w:rFonts w:ascii="Arial" w:hAnsi="Arial"/>
                <w:color w:val="1C1C1C"/>
                <w:sz w:val="22"/>
                <w:szCs w:val="20"/>
              </w:rPr>
              <w:t xml:space="preserve">The </w:t>
            </w:r>
            <w:proofErr w:type="spellStart"/>
            <w:r w:rsidRPr="00EE014D">
              <w:rPr>
                <w:rFonts w:ascii="Arial" w:hAnsi="Arial"/>
                <w:color w:val="1C1C1C"/>
                <w:sz w:val="22"/>
                <w:szCs w:val="20"/>
              </w:rPr>
              <w:t>TTOIG</w:t>
            </w:r>
            <w:proofErr w:type="spellEnd"/>
            <w:r w:rsidRPr="00EE014D">
              <w:rPr>
                <w:rFonts w:ascii="Arial" w:hAnsi="Arial"/>
                <w:color w:val="1C1C1C"/>
                <w:sz w:val="22"/>
                <w:szCs w:val="20"/>
              </w:rPr>
              <w:t xml:space="preserve"> has removed the outcome for private not-for-profit entities</w:t>
            </w:r>
            <w:r w:rsidR="00FC366A">
              <w:rPr>
                <w:rFonts w:ascii="Arial" w:hAnsi="Arial"/>
                <w:color w:val="1C1C1C"/>
                <w:sz w:val="22"/>
                <w:szCs w:val="20"/>
              </w:rPr>
              <w:t xml:space="preserve"> </w:t>
            </w:r>
            <w:r w:rsidRPr="00EE014D">
              <w:rPr>
                <w:rFonts w:ascii="Arial" w:hAnsi="Arial"/>
                <w:color w:val="1C1C1C"/>
                <w:sz w:val="22"/>
                <w:szCs w:val="20"/>
              </w:rPr>
              <w:t xml:space="preserve">because very few entities would benefit from harmonisation. Two </w:t>
            </w:r>
            <w:r w:rsidR="00FC366A">
              <w:rPr>
                <w:rFonts w:ascii="Arial" w:hAnsi="Arial"/>
                <w:color w:val="1C1C1C"/>
                <w:sz w:val="22"/>
                <w:szCs w:val="20"/>
              </w:rPr>
              <w:t xml:space="preserve">other </w:t>
            </w:r>
            <w:r w:rsidRPr="00EE014D">
              <w:rPr>
                <w:rFonts w:ascii="Arial" w:hAnsi="Arial"/>
                <w:color w:val="1C1C1C"/>
                <w:sz w:val="22"/>
                <w:szCs w:val="20"/>
              </w:rPr>
              <w:t>outcomes achieved are that auditors registered in one country can operate in the other, and that financial reporting standards bodies in Australia and New Zealand have functional equivalence</w:t>
            </w:r>
            <w:r w:rsidRPr="009C7D7F">
              <w:rPr>
                <w:rFonts w:ascii="Arial" w:hAnsi="Arial"/>
                <w:color w:val="1C1C1C"/>
                <w:sz w:val="22"/>
              </w:rPr>
              <w:t>.</w:t>
            </w:r>
          </w:p>
          <w:p w14:paraId="426E2DC1" w14:textId="3BFC9DC4" w:rsidR="00D87333" w:rsidRDefault="00EE014D" w:rsidP="009C7D7F">
            <w:pPr>
              <w:keepNext/>
              <w:spacing w:before="120" w:line="280" w:lineRule="atLeast"/>
              <w:jc w:val="both"/>
            </w:pPr>
            <w:r w:rsidRPr="009C7D7F">
              <w:rPr>
                <w:rFonts w:ascii="Arial" w:hAnsi="Arial"/>
                <w:b/>
                <w:color w:val="1C1C1C"/>
                <w:sz w:val="22"/>
              </w:rPr>
              <w:t>Financial services policy:</w:t>
            </w:r>
            <w:r w:rsidRPr="009C7D7F">
              <w:rPr>
                <w:rFonts w:ascii="Arial" w:hAnsi="Arial"/>
                <w:color w:val="1C1C1C"/>
                <w:sz w:val="22"/>
              </w:rPr>
              <w:t xml:space="preserve"> Governments have agreed to: make comparable the required disclosures by issuers of financial products</w:t>
            </w:r>
            <w:r w:rsidRPr="00EE014D">
              <w:rPr>
                <w:rFonts w:ascii="Arial" w:hAnsi="Arial"/>
                <w:color w:val="1C1C1C"/>
                <w:sz w:val="22"/>
                <w:szCs w:val="20"/>
              </w:rPr>
              <w:t xml:space="preserve"> (on track); enable recognised financial advisers to operate across the Tasman without the need for further approvals (completed);</w:t>
            </w:r>
            <w:r w:rsidRPr="009C7D7F">
              <w:rPr>
                <w:rFonts w:ascii="Arial" w:hAnsi="Arial"/>
                <w:color w:val="1C1C1C"/>
                <w:sz w:val="22"/>
              </w:rPr>
              <w:t xml:space="preserve"> align corporate trustee regimes for financial products</w:t>
            </w:r>
            <w:r w:rsidRPr="00EE014D">
              <w:rPr>
                <w:rFonts w:ascii="Arial" w:hAnsi="Arial"/>
                <w:color w:val="1C1C1C"/>
                <w:sz w:val="22"/>
                <w:szCs w:val="20"/>
              </w:rPr>
              <w:t xml:space="preserve"> (slowing, because of other priorities in Australia);</w:t>
            </w:r>
            <w:r w:rsidRPr="009C7D7F">
              <w:rPr>
                <w:rFonts w:ascii="Arial" w:hAnsi="Arial"/>
                <w:color w:val="1C1C1C"/>
                <w:sz w:val="22"/>
              </w:rPr>
              <w:t xml:space="preserve"> and align business regulatory obligations in relation to anti</w:t>
            </w:r>
            <w:r w:rsidRPr="009C7D7F">
              <w:rPr>
                <w:rFonts w:ascii="Arial" w:hAnsi="Arial"/>
                <w:color w:val="1C1C1C"/>
                <w:sz w:val="22"/>
              </w:rPr>
              <w:noBreakHyphen/>
              <w:t>money laundering and countering the financing of terrorism</w:t>
            </w:r>
            <w:r w:rsidRPr="00EE014D">
              <w:rPr>
                <w:rFonts w:ascii="Arial" w:hAnsi="Arial"/>
                <w:color w:val="1C1C1C"/>
                <w:sz w:val="22"/>
                <w:szCs w:val="20"/>
              </w:rPr>
              <w:t xml:space="preserve"> (</w:t>
            </w:r>
            <w:r w:rsidRPr="009C7D7F">
              <w:rPr>
                <w:rFonts w:ascii="Arial" w:hAnsi="Arial"/>
                <w:color w:val="1C1C1C"/>
                <w:sz w:val="22"/>
              </w:rPr>
              <w:t>on track</w:t>
            </w:r>
            <w:r w:rsidRPr="00EE014D">
              <w:rPr>
                <w:rFonts w:ascii="Arial" w:hAnsi="Arial"/>
                <w:color w:val="1C1C1C"/>
                <w:sz w:val="22"/>
                <w:szCs w:val="20"/>
              </w:rPr>
              <w:t>).</w:t>
            </w:r>
          </w:p>
        </w:tc>
      </w:tr>
      <w:tr w:rsidR="00D87333" w14:paraId="350D5810" w14:textId="77777777" w:rsidTr="00D87333">
        <w:trPr>
          <w:cantSplit/>
        </w:trPr>
        <w:tc>
          <w:tcPr>
            <w:tcW w:w="8771" w:type="dxa"/>
            <w:tcBorders>
              <w:top w:val="nil"/>
              <w:left w:val="nil"/>
              <w:bottom w:val="nil"/>
              <w:right w:val="nil"/>
            </w:tcBorders>
            <w:shd w:val="clear" w:color="auto" w:fill="D9EAF0"/>
          </w:tcPr>
          <w:p w14:paraId="3EF76C95" w14:textId="77777777" w:rsidR="00D87333" w:rsidRDefault="00D87333" w:rsidP="00D87333">
            <w:pPr>
              <w:pStyle w:val="BoxSource"/>
              <w:jc w:val="right"/>
            </w:pPr>
            <w:r>
              <w:rPr>
                <w:szCs w:val="18"/>
              </w:rPr>
              <w:t>(continued next page)</w:t>
            </w:r>
          </w:p>
        </w:tc>
      </w:tr>
      <w:tr w:rsidR="00D87333" w14:paraId="58E3FCB9" w14:textId="77777777" w:rsidTr="00D87333">
        <w:trPr>
          <w:cantSplit/>
        </w:trPr>
        <w:tc>
          <w:tcPr>
            <w:tcW w:w="8771" w:type="dxa"/>
            <w:tcBorders>
              <w:top w:val="nil"/>
              <w:left w:val="nil"/>
              <w:bottom w:val="nil"/>
              <w:right w:val="nil"/>
            </w:tcBorders>
            <w:shd w:val="clear" w:color="auto" w:fill="D9EAF0"/>
          </w:tcPr>
          <w:p w14:paraId="5BF81FAC" w14:textId="77777777" w:rsidR="00D87333" w:rsidRDefault="00D87333">
            <w:pPr>
              <w:pStyle w:val="Box"/>
              <w:spacing w:before="0" w:line="120" w:lineRule="exact"/>
            </w:pPr>
          </w:p>
        </w:tc>
      </w:tr>
      <w:tr w:rsidR="00D87333" w:rsidRPr="00B34C5B" w14:paraId="20C188FB" w14:textId="77777777" w:rsidTr="00D87333">
        <w:tc>
          <w:tcPr>
            <w:tcW w:w="8771" w:type="dxa"/>
            <w:tcBorders>
              <w:top w:val="nil"/>
              <w:left w:val="nil"/>
              <w:bottom w:val="nil"/>
              <w:right w:val="nil"/>
            </w:tcBorders>
          </w:tcPr>
          <w:p w14:paraId="3D632CFC" w14:textId="77777777" w:rsidR="00D87333" w:rsidRPr="00B34C5B" w:rsidRDefault="00D87333">
            <w:pPr>
              <w:pStyle w:val="Box"/>
              <w:keepNext w:val="0"/>
              <w:spacing w:before="60" w:after="60" w:line="80" w:lineRule="exact"/>
              <w:rPr>
                <w:b/>
                <w:color w:val="auto"/>
                <w:sz w:val="14"/>
              </w:rPr>
            </w:pPr>
          </w:p>
        </w:tc>
      </w:tr>
    </w:tbl>
    <w:p w14:paraId="3BB0B8F6" w14:textId="77777777" w:rsidR="002873B9" w:rsidRDefault="002873B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73B9" w14:paraId="781AF620" w14:textId="77777777" w:rsidTr="000B6F7A">
        <w:tc>
          <w:tcPr>
            <w:tcW w:w="8771" w:type="dxa"/>
            <w:tcBorders>
              <w:top w:val="nil"/>
              <w:left w:val="nil"/>
              <w:bottom w:val="nil"/>
              <w:right w:val="nil"/>
            </w:tcBorders>
            <w:shd w:val="clear" w:color="auto" w:fill="D9EAF0"/>
          </w:tcPr>
          <w:p w14:paraId="05B47C8E" w14:textId="77777777" w:rsidR="002873B9" w:rsidRDefault="002873B9" w:rsidP="00D87333">
            <w:pPr>
              <w:pStyle w:val="BoxTitle"/>
            </w:pPr>
            <w:r>
              <w:rPr>
                <w:b w:val="0"/>
              </w:rPr>
              <w:t xml:space="preserve">Box </w:t>
            </w:r>
            <w:bookmarkStart w:id="4" w:name="OLE_LINK2"/>
            <w:r w:rsidR="00D87333">
              <w:rPr>
                <w:b w:val="0"/>
              </w:rPr>
              <w:t>3.6</w:t>
            </w:r>
            <w:bookmarkEnd w:id="4"/>
            <w:r>
              <w:tab/>
            </w:r>
            <w:r w:rsidR="00D87333" w:rsidRPr="00936C78">
              <w:rPr>
                <w:b w:val="0"/>
                <w:sz w:val="18"/>
                <w:szCs w:val="18"/>
              </w:rPr>
              <w:t>(continued)</w:t>
            </w:r>
          </w:p>
        </w:tc>
      </w:tr>
      <w:tr w:rsidR="002873B9" w14:paraId="5A2A2E09" w14:textId="77777777" w:rsidTr="000B6F7A">
        <w:trPr>
          <w:cantSplit/>
        </w:trPr>
        <w:tc>
          <w:tcPr>
            <w:tcW w:w="8771" w:type="dxa"/>
            <w:tcBorders>
              <w:top w:val="nil"/>
              <w:left w:val="nil"/>
              <w:bottom w:val="nil"/>
              <w:right w:val="nil"/>
            </w:tcBorders>
            <w:shd w:val="clear" w:color="auto" w:fill="D9EAF0"/>
          </w:tcPr>
          <w:p w14:paraId="6F9CDD45" w14:textId="77777777" w:rsidR="00705627" w:rsidRPr="00EE014D" w:rsidRDefault="00705627" w:rsidP="00705627">
            <w:pPr>
              <w:keepNext/>
              <w:spacing w:before="120" w:line="280" w:lineRule="atLeast"/>
              <w:jc w:val="both"/>
            </w:pPr>
            <w:r w:rsidRPr="009C7D7F">
              <w:rPr>
                <w:rFonts w:ascii="Arial" w:hAnsi="Arial"/>
                <w:b/>
                <w:color w:val="1C1C1C"/>
                <w:sz w:val="22"/>
              </w:rPr>
              <w:t>Competition policy:</w:t>
            </w:r>
            <w:r w:rsidRPr="009C7D7F">
              <w:rPr>
                <w:rFonts w:ascii="Arial" w:hAnsi="Arial"/>
                <w:color w:val="1C1C1C"/>
                <w:sz w:val="22"/>
              </w:rPr>
              <w:t xml:space="preserve"> Governments have agreed</w:t>
            </w:r>
            <w:r w:rsidRPr="00EE014D">
              <w:rPr>
                <w:rFonts w:ascii="Arial" w:hAnsi="Arial"/>
                <w:color w:val="1C1C1C"/>
                <w:sz w:val="22"/>
                <w:szCs w:val="20"/>
              </w:rPr>
              <w:t xml:space="preserve"> that</w:t>
            </w:r>
            <w:r w:rsidRPr="009C7D7F">
              <w:rPr>
                <w:rFonts w:ascii="Arial" w:hAnsi="Arial"/>
                <w:color w:val="1C1C1C"/>
                <w:sz w:val="22"/>
              </w:rPr>
              <w:t xml:space="preserve"> firms operating in both markets should face the same consequences for anti-competitive conduct (on track</w:t>
            </w:r>
            <w:r w:rsidRPr="00EE014D">
              <w:rPr>
                <w:rFonts w:ascii="Arial" w:hAnsi="Arial"/>
                <w:color w:val="1C1C1C"/>
                <w:sz w:val="22"/>
                <w:szCs w:val="20"/>
              </w:rPr>
              <w:t>),</w:t>
            </w:r>
            <w:r w:rsidRPr="009C7D7F">
              <w:rPr>
                <w:rFonts w:ascii="Arial" w:hAnsi="Arial"/>
                <w:color w:val="1C1C1C"/>
                <w:sz w:val="22"/>
              </w:rPr>
              <w:t xml:space="preserve"> and that Australian and New Zealand competition and consumer law regulators share information for enforcement purposes (delayed). High level cross membership between the </w:t>
            </w:r>
            <w:proofErr w:type="spellStart"/>
            <w:r w:rsidRPr="009C7D7F">
              <w:rPr>
                <w:rFonts w:ascii="Arial" w:hAnsi="Arial"/>
                <w:color w:val="1C1C1C"/>
                <w:sz w:val="22"/>
              </w:rPr>
              <w:t>ACCC</w:t>
            </w:r>
            <w:proofErr w:type="spellEnd"/>
            <w:r w:rsidRPr="009C7D7F">
              <w:rPr>
                <w:rFonts w:ascii="Arial" w:hAnsi="Arial"/>
                <w:color w:val="1C1C1C"/>
                <w:sz w:val="22"/>
              </w:rPr>
              <w:t xml:space="preserve"> and the N</w:t>
            </w:r>
            <w:r>
              <w:rPr>
                <w:rFonts w:ascii="Arial" w:hAnsi="Arial"/>
                <w:color w:val="1C1C1C"/>
                <w:sz w:val="22"/>
              </w:rPr>
              <w:t xml:space="preserve">ew </w:t>
            </w:r>
            <w:r w:rsidRPr="009C7D7F">
              <w:rPr>
                <w:rFonts w:ascii="Arial" w:hAnsi="Arial"/>
                <w:color w:val="1C1C1C"/>
                <w:sz w:val="22"/>
              </w:rPr>
              <w:t>Z</w:t>
            </w:r>
            <w:r>
              <w:rPr>
                <w:rFonts w:ascii="Arial" w:hAnsi="Arial"/>
                <w:color w:val="1C1C1C"/>
                <w:sz w:val="22"/>
              </w:rPr>
              <w:t>ealand</w:t>
            </w:r>
            <w:r w:rsidRPr="009C7D7F">
              <w:rPr>
                <w:rFonts w:ascii="Arial" w:hAnsi="Arial"/>
                <w:color w:val="1C1C1C"/>
                <w:sz w:val="22"/>
              </w:rPr>
              <w:t xml:space="preserve"> Commerce Commission has been achieved.</w:t>
            </w:r>
          </w:p>
          <w:p w14:paraId="407207A2" w14:textId="77777777" w:rsidR="00181522" w:rsidRDefault="00705627" w:rsidP="00705627">
            <w:pPr>
              <w:keepNext/>
              <w:spacing w:before="120" w:line="280" w:lineRule="atLeast"/>
              <w:jc w:val="both"/>
              <w:rPr>
                <w:rFonts w:ascii="Arial" w:hAnsi="Arial"/>
                <w:color w:val="1C1C1C"/>
                <w:sz w:val="22"/>
              </w:rPr>
            </w:pPr>
            <w:r w:rsidRPr="009C7D7F">
              <w:rPr>
                <w:rFonts w:ascii="Arial" w:hAnsi="Arial"/>
                <w:b/>
                <w:color w:val="1C1C1C"/>
                <w:sz w:val="22"/>
              </w:rPr>
              <w:t>Business reporting:</w:t>
            </w:r>
            <w:r w:rsidRPr="009C7D7F">
              <w:rPr>
                <w:rFonts w:ascii="Arial" w:hAnsi="Arial"/>
                <w:color w:val="1C1C1C"/>
                <w:sz w:val="22"/>
              </w:rPr>
              <w:t xml:space="preserve"> Governments have agreed to deliver a standard set of </w:t>
            </w:r>
            <w:r>
              <w:rPr>
                <w:rFonts w:ascii="Arial" w:hAnsi="Arial"/>
                <w:color w:val="1C1C1C"/>
                <w:sz w:val="22"/>
              </w:rPr>
              <w:t xml:space="preserve">representations of </w:t>
            </w:r>
            <w:r w:rsidRPr="009C7D7F">
              <w:rPr>
                <w:rFonts w:ascii="Arial" w:hAnsi="Arial"/>
                <w:color w:val="1C1C1C"/>
                <w:sz w:val="22"/>
              </w:rPr>
              <w:t>electronic financial and performance data for the purposes of business-to-government reporting (on hold) and a single business identifier for use in both countries (on track).</w:t>
            </w:r>
          </w:p>
          <w:p w14:paraId="3D611FB6" w14:textId="719B97FB" w:rsidR="00EE014D" w:rsidRPr="00EB2FC5" w:rsidRDefault="00EE014D" w:rsidP="00705627">
            <w:pPr>
              <w:keepNext/>
              <w:spacing w:before="120" w:line="280" w:lineRule="atLeast"/>
              <w:jc w:val="both"/>
            </w:pPr>
            <w:r w:rsidRPr="009C7D7F">
              <w:rPr>
                <w:rFonts w:ascii="Arial" w:hAnsi="Arial"/>
                <w:b/>
                <w:color w:val="1C1C1C"/>
                <w:sz w:val="22"/>
              </w:rPr>
              <w:t>Corporations law:</w:t>
            </w:r>
            <w:r w:rsidRPr="009C7D7F">
              <w:rPr>
                <w:rFonts w:ascii="Arial" w:hAnsi="Arial"/>
                <w:color w:val="1C1C1C"/>
                <w:sz w:val="22"/>
              </w:rPr>
              <w:t xml:space="preserve"> Governments have agreed that trans-Tasman businesses should only need to file company information once in order to meet the requirements of both governments. Progress has been made but is currently slowing.</w:t>
            </w:r>
          </w:p>
          <w:p w14:paraId="520A6D25" w14:textId="13EB37CC" w:rsidR="00EE014D" w:rsidRPr="00EE014D" w:rsidRDefault="00EE014D" w:rsidP="009C7D7F">
            <w:pPr>
              <w:keepNext/>
              <w:spacing w:before="120" w:line="280" w:lineRule="atLeast"/>
              <w:jc w:val="both"/>
            </w:pPr>
            <w:r w:rsidRPr="009C7D7F">
              <w:rPr>
                <w:rFonts w:ascii="Arial" w:hAnsi="Arial"/>
                <w:b/>
                <w:color w:val="1C1C1C"/>
                <w:sz w:val="22"/>
              </w:rPr>
              <w:t>Personal property securities law:</w:t>
            </w:r>
            <w:r w:rsidRPr="009C7D7F">
              <w:rPr>
                <w:rFonts w:ascii="Arial" w:hAnsi="Arial"/>
                <w:color w:val="1C1C1C"/>
                <w:sz w:val="22"/>
              </w:rPr>
              <w:t xml:space="preserve"> Governments ha</w:t>
            </w:r>
            <w:r w:rsidR="00FC366A">
              <w:rPr>
                <w:rFonts w:ascii="Arial" w:hAnsi="Arial"/>
                <w:color w:val="1C1C1C"/>
                <w:sz w:val="22"/>
              </w:rPr>
              <w:t>d</w:t>
            </w:r>
            <w:r w:rsidRPr="009C7D7F">
              <w:rPr>
                <w:rFonts w:ascii="Arial" w:hAnsi="Arial"/>
                <w:color w:val="1C1C1C"/>
                <w:sz w:val="22"/>
              </w:rPr>
              <w:t xml:space="preserve"> agreed to a single trans</w:t>
            </w:r>
            <w:r w:rsidRPr="009C7D7F">
              <w:rPr>
                <w:rFonts w:ascii="Arial" w:hAnsi="Arial"/>
                <w:color w:val="1C1C1C"/>
                <w:sz w:val="22"/>
              </w:rPr>
              <w:noBreakHyphen/>
              <w:t xml:space="preserve">Tasman register for </w:t>
            </w:r>
            <w:r w:rsidR="00B33BC4">
              <w:rPr>
                <w:rFonts w:ascii="Arial" w:hAnsi="Arial"/>
                <w:color w:val="1C1C1C"/>
                <w:sz w:val="22"/>
              </w:rPr>
              <w:t>personal property securities</w:t>
            </w:r>
            <w:r w:rsidRPr="009C7D7F">
              <w:rPr>
                <w:rFonts w:ascii="Arial" w:hAnsi="Arial"/>
                <w:color w:val="1C1C1C"/>
                <w:sz w:val="22"/>
              </w:rPr>
              <w:t xml:space="preserve">. </w:t>
            </w:r>
            <w:r w:rsidR="00FC366A">
              <w:rPr>
                <w:rFonts w:ascii="Arial" w:hAnsi="Arial"/>
                <w:color w:val="1C1C1C"/>
                <w:sz w:val="22"/>
              </w:rPr>
              <w:t>However</w:t>
            </w:r>
            <w:r w:rsidRPr="00EE014D">
              <w:rPr>
                <w:rFonts w:ascii="Arial" w:hAnsi="Arial"/>
                <w:color w:val="1C1C1C"/>
                <w:sz w:val="22"/>
                <w:szCs w:val="20"/>
              </w:rPr>
              <w:t xml:space="preserve">, the </w:t>
            </w:r>
            <w:proofErr w:type="spellStart"/>
            <w:r w:rsidRPr="00EE014D">
              <w:rPr>
                <w:rFonts w:ascii="Arial" w:hAnsi="Arial"/>
                <w:color w:val="1C1C1C"/>
                <w:sz w:val="22"/>
                <w:szCs w:val="20"/>
              </w:rPr>
              <w:t>TTOIG</w:t>
            </w:r>
            <w:proofErr w:type="spellEnd"/>
            <w:r w:rsidRPr="00EE014D">
              <w:rPr>
                <w:rFonts w:ascii="Arial" w:hAnsi="Arial"/>
                <w:color w:val="1C1C1C"/>
                <w:sz w:val="22"/>
                <w:szCs w:val="20"/>
              </w:rPr>
              <w:t xml:space="preserve"> </w:t>
            </w:r>
            <w:r w:rsidR="00FC366A">
              <w:rPr>
                <w:rFonts w:ascii="Arial" w:hAnsi="Arial"/>
                <w:color w:val="1C1C1C"/>
                <w:sz w:val="22"/>
                <w:szCs w:val="20"/>
              </w:rPr>
              <w:t xml:space="preserve">has </w:t>
            </w:r>
            <w:r w:rsidRPr="00EE014D">
              <w:rPr>
                <w:rFonts w:ascii="Arial" w:hAnsi="Arial"/>
                <w:color w:val="1C1C1C"/>
                <w:sz w:val="22"/>
                <w:szCs w:val="20"/>
              </w:rPr>
              <w:t>remove</w:t>
            </w:r>
            <w:r w:rsidR="00FC366A">
              <w:rPr>
                <w:rFonts w:ascii="Arial" w:hAnsi="Arial"/>
                <w:color w:val="1C1C1C"/>
                <w:sz w:val="22"/>
                <w:szCs w:val="20"/>
              </w:rPr>
              <w:t>d</w:t>
            </w:r>
            <w:r w:rsidRPr="00EE014D">
              <w:rPr>
                <w:rFonts w:ascii="Arial" w:hAnsi="Arial"/>
                <w:color w:val="1C1C1C"/>
                <w:sz w:val="22"/>
                <w:szCs w:val="20"/>
              </w:rPr>
              <w:t xml:space="preserve"> this outcome</w:t>
            </w:r>
            <w:r w:rsidR="00FC366A">
              <w:rPr>
                <w:rFonts w:ascii="Arial" w:hAnsi="Arial"/>
                <w:color w:val="1C1C1C"/>
                <w:sz w:val="22"/>
                <w:szCs w:val="20"/>
              </w:rPr>
              <w:t xml:space="preserve"> </w:t>
            </w:r>
            <w:r w:rsidRPr="00EE014D">
              <w:rPr>
                <w:rFonts w:ascii="Arial" w:hAnsi="Arial"/>
                <w:color w:val="1C1C1C"/>
                <w:sz w:val="22"/>
                <w:szCs w:val="20"/>
              </w:rPr>
              <w:t>because finance stakeholders in both countries have expressed little interest in it</w:t>
            </w:r>
            <w:r w:rsidRPr="009C7D7F">
              <w:rPr>
                <w:rFonts w:ascii="Arial" w:hAnsi="Arial"/>
                <w:color w:val="1C1C1C"/>
                <w:sz w:val="22"/>
              </w:rPr>
              <w:t>.</w:t>
            </w:r>
          </w:p>
          <w:p w14:paraId="750A1116" w14:textId="3416D6B0" w:rsidR="00EE014D" w:rsidRPr="00EE014D" w:rsidRDefault="00EE014D" w:rsidP="009C7D7F">
            <w:pPr>
              <w:keepNext/>
              <w:spacing w:before="120" w:line="280" w:lineRule="atLeast"/>
              <w:jc w:val="both"/>
            </w:pPr>
            <w:r w:rsidRPr="009C7D7F">
              <w:rPr>
                <w:rFonts w:ascii="Arial" w:hAnsi="Arial"/>
                <w:b/>
                <w:color w:val="1C1C1C"/>
                <w:sz w:val="22"/>
              </w:rPr>
              <w:t xml:space="preserve">Intellectual property law: </w:t>
            </w:r>
            <w:r w:rsidRPr="009C7D7F">
              <w:rPr>
                <w:rFonts w:ascii="Arial" w:hAnsi="Arial"/>
                <w:color w:val="1C1C1C"/>
                <w:sz w:val="22"/>
              </w:rPr>
              <w:t xml:space="preserve">Governments have agreed to </w:t>
            </w:r>
            <w:r w:rsidR="00FC366A">
              <w:rPr>
                <w:rFonts w:ascii="Arial" w:hAnsi="Arial"/>
                <w:color w:val="1C1C1C"/>
                <w:sz w:val="22"/>
              </w:rPr>
              <w:t xml:space="preserve">introduce </w:t>
            </w:r>
            <w:r w:rsidRPr="009C7D7F">
              <w:rPr>
                <w:rFonts w:ascii="Arial" w:hAnsi="Arial"/>
                <w:color w:val="1C1C1C"/>
                <w:sz w:val="22"/>
              </w:rPr>
              <w:t>a single regulatory framework for patent attorneys, a single trademark regime, a single application and examination processes for patents filed in both countries, and a single plant variety right regime. Progress is on track for all outcomes except the plant variety rights regime (slowing).</w:t>
            </w:r>
          </w:p>
          <w:p w14:paraId="1E3E615F" w14:textId="2E1F782B" w:rsidR="002873B9" w:rsidRDefault="00EE014D" w:rsidP="00FC366A">
            <w:pPr>
              <w:pStyle w:val="Box"/>
            </w:pPr>
            <w:r w:rsidRPr="006910E2">
              <w:rPr>
                <w:b/>
              </w:rPr>
              <w:t>Consumer law:</w:t>
            </w:r>
            <w:r w:rsidRPr="006910E2">
              <w:t xml:space="preserve"> </w:t>
            </w:r>
            <w:r>
              <w:t>Governments have agreed to: harmonise consumer law enforcement and consumer credit requirements; streamline arrangements for mutual recognition of product safety standards; harmonise or coordinate</w:t>
            </w:r>
            <w:r w:rsidRPr="006910E2">
              <w:t xml:space="preserve"> product labelling regimes</w:t>
            </w:r>
            <w:r>
              <w:t xml:space="preserve">; and introduce equivalent approaches to trade measurement regulation. All outcomes have been achieved except </w:t>
            </w:r>
            <w:r w:rsidR="00FC366A">
              <w:t xml:space="preserve">the one relating to </w:t>
            </w:r>
            <w:r>
              <w:t>consumer credit, which is on track.</w:t>
            </w:r>
          </w:p>
        </w:tc>
      </w:tr>
      <w:tr w:rsidR="002873B9" w14:paraId="4DC572FD" w14:textId="77777777" w:rsidTr="000B6F7A">
        <w:trPr>
          <w:cantSplit/>
        </w:trPr>
        <w:tc>
          <w:tcPr>
            <w:tcW w:w="8771" w:type="dxa"/>
            <w:tcBorders>
              <w:top w:val="nil"/>
              <w:left w:val="nil"/>
              <w:bottom w:val="nil"/>
              <w:right w:val="nil"/>
            </w:tcBorders>
            <w:shd w:val="clear" w:color="auto" w:fill="D9EAF0"/>
          </w:tcPr>
          <w:p w14:paraId="1F34F5C6" w14:textId="77777777" w:rsidR="002873B9" w:rsidRDefault="002873B9" w:rsidP="009D49DE">
            <w:pPr>
              <w:pStyle w:val="BoxSource"/>
            </w:pPr>
            <w:r>
              <w:rPr>
                <w:i/>
              </w:rPr>
              <w:t>Source</w:t>
            </w:r>
            <w:r w:rsidRPr="00167F06">
              <w:t xml:space="preserve">: </w:t>
            </w:r>
            <w:proofErr w:type="spellStart"/>
            <w:r w:rsidR="00EF45F4" w:rsidRPr="009A0857">
              <w:t>T</w:t>
            </w:r>
            <w:r w:rsidR="009D49DE">
              <w:t>TOIG</w:t>
            </w:r>
            <w:proofErr w:type="spellEnd"/>
            <w:r w:rsidR="00EF45F4">
              <w:t xml:space="preserve"> (2012)</w:t>
            </w:r>
            <w:r w:rsidR="00EF45F4" w:rsidRPr="006910E2">
              <w:t>.</w:t>
            </w:r>
          </w:p>
        </w:tc>
      </w:tr>
      <w:tr w:rsidR="002873B9" w14:paraId="67C89B6A" w14:textId="77777777" w:rsidTr="000B6F7A">
        <w:trPr>
          <w:cantSplit/>
        </w:trPr>
        <w:tc>
          <w:tcPr>
            <w:tcW w:w="8771" w:type="dxa"/>
            <w:tcBorders>
              <w:top w:val="nil"/>
              <w:left w:val="nil"/>
              <w:bottom w:val="nil"/>
              <w:right w:val="nil"/>
            </w:tcBorders>
            <w:shd w:val="clear" w:color="auto" w:fill="D9EAF0"/>
          </w:tcPr>
          <w:p w14:paraId="2AD92762" w14:textId="77777777" w:rsidR="002873B9" w:rsidRDefault="002873B9">
            <w:pPr>
              <w:pStyle w:val="Box"/>
              <w:spacing w:before="0" w:line="120" w:lineRule="exact"/>
            </w:pPr>
          </w:p>
        </w:tc>
      </w:tr>
      <w:tr w:rsidR="002873B9" w:rsidRPr="00B34C5B" w14:paraId="75127F1D" w14:textId="77777777" w:rsidTr="000B6F7A">
        <w:tc>
          <w:tcPr>
            <w:tcW w:w="8771" w:type="dxa"/>
            <w:tcBorders>
              <w:top w:val="nil"/>
              <w:left w:val="nil"/>
              <w:bottom w:val="nil"/>
              <w:right w:val="nil"/>
            </w:tcBorders>
          </w:tcPr>
          <w:p w14:paraId="15FF0FEC" w14:textId="77777777" w:rsidR="002873B9" w:rsidRPr="00B34C5B" w:rsidRDefault="002873B9">
            <w:pPr>
              <w:pStyle w:val="Box"/>
              <w:keepNext w:val="0"/>
              <w:spacing w:before="60" w:after="60" w:line="80" w:lineRule="exact"/>
              <w:rPr>
                <w:b/>
                <w:color w:val="auto"/>
                <w:sz w:val="14"/>
              </w:rPr>
            </w:pPr>
          </w:p>
        </w:tc>
      </w:tr>
    </w:tbl>
    <w:p w14:paraId="61A36615" w14:textId="77777777" w:rsidR="00DE572E" w:rsidRDefault="004A47CD" w:rsidP="00DE572E">
      <w:pPr>
        <w:pStyle w:val="Heading2"/>
      </w:pPr>
      <w:fldSimple w:instr=" COMMENTS  \* MERGEFORMAT ">
        <w:r w:rsidR="005256BE">
          <w:t>3.</w:t>
        </w:r>
      </w:fldSimple>
      <w:fldSimple w:instr=" SEQ Heading2 ">
        <w:r w:rsidR="00EE0939">
          <w:rPr>
            <w:noProof/>
          </w:rPr>
          <w:t>2</w:t>
        </w:r>
      </w:fldSimple>
      <w:r w:rsidR="00DE572E">
        <w:tab/>
      </w:r>
      <w:r w:rsidR="008E4A52">
        <w:t>A</w:t>
      </w:r>
      <w:r w:rsidR="00F94E4B">
        <w:t>chieve</w:t>
      </w:r>
      <w:r w:rsidR="008E4A52">
        <w:t xml:space="preserve">ments of </w:t>
      </w:r>
      <w:proofErr w:type="spellStart"/>
      <w:r w:rsidR="008E4A52">
        <w:t>CER</w:t>
      </w:r>
      <w:proofErr w:type="spellEnd"/>
    </w:p>
    <w:p w14:paraId="549018B5" w14:textId="0851C38B" w:rsidR="00F0673B" w:rsidRDefault="00F0673B" w:rsidP="00F0673B">
      <w:pPr>
        <w:pStyle w:val="BodyText"/>
      </w:pPr>
      <w:r>
        <w:t xml:space="preserve">Various commentators have concluded that </w:t>
      </w:r>
      <w:proofErr w:type="spellStart"/>
      <w:r>
        <w:t>CER</w:t>
      </w:r>
      <w:proofErr w:type="spellEnd"/>
      <w:r>
        <w:t xml:space="preserve"> compares favourably to other preferential trade agreements. For example, in the mid</w:t>
      </w:r>
      <w:r w:rsidR="003B38C6">
        <w:t> </w:t>
      </w:r>
      <w:proofErr w:type="spellStart"/>
      <w:r>
        <w:t>1990s</w:t>
      </w:r>
      <w:proofErr w:type="spellEnd"/>
      <w:r>
        <w:t xml:space="preserve"> Lloyd argued:</w:t>
      </w:r>
    </w:p>
    <w:p w14:paraId="3710B2DE" w14:textId="43C76EA2" w:rsidR="00F0673B" w:rsidRDefault="00F0673B" w:rsidP="00F0673B">
      <w:pPr>
        <w:pStyle w:val="Quote"/>
      </w:pPr>
      <w:r>
        <w:t xml:space="preserve">The </w:t>
      </w:r>
      <w:proofErr w:type="spellStart"/>
      <w:r>
        <w:t>CER</w:t>
      </w:r>
      <w:proofErr w:type="spellEnd"/>
      <w:r>
        <w:t xml:space="preserve"> between Australia and New Zealand has already achieved some notable successes in relation to non-border policies as well as in the traditional coverage of trade liberalisation; and it is the most clean and the most outwardly open of all of the regional trading arrangements approved under the GATT.</w:t>
      </w:r>
      <w:r w:rsidRPr="001B637B">
        <w:t xml:space="preserve"> </w:t>
      </w:r>
      <w:r>
        <w:t>(</w:t>
      </w:r>
      <w:r w:rsidRPr="001B637B">
        <w:t>1995, p.</w:t>
      </w:r>
      <w:r w:rsidR="003B38C6">
        <w:t> </w:t>
      </w:r>
      <w:r w:rsidRPr="001B637B">
        <w:t>267)</w:t>
      </w:r>
    </w:p>
    <w:p w14:paraId="16AAC3B2" w14:textId="77777777" w:rsidR="00F0673B" w:rsidRDefault="00F0673B" w:rsidP="00854173">
      <w:pPr>
        <w:pStyle w:val="BodyText"/>
        <w:keepNext/>
      </w:pPr>
      <w:r>
        <w:lastRenderedPageBreak/>
        <w:t xml:space="preserve">More recently, </w:t>
      </w:r>
      <w:proofErr w:type="spellStart"/>
      <w:r>
        <w:t>Scollay</w:t>
      </w:r>
      <w:proofErr w:type="spellEnd"/>
      <w:r>
        <w:t>, Findlay and Kaufmann concluded that:</w:t>
      </w:r>
    </w:p>
    <w:p w14:paraId="30223D5C" w14:textId="77777777" w:rsidR="00F0673B" w:rsidRPr="00854173" w:rsidRDefault="00F0673B" w:rsidP="00F0673B">
      <w:pPr>
        <w:pStyle w:val="Quote"/>
        <w:rPr>
          <w:sz w:val="22"/>
          <w:szCs w:val="22"/>
        </w:rPr>
      </w:pPr>
      <w:r w:rsidRPr="00854173">
        <w:rPr>
          <w:sz w:val="22"/>
          <w:szCs w:val="22"/>
        </w:rPr>
        <w:t>Economic integration between Australia and New Zealand, with the Australia New Zealand Closer Economic Relations Trade Agreement (</w:t>
      </w:r>
      <w:proofErr w:type="spellStart"/>
      <w:r w:rsidRPr="00854173">
        <w:rPr>
          <w:sz w:val="22"/>
          <w:szCs w:val="22"/>
        </w:rPr>
        <w:t>ANZCERTA</w:t>
      </w:r>
      <w:proofErr w:type="spellEnd"/>
      <w:r w:rsidRPr="00854173">
        <w:rPr>
          <w:sz w:val="22"/>
          <w:szCs w:val="22"/>
        </w:rPr>
        <w:t>) as its central instrument, is today widely regarded as a success story. (2011, p. 18)</w:t>
      </w:r>
    </w:p>
    <w:p w14:paraId="2C98C704" w14:textId="51DF17CB" w:rsidR="00DE572E" w:rsidRDefault="00F0673B" w:rsidP="003B6FCA">
      <w:pPr>
        <w:pStyle w:val="BodyText"/>
      </w:pPr>
      <w:r>
        <w:t xml:space="preserve">This section explores the achievements of </w:t>
      </w:r>
      <w:proofErr w:type="spellStart"/>
      <w:r>
        <w:t>CER</w:t>
      </w:r>
      <w:proofErr w:type="spellEnd"/>
      <w:r>
        <w:t xml:space="preserve"> in </w:t>
      </w:r>
      <w:r w:rsidR="00BD50F9" w:rsidRPr="00AC77C7">
        <w:t>reduc</w:t>
      </w:r>
      <w:r>
        <w:t>ing</w:t>
      </w:r>
      <w:r w:rsidR="00BD50F9">
        <w:t xml:space="preserve"> </w:t>
      </w:r>
      <w:r w:rsidR="005852D3" w:rsidRPr="00BD50F9">
        <w:t>barriers</w:t>
      </w:r>
      <w:r w:rsidR="005852D3">
        <w:t xml:space="preserve"> to trade, investment flows</w:t>
      </w:r>
      <w:r w:rsidR="00D259A6">
        <w:t xml:space="preserve"> </w:t>
      </w:r>
      <w:r w:rsidR="00AD20E2">
        <w:t>and</w:t>
      </w:r>
      <w:r w:rsidR="00D259A6">
        <w:t xml:space="preserve"> the movement of people</w:t>
      </w:r>
      <w:r>
        <w:t xml:space="preserve">, </w:t>
      </w:r>
      <w:r w:rsidR="00D259A6" w:rsidRPr="00AC77C7">
        <w:t>increas</w:t>
      </w:r>
      <w:r>
        <w:t>ing</w:t>
      </w:r>
      <w:r w:rsidR="00D259A6" w:rsidRPr="00AC77C7">
        <w:t xml:space="preserve"> </w:t>
      </w:r>
      <w:r w:rsidR="00BD50F9" w:rsidRPr="00AC77C7">
        <w:t xml:space="preserve">trans-Tasman </w:t>
      </w:r>
      <w:r w:rsidR="00D259A6" w:rsidRPr="00AC77C7">
        <w:t>trade and factor flows</w:t>
      </w:r>
      <w:r>
        <w:t xml:space="preserve">, and </w:t>
      </w:r>
      <w:r w:rsidR="00CE4E75" w:rsidRPr="00AC77C7">
        <w:t>pro</w:t>
      </w:r>
      <w:r w:rsidR="00E21541">
        <w:t>duc</w:t>
      </w:r>
      <w:r>
        <w:t>ing</w:t>
      </w:r>
      <w:r w:rsidR="00CE4E75" w:rsidRPr="00AC77C7">
        <w:t xml:space="preserve"> </w:t>
      </w:r>
      <w:r w:rsidR="00780E55" w:rsidRPr="00AC77C7">
        <w:t>net</w:t>
      </w:r>
      <w:r w:rsidR="00CE4E75" w:rsidRPr="00AC77C7">
        <w:t xml:space="preserve"> </w:t>
      </w:r>
      <w:r w:rsidR="00D259A6" w:rsidRPr="00AC77C7">
        <w:t>benefit</w:t>
      </w:r>
      <w:r w:rsidR="00CE4E75" w:rsidRPr="00AC77C7">
        <w:t>s</w:t>
      </w:r>
      <w:r w:rsidR="00D259A6">
        <w:t xml:space="preserve"> </w:t>
      </w:r>
      <w:r w:rsidR="00E21541">
        <w:t>for</w:t>
      </w:r>
      <w:r w:rsidR="00CE4E75">
        <w:t xml:space="preserve"> </w:t>
      </w:r>
      <w:r w:rsidR="00D259A6">
        <w:t>both countries</w:t>
      </w:r>
      <w:r>
        <w:t>.</w:t>
      </w:r>
    </w:p>
    <w:p w14:paraId="7C17C110" w14:textId="76A0AA79" w:rsidR="0008507F" w:rsidRDefault="00BA445F" w:rsidP="0086197C">
      <w:pPr>
        <w:pStyle w:val="Heading3"/>
      </w:pPr>
      <w:r>
        <w:t>Trade in goods</w:t>
      </w:r>
      <w:r w:rsidR="00F94E4B">
        <w:t xml:space="preserve"> </w:t>
      </w:r>
      <w:r w:rsidR="005960D9">
        <w:t>is</w:t>
      </w:r>
      <w:r w:rsidR="00F94E4B">
        <w:t xml:space="preserve"> </w:t>
      </w:r>
      <w:r w:rsidR="002916BF">
        <w:t xml:space="preserve">largely </w:t>
      </w:r>
      <w:r w:rsidR="00F94E4B">
        <w:t>liberalised</w:t>
      </w:r>
    </w:p>
    <w:p w14:paraId="36567022" w14:textId="77777777" w:rsidR="0008507F" w:rsidRDefault="007B3EB8" w:rsidP="003B6FCA">
      <w:pPr>
        <w:pStyle w:val="BodyText"/>
      </w:pPr>
      <w:r>
        <w:t xml:space="preserve">The </w:t>
      </w:r>
      <w:proofErr w:type="spellStart"/>
      <w:r>
        <w:t>CER</w:t>
      </w:r>
      <w:proofErr w:type="spellEnd"/>
      <w:r>
        <w:t xml:space="preserve"> agenda has reduce</w:t>
      </w:r>
      <w:r w:rsidR="00246BEB">
        <w:t>d</w:t>
      </w:r>
      <w:r>
        <w:t xml:space="preserve"> </w:t>
      </w:r>
      <w:r w:rsidR="00246BEB">
        <w:t>transaction costs</w:t>
      </w:r>
      <w:r>
        <w:t xml:space="preserve"> </w:t>
      </w:r>
      <w:r w:rsidR="00246BEB">
        <w:t>for</w:t>
      </w:r>
      <w:r>
        <w:t xml:space="preserve"> trade in goods between Australia </w:t>
      </w:r>
      <w:r w:rsidR="00BE095F">
        <w:t>and New Zealand in various ways.</w:t>
      </w:r>
    </w:p>
    <w:p w14:paraId="2D18A2CB" w14:textId="77777777" w:rsidR="007B3EB8" w:rsidRDefault="009F390B" w:rsidP="007B3EB8">
      <w:pPr>
        <w:pStyle w:val="ListBullet"/>
      </w:pPr>
      <w:r w:rsidRPr="009F390B">
        <w:t>Tariffs and quantitative restrictions on goods have been fully liberalised between the two countries for goods</w:t>
      </w:r>
      <w:r w:rsidR="00EC72CF" w:rsidRPr="00EC72CF">
        <w:t xml:space="preserve"> </w:t>
      </w:r>
      <w:r w:rsidR="00EC72CF">
        <w:t xml:space="preserve">deemed to have originated in the partner country under the </w:t>
      </w:r>
      <w:proofErr w:type="spellStart"/>
      <w:r w:rsidR="00EC72CF">
        <w:t>CER</w:t>
      </w:r>
      <w:proofErr w:type="spellEnd"/>
      <w:r w:rsidR="00EC72CF">
        <w:t xml:space="preserve"> rules of origin</w:t>
      </w:r>
      <w:r w:rsidRPr="009F390B">
        <w:t>.</w:t>
      </w:r>
    </w:p>
    <w:p w14:paraId="252A0271" w14:textId="77777777" w:rsidR="007B3EB8" w:rsidRDefault="009F390B" w:rsidP="007B3EB8">
      <w:pPr>
        <w:pStyle w:val="ListBullet"/>
      </w:pPr>
      <w:r w:rsidRPr="009F390B">
        <w:t xml:space="preserve">Rules of </w:t>
      </w:r>
      <w:r w:rsidR="00985400">
        <w:t>o</w:t>
      </w:r>
      <w:r w:rsidRPr="009F390B">
        <w:t>rigin have been amended over the life of the agreement</w:t>
      </w:r>
      <w:r w:rsidR="005429BC">
        <w:t>, in part with an aim of</w:t>
      </w:r>
      <w:r w:rsidR="007B3EB8">
        <w:t xml:space="preserve"> reduc</w:t>
      </w:r>
      <w:r w:rsidR="005429BC">
        <w:t>ing</w:t>
      </w:r>
      <w:r w:rsidR="007B3EB8">
        <w:t xml:space="preserve"> compliance costs</w:t>
      </w:r>
      <w:r w:rsidRPr="009F390B">
        <w:t>.</w:t>
      </w:r>
    </w:p>
    <w:p w14:paraId="57AC6178" w14:textId="77777777" w:rsidR="007B3EB8" w:rsidRDefault="005E5C10" w:rsidP="007B3EB8">
      <w:pPr>
        <w:pStyle w:val="ListBullet"/>
      </w:pPr>
      <w:r>
        <w:t xml:space="preserve">Administrative </w:t>
      </w:r>
      <w:r w:rsidR="009F390B" w:rsidRPr="009F390B">
        <w:t xml:space="preserve">procedures </w:t>
      </w:r>
      <w:r>
        <w:t xml:space="preserve">for </w:t>
      </w:r>
      <w:r w:rsidR="000D748E">
        <w:t xml:space="preserve">biosecurity and </w:t>
      </w:r>
      <w:r>
        <w:t xml:space="preserve">quarantine </w:t>
      </w:r>
      <w:r w:rsidR="009F390B" w:rsidRPr="009F390B">
        <w:t xml:space="preserve">have </w:t>
      </w:r>
      <w:r w:rsidR="00431410">
        <w:t xml:space="preserve">generally </w:t>
      </w:r>
      <w:r w:rsidR="009F390B" w:rsidRPr="009F390B">
        <w:t xml:space="preserve">been harmonised, and </w:t>
      </w:r>
      <w:r w:rsidR="00B46D0D">
        <w:t>c</w:t>
      </w:r>
      <w:r w:rsidR="009F390B" w:rsidRPr="009F390B">
        <w:t>ustoms authorities in both countries cooperate on trans</w:t>
      </w:r>
      <w:r w:rsidR="00212CFD">
        <w:noBreakHyphen/>
      </w:r>
      <w:r w:rsidR="009F390B" w:rsidRPr="009F390B">
        <w:t>Tasman issues.</w:t>
      </w:r>
    </w:p>
    <w:p w14:paraId="0B24302F" w14:textId="0CB8DB19" w:rsidR="007B3EB8" w:rsidRDefault="009F390B" w:rsidP="007B3EB8">
      <w:pPr>
        <w:pStyle w:val="ListBullet"/>
      </w:pPr>
      <w:r w:rsidRPr="009F390B">
        <w:t>A mutual recognition agreement (</w:t>
      </w:r>
      <w:proofErr w:type="spellStart"/>
      <w:r w:rsidR="00245594">
        <w:t>TT</w:t>
      </w:r>
      <w:r w:rsidRPr="009F390B">
        <w:t>MRA</w:t>
      </w:r>
      <w:proofErr w:type="spellEnd"/>
      <w:r w:rsidRPr="009F390B">
        <w:t xml:space="preserve">) allows goods that can be sold in one country to be sold in the other without meeting further regulatory requirements, with some exceptions (such as </w:t>
      </w:r>
      <w:r w:rsidR="007D10E0">
        <w:t>i</w:t>
      </w:r>
      <w:r w:rsidRPr="009F390B">
        <w:t>ndustrial chemicals).</w:t>
      </w:r>
    </w:p>
    <w:p w14:paraId="06592AA8" w14:textId="77777777" w:rsidR="007B3EB8" w:rsidRDefault="009F390B" w:rsidP="007B3EB8">
      <w:pPr>
        <w:pStyle w:val="ListBullet"/>
      </w:pPr>
      <w:r w:rsidRPr="009F390B">
        <w:t>Neither country allows its businesses to initiate anti-dumping claims against businesses of the other.</w:t>
      </w:r>
    </w:p>
    <w:p w14:paraId="25C62F9F" w14:textId="77777777" w:rsidR="00EB45EB" w:rsidRDefault="00AB69D7" w:rsidP="007B3EB8">
      <w:pPr>
        <w:pStyle w:val="ListBullet"/>
      </w:pPr>
      <w:r>
        <w:t xml:space="preserve">Standards for food safety have been </w:t>
      </w:r>
      <w:r w:rsidR="00EC72CF">
        <w:t>aligned</w:t>
      </w:r>
      <w:r>
        <w:t xml:space="preserve"> and </w:t>
      </w:r>
      <w:r w:rsidR="009F390B" w:rsidRPr="009F390B">
        <w:t>a single trans</w:t>
      </w:r>
      <w:r w:rsidR="00EC72CF">
        <w:noBreakHyphen/>
      </w:r>
      <w:r w:rsidR="009F390B" w:rsidRPr="009F390B">
        <w:t>Tasman food authority</w:t>
      </w:r>
      <w:r w:rsidR="00540B12">
        <w:t xml:space="preserve"> develops standards.</w:t>
      </w:r>
    </w:p>
    <w:p w14:paraId="3F1DB044" w14:textId="77777777" w:rsidR="00AB0BFD" w:rsidRDefault="00AB0BFD" w:rsidP="00AB0BFD">
      <w:pPr>
        <w:pStyle w:val="Heading4"/>
      </w:pPr>
      <w:r>
        <w:t>Influence on trade</w:t>
      </w:r>
    </w:p>
    <w:p w14:paraId="710001CF" w14:textId="77777777" w:rsidR="00F807D6" w:rsidRDefault="00AB0BFD" w:rsidP="007B3EB8">
      <w:pPr>
        <w:pStyle w:val="BodyText"/>
      </w:pPr>
      <w:r>
        <w:t xml:space="preserve">As described above, </w:t>
      </w:r>
      <w:proofErr w:type="spellStart"/>
      <w:r w:rsidR="00426219">
        <w:t>CER</w:t>
      </w:r>
      <w:proofErr w:type="spellEnd"/>
      <w:r w:rsidR="00426219">
        <w:t xml:space="preserve"> initiatives have largely eliminated at</w:t>
      </w:r>
      <w:r w:rsidR="009E1136">
        <w:noBreakHyphen/>
      </w:r>
      <w:r w:rsidR="00BD50F9">
        <w:t>the</w:t>
      </w:r>
      <w:r w:rsidR="009E1136">
        <w:noBreakHyphen/>
      </w:r>
      <w:r w:rsidR="00BD50F9">
        <w:t>border barriers</w:t>
      </w:r>
      <w:r w:rsidR="00E21541">
        <w:t xml:space="preserve">, while </w:t>
      </w:r>
      <w:r w:rsidR="00BD50F9">
        <w:t>behind</w:t>
      </w:r>
      <w:r w:rsidR="009E1136">
        <w:noBreakHyphen/>
      </w:r>
      <w:r w:rsidR="00BD50F9">
        <w:t>the</w:t>
      </w:r>
      <w:r w:rsidR="009E1136">
        <w:noBreakHyphen/>
      </w:r>
      <w:r w:rsidR="00BD50F9">
        <w:t xml:space="preserve">border barriers have </w:t>
      </w:r>
      <w:r w:rsidR="00E21541">
        <w:t xml:space="preserve">also </w:t>
      </w:r>
      <w:r w:rsidR="00BD50F9">
        <w:t>been reduced</w:t>
      </w:r>
      <w:r w:rsidR="00EA6BBA">
        <w:t>.</w:t>
      </w:r>
      <w:r w:rsidR="00BD50F9">
        <w:t xml:space="preserve"> </w:t>
      </w:r>
      <w:r w:rsidR="00AA4FB2">
        <w:t>This woul</w:t>
      </w:r>
      <w:r w:rsidR="004B0230">
        <w:t xml:space="preserve">d be expected to result in increased trade </w:t>
      </w:r>
      <w:r w:rsidR="00AA4FB2">
        <w:t xml:space="preserve">in goods </w:t>
      </w:r>
      <w:r w:rsidR="004B0230">
        <w:t>between Australia and New Zealand</w:t>
      </w:r>
      <w:r w:rsidR="00AA6210">
        <w:t xml:space="preserve">, </w:t>
      </w:r>
      <w:r w:rsidR="00EA6BBA">
        <w:t>relative to what would have occurred otherwise</w:t>
      </w:r>
      <w:r w:rsidR="00AA6210">
        <w:t>.</w:t>
      </w:r>
    </w:p>
    <w:p w14:paraId="28524BA0" w14:textId="54EC0D19" w:rsidR="00C45580" w:rsidRDefault="00C45580" w:rsidP="00C45580">
      <w:pPr>
        <w:pStyle w:val="BodyText"/>
      </w:pPr>
      <w:r>
        <w:t xml:space="preserve">However, there are </w:t>
      </w:r>
      <w:r w:rsidR="00A056CA">
        <w:t xml:space="preserve">many </w:t>
      </w:r>
      <w:r>
        <w:t xml:space="preserve">other influences on trans-Tasman trade, one of which is </w:t>
      </w:r>
      <w:r w:rsidR="00247314">
        <w:t>cha</w:t>
      </w:r>
      <w:r>
        <w:t>nges in trade barriers with other countries. From 1983 to 1990</w:t>
      </w:r>
      <w:r w:rsidR="0086467E">
        <w:t xml:space="preserve">, as </w:t>
      </w:r>
      <w:r>
        <w:lastRenderedPageBreak/>
        <w:t>trans</w:t>
      </w:r>
      <w:r>
        <w:noBreakHyphen/>
        <w:t>Tasman at-the-border trade barriers were eliminated</w:t>
      </w:r>
      <w:r w:rsidR="0086467E">
        <w:t xml:space="preserve">, </w:t>
      </w:r>
      <w:r>
        <w:t xml:space="preserve">a substantial gap opened up </w:t>
      </w:r>
      <w:r w:rsidR="0086467E">
        <w:t xml:space="preserve">with protection rates for </w:t>
      </w:r>
      <w:r>
        <w:t>other countries</w:t>
      </w:r>
      <w:r w:rsidR="0086467E">
        <w:t xml:space="preserve">. </w:t>
      </w:r>
      <w:r w:rsidR="000443CB">
        <w:t xml:space="preserve">However, this gap </w:t>
      </w:r>
      <w:r w:rsidR="0086467E">
        <w:t xml:space="preserve">soon </w:t>
      </w:r>
      <w:r w:rsidR="00B33BC4">
        <w:t>narrowed</w:t>
      </w:r>
      <w:r w:rsidR="000443CB">
        <w:t xml:space="preserve"> as </w:t>
      </w:r>
      <w:r>
        <w:t xml:space="preserve">both </w:t>
      </w:r>
      <w:r w:rsidR="0086467E">
        <w:t>countries</w:t>
      </w:r>
      <w:r>
        <w:t xml:space="preserve"> reduce</w:t>
      </w:r>
      <w:r w:rsidR="0086467E">
        <w:t>d</w:t>
      </w:r>
      <w:r>
        <w:t xml:space="preserve"> trade restrictions </w:t>
      </w:r>
      <w:r w:rsidR="0086467E">
        <w:t>unilaterally on a ‘most favoured nation’ basis</w:t>
      </w:r>
      <w:r>
        <w:t>. Figure 3.1 shows th</w:t>
      </w:r>
      <w:r w:rsidR="000443CB">
        <w:t>e</w:t>
      </w:r>
      <w:r>
        <w:t xml:space="preserve"> </w:t>
      </w:r>
      <w:r w:rsidR="0071411B">
        <w:t xml:space="preserve">reduction </w:t>
      </w:r>
      <w:r>
        <w:t>in trade restrictions and other forms of assistance to domestic manufacturers in Australia</w:t>
      </w:r>
      <w:r w:rsidR="00B45129">
        <w:t xml:space="preserve"> and New Zealand</w:t>
      </w:r>
      <w:r w:rsidR="00F94E4B">
        <w:t xml:space="preserve"> over time</w:t>
      </w:r>
      <w:r>
        <w:t>.</w:t>
      </w:r>
    </w:p>
    <w:p w14:paraId="782C027A" w14:textId="77777777" w:rsidR="00D87333" w:rsidRDefault="00D87333" w:rsidP="00D87333">
      <w:pPr>
        <w:pStyle w:val="BodyText"/>
      </w:pPr>
      <w:r>
        <w:t xml:space="preserve">Accordingly, </w:t>
      </w:r>
      <w:proofErr w:type="spellStart"/>
      <w:r>
        <w:t>CER</w:t>
      </w:r>
      <w:proofErr w:type="spellEnd"/>
      <w:r>
        <w:t xml:space="preserve"> would be expected to have lifted trans</w:t>
      </w:r>
      <w:r>
        <w:noBreakHyphen/>
        <w:t>Tasman goods trade up to 1990 relative to trade with other countries. However, after 1990 trade policy increasingly encouraged Australian and New Zealand exporters to look to other markets and this would be expected to have resulted in a decrease in the proportion of trans-Tasman trade (other things being equal). Reductions in behind</w:t>
      </w:r>
      <w:r>
        <w:noBreakHyphen/>
        <w:t xml:space="preserve">the-border barriers brought about through </w:t>
      </w:r>
      <w:proofErr w:type="spellStart"/>
      <w:r>
        <w:t>CER</w:t>
      </w:r>
      <w:proofErr w:type="spellEnd"/>
      <w:r>
        <w:t xml:space="preserve"> would be expected to partially offset this influence, although other factors are also prevalent (figures 3.2 and 3.3).</w:t>
      </w:r>
    </w:p>
    <w:p w14:paraId="4B67FBDB" w14:textId="77777777" w:rsidR="00012E3D" w:rsidRDefault="00012E3D">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EE0939">
        <w:rPr>
          <w:b w:val="0"/>
          <w:noProof/>
        </w:rPr>
        <w:t>1</w:t>
      </w:r>
      <w:r>
        <w:rPr>
          <w:b w:val="0"/>
        </w:rPr>
        <w:fldChar w:fldCharType="end"/>
      </w:r>
      <w:r>
        <w:tab/>
      </w:r>
      <w:r w:rsidR="00D95CCB">
        <w:t>Falling e</w:t>
      </w:r>
      <w:r>
        <w:t>ffective rates of assistance to manufacturing</w:t>
      </w:r>
      <w:r w:rsidRPr="00012E3D">
        <w:rPr>
          <w:position w:val="6"/>
          <w:sz w:val="18"/>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12E3D" w14:paraId="7DDAA5D0" w14:textId="77777777" w:rsidTr="00B313CA">
        <w:tc>
          <w:tcPr>
            <w:tcW w:w="8777" w:type="dxa"/>
          </w:tcPr>
          <w:p w14:paraId="6F35CBDC" w14:textId="4C8403D7" w:rsidR="00012E3D" w:rsidRDefault="00805F09">
            <w:pPr>
              <w:pStyle w:val="Figure"/>
            </w:pPr>
            <w:r>
              <w:rPr>
                <w:noProof/>
              </w:rPr>
              <w:pict w14:anchorId="29C8B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3.1: Falling effective rate of assistance to manufacturing. For Australia the effective rate of assistance (ERA) declined from about 35 percent in 1970-71 to about 6 per cent in the late 1990s and has remained fairly constant since then. ERA for NZ follows a broadly similar pattern, although it started at around 40 per cent." style="width:429pt;height:231pt">
                  <v:imagedata r:id="rId10" o:title=""/>
                </v:shape>
              </w:pict>
            </w:r>
          </w:p>
        </w:tc>
      </w:tr>
    </w:tbl>
    <w:p w14:paraId="4818162C" w14:textId="7EBF6686" w:rsidR="00012E3D" w:rsidRPr="00012E3D" w:rsidRDefault="00012E3D">
      <w:pPr>
        <w:pStyle w:val="Note"/>
      </w:pPr>
      <w:proofErr w:type="spellStart"/>
      <w:r>
        <w:rPr>
          <w:rStyle w:val="NoteLabel"/>
        </w:rPr>
        <w:t>a</w:t>
      </w:r>
      <w:proofErr w:type="spellEnd"/>
      <w:r>
        <w:t xml:space="preserve"> </w:t>
      </w:r>
      <w:r w:rsidR="003472A8">
        <w:t xml:space="preserve">The effective rate of assistance is a combined measure of tariff, budgetary and regulatory assistance (including quantitative measures such as quotas), expressed as a proportion of an </w:t>
      </w:r>
      <w:r w:rsidR="003472A8" w:rsidRPr="006B089E">
        <w:t xml:space="preserve">industry’s value added. As quantitative and other forms of assistance have largely been eliminated in New Zealand, the nominal </w:t>
      </w:r>
      <w:r w:rsidR="005E05EA">
        <w:t>‘most favoured nation</w:t>
      </w:r>
      <w:r w:rsidR="00212CFD">
        <w:t>’</w:t>
      </w:r>
      <w:r w:rsidR="005E05EA">
        <w:t xml:space="preserve"> (MFN) </w:t>
      </w:r>
      <w:r w:rsidR="003472A8" w:rsidRPr="006B089E">
        <w:t xml:space="preserve">rate of tariff assistance can be used as a proxy for the effective rate of assistance </w:t>
      </w:r>
      <w:r w:rsidR="00BD4F9A">
        <w:t>—</w:t>
      </w:r>
      <w:r w:rsidR="00BD4F9A" w:rsidRPr="006B089E">
        <w:t xml:space="preserve"> </w:t>
      </w:r>
      <w:r w:rsidR="003472A8" w:rsidRPr="006B089E">
        <w:t xml:space="preserve">although </w:t>
      </w:r>
      <w:r w:rsidR="009D2BA3">
        <w:t>it</w:t>
      </w:r>
      <w:r w:rsidR="009D2BA3" w:rsidRPr="006B089E">
        <w:t xml:space="preserve"> </w:t>
      </w:r>
      <w:r w:rsidR="003472A8" w:rsidRPr="006B089E">
        <w:t>is not a</w:t>
      </w:r>
      <w:r w:rsidR="005E05EA">
        <w:t xml:space="preserve"> perfect</w:t>
      </w:r>
      <w:r w:rsidR="003472A8" w:rsidRPr="006B089E">
        <w:t xml:space="preserve"> substitute.</w:t>
      </w:r>
    </w:p>
    <w:p w14:paraId="5F176854" w14:textId="18324BF7" w:rsidR="00012E3D" w:rsidRDefault="00EC72CF">
      <w:pPr>
        <w:pStyle w:val="Source"/>
      </w:pPr>
      <w:r>
        <w:rPr>
          <w:i/>
        </w:rPr>
        <w:t>S</w:t>
      </w:r>
      <w:r w:rsidR="00012E3D">
        <w:rPr>
          <w:i/>
        </w:rPr>
        <w:t>ource</w:t>
      </w:r>
      <w:r w:rsidR="005E05EA">
        <w:rPr>
          <w:i/>
        </w:rPr>
        <w:t>s</w:t>
      </w:r>
      <w:r w:rsidR="00012E3D" w:rsidRPr="00167F06">
        <w:t xml:space="preserve">: </w:t>
      </w:r>
      <w:r w:rsidR="00FD3402" w:rsidRPr="00FD3402">
        <w:rPr>
          <w:lang w:val="en-NZ"/>
        </w:rPr>
        <w:t>Duncan, Lattimore and Bollard</w:t>
      </w:r>
      <w:r w:rsidR="007F45C1">
        <w:rPr>
          <w:lang w:val="en-NZ"/>
        </w:rPr>
        <w:t> </w:t>
      </w:r>
      <w:r w:rsidR="00FD3402" w:rsidRPr="00FD3402">
        <w:rPr>
          <w:lang w:val="en-NZ"/>
        </w:rPr>
        <w:t>(1991)</w:t>
      </w:r>
      <w:r w:rsidR="00B151A4">
        <w:rPr>
          <w:lang w:val="en-NZ"/>
        </w:rPr>
        <w:t>;</w:t>
      </w:r>
      <w:r w:rsidR="00FD3402" w:rsidRPr="00FD3402">
        <w:rPr>
          <w:lang w:val="en-NZ"/>
        </w:rPr>
        <w:t xml:space="preserve"> MED</w:t>
      </w:r>
      <w:r w:rsidR="007F45C1">
        <w:rPr>
          <w:lang w:val="en-NZ"/>
        </w:rPr>
        <w:t> </w:t>
      </w:r>
      <w:r w:rsidR="00FD3402" w:rsidRPr="00FD3402">
        <w:rPr>
          <w:lang w:val="en-NZ"/>
        </w:rPr>
        <w:t>(2003)</w:t>
      </w:r>
      <w:r w:rsidR="00B151A4">
        <w:rPr>
          <w:lang w:val="en-NZ"/>
        </w:rPr>
        <w:t>;</w:t>
      </w:r>
      <w:r w:rsidR="00FD3402" w:rsidRPr="00FD3402">
        <w:rPr>
          <w:lang w:val="en-NZ"/>
        </w:rPr>
        <w:t xml:space="preserve"> </w:t>
      </w:r>
      <w:proofErr w:type="spellStart"/>
      <w:r w:rsidR="00FD3402" w:rsidRPr="00FD3402">
        <w:rPr>
          <w:lang w:val="en-NZ"/>
        </w:rPr>
        <w:t>NZIER</w:t>
      </w:r>
      <w:proofErr w:type="spellEnd"/>
      <w:r w:rsidR="007F45C1">
        <w:rPr>
          <w:lang w:val="en-NZ"/>
        </w:rPr>
        <w:t> </w:t>
      </w:r>
      <w:r w:rsidR="00FD3402" w:rsidRPr="00FD3402">
        <w:rPr>
          <w:lang w:val="en-NZ"/>
        </w:rPr>
        <w:t>(2010)</w:t>
      </w:r>
      <w:r w:rsidR="00B151A4">
        <w:rPr>
          <w:lang w:val="en-NZ"/>
        </w:rPr>
        <w:t>;</w:t>
      </w:r>
      <w:r w:rsidR="00FD3402" w:rsidRPr="00FD3402">
        <w:rPr>
          <w:lang w:val="en-NZ"/>
        </w:rPr>
        <w:t xml:space="preserve"> OECD</w:t>
      </w:r>
      <w:r w:rsidR="007F45C1">
        <w:rPr>
          <w:lang w:val="en-NZ"/>
        </w:rPr>
        <w:t> </w:t>
      </w:r>
      <w:r w:rsidR="00FD3402" w:rsidRPr="00FD3402">
        <w:rPr>
          <w:lang w:val="en-NZ"/>
        </w:rPr>
        <w:t>(1985,</w:t>
      </w:r>
      <w:r w:rsidR="007F45C1">
        <w:rPr>
          <w:lang w:val="en-NZ"/>
        </w:rPr>
        <w:t> </w:t>
      </w:r>
      <w:r w:rsidR="00FD3402" w:rsidRPr="00FD3402">
        <w:rPr>
          <w:lang w:val="en-NZ"/>
        </w:rPr>
        <w:t>1991)</w:t>
      </w:r>
      <w:r w:rsidR="00B151A4">
        <w:rPr>
          <w:lang w:val="en-NZ"/>
        </w:rPr>
        <w:t xml:space="preserve">; </w:t>
      </w:r>
      <w:r w:rsidR="00012E3D">
        <w:t>PC</w:t>
      </w:r>
      <w:r w:rsidR="009D49DE">
        <w:t> </w:t>
      </w:r>
      <w:r w:rsidR="00012E3D">
        <w:t>(</w:t>
      </w:r>
      <w:proofErr w:type="spellStart"/>
      <w:r w:rsidR="00012E3D">
        <w:t>2012</w:t>
      </w:r>
      <w:r w:rsidR="009D49DE">
        <w:t>a</w:t>
      </w:r>
      <w:proofErr w:type="spellEnd"/>
      <w:r w:rsidR="00012E3D">
        <w:t>).</w:t>
      </w:r>
    </w:p>
    <w:p w14:paraId="200A5042" w14:textId="77777777" w:rsidR="00737DF1" w:rsidRDefault="00737DF1">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EE0939">
        <w:rPr>
          <w:b w:val="0"/>
          <w:noProof/>
        </w:rPr>
        <w:t>2</w:t>
      </w:r>
      <w:r>
        <w:rPr>
          <w:b w:val="0"/>
        </w:rPr>
        <w:fldChar w:fldCharType="end"/>
      </w:r>
      <w:r w:rsidR="00DA5F0B">
        <w:tab/>
      </w:r>
      <w:r w:rsidR="00CF6D20">
        <w:t>Trans-Tasman merchandise trade</w:t>
      </w:r>
      <w:r w:rsidR="00DA5F0B">
        <w:t>, 201</w:t>
      </w:r>
      <w:r w:rsidR="00CF6D20">
        <w:t>0</w:t>
      </w:r>
      <w:r w:rsidR="00DA5F0B">
        <w:t xml:space="preserve"> prices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37DF1" w14:paraId="4618EE72" w14:textId="77777777" w:rsidTr="00FA41A3">
        <w:tc>
          <w:tcPr>
            <w:tcW w:w="8777" w:type="dxa"/>
          </w:tcPr>
          <w:p w14:paraId="46B5C37A" w14:textId="0A60B5C4" w:rsidR="00737DF1" w:rsidRDefault="00805F09">
            <w:pPr>
              <w:pStyle w:val="Figure"/>
            </w:pPr>
            <w:r>
              <w:rPr>
                <w:noProof/>
              </w:rPr>
              <w:pict w14:anchorId="1D9C0EA1">
                <v:shape id="_x0000_i1026" type="#_x0000_t75" alt="Figure 3.2: Trans-Tasman merchandise trade, 2010 prices. Australian exports to New Zealand were a little over A$ 1 billion in 1965. By the start of CER (1983) they had increased to a little over A$ 2 billion per year and since then have increased (unsteadily) to reach A$ 5 billion in 2009. New Zealand exports to Australia were about A$ 0.2 billion in 1965 and have increased to A$ 5 billion in 2009. " style="width:433.5pt;height:237pt">
                  <v:imagedata r:id="rId11" o:title=""/>
                </v:shape>
              </w:pict>
            </w:r>
          </w:p>
        </w:tc>
      </w:tr>
    </w:tbl>
    <w:p w14:paraId="45805E0F" w14:textId="77777777" w:rsidR="00737DF1" w:rsidRPr="00083E90" w:rsidRDefault="00EC72CF">
      <w:pPr>
        <w:pStyle w:val="Source"/>
        <w:rPr>
          <w:rFonts w:cs="Arial"/>
        </w:rPr>
      </w:pPr>
      <w:r w:rsidRPr="00083E90">
        <w:rPr>
          <w:rFonts w:cs="Arial"/>
          <w:i/>
        </w:rPr>
        <w:t>S</w:t>
      </w:r>
      <w:r w:rsidR="00737DF1" w:rsidRPr="00083E90">
        <w:rPr>
          <w:rFonts w:cs="Arial"/>
          <w:i/>
        </w:rPr>
        <w:t>ource</w:t>
      </w:r>
      <w:r w:rsidR="00DA5F0B" w:rsidRPr="00083E90">
        <w:rPr>
          <w:rFonts w:cs="Arial"/>
        </w:rPr>
        <w:t xml:space="preserve">: </w:t>
      </w:r>
      <w:r w:rsidR="00DA5F0B" w:rsidRPr="00083E90">
        <w:rPr>
          <w:rStyle w:val="level31"/>
          <w:rFonts w:cs="Arial"/>
        </w:rPr>
        <w:t xml:space="preserve">UN </w:t>
      </w:r>
      <w:proofErr w:type="spellStart"/>
      <w:r w:rsidR="00DA5F0B" w:rsidRPr="00083E90">
        <w:rPr>
          <w:rStyle w:val="level31"/>
          <w:rFonts w:cs="Arial"/>
        </w:rPr>
        <w:t>Comtrade</w:t>
      </w:r>
      <w:proofErr w:type="spellEnd"/>
      <w:r w:rsidR="00DA5F0B" w:rsidRPr="00083E90">
        <w:rPr>
          <w:rStyle w:val="level31"/>
          <w:rFonts w:cs="Arial"/>
        </w:rPr>
        <w:t xml:space="preserve"> database</w:t>
      </w:r>
      <w:r w:rsidR="00DA5F0B" w:rsidRPr="00083E90">
        <w:rPr>
          <w:rFonts w:cs="Arial"/>
        </w:rPr>
        <w:t xml:space="preserve"> (2012).</w:t>
      </w:r>
    </w:p>
    <w:p w14:paraId="68A54CB3" w14:textId="77777777" w:rsidR="00DA5F0B" w:rsidRDefault="00DA5F0B">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EE0939">
        <w:rPr>
          <w:b w:val="0"/>
          <w:noProof/>
        </w:rPr>
        <w:t>3</w:t>
      </w:r>
      <w:r>
        <w:rPr>
          <w:b w:val="0"/>
        </w:rPr>
        <w:fldChar w:fldCharType="end"/>
      </w:r>
      <w:r>
        <w:tab/>
      </w:r>
      <w:r w:rsidR="00CF6D20">
        <w:t>Trans-Tasman merchandise trade as a share of total trade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A5F0B" w14:paraId="44BEEA67" w14:textId="77777777">
        <w:tc>
          <w:tcPr>
            <w:tcW w:w="8777" w:type="dxa"/>
          </w:tcPr>
          <w:p w14:paraId="287C5468" w14:textId="53272063" w:rsidR="00DA5F0B" w:rsidRDefault="00805F09">
            <w:pPr>
              <w:pStyle w:val="Figure"/>
            </w:pPr>
            <w:r>
              <w:rPr>
                <w:noProof/>
              </w:rPr>
              <w:pict w14:anchorId="3EC17B5F">
                <v:shape id="_x0000_i1027" type="#_x0000_t75" alt="Figure 3.3: Trans-Tasman merchandise trade as a share of total trade. Shows (for 1965 to 2009):&#10;- New Zealand exports to Australia as a percentage of New Zealand's total exports&#10;- New Zealand's imports from Australia as a percentage of New Zealand's total imports&#10;- Australian exports to New Zealand as a percentage of Australia's total exports&#10;- Australia's imports from New Zealand as a percentage of Australia's total imports.&#10;" style="width:436.5pt;height:249pt;mso-position-horizontal:absolute">
                  <v:imagedata r:id="rId12" o:title=""/>
                </v:shape>
              </w:pict>
            </w:r>
          </w:p>
        </w:tc>
      </w:tr>
    </w:tbl>
    <w:p w14:paraId="6B335C57" w14:textId="77777777" w:rsidR="00DA5F0B" w:rsidRPr="00083E90" w:rsidRDefault="00EC72CF">
      <w:pPr>
        <w:pStyle w:val="Source"/>
        <w:rPr>
          <w:rFonts w:cs="Arial"/>
        </w:rPr>
      </w:pPr>
      <w:r w:rsidRPr="00083E90">
        <w:rPr>
          <w:rFonts w:cs="Arial"/>
          <w:i/>
        </w:rPr>
        <w:t>S</w:t>
      </w:r>
      <w:r w:rsidR="00DA5F0B" w:rsidRPr="00083E90">
        <w:rPr>
          <w:rFonts w:cs="Arial"/>
          <w:i/>
        </w:rPr>
        <w:t>ource</w:t>
      </w:r>
      <w:r w:rsidR="00DA5F0B" w:rsidRPr="00083E90">
        <w:rPr>
          <w:rFonts w:cs="Arial"/>
        </w:rPr>
        <w:t xml:space="preserve">: </w:t>
      </w:r>
      <w:r w:rsidR="00DA5F0B" w:rsidRPr="00083E90">
        <w:rPr>
          <w:rStyle w:val="level31"/>
          <w:rFonts w:cs="Arial"/>
        </w:rPr>
        <w:t xml:space="preserve">UN </w:t>
      </w:r>
      <w:proofErr w:type="spellStart"/>
      <w:r w:rsidR="00DA5F0B" w:rsidRPr="00083E90">
        <w:rPr>
          <w:rStyle w:val="level31"/>
          <w:rFonts w:cs="Arial"/>
        </w:rPr>
        <w:t>Comtrade</w:t>
      </w:r>
      <w:proofErr w:type="spellEnd"/>
      <w:r w:rsidR="00DA5F0B" w:rsidRPr="00083E90">
        <w:rPr>
          <w:rStyle w:val="level31"/>
          <w:rFonts w:cs="Arial"/>
        </w:rPr>
        <w:t xml:space="preserve"> database</w:t>
      </w:r>
      <w:r w:rsidR="00DA5F0B" w:rsidRPr="00083E90">
        <w:rPr>
          <w:rFonts w:cs="Arial"/>
        </w:rPr>
        <w:t xml:space="preserve"> (2012).</w:t>
      </w:r>
    </w:p>
    <w:p w14:paraId="2C6A572A" w14:textId="2BC0CD90" w:rsidR="000322C1" w:rsidRDefault="00D95CCB" w:rsidP="00FC6466">
      <w:pPr>
        <w:pStyle w:val="BodyText"/>
      </w:pPr>
      <w:r>
        <w:t xml:space="preserve">Trends in </w:t>
      </w:r>
      <w:r w:rsidR="00FC6466">
        <w:t xml:space="preserve">New Zealand’s exports to Australia are reasonably consistent with </w:t>
      </w:r>
      <w:r w:rsidR="000322C1">
        <w:t>the</w:t>
      </w:r>
      <w:r w:rsidR="009D2BA3">
        <w:t>se</w:t>
      </w:r>
      <w:r w:rsidR="000322C1">
        <w:t xml:space="preserve"> expectations. The share of New Zealand’s exports destined for Australia increased from 13 </w:t>
      </w:r>
      <w:proofErr w:type="spellStart"/>
      <w:r w:rsidR="000469FA">
        <w:t>percent</w:t>
      </w:r>
      <w:proofErr w:type="spellEnd"/>
      <w:r w:rsidR="000322C1">
        <w:t xml:space="preserve"> immediately before </w:t>
      </w:r>
      <w:proofErr w:type="spellStart"/>
      <w:r w:rsidR="000322C1">
        <w:t>CER</w:t>
      </w:r>
      <w:proofErr w:type="spellEnd"/>
      <w:r w:rsidR="000322C1">
        <w:t xml:space="preserve"> to 22 </w:t>
      </w:r>
      <w:proofErr w:type="spellStart"/>
      <w:r w:rsidR="000469FA">
        <w:t>percent</w:t>
      </w:r>
      <w:proofErr w:type="spellEnd"/>
      <w:r w:rsidR="000322C1">
        <w:t xml:space="preserve"> in 1991</w:t>
      </w:r>
      <w:r w:rsidR="00A10223">
        <w:t xml:space="preserve"> (although the </w:t>
      </w:r>
      <w:r w:rsidR="00A10223">
        <w:lastRenderedPageBreak/>
        <w:t xml:space="preserve">upward trend pre-dates </w:t>
      </w:r>
      <w:proofErr w:type="spellStart"/>
      <w:r w:rsidR="00A10223">
        <w:t>CER</w:t>
      </w:r>
      <w:proofErr w:type="spellEnd"/>
      <w:r w:rsidR="00A10223">
        <w:t>)</w:t>
      </w:r>
      <w:r w:rsidR="000322C1">
        <w:t xml:space="preserve">. Thereafter this share </w:t>
      </w:r>
      <w:r w:rsidR="00EC72CF">
        <w:t xml:space="preserve">remained fairly </w:t>
      </w:r>
      <w:r w:rsidR="00C03A3D">
        <w:t>flat</w:t>
      </w:r>
      <w:r w:rsidR="000322C1">
        <w:t xml:space="preserve"> (figure 3.3). </w:t>
      </w:r>
      <w:r w:rsidR="005D51E6">
        <w:t>Australia has become New Zealand’s largest trading partner</w:t>
      </w:r>
      <w:r w:rsidR="009D2BA3" w:rsidRPr="009D2BA3">
        <w:t xml:space="preserve"> </w:t>
      </w:r>
      <w:r w:rsidR="009D2BA3">
        <w:t>based on the value of imports and exports</w:t>
      </w:r>
      <w:r w:rsidR="005D51E6">
        <w:t>.</w:t>
      </w:r>
    </w:p>
    <w:p w14:paraId="069EACC5" w14:textId="5C990A23" w:rsidR="000322C1" w:rsidRDefault="009D2BA3" w:rsidP="00FC6466">
      <w:pPr>
        <w:pStyle w:val="BodyText"/>
      </w:pPr>
      <w:r>
        <w:t xml:space="preserve">By </w:t>
      </w:r>
      <w:r w:rsidR="000322C1">
        <w:t xml:space="preserve">contrast, the share of Australia’s exports destined for New Zealand </w:t>
      </w:r>
      <w:r w:rsidR="00D95CCB">
        <w:t>remained</w:t>
      </w:r>
      <w:r w:rsidR="006B198F">
        <w:t xml:space="preserve"> between 5 and 6 </w:t>
      </w:r>
      <w:proofErr w:type="spellStart"/>
      <w:r w:rsidR="000469FA">
        <w:t>percent</w:t>
      </w:r>
      <w:proofErr w:type="spellEnd"/>
      <w:r w:rsidR="006B198F">
        <w:t xml:space="preserve"> through</w:t>
      </w:r>
      <w:r w:rsidR="00587EAB">
        <w:t>out</w:t>
      </w:r>
      <w:r w:rsidR="006B198F">
        <w:t xml:space="preserve"> most of the </w:t>
      </w:r>
      <w:r w:rsidR="00587EAB">
        <w:t>p</w:t>
      </w:r>
      <w:r w:rsidR="006B198F">
        <w:t>ast 30 years</w:t>
      </w:r>
      <w:r w:rsidR="00CF6D20">
        <w:t xml:space="preserve"> (figure</w:t>
      </w:r>
      <w:r w:rsidR="007F45C1">
        <w:t> </w:t>
      </w:r>
      <w:r w:rsidR="00CF6D20">
        <w:t>3.3</w:t>
      </w:r>
      <w:r w:rsidR="006B198F">
        <w:t>)</w:t>
      </w:r>
      <w:r w:rsidR="004D5B78">
        <w:t>. This has</w:t>
      </w:r>
      <w:r>
        <w:t xml:space="preserve"> declin</w:t>
      </w:r>
      <w:r w:rsidR="004D5B78">
        <w:t>ed</w:t>
      </w:r>
      <w:r w:rsidR="00D91B8C" w:rsidRPr="00D91B8C">
        <w:t xml:space="preserve"> to around 3 </w:t>
      </w:r>
      <w:proofErr w:type="spellStart"/>
      <w:r w:rsidR="000469FA">
        <w:t>percent</w:t>
      </w:r>
      <w:proofErr w:type="spellEnd"/>
      <w:r w:rsidR="00D91B8C" w:rsidRPr="00D91B8C">
        <w:t xml:space="preserve"> </w:t>
      </w:r>
      <w:r w:rsidR="00D91B8C">
        <w:t xml:space="preserve">over the </w:t>
      </w:r>
      <w:r w:rsidR="00587EAB">
        <w:t>p</w:t>
      </w:r>
      <w:r w:rsidR="00D91B8C">
        <w:t>ast few years, d</w:t>
      </w:r>
      <w:r w:rsidR="006B198F">
        <w:t xml:space="preserve">espite the value of Australia’s exports to New Zealand being at historically high levels. This is </w:t>
      </w:r>
      <w:r w:rsidR="00A10223">
        <w:t>largely due to</w:t>
      </w:r>
      <w:r w:rsidR="006B198F">
        <w:t xml:space="preserve"> </w:t>
      </w:r>
      <w:r w:rsidR="00551045">
        <w:t xml:space="preserve">the </w:t>
      </w:r>
      <w:r w:rsidR="006B198F">
        <w:t xml:space="preserve">rising </w:t>
      </w:r>
      <w:r w:rsidR="00551045">
        <w:t xml:space="preserve">share of </w:t>
      </w:r>
      <w:r w:rsidR="006B198F">
        <w:t xml:space="preserve">mineral </w:t>
      </w:r>
      <w:r w:rsidR="00551045">
        <w:t xml:space="preserve">and energy </w:t>
      </w:r>
      <w:r w:rsidR="006B198F">
        <w:t>exports to Asia.</w:t>
      </w:r>
      <w:r w:rsidR="005D51E6">
        <w:t xml:space="preserve"> New Zealand is now Australia’s </w:t>
      </w:r>
      <w:r w:rsidR="006364CD">
        <w:t>seventh</w:t>
      </w:r>
      <w:r w:rsidR="005D51E6">
        <w:t xml:space="preserve"> largest trading partner.</w:t>
      </w:r>
    </w:p>
    <w:p w14:paraId="1056B220" w14:textId="5CFE18ED" w:rsidR="000C59E5" w:rsidRDefault="000C59E5" w:rsidP="00922A0B">
      <w:pPr>
        <w:pStyle w:val="BodyText"/>
      </w:pPr>
      <w:r>
        <w:t xml:space="preserve">New Zealand exports </w:t>
      </w:r>
      <w:r w:rsidR="00071949">
        <w:t xml:space="preserve">mainly manufactured goods to </w:t>
      </w:r>
      <w:r>
        <w:t>Australia</w:t>
      </w:r>
      <w:r w:rsidR="00071949">
        <w:t xml:space="preserve">, including </w:t>
      </w:r>
      <w:r w:rsidR="004D28C3">
        <w:t>processed</w:t>
      </w:r>
      <w:r w:rsidR="00DD1262">
        <w:t xml:space="preserve"> food</w:t>
      </w:r>
      <w:r w:rsidR="00071949">
        <w:t xml:space="preserve">. Other exports include </w:t>
      </w:r>
      <w:r>
        <w:t>light crude oil</w:t>
      </w:r>
      <w:r w:rsidR="00B51F36">
        <w:t xml:space="preserve"> </w:t>
      </w:r>
      <w:r w:rsidR="00071949">
        <w:t xml:space="preserve">and </w:t>
      </w:r>
      <w:r>
        <w:t>gold</w:t>
      </w:r>
      <w:r w:rsidR="00071949">
        <w:t xml:space="preserve">. </w:t>
      </w:r>
      <w:r w:rsidR="004D28C3">
        <w:t xml:space="preserve">Australia is New Zealand’s most diversified export market. </w:t>
      </w:r>
      <w:r w:rsidR="00071949">
        <w:t xml:space="preserve">Australia’s exports to New Zealand </w:t>
      </w:r>
      <w:r w:rsidR="00B51F36">
        <w:t xml:space="preserve">are </w:t>
      </w:r>
      <w:r w:rsidR="00551045">
        <w:t xml:space="preserve">also </w:t>
      </w:r>
      <w:r w:rsidR="00B51F36">
        <w:t xml:space="preserve">dominated by manufactured goods, including computer parts, medicaments, passenger motor vehicles and </w:t>
      </w:r>
      <w:r w:rsidR="00421A46">
        <w:t>processed</w:t>
      </w:r>
      <w:r w:rsidR="00DD1262">
        <w:t xml:space="preserve"> </w:t>
      </w:r>
      <w:r w:rsidR="00B05384">
        <w:t>food</w:t>
      </w:r>
      <w:r w:rsidR="00B51F36">
        <w:t xml:space="preserve"> (</w:t>
      </w:r>
      <w:proofErr w:type="spellStart"/>
      <w:r w:rsidR="00B51F36">
        <w:t>DFAT</w:t>
      </w:r>
      <w:proofErr w:type="spellEnd"/>
      <w:r w:rsidR="00B51F36">
        <w:t xml:space="preserve"> 2012; </w:t>
      </w:r>
      <w:r w:rsidR="00B51F36" w:rsidRPr="00B51F36">
        <w:t xml:space="preserve">UN </w:t>
      </w:r>
      <w:proofErr w:type="spellStart"/>
      <w:r w:rsidR="00B51F36" w:rsidRPr="00B51F36">
        <w:t>Comtrade</w:t>
      </w:r>
      <w:proofErr w:type="spellEnd"/>
      <w:r w:rsidR="00B51F36" w:rsidRPr="00B51F36">
        <w:t xml:space="preserve"> database 2012)</w:t>
      </w:r>
      <w:r w:rsidR="00B51F36">
        <w:t>.</w:t>
      </w:r>
      <w:r w:rsidR="008D2F78">
        <w:t xml:space="preserve"> </w:t>
      </w:r>
      <w:r w:rsidR="00A12608">
        <w:t>Evidence</w:t>
      </w:r>
      <w:r w:rsidR="00DD1262">
        <w:t xml:space="preserve"> </w:t>
      </w:r>
      <w:r w:rsidR="00B51F36">
        <w:t xml:space="preserve">suggests that </w:t>
      </w:r>
      <w:r w:rsidR="00551045">
        <w:t xml:space="preserve">trade in processed </w:t>
      </w:r>
      <w:r w:rsidR="00DD1262" w:rsidRPr="00DD1262">
        <w:t xml:space="preserve">food </w:t>
      </w:r>
      <w:r w:rsidR="00D95CCB">
        <w:t xml:space="preserve">in particular </w:t>
      </w:r>
      <w:r w:rsidR="00DD1262">
        <w:t xml:space="preserve">has been boosted by </w:t>
      </w:r>
      <w:proofErr w:type="spellStart"/>
      <w:r w:rsidR="00DD1262">
        <w:t>CER</w:t>
      </w:r>
      <w:proofErr w:type="spellEnd"/>
      <w:r w:rsidR="00DD1262">
        <w:t xml:space="preserve"> initiatives (box </w:t>
      </w:r>
      <w:r w:rsidR="00D41A7C">
        <w:t>3.</w:t>
      </w:r>
      <w:r w:rsidR="00984FC7">
        <w:t>7</w:t>
      </w:r>
      <w:r w:rsidR="00DD1262">
        <w:t>).</w:t>
      </w:r>
    </w:p>
    <w:p w14:paraId="5E171C61" w14:textId="1F124C0F" w:rsidR="002C5D8A" w:rsidRDefault="002C5D8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C5D8A" w14:paraId="59A25722" w14:textId="77777777" w:rsidTr="002C5D8A">
        <w:tc>
          <w:tcPr>
            <w:tcW w:w="8771" w:type="dxa"/>
            <w:tcBorders>
              <w:top w:val="nil"/>
              <w:left w:val="nil"/>
              <w:bottom w:val="nil"/>
              <w:right w:val="nil"/>
            </w:tcBorders>
            <w:shd w:val="clear" w:color="auto" w:fill="D9EAF0"/>
          </w:tcPr>
          <w:p w14:paraId="37A8967F" w14:textId="7817731C" w:rsidR="002C5D8A" w:rsidRDefault="002C5D8A" w:rsidP="002C5D8A">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7</w:t>
            </w:r>
            <w:r>
              <w:rPr>
                <w:b w:val="0"/>
              </w:rPr>
              <w:fldChar w:fldCharType="end"/>
            </w:r>
            <w:r>
              <w:tab/>
            </w:r>
            <w:r w:rsidRPr="00DD1262">
              <w:t xml:space="preserve">Trans-Tasman trade in </w:t>
            </w:r>
            <w:r>
              <w:t>processed</w:t>
            </w:r>
            <w:r w:rsidRPr="00DD1262">
              <w:t xml:space="preserve"> food</w:t>
            </w:r>
            <w:r>
              <w:t xml:space="preserve"> has increased</w:t>
            </w:r>
          </w:p>
        </w:tc>
      </w:tr>
      <w:tr w:rsidR="002C5D8A" w14:paraId="403EAB11" w14:textId="77777777" w:rsidTr="002C5D8A">
        <w:trPr>
          <w:cantSplit/>
        </w:trPr>
        <w:tc>
          <w:tcPr>
            <w:tcW w:w="8771" w:type="dxa"/>
            <w:tcBorders>
              <w:top w:val="nil"/>
              <w:left w:val="nil"/>
              <w:bottom w:val="nil"/>
              <w:right w:val="nil"/>
            </w:tcBorders>
            <w:shd w:val="clear" w:color="auto" w:fill="D9EAF0"/>
          </w:tcPr>
          <w:p w14:paraId="2BF8179C" w14:textId="77777777" w:rsidR="002C5D8A" w:rsidRDefault="002C5D8A" w:rsidP="002C5D8A">
            <w:pPr>
              <w:pStyle w:val="Box"/>
            </w:pPr>
            <w:r w:rsidRPr="0059664F">
              <w:t xml:space="preserve">Trade in </w:t>
            </w:r>
            <w:r>
              <w:t>processed</w:t>
            </w:r>
            <w:r w:rsidRPr="0059664F">
              <w:t xml:space="preserve"> food products between Australia and New Zealand has grown substantially over the last three decades. </w:t>
            </w:r>
            <w:r>
              <w:t>Integration in this sector has progressed to the extent that ‘</w:t>
            </w:r>
            <w:r w:rsidRPr="004C0959">
              <w:t>the trans-Tasman market for food has become almost an extension of the domestic market of both countries</w:t>
            </w:r>
            <w:r>
              <w:t>’ (</w:t>
            </w:r>
            <w:proofErr w:type="spellStart"/>
            <w:r>
              <w:t>MAF</w:t>
            </w:r>
            <w:proofErr w:type="spellEnd"/>
            <w:r>
              <w:t> 2011, p. 21).</w:t>
            </w:r>
            <w:r w:rsidRPr="004C0959">
              <w:t xml:space="preserve"> </w:t>
            </w:r>
            <w:r w:rsidRPr="0059664F">
              <w:t xml:space="preserve">New Zealand exports to Australia include wine, dairy products, other processed </w:t>
            </w:r>
            <w:r>
              <w:t>food</w:t>
            </w:r>
            <w:r w:rsidRPr="0059664F">
              <w:t xml:space="preserve"> (</w:t>
            </w:r>
            <w:r>
              <w:t xml:space="preserve">including </w:t>
            </w:r>
            <w:r w:rsidRPr="0059664F">
              <w:t>baked goods and confectionary) and seafood. Australia</w:t>
            </w:r>
            <w:r>
              <w:t>n exports</w:t>
            </w:r>
            <w:r w:rsidRPr="0059664F">
              <w:t xml:space="preserve"> to New Zealand include oils and fats</w:t>
            </w:r>
            <w:r>
              <w:t>,</w:t>
            </w:r>
            <w:r w:rsidRPr="0059664F">
              <w:t xml:space="preserve"> and cereals.</w:t>
            </w:r>
            <w:r>
              <w:t xml:space="preserve"> As shown in the figure below, the proportion of each country’s food product exports to the other has steadily increased since </w:t>
            </w:r>
            <w:proofErr w:type="spellStart"/>
            <w:r>
              <w:t>CER</w:t>
            </w:r>
            <w:proofErr w:type="spellEnd"/>
            <w:r>
              <w:t xml:space="preserve"> commenced.</w:t>
            </w:r>
          </w:p>
          <w:p w14:paraId="67AE80C1" w14:textId="77777777" w:rsidR="002C5D8A" w:rsidRDefault="002C5D8A" w:rsidP="002C5D8A">
            <w:pPr>
              <w:pStyle w:val="Box"/>
            </w:pPr>
            <w:proofErr w:type="spellStart"/>
            <w:r>
              <w:t>CER</w:t>
            </w:r>
            <w:proofErr w:type="spellEnd"/>
            <w:r>
              <w:t xml:space="preserve"> initiatives removed barriers to trans</w:t>
            </w:r>
            <w:r>
              <w:noBreakHyphen/>
              <w:t xml:space="preserve">Tasman trade in processed food in two main ways. First, bilateral trade restrictions on many </w:t>
            </w:r>
            <w:r w:rsidRPr="0059664F">
              <w:t xml:space="preserve">food products were lowered, and eventually </w:t>
            </w:r>
            <w:r>
              <w:t>removed</w:t>
            </w:r>
            <w:r w:rsidRPr="0059664F">
              <w:t>. For instance, the tariff on wine valued above $2</w:t>
            </w:r>
            <w:r>
              <w:t> per litre</w:t>
            </w:r>
            <w:r w:rsidRPr="0059664F">
              <w:t xml:space="preserve"> was reduced from </w:t>
            </w:r>
            <w:proofErr w:type="spellStart"/>
            <w:r>
              <w:t>A$0.</w:t>
            </w:r>
            <w:r w:rsidRPr="0059664F">
              <w:t>65</w:t>
            </w:r>
            <w:proofErr w:type="spellEnd"/>
            <w:r w:rsidRPr="0059664F">
              <w:t xml:space="preserve"> per litre in Australia and </w:t>
            </w:r>
            <w:proofErr w:type="spellStart"/>
            <w:r>
              <w:t>NZ$0.</w:t>
            </w:r>
            <w:r w:rsidRPr="0059664F">
              <w:t>85</w:t>
            </w:r>
            <w:proofErr w:type="spellEnd"/>
            <w:r w:rsidRPr="0059664F">
              <w:t xml:space="preserve"> per litre in New Zealand in 1985 to zero in 1990. Similarly, tariffs on preserved milk and butter in Australia were reduced to zero from </w:t>
            </w:r>
            <w:proofErr w:type="spellStart"/>
            <w:r>
              <w:t>A</w:t>
            </w:r>
            <w:r w:rsidRPr="0059664F">
              <w:t>$0.05</w:t>
            </w:r>
            <w:proofErr w:type="spellEnd"/>
            <w:r>
              <w:t xml:space="preserve"> per kilogram</w:t>
            </w:r>
            <w:r w:rsidRPr="0059664F">
              <w:t xml:space="preserve"> and </w:t>
            </w:r>
            <w:proofErr w:type="spellStart"/>
            <w:r>
              <w:t>A</w:t>
            </w:r>
            <w:r w:rsidRPr="0059664F">
              <w:t>$0.10</w:t>
            </w:r>
            <w:proofErr w:type="spellEnd"/>
            <w:r>
              <w:t> per kilogram</w:t>
            </w:r>
            <w:r w:rsidRPr="0059664F">
              <w:t xml:space="preserve"> respectively</w:t>
            </w:r>
            <w:r>
              <w:t xml:space="preserve"> (Commonwealth of Australia 1983;</w:t>
            </w:r>
            <w:r w:rsidRPr="003C622C">
              <w:rPr>
                <w:i/>
              </w:rPr>
              <w:t xml:space="preserve"> Customs Tariff Act 1982 (</w:t>
            </w:r>
            <w:proofErr w:type="spellStart"/>
            <w:r w:rsidRPr="003C622C">
              <w:rPr>
                <w:i/>
              </w:rPr>
              <w:t>Cwlth</w:t>
            </w:r>
            <w:proofErr w:type="spellEnd"/>
            <w:r w:rsidRPr="003C622C">
              <w:rPr>
                <w:i/>
              </w:rPr>
              <w:t>)</w:t>
            </w:r>
            <w:r>
              <w:t xml:space="preserve">; </w:t>
            </w:r>
            <w:proofErr w:type="spellStart"/>
            <w:r>
              <w:t>BIE</w:t>
            </w:r>
            <w:proofErr w:type="spellEnd"/>
            <w:r>
              <w:t> 1995)</w:t>
            </w:r>
            <w:r w:rsidRPr="0059664F">
              <w:t>.</w:t>
            </w:r>
          </w:p>
          <w:p w14:paraId="2C8E5816" w14:textId="77777777" w:rsidR="002C5D8A" w:rsidRDefault="002C5D8A" w:rsidP="002C5D8A">
            <w:pPr>
              <w:pStyle w:val="Box"/>
            </w:pPr>
            <w:r>
              <w:t>Fonterra stated:</w:t>
            </w:r>
          </w:p>
          <w:p w14:paraId="43F59AC1" w14:textId="49C60134" w:rsidR="002C5D8A" w:rsidRDefault="002C5D8A" w:rsidP="002C5D8A">
            <w:pPr>
              <w:pStyle w:val="BoxQuote"/>
            </w:pPr>
            <w:r w:rsidRPr="00C56E40">
              <w:t xml:space="preserve">Since the establishment of the Australia-New Zealand Closer Economic Relations Trade Agreement in 1983, the trans-Tasman dairy market has been open to trade from both countries. Fonterra and its predecessors have built up a substantial business in Australia under this framework. </w:t>
            </w:r>
            <w:r>
              <w:t>(sub. 14, p. 2)</w:t>
            </w:r>
          </w:p>
        </w:tc>
      </w:tr>
      <w:tr w:rsidR="002C5D8A" w14:paraId="009EFA43" w14:textId="77777777" w:rsidTr="002C5D8A">
        <w:trPr>
          <w:cantSplit/>
        </w:trPr>
        <w:tc>
          <w:tcPr>
            <w:tcW w:w="8771" w:type="dxa"/>
            <w:tcBorders>
              <w:top w:val="nil"/>
              <w:left w:val="nil"/>
              <w:bottom w:val="nil"/>
              <w:right w:val="nil"/>
            </w:tcBorders>
            <w:shd w:val="clear" w:color="auto" w:fill="D9EAF0"/>
          </w:tcPr>
          <w:p w14:paraId="3F35738F" w14:textId="7A575EE9" w:rsidR="002C5D8A" w:rsidRDefault="002C5D8A" w:rsidP="002C5D8A">
            <w:pPr>
              <w:pStyle w:val="BoxSource"/>
              <w:jc w:val="right"/>
            </w:pPr>
            <w:r>
              <w:rPr>
                <w:szCs w:val="18"/>
              </w:rPr>
              <w:t>(continued next page)</w:t>
            </w:r>
          </w:p>
        </w:tc>
      </w:tr>
      <w:tr w:rsidR="002C5D8A" w14:paraId="33FAF570" w14:textId="77777777" w:rsidTr="002C5D8A">
        <w:trPr>
          <w:cantSplit/>
        </w:trPr>
        <w:tc>
          <w:tcPr>
            <w:tcW w:w="8771" w:type="dxa"/>
            <w:tcBorders>
              <w:top w:val="nil"/>
              <w:left w:val="nil"/>
              <w:bottom w:val="nil"/>
              <w:right w:val="nil"/>
            </w:tcBorders>
            <w:shd w:val="clear" w:color="auto" w:fill="D9EAF0"/>
          </w:tcPr>
          <w:p w14:paraId="6DF3907D" w14:textId="77777777" w:rsidR="002C5D8A" w:rsidRDefault="002C5D8A">
            <w:pPr>
              <w:pStyle w:val="Box"/>
              <w:spacing w:before="0" w:line="120" w:lineRule="exact"/>
            </w:pPr>
          </w:p>
        </w:tc>
      </w:tr>
      <w:tr w:rsidR="002C5D8A" w:rsidRPr="00854173" w14:paraId="38F3F0B9" w14:textId="77777777" w:rsidTr="002C5D8A">
        <w:tc>
          <w:tcPr>
            <w:tcW w:w="8771" w:type="dxa"/>
            <w:tcBorders>
              <w:top w:val="nil"/>
              <w:left w:val="nil"/>
              <w:bottom w:val="nil"/>
              <w:right w:val="nil"/>
            </w:tcBorders>
          </w:tcPr>
          <w:p w14:paraId="3DA68974" w14:textId="77777777" w:rsidR="002C5D8A" w:rsidRPr="00854173" w:rsidRDefault="002C5D8A">
            <w:pPr>
              <w:pStyle w:val="Box"/>
              <w:keepNext w:val="0"/>
              <w:spacing w:before="60" w:after="60" w:line="80" w:lineRule="exact"/>
              <w:rPr>
                <w:b/>
                <w:color w:val="auto"/>
                <w:sz w:val="14"/>
              </w:rPr>
            </w:pPr>
          </w:p>
        </w:tc>
      </w:tr>
    </w:tbl>
    <w:p w14:paraId="68FC1DB6" w14:textId="77777777" w:rsidR="00936C78" w:rsidRDefault="00936C78">
      <w:pPr>
        <w:pStyle w:val="BoxSpace"/>
      </w:pPr>
    </w:p>
    <w:tbl>
      <w:tblPr>
        <w:tblW w:w="883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36"/>
        <w:gridCol w:w="8365"/>
        <w:gridCol w:w="236"/>
      </w:tblGrid>
      <w:tr w:rsidR="00936C78" w14:paraId="20C024E9" w14:textId="77777777" w:rsidTr="00823303">
        <w:tc>
          <w:tcPr>
            <w:tcW w:w="8837" w:type="dxa"/>
            <w:gridSpan w:val="3"/>
            <w:tcBorders>
              <w:top w:val="nil"/>
              <w:left w:val="nil"/>
              <w:bottom w:val="nil"/>
              <w:right w:val="nil"/>
            </w:tcBorders>
            <w:shd w:val="clear" w:color="auto" w:fill="D9EAF0"/>
          </w:tcPr>
          <w:p w14:paraId="2B0CAFC7" w14:textId="1288257B" w:rsidR="00936C78" w:rsidRDefault="00936C78" w:rsidP="00A01A13">
            <w:pPr>
              <w:pStyle w:val="BoxTitle"/>
            </w:pPr>
            <w:r>
              <w:rPr>
                <w:b w:val="0"/>
              </w:rPr>
              <w:t xml:space="preserve">Box </w:t>
            </w:r>
            <w:r w:rsidR="00A01A13">
              <w:rPr>
                <w:b w:val="0"/>
              </w:rPr>
              <w:t>3.7</w:t>
            </w:r>
            <w:r>
              <w:tab/>
            </w:r>
            <w:r w:rsidR="00A01A13" w:rsidRPr="00936C78">
              <w:rPr>
                <w:b w:val="0"/>
                <w:sz w:val="18"/>
                <w:szCs w:val="18"/>
              </w:rPr>
              <w:t>(continued)</w:t>
            </w:r>
          </w:p>
        </w:tc>
      </w:tr>
      <w:tr w:rsidR="00936C78" w14:paraId="7E09DB6F" w14:textId="77777777" w:rsidTr="00823303">
        <w:tblPrEx>
          <w:tblCellMar>
            <w:left w:w="108" w:type="dxa"/>
            <w:right w:w="108" w:type="dxa"/>
          </w:tblCellMar>
        </w:tblPrEx>
        <w:trPr>
          <w:cantSplit/>
        </w:trPr>
        <w:tc>
          <w:tcPr>
            <w:tcW w:w="8837" w:type="dxa"/>
            <w:gridSpan w:val="3"/>
            <w:tcBorders>
              <w:top w:val="nil"/>
              <w:left w:val="nil"/>
              <w:bottom w:val="nil"/>
              <w:right w:val="nil"/>
            </w:tcBorders>
            <w:shd w:val="clear" w:color="auto" w:fill="D9EAF0"/>
          </w:tcPr>
          <w:p w14:paraId="6225D7F1" w14:textId="77777777" w:rsidR="002859CF" w:rsidRDefault="002859CF" w:rsidP="002859CF">
            <w:pPr>
              <w:pStyle w:val="Box"/>
            </w:pPr>
            <w:r>
              <w:t>Second, regulations concerning food standards have been progressively harmonised since 1995 under the Food Treaty (box 3.3). A major milestone was the introduction of a joint food standards code in 2002, which likely contributed to the sharp increase in trade that occurred about this time</w:t>
            </w:r>
            <w:r w:rsidRPr="007861F9">
              <w:t>. Th</w:t>
            </w:r>
            <w:r>
              <w:t xml:space="preserve">e Food Treaty </w:t>
            </w:r>
            <w:r w:rsidRPr="007861F9">
              <w:t>was complemented by the Trans</w:t>
            </w:r>
            <w:r>
              <w:noBreakHyphen/>
            </w:r>
            <w:r w:rsidRPr="007861F9">
              <w:t>Tasman Mutual Recognition Arrangement which came into effect in 1998, removing regulatory barriers to the sale of goods between Australia and New Zealand.</w:t>
            </w:r>
          </w:p>
          <w:p w14:paraId="60DA1071" w14:textId="77777777" w:rsidR="002859CF" w:rsidRDefault="002859CF" w:rsidP="002859CF">
            <w:pPr>
              <w:pStyle w:val="Box"/>
            </w:pPr>
            <w:r>
              <w:t xml:space="preserve">The </w:t>
            </w:r>
            <w:r w:rsidRPr="007861F9">
              <w:t>Australian Food and Grocery Council</w:t>
            </w:r>
            <w:r>
              <w:t xml:space="preserve"> reports that u</w:t>
            </w:r>
            <w:r w:rsidRPr="007861F9">
              <w:t>nder th</w:t>
            </w:r>
            <w:r>
              <w:t>is regime:</w:t>
            </w:r>
          </w:p>
          <w:p w14:paraId="28B59B5D" w14:textId="77777777" w:rsidR="002859CF" w:rsidRDefault="002859CF" w:rsidP="002859CF">
            <w:pPr>
              <w:pStyle w:val="BoxQuote"/>
            </w:pPr>
            <w:r>
              <w:t xml:space="preserve">… </w:t>
            </w:r>
            <w:r w:rsidRPr="007861F9">
              <w:t>for the most part, food regulation in the two countries is uniform, and in those few areas of non-uniformity, there is no trade barrier that prevents the compliant good of one country from being sold in the other</w:t>
            </w:r>
            <w:r>
              <w:t>. (sub. 22, p. 8)</w:t>
            </w:r>
          </w:p>
          <w:p w14:paraId="1B799249" w14:textId="77777777" w:rsidR="002859CF" w:rsidRDefault="002859CF" w:rsidP="002859CF">
            <w:pPr>
              <w:pStyle w:val="Box"/>
            </w:pPr>
            <w:r>
              <w:t xml:space="preserve">In addition to </w:t>
            </w:r>
            <w:proofErr w:type="spellStart"/>
            <w:r>
              <w:t>CER</w:t>
            </w:r>
            <w:proofErr w:type="spellEnd"/>
            <w:r>
              <w:t>, other market and policy developments have contributed to increased integration of food products markets. These include:</w:t>
            </w:r>
          </w:p>
          <w:p w14:paraId="21EDAEBF" w14:textId="70A0941D" w:rsidR="002859CF" w:rsidRDefault="002859CF" w:rsidP="002859CF">
            <w:pPr>
              <w:pStyle w:val="BoxListBullet"/>
            </w:pPr>
            <w:r w:rsidRPr="00B45129">
              <w:t>the merger of the New Zealand Dairy Board</w:t>
            </w:r>
            <w:r>
              <w:t xml:space="preserve"> </w:t>
            </w:r>
            <w:r w:rsidRPr="00B45129">
              <w:t>with two cooperative dairy companies, to form a single cooperative entity (Fonterra)</w:t>
            </w:r>
            <w:r w:rsidRPr="00C56E40">
              <w:t xml:space="preserve"> </w:t>
            </w:r>
            <w:r>
              <w:t xml:space="preserve">(this </w:t>
            </w:r>
            <w:r w:rsidRPr="00C24821">
              <w:t>provided Fonterra with the scale and capability to make acquisitions, particularly in Australia</w:t>
            </w:r>
            <w:r>
              <w:t>)</w:t>
            </w:r>
          </w:p>
          <w:p w14:paraId="3655A004" w14:textId="77777777" w:rsidR="002859CF" w:rsidRDefault="002859CF" w:rsidP="002859CF">
            <w:pPr>
              <w:pStyle w:val="BoxListBullet"/>
            </w:pPr>
            <w:r w:rsidRPr="00C56E40">
              <w:t>Progressive Enterprises acqui</w:t>
            </w:r>
            <w:r>
              <w:t>ring</w:t>
            </w:r>
            <w:r w:rsidRPr="00C56E40">
              <w:t xml:space="preserve"> Woolworths NZ in 2002</w:t>
            </w:r>
            <w:r>
              <w:t xml:space="preserve">, followed by </w:t>
            </w:r>
            <w:r w:rsidRPr="00C56E40">
              <w:t>Woolworths Australia acqui</w:t>
            </w:r>
            <w:r>
              <w:t>ring</w:t>
            </w:r>
            <w:r w:rsidRPr="00C56E40">
              <w:t xml:space="preserve"> Progressive Enterprises in 2005</w:t>
            </w:r>
          </w:p>
          <w:p w14:paraId="0ECAB6FF" w14:textId="0DE89000" w:rsidR="002C5D8A" w:rsidRDefault="002859CF" w:rsidP="002859CF">
            <w:pPr>
              <w:pStyle w:val="BoxListBullet"/>
            </w:pPr>
            <w:r>
              <w:t>t</w:t>
            </w:r>
            <w:r w:rsidRPr="00C56E40">
              <w:t xml:space="preserve">he entry of the German supermarket chain </w:t>
            </w:r>
            <w:proofErr w:type="spellStart"/>
            <w:r w:rsidRPr="00C56E40">
              <w:t>Aldi</w:t>
            </w:r>
            <w:proofErr w:type="spellEnd"/>
            <w:r w:rsidRPr="00C56E40">
              <w:t xml:space="preserve"> into the Australian market in 2001</w:t>
            </w:r>
            <w:r>
              <w:t xml:space="preserve"> (this coincided with the </w:t>
            </w:r>
            <w:r w:rsidRPr="00C56E40">
              <w:t>introduction of ‘store brands’</w:t>
            </w:r>
            <w:r>
              <w:t xml:space="preserve">, which created </w:t>
            </w:r>
            <w:r w:rsidRPr="00C56E40">
              <w:t>opportunities for N</w:t>
            </w:r>
            <w:r>
              <w:t xml:space="preserve">ew </w:t>
            </w:r>
            <w:r w:rsidRPr="00C56E40">
              <w:t>Z</w:t>
            </w:r>
            <w:r>
              <w:t>ealand</w:t>
            </w:r>
            <w:r w:rsidRPr="00C56E40">
              <w:t xml:space="preserve"> firms to break into the Australian market</w:t>
            </w:r>
            <w:r>
              <w:t>).</w:t>
            </w:r>
          </w:p>
          <w:p w14:paraId="40C26E2F" w14:textId="6678B8C3" w:rsidR="00936C78" w:rsidRPr="00823303" w:rsidRDefault="00936C78" w:rsidP="00823303">
            <w:pPr>
              <w:pStyle w:val="Box"/>
              <w:tabs>
                <w:tab w:val="left" w:pos="1146"/>
              </w:tabs>
              <w:ind w:left="170"/>
              <w:rPr>
                <w:b/>
              </w:rPr>
            </w:pPr>
            <w:r>
              <w:t>Figure</w:t>
            </w:r>
            <w:r>
              <w:tab/>
            </w:r>
            <w:r w:rsidRPr="006C02C0">
              <w:rPr>
                <w:b/>
              </w:rPr>
              <w:t xml:space="preserve">Trans-Tasman trade in </w:t>
            </w:r>
            <w:r w:rsidR="00B975BC" w:rsidRPr="006C02C0">
              <w:rPr>
                <w:b/>
              </w:rPr>
              <w:t>processed</w:t>
            </w:r>
            <w:r w:rsidRPr="006C02C0">
              <w:rPr>
                <w:b/>
              </w:rPr>
              <w:t xml:space="preserve"> food products, 201</w:t>
            </w:r>
            <w:r w:rsidR="00FF1BAC" w:rsidRPr="006C02C0">
              <w:rPr>
                <w:b/>
              </w:rPr>
              <w:t>0</w:t>
            </w:r>
            <w:r w:rsidRPr="006C02C0">
              <w:rPr>
                <w:b/>
              </w:rPr>
              <w:t xml:space="preserve"> prices</w:t>
            </w:r>
          </w:p>
        </w:tc>
      </w:tr>
      <w:tr w:rsidR="00823303" w14:paraId="6B05D4AE" w14:textId="77777777" w:rsidTr="00823303">
        <w:tblPrEx>
          <w:tblCellMar>
            <w:left w:w="108" w:type="dxa"/>
            <w:right w:w="108" w:type="dxa"/>
          </w:tblCellMar>
        </w:tblPrEx>
        <w:trPr>
          <w:cantSplit/>
        </w:trPr>
        <w:tc>
          <w:tcPr>
            <w:tcW w:w="236" w:type="dxa"/>
            <w:tcBorders>
              <w:top w:val="nil"/>
              <w:left w:val="nil"/>
              <w:bottom w:val="nil"/>
              <w:right w:val="nil"/>
            </w:tcBorders>
            <w:shd w:val="clear" w:color="auto" w:fill="D9EAF0"/>
          </w:tcPr>
          <w:p w14:paraId="6C3D0B21" w14:textId="77777777" w:rsidR="00823303" w:rsidRPr="00823303" w:rsidRDefault="00823303" w:rsidP="00936C78">
            <w:pPr>
              <w:pStyle w:val="Box"/>
              <w:rPr>
                <w:sz w:val="6"/>
                <w:szCs w:val="6"/>
              </w:rPr>
            </w:pPr>
          </w:p>
        </w:tc>
        <w:tc>
          <w:tcPr>
            <w:tcW w:w="8365" w:type="dxa"/>
            <w:tcBorders>
              <w:top w:val="single" w:sz="4" w:space="0" w:color="auto"/>
              <w:left w:val="nil"/>
              <w:bottom w:val="single" w:sz="4" w:space="0" w:color="auto"/>
              <w:right w:val="nil"/>
            </w:tcBorders>
            <w:shd w:val="clear" w:color="auto" w:fill="D9EAF0"/>
          </w:tcPr>
          <w:p w14:paraId="7CE0D0D1" w14:textId="67CB0C1E" w:rsidR="00823303" w:rsidRPr="0059664F" w:rsidRDefault="00805F09" w:rsidP="00854173">
            <w:pPr>
              <w:pStyle w:val="Box"/>
              <w:ind w:right="-132"/>
            </w:pPr>
            <w:r>
              <w:rPr>
                <w:noProof/>
              </w:rPr>
              <w:pict w14:anchorId="383C560A">
                <v:shape id="_x0000_i1028" type="#_x0000_t75" alt="Figure in box 3.7: Trans-Tasman trade in processed food products, 2010 prices. Shows (for 1965 to 2009):&#10;- Australian exports to New Zealand in A$ billions&#10;- New Zealand exports to Australia in A$ billions&#10;- the percentage of Australian exports that were to New Zealand&#10;- the percentage of New Zealand exports that were to Australia.&#10;All lines have an upward trend, which becomes more pronounced after the start of CER in 1983." style="width:411pt;height:253.5pt">
                  <v:imagedata r:id="rId13" o:title=""/>
                </v:shape>
              </w:pict>
            </w:r>
          </w:p>
        </w:tc>
        <w:tc>
          <w:tcPr>
            <w:tcW w:w="236" w:type="dxa"/>
            <w:tcBorders>
              <w:top w:val="nil"/>
              <w:left w:val="nil"/>
              <w:bottom w:val="nil"/>
              <w:right w:val="nil"/>
            </w:tcBorders>
            <w:shd w:val="clear" w:color="auto" w:fill="D9EAF0"/>
          </w:tcPr>
          <w:p w14:paraId="29ACF37D" w14:textId="7082FD51" w:rsidR="00823303" w:rsidRPr="00823303" w:rsidRDefault="00823303" w:rsidP="00823303">
            <w:pPr>
              <w:pStyle w:val="Box"/>
              <w:spacing w:before="0" w:line="40" w:lineRule="atLeast"/>
              <w:rPr>
                <w:sz w:val="4"/>
                <w:szCs w:val="4"/>
              </w:rPr>
            </w:pPr>
          </w:p>
        </w:tc>
      </w:tr>
      <w:tr w:rsidR="00823303" w14:paraId="3D03C43E" w14:textId="77777777" w:rsidTr="00823303">
        <w:tblPrEx>
          <w:tblCellMar>
            <w:left w:w="108" w:type="dxa"/>
            <w:right w:w="108" w:type="dxa"/>
          </w:tblCellMar>
        </w:tblPrEx>
        <w:trPr>
          <w:cantSplit/>
        </w:trPr>
        <w:tc>
          <w:tcPr>
            <w:tcW w:w="8837" w:type="dxa"/>
            <w:gridSpan w:val="3"/>
            <w:tcBorders>
              <w:top w:val="nil"/>
              <w:left w:val="nil"/>
              <w:bottom w:val="nil"/>
              <w:right w:val="nil"/>
            </w:tcBorders>
            <w:shd w:val="clear" w:color="auto" w:fill="D9EAF0"/>
          </w:tcPr>
          <w:p w14:paraId="4301F43E" w14:textId="1FD4B728" w:rsidR="00823303" w:rsidRPr="00823303" w:rsidRDefault="00823303" w:rsidP="00823303">
            <w:pPr>
              <w:pStyle w:val="Source"/>
              <w:ind w:left="170"/>
            </w:pPr>
            <w:r w:rsidRPr="00823303">
              <w:t xml:space="preserve">Source: UN </w:t>
            </w:r>
            <w:proofErr w:type="spellStart"/>
            <w:r w:rsidRPr="00823303">
              <w:t>Comtrade</w:t>
            </w:r>
            <w:proofErr w:type="spellEnd"/>
            <w:r w:rsidRPr="00823303">
              <w:t xml:space="preserve"> database (2012).</w:t>
            </w:r>
          </w:p>
        </w:tc>
      </w:tr>
      <w:tr w:rsidR="00936C78" w14:paraId="5C607B36" w14:textId="77777777" w:rsidTr="00823303">
        <w:trPr>
          <w:cantSplit/>
        </w:trPr>
        <w:tc>
          <w:tcPr>
            <w:tcW w:w="8837" w:type="dxa"/>
            <w:gridSpan w:val="3"/>
            <w:tcBorders>
              <w:top w:val="nil"/>
              <w:left w:val="nil"/>
              <w:bottom w:val="nil"/>
              <w:right w:val="nil"/>
            </w:tcBorders>
            <w:shd w:val="clear" w:color="auto" w:fill="D9EAF0"/>
          </w:tcPr>
          <w:p w14:paraId="7D5C6375" w14:textId="77777777" w:rsidR="00936C78" w:rsidRDefault="00936C78" w:rsidP="00823303">
            <w:pPr>
              <w:pStyle w:val="Box"/>
              <w:keepNext w:val="0"/>
              <w:spacing w:before="0" w:line="120" w:lineRule="exact"/>
            </w:pPr>
          </w:p>
        </w:tc>
      </w:tr>
    </w:tbl>
    <w:p w14:paraId="3EC8A41A" w14:textId="49A2C724" w:rsidR="00922A0B" w:rsidRDefault="00922A0B" w:rsidP="00922A0B">
      <w:pPr>
        <w:pStyle w:val="BodyText"/>
      </w:pPr>
      <w:r>
        <w:lastRenderedPageBreak/>
        <w:t xml:space="preserve">Econometric </w:t>
      </w:r>
      <w:r w:rsidR="00D91B8C">
        <w:t>studies</w:t>
      </w:r>
      <w:r>
        <w:t xml:space="preserve"> can be </w:t>
      </w:r>
      <w:r w:rsidR="00D95CCB">
        <w:t>employed</w:t>
      </w:r>
      <w:r>
        <w:t xml:space="preserve"> to </w:t>
      </w:r>
      <w:r w:rsidR="004D5B78">
        <w:t xml:space="preserve">attempt to </w:t>
      </w:r>
      <w:r>
        <w:t xml:space="preserve">isolate the trade effects of trade agreements from other </w:t>
      </w:r>
      <w:r w:rsidR="00B152A0">
        <w:t xml:space="preserve">influences. </w:t>
      </w:r>
      <w:r w:rsidR="004D5B78">
        <w:t>S</w:t>
      </w:r>
      <w:r w:rsidR="00D91B8C">
        <w:t xml:space="preserve">tudies have found that </w:t>
      </w:r>
      <w:proofErr w:type="spellStart"/>
      <w:r w:rsidR="00D91B8C">
        <w:t>CER</w:t>
      </w:r>
      <w:proofErr w:type="spellEnd"/>
      <w:r w:rsidR="00D91B8C">
        <w:t xml:space="preserve"> has increased trade across the Tasman </w:t>
      </w:r>
      <w:r w:rsidR="009C69FF">
        <w:t>(box </w:t>
      </w:r>
      <w:r w:rsidR="00D41A7C">
        <w:t>3.</w:t>
      </w:r>
      <w:r w:rsidR="00984FC7">
        <w:t>8</w:t>
      </w:r>
      <w:r w:rsidR="009C69FF">
        <w:t>).</w:t>
      </w:r>
      <w:r w:rsidR="007C7444">
        <w:t xml:space="preserve"> For example</w:t>
      </w:r>
      <w:r w:rsidR="00B33BC4">
        <w:t>,</w:t>
      </w:r>
      <w:r w:rsidR="004D5B78">
        <w:t xml:space="preserve"> the Australian Commission</w:t>
      </w:r>
      <w:r w:rsidR="007C7444">
        <w:t xml:space="preserve"> concluded that </w:t>
      </w:r>
      <w:proofErr w:type="spellStart"/>
      <w:r w:rsidR="007C7444">
        <w:t>CER</w:t>
      </w:r>
      <w:proofErr w:type="spellEnd"/>
      <w:r w:rsidR="007C7444">
        <w:t xml:space="preserve"> had </w:t>
      </w:r>
      <w:r w:rsidR="00022AC0">
        <w:t xml:space="preserve">had </w:t>
      </w:r>
      <w:r w:rsidR="007C7444">
        <w:t>a positive</w:t>
      </w:r>
      <w:r w:rsidR="00022AC0">
        <w:t>, though small</w:t>
      </w:r>
      <w:r w:rsidR="007C7444">
        <w:t xml:space="preserve"> impact</w:t>
      </w:r>
      <w:r w:rsidR="004D5B78">
        <w:t xml:space="preserve"> (PC</w:t>
      </w:r>
      <w:r w:rsidR="007F45C1">
        <w:t> </w:t>
      </w:r>
      <w:r w:rsidR="004D5B78">
        <w:t>2010)</w:t>
      </w:r>
      <w:r w:rsidR="007C7444">
        <w:t>.</w:t>
      </w:r>
    </w:p>
    <w:p w14:paraId="324C4A85" w14:textId="0A84C32F" w:rsidR="009C69FF" w:rsidRDefault="004D5B78" w:rsidP="00922A0B">
      <w:pPr>
        <w:pStyle w:val="BodyText"/>
      </w:pPr>
      <w:r>
        <w:t xml:space="preserve">At </w:t>
      </w:r>
      <w:r w:rsidR="007C7444">
        <w:t xml:space="preserve">least some of the increased trade between partner countries resulting from </w:t>
      </w:r>
      <w:r w:rsidR="00737500">
        <w:t xml:space="preserve">preferential trade agreements </w:t>
      </w:r>
      <w:r w:rsidR="007C7444">
        <w:t xml:space="preserve">can come at the expense of trade with </w:t>
      </w:r>
      <w:r w:rsidR="00737500">
        <w:t>other countries</w:t>
      </w:r>
      <w:r>
        <w:t xml:space="preserve"> (as discussed in chapter</w:t>
      </w:r>
      <w:r w:rsidR="007F45C1">
        <w:t> </w:t>
      </w:r>
      <w:r>
        <w:t>2)</w:t>
      </w:r>
      <w:r w:rsidR="00737500">
        <w:t xml:space="preserve">. This is known as </w:t>
      </w:r>
      <w:r w:rsidR="005D2013">
        <w:t>‘</w:t>
      </w:r>
      <w:r w:rsidR="00737500">
        <w:t>trade diversion</w:t>
      </w:r>
      <w:r w:rsidR="005D2013">
        <w:t>’</w:t>
      </w:r>
      <w:r w:rsidR="00FA1BE3">
        <w:t xml:space="preserve"> — </w:t>
      </w:r>
      <w:r w:rsidR="003E7437">
        <w:t xml:space="preserve">as a result of </w:t>
      </w:r>
      <w:r w:rsidR="00FA1BE3" w:rsidRPr="00FA1BE3">
        <w:t>reduced barriers being offered to one (or more) countries, goods imported from lower-cost suppliers are displaced by goods from higher-cost suppliers due to the</w:t>
      </w:r>
      <w:r w:rsidR="0022091A">
        <w:t xml:space="preserve"> latter</w:t>
      </w:r>
      <w:r w:rsidR="00FA1BE3" w:rsidRPr="00FA1BE3">
        <w:t xml:space="preserve"> facing lower barriers.</w:t>
      </w:r>
    </w:p>
    <w:p w14:paraId="33D39853" w14:textId="7EBC2C4A" w:rsidR="005429BC" w:rsidRDefault="004D5B78" w:rsidP="00922A0B">
      <w:pPr>
        <w:pStyle w:val="BodyText"/>
      </w:pPr>
      <w:r>
        <w:t>T</w:t>
      </w:r>
      <w:r w:rsidR="00737500" w:rsidRPr="00737500">
        <w:t>rade diversion</w:t>
      </w:r>
      <w:r>
        <w:t xml:space="preserve"> </w:t>
      </w:r>
      <w:r w:rsidR="00737500" w:rsidRPr="00737500">
        <w:t xml:space="preserve">erodes the potential gains from measures seeking to increase trade openness. </w:t>
      </w:r>
      <w:r w:rsidR="00523FEA">
        <w:t>The significance of</w:t>
      </w:r>
      <w:r w:rsidR="00737500" w:rsidRPr="00737500">
        <w:t xml:space="preserve"> trade diversion</w:t>
      </w:r>
      <w:r w:rsidR="000B07E8">
        <w:t xml:space="preserve"> </w:t>
      </w:r>
      <w:r w:rsidR="00737500" w:rsidRPr="00737500">
        <w:t xml:space="preserve">depends on the differences between preferential and non-preferential </w:t>
      </w:r>
      <w:r w:rsidR="005D2013">
        <w:t>trade restrictions</w:t>
      </w:r>
      <w:r w:rsidR="00737500" w:rsidRPr="00737500">
        <w:t>.</w:t>
      </w:r>
    </w:p>
    <w:p w14:paraId="578770FB" w14:textId="6C562FC1" w:rsidR="00415D36" w:rsidRDefault="005429BC" w:rsidP="000339E7">
      <w:pPr>
        <w:pStyle w:val="BodyText"/>
      </w:pPr>
      <w:r>
        <w:t>Only a</w:t>
      </w:r>
      <w:r w:rsidRPr="002F37D1">
        <w:t xml:space="preserve"> few econometric studies have so</w:t>
      </w:r>
      <w:r w:rsidR="00132713">
        <w:t>ught</w:t>
      </w:r>
      <w:r w:rsidRPr="002F37D1">
        <w:t xml:space="preserve"> to </w:t>
      </w:r>
      <w:r>
        <w:t>assess</w:t>
      </w:r>
      <w:r w:rsidRPr="002F37D1">
        <w:t xml:space="preserve"> the impacts of </w:t>
      </w:r>
      <w:proofErr w:type="spellStart"/>
      <w:r w:rsidRPr="002F37D1">
        <w:t>CER</w:t>
      </w:r>
      <w:proofErr w:type="spellEnd"/>
      <w:r w:rsidRPr="002F37D1">
        <w:t xml:space="preserve"> on trans-Tasman </w:t>
      </w:r>
      <w:r w:rsidR="00DC2A62">
        <w:t xml:space="preserve">and wider </w:t>
      </w:r>
      <w:r w:rsidRPr="002F37D1">
        <w:t xml:space="preserve">trade. </w:t>
      </w:r>
      <w:r w:rsidRPr="0027761D">
        <w:t>S</w:t>
      </w:r>
      <w:r w:rsidRPr="00F66AFA">
        <w:t xml:space="preserve">ome early studies </w:t>
      </w:r>
      <w:r w:rsidRPr="006912C3">
        <w:t xml:space="preserve">found that the </w:t>
      </w:r>
      <w:proofErr w:type="spellStart"/>
      <w:r w:rsidRPr="006912C3">
        <w:t>CER</w:t>
      </w:r>
      <w:proofErr w:type="spellEnd"/>
      <w:r w:rsidRPr="006912C3">
        <w:t xml:space="preserve"> may have been, on balance, trade creating, but </w:t>
      </w:r>
      <w:r w:rsidR="004D5B78">
        <w:t>two</w:t>
      </w:r>
      <w:r w:rsidR="004D5B78" w:rsidRPr="006912C3">
        <w:t xml:space="preserve"> </w:t>
      </w:r>
      <w:r w:rsidR="0022091A">
        <w:t xml:space="preserve">more </w:t>
      </w:r>
      <w:r w:rsidRPr="006912C3">
        <w:t>recent studies</w:t>
      </w:r>
      <w:r w:rsidRPr="0027761D">
        <w:t xml:space="preserve"> suggest that </w:t>
      </w:r>
      <w:proofErr w:type="spellStart"/>
      <w:r w:rsidRPr="0027761D">
        <w:t>CER</w:t>
      </w:r>
      <w:proofErr w:type="spellEnd"/>
      <w:r w:rsidRPr="0027761D">
        <w:t xml:space="preserve"> has been net trade diverting</w:t>
      </w:r>
      <w:r w:rsidRPr="002D6B67">
        <w:t xml:space="preserve"> (box</w:t>
      </w:r>
      <w:r w:rsidR="007F45C1">
        <w:t> </w:t>
      </w:r>
      <w:r w:rsidRPr="002D6B67">
        <w:t>3.8)</w:t>
      </w:r>
      <w:r w:rsidRPr="0027761D">
        <w:t>.</w:t>
      </w:r>
    </w:p>
    <w:p w14:paraId="62EB9C04" w14:textId="77777777" w:rsidR="002859CF" w:rsidRDefault="002859CF" w:rsidP="002859CF">
      <w:pPr>
        <w:pStyle w:val="Heading4"/>
      </w:pPr>
      <w:r>
        <w:t>Net benefits</w:t>
      </w:r>
    </w:p>
    <w:p w14:paraId="03CD2AD6" w14:textId="77777777" w:rsidR="002859CF" w:rsidRDefault="002859CF" w:rsidP="002859CF">
      <w:pPr>
        <w:pStyle w:val="BodyText"/>
      </w:pPr>
      <w:r>
        <w:t xml:space="preserve">The question of whether </w:t>
      </w:r>
      <w:proofErr w:type="spellStart"/>
      <w:r>
        <w:t>CER’s</w:t>
      </w:r>
      <w:proofErr w:type="spellEnd"/>
      <w:r>
        <w:t xml:space="preserve"> influence on trade in goods has produced net benefits for Australia and New Zealand is partly dependant on whether it has been net trade creating or trade diverting. Trade creation generates benefits from increased specialisation, economies of scale, competition and consumer choice as discussed in chapter 2. By contrast, trade diversion means shifting trade from lower-cost to higher</w:t>
      </w:r>
      <w:r>
        <w:noBreakHyphen/>
        <w:t>cost suppliers.</w:t>
      </w:r>
    </w:p>
    <w:p w14:paraId="5101AAEC" w14:textId="77777777" w:rsidR="002859CF" w:rsidRDefault="002859CF" w:rsidP="002859CF">
      <w:pPr>
        <w:pStyle w:val="BodyText"/>
      </w:pPr>
      <w:r>
        <w:t xml:space="preserve">The more recent studies referred to in box 3.8, and in particular PC (2010), have benefited from developments in theory, data and statistical methods. These studies typically find that </w:t>
      </w:r>
      <w:proofErr w:type="spellStart"/>
      <w:r>
        <w:t>CER</w:t>
      </w:r>
      <w:proofErr w:type="spellEnd"/>
      <w:r>
        <w:t xml:space="preserve"> has been net trade diverting. While recognising that </w:t>
      </w:r>
      <w:r w:rsidRPr="00DB7BFA">
        <w:t xml:space="preserve">the </w:t>
      </w:r>
      <w:r>
        <w:t>results of such studies could not be considered definitive, the Australian Commission observed:</w:t>
      </w:r>
    </w:p>
    <w:p w14:paraId="4806EE8F" w14:textId="77777777" w:rsidR="002859CF" w:rsidRPr="0025406D" w:rsidRDefault="002859CF" w:rsidP="002859CF">
      <w:pPr>
        <w:pStyle w:val="Quote"/>
        <w:rPr>
          <w:sz w:val="22"/>
          <w:szCs w:val="22"/>
        </w:rPr>
      </w:pPr>
      <w:r w:rsidRPr="0025406D">
        <w:rPr>
          <w:sz w:val="22"/>
          <w:szCs w:val="22"/>
        </w:rPr>
        <w:t>… the analysis suggests that the preferential nature of the [</w:t>
      </w:r>
      <w:proofErr w:type="spellStart"/>
      <w:r w:rsidRPr="0025406D">
        <w:rPr>
          <w:sz w:val="22"/>
          <w:szCs w:val="22"/>
        </w:rPr>
        <w:t>ANZCERTA</w:t>
      </w:r>
      <w:proofErr w:type="spellEnd"/>
      <w:r w:rsidRPr="0025406D">
        <w:rPr>
          <w:sz w:val="22"/>
          <w:szCs w:val="22"/>
        </w:rPr>
        <w:t>] agreement appears to have altered the focus of many exporters (and importers) in these economies to the smaller markets within the agreement, forgoing some of the potential gains that would otherwise have been expected from exploring trading opportunities in markets elsewhere. (PC</w:t>
      </w:r>
      <w:r>
        <w:rPr>
          <w:sz w:val="22"/>
          <w:szCs w:val="22"/>
        </w:rPr>
        <w:t> </w:t>
      </w:r>
      <w:r w:rsidRPr="0025406D">
        <w:rPr>
          <w:sz w:val="22"/>
          <w:szCs w:val="22"/>
        </w:rPr>
        <w:t>2010, p. 143)</w:t>
      </w:r>
    </w:p>
    <w:p w14:paraId="02063C4E" w14:textId="77777777" w:rsidR="00415D36" w:rsidRDefault="00415D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5D36" w14:paraId="0910178A" w14:textId="77777777" w:rsidTr="00302FBB">
        <w:tc>
          <w:tcPr>
            <w:tcW w:w="8771" w:type="dxa"/>
            <w:tcBorders>
              <w:top w:val="nil"/>
              <w:left w:val="nil"/>
              <w:bottom w:val="nil"/>
              <w:right w:val="nil"/>
            </w:tcBorders>
            <w:shd w:val="clear" w:color="auto" w:fill="D9EAF0"/>
          </w:tcPr>
          <w:p w14:paraId="44443E1F" w14:textId="77777777" w:rsidR="00415D36" w:rsidRDefault="00415D36" w:rsidP="00415D36">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8</w:t>
            </w:r>
            <w:r>
              <w:rPr>
                <w:b w:val="0"/>
              </w:rPr>
              <w:fldChar w:fldCharType="end"/>
            </w:r>
            <w:r>
              <w:tab/>
            </w:r>
            <w:r w:rsidRPr="00294C69">
              <w:t>Past analyses o</w:t>
            </w:r>
            <w:r>
              <w:t>f</w:t>
            </w:r>
            <w:r w:rsidRPr="00294C69">
              <w:t xml:space="preserve"> </w:t>
            </w:r>
            <w:proofErr w:type="spellStart"/>
            <w:r w:rsidRPr="00294C69">
              <w:t>CER’s</w:t>
            </w:r>
            <w:proofErr w:type="spellEnd"/>
            <w:r w:rsidRPr="00294C69">
              <w:t xml:space="preserve"> impact on merchandise trade</w:t>
            </w:r>
          </w:p>
        </w:tc>
      </w:tr>
      <w:tr w:rsidR="00415D36" w14:paraId="6CCD8553" w14:textId="77777777" w:rsidTr="00302FBB">
        <w:trPr>
          <w:cantSplit/>
        </w:trPr>
        <w:tc>
          <w:tcPr>
            <w:tcW w:w="8771" w:type="dxa"/>
            <w:tcBorders>
              <w:top w:val="nil"/>
              <w:left w:val="nil"/>
              <w:bottom w:val="nil"/>
              <w:right w:val="nil"/>
            </w:tcBorders>
            <w:shd w:val="clear" w:color="auto" w:fill="D9EAF0"/>
          </w:tcPr>
          <w:p w14:paraId="4963BF4E" w14:textId="13FC0A8C" w:rsidR="00415D36" w:rsidRDefault="00415D36" w:rsidP="00254B99">
            <w:pPr>
              <w:pStyle w:val="Box"/>
            </w:pPr>
            <w:r>
              <w:t xml:space="preserve">Assessing whether a particular agreement is trade creating or trade diverting is not straightforward, because there are often difficulties in isolating the impacts of trade agreements on trade flows </w:t>
            </w:r>
            <w:r w:rsidRPr="002F37D1">
              <w:t xml:space="preserve">from those caused by </w:t>
            </w:r>
            <w:r>
              <w:t xml:space="preserve">growth, </w:t>
            </w:r>
            <w:r w:rsidRPr="002F37D1">
              <w:t xml:space="preserve">changes in market conditions and </w:t>
            </w:r>
            <w:r w:rsidR="0022091A">
              <w:t>shifts in</w:t>
            </w:r>
            <w:r w:rsidRPr="002F37D1">
              <w:t xml:space="preserve"> policy settings. </w:t>
            </w:r>
            <w:r>
              <w:t>Further, most</w:t>
            </w:r>
            <w:r w:rsidRPr="004F3019">
              <w:t xml:space="preserve"> studies </w:t>
            </w:r>
            <w:r>
              <w:t xml:space="preserve">do not </w:t>
            </w:r>
            <w:r w:rsidRPr="004F3019">
              <w:t xml:space="preserve">account for potential scale effects </w:t>
            </w:r>
            <w:r>
              <w:t>associated with</w:t>
            </w:r>
            <w:r w:rsidRPr="004F3019">
              <w:t xml:space="preserve"> access to larger markets or productivity improvements that might arise from greater import competition</w:t>
            </w:r>
            <w:r w:rsidR="00F45E1B">
              <w:t xml:space="preserve"> (</w:t>
            </w:r>
            <w:r w:rsidR="006C02C0">
              <w:t>although such effects will normally be correlated with the net trade creating effects of the agreement, positive or negative</w:t>
            </w:r>
            <w:r w:rsidR="00F45E1B">
              <w:t>)</w:t>
            </w:r>
            <w:r>
              <w:t xml:space="preserve">. </w:t>
            </w:r>
          </w:p>
          <w:p w14:paraId="12AEF9B1" w14:textId="1C024AC2" w:rsidR="00415D36" w:rsidRDefault="00415D36" w:rsidP="00254B99">
            <w:pPr>
              <w:pStyle w:val="Box"/>
            </w:pPr>
            <w:r>
              <w:t xml:space="preserve">Against that background, past studies of </w:t>
            </w:r>
            <w:proofErr w:type="spellStart"/>
            <w:r>
              <w:t>CER</w:t>
            </w:r>
            <w:proofErr w:type="spellEnd"/>
            <w:r>
              <w:t xml:space="preserve"> (and other preferential trade agreements) have yielded </w:t>
            </w:r>
            <w:r w:rsidR="004D5B78">
              <w:t>varying</w:t>
            </w:r>
            <w:r>
              <w:t xml:space="preserve"> results:</w:t>
            </w:r>
          </w:p>
          <w:p w14:paraId="5DADB36C" w14:textId="397B54C9" w:rsidR="00415D36" w:rsidRPr="00215C62" w:rsidRDefault="004D5B78" w:rsidP="00415D36">
            <w:pPr>
              <w:pStyle w:val="BoxListBullet"/>
            </w:pPr>
            <w:r>
              <w:t>T</w:t>
            </w:r>
            <w:r w:rsidR="00415D36" w:rsidRPr="00215C62">
              <w:t>he Australian Bureau of Industry Economics (</w:t>
            </w:r>
            <w:proofErr w:type="spellStart"/>
            <w:r w:rsidR="00415D36" w:rsidRPr="00215C62">
              <w:t>BIE</w:t>
            </w:r>
            <w:proofErr w:type="spellEnd"/>
            <w:r w:rsidR="00415D36" w:rsidRPr="00215C62">
              <w:t xml:space="preserve">) examined the impact of </w:t>
            </w:r>
            <w:proofErr w:type="spellStart"/>
            <w:r w:rsidR="00415D36" w:rsidRPr="00215C62">
              <w:t>CER</w:t>
            </w:r>
            <w:proofErr w:type="spellEnd"/>
            <w:r w:rsidR="00415D36" w:rsidRPr="00215C62">
              <w:t xml:space="preserve"> on Australian manufacturing industry</w:t>
            </w:r>
            <w:r>
              <w:t xml:space="preserve"> in 1989</w:t>
            </w:r>
            <w:r w:rsidR="00415D36" w:rsidRPr="00215C62">
              <w:t xml:space="preserve">, </w:t>
            </w:r>
            <w:r>
              <w:t xml:space="preserve">and </w:t>
            </w:r>
            <w:r w:rsidRPr="00215C62">
              <w:t>conclud</w:t>
            </w:r>
            <w:r>
              <w:t>ed</w:t>
            </w:r>
            <w:r w:rsidRPr="00215C62">
              <w:t xml:space="preserve"> </w:t>
            </w:r>
            <w:r w:rsidR="00415D36" w:rsidRPr="00215C62">
              <w:t xml:space="preserve">that </w:t>
            </w:r>
            <w:proofErr w:type="spellStart"/>
            <w:r w:rsidR="00415D36" w:rsidRPr="00215C62">
              <w:t>CER</w:t>
            </w:r>
            <w:proofErr w:type="spellEnd"/>
            <w:r w:rsidR="00415D36" w:rsidRPr="00215C62">
              <w:t xml:space="preserve"> likely had had a small trade creating effect in affected sectors. It noted that any trade diversion effects of </w:t>
            </w:r>
            <w:proofErr w:type="spellStart"/>
            <w:r w:rsidR="00415D36" w:rsidRPr="00215C62">
              <w:t>CER</w:t>
            </w:r>
            <w:proofErr w:type="spellEnd"/>
            <w:r w:rsidR="00415D36" w:rsidRPr="00215C62">
              <w:t xml:space="preserve"> were likely outweighed by the separate trade creation effects of simultaneous </w:t>
            </w:r>
            <w:r w:rsidR="00415D36">
              <w:t xml:space="preserve">general reductions in </w:t>
            </w:r>
            <w:r w:rsidR="00415D36" w:rsidRPr="00215C62">
              <w:t>tariff</w:t>
            </w:r>
            <w:r w:rsidR="00415D36">
              <w:t>s</w:t>
            </w:r>
            <w:r w:rsidR="00415D36" w:rsidRPr="00215C62">
              <w:t xml:space="preserve">. The benefits of </w:t>
            </w:r>
            <w:proofErr w:type="spellStart"/>
            <w:r w:rsidR="00415D36" w:rsidRPr="00215C62">
              <w:t>CER</w:t>
            </w:r>
            <w:proofErr w:type="spellEnd"/>
            <w:r w:rsidR="00415D36" w:rsidRPr="00215C62">
              <w:t xml:space="preserve"> were </w:t>
            </w:r>
            <w:r w:rsidR="00415D36">
              <w:t>attributed</w:t>
            </w:r>
            <w:r w:rsidR="00415D36" w:rsidRPr="00215C62">
              <w:t xml:space="preserve"> principally </w:t>
            </w:r>
            <w:r w:rsidR="00415D36">
              <w:t xml:space="preserve">to </w:t>
            </w:r>
            <w:r w:rsidR="00415D36" w:rsidRPr="00215C62">
              <w:t>rationalisation within industries, and specialisation a</w:t>
            </w:r>
            <w:r w:rsidR="00415D36">
              <w:t>cross</w:t>
            </w:r>
            <w:r w:rsidR="00415D36" w:rsidRPr="00215C62">
              <w:t xml:space="preserve"> industries.</w:t>
            </w:r>
          </w:p>
          <w:p w14:paraId="6BC911F2" w14:textId="3C9A5466" w:rsidR="00415D36" w:rsidRPr="00215C62" w:rsidRDefault="00415D36" w:rsidP="00415D36">
            <w:pPr>
              <w:pStyle w:val="BoxListBullet"/>
            </w:pPr>
            <w:proofErr w:type="spellStart"/>
            <w:r w:rsidRPr="00215C62">
              <w:t>BIE</w:t>
            </w:r>
            <w:proofErr w:type="spellEnd"/>
            <w:r w:rsidR="0057319E">
              <w:t xml:space="preserve"> (1995)</w:t>
            </w:r>
            <w:r w:rsidRPr="00215C62">
              <w:t xml:space="preserve"> </w:t>
            </w:r>
            <w:r>
              <w:t xml:space="preserve">undertook modelling that indicated that </w:t>
            </w:r>
            <w:proofErr w:type="spellStart"/>
            <w:r>
              <w:t>CER</w:t>
            </w:r>
            <w:proofErr w:type="spellEnd"/>
            <w:r>
              <w:t xml:space="preserve"> had had a small positive impact on </w:t>
            </w:r>
            <w:r w:rsidR="00DD0D0F">
              <w:t>gross domestic product</w:t>
            </w:r>
            <w:r>
              <w:t xml:space="preserve"> and welfare in both countries.</w:t>
            </w:r>
          </w:p>
          <w:p w14:paraId="1BC25758" w14:textId="65918470" w:rsidR="00415D36" w:rsidRDefault="00415D36" w:rsidP="00415D36">
            <w:pPr>
              <w:pStyle w:val="BoxListBullet"/>
            </w:pPr>
            <w:r w:rsidRPr="00215C62">
              <w:t>Adams et al.</w:t>
            </w:r>
            <w:r w:rsidR="007F45C1">
              <w:t> </w:t>
            </w:r>
            <w:r>
              <w:t>(</w:t>
            </w:r>
            <w:r w:rsidRPr="00215C62">
              <w:t xml:space="preserve">2003) found that a large number of trade agreements were </w:t>
            </w:r>
            <w:r>
              <w:t xml:space="preserve">net </w:t>
            </w:r>
            <w:r w:rsidRPr="00215C62">
              <w:t xml:space="preserve">trade diverting, including </w:t>
            </w:r>
            <w:proofErr w:type="spellStart"/>
            <w:r w:rsidRPr="00215C62">
              <w:t>CER</w:t>
            </w:r>
            <w:proofErr w:type="spellEnd"/>
            <w:r w:rsidRPr="00215C62">
              <w:t>.</w:t>
            </w:r>
            <w:r>
              <w:t xml:space="preserve"> However, the authors noted that the results were less robust for agreements with </w:t>
            </w:r>
            <w:r w:rsidR="004D5B78">
              <w:t>few</w:t>
            </w:r>
            <w:r>
              <w:t xml:space="preserve"> members, such as </w:t>
            </w:r>
            <w:proofErr w:type="spellStart"/>
            <w:r>
              <w:t>CER</w:t>
            </w:r>
            <w:proofErr w:type="spellEnd"/>
            <w:r>
              <w:t>, and that their treatment of transport costs was likely to have underestimated the increasing attractiveness of Australia and New Zealand trading with other countries.</w:t>
            </w:r>
          </w:p>
          <w:p w14:paraId="099D8A23" w14:textId="1A92AD28" w:rsidR="00415D36" w:rsidRPr="00113C0E" w:rsidRDefault="00415D36" w:rsidP="00415D36">
            <w:pPr>
              <w:pStyle w:val="BoxListBullet"/>
              <w:rPr>
                <w:strike/>
              </w:rPr>
            </w:pPr>
            <w:proofErr w:type="spellStart"/>
            <w:r w:rsidRPr="00215C62">
              <w:t>DeRosa</w:t>
            </w:r>
            <w:proofErr w:type="spellEnd"/>
            <w:r w:rsidR="007F45C1">
              <w:t> </w:t>
            </w:r>
            <w:r>
              <w:t>(</w:t>
            </w:r>
            <w:r w:rsidRPr="00215C62">
              <w:t>2007</w:t>
            </w:r>
            <w:r>
              <w:t xml:space="preserve">) found that most preferential trade agreements have had net trade creating effects, but results for </w:t>
            </w:r>
            <w:proofErr w:type="spellStart"/>
            <w:r>
              <w:t>CER</w:t>
            </w:r>
            <w:proofErr w:type="spellEnd"/>
            <w:r>
              <w:t xml:space="preserve"> were often negative, although they varied with model specification.</w:t>
            </w:r>
          </w:p>
          <w:p w14:paraId="7BC918E8" w14:textId="3A03820B" w:rsidR="00415D36" w:rsidRDefault="00415D36" w:rsidP="00011E67">
            <w:pPr>
              <w:pStyle w:val="Box"/>
            </w:pPr>
            <w:r w:rsidRPr="002F37D1">
              <w:t xml:space="preserve">In </w:t>
            </w:r>
            <w:r w:rsidR="00105A12">
              <w:t>a</w:t>
            </w:r>
            <w:r w:rsidRPr="002F37D1">
              <w:t xml:space="preserve"> more recent study</w:t>
            </w:r>
            <w:r w:rsidRPr="006912C3">
              <w:t xml:space="preserve"> of the impacts of trade agreements, including </w:t>
            </w:r>
            <w:proofErr w:type="spellStart"/>
            <w:r w:rsidRPr="006912C3">
              <w:t>CER</w:t>
            </w:r>
            <w:proofErr w:type="spellEnd"/>
            <w:r w:rsidRPr="002F37D1">
              <w:t>, the Australian Commission drew on data on trade flows between 140 countries for the period 1970</w:t>
            </w:r>
            <w:r w:rsidR="009C5ACE">
              <w:t>–</w:t>
            </w:r>
            <w:r w:rsidRPr="002F37D1">
              <w:t>2008</w:t>
            </w:r>
            <w:r w:rsidR="00105A12">
              <w:t xml:space="preserve"> (PC</w:t>
            </w:r>
            <w:r w:rsidR="007F45C1">
              <w:t> </w:t>
            </w:r>
            <w:r w:rsidR="00105A12">
              <w:t>2010)</w:t>
            </w:r>
            <w:r w:rsidRPr="002F37D1">
              <w:t xml:space="preserve">. It also introduced methodological innovations to address deficiencies identified in earlier studies. </w:t>
            </w:r>
            <w:r w:rsidRPr="006912C3">
              <w:t>While recognising the need for careful interpretation of the results, t</w:t>
            </w:r>
            <w:r w:rsidRPr="002F37D1">
              <w:t xml:space="preserve">he Commission </w:t>
            </w:r>
            <w:r w:rsidRPr="006912C3">
              <w:t>estimated</w:t>
            </w:r>
            <w:r w:rsidRPr="002F37D1">
              <w:t xml:space="preserve"> that </w:t>
            </w:r>
            <w:proofErr w:type="spellStart"/>
            <w:r w:rsidRPr="002F37D1">
              <w:t>CER</w:t>
            </w:r>
            <w:proofErr w:type="spellEnd"/>
            <w:r w:rsidRPr="002F37D1">
              <w:t xml:space="preserve"> had had a small positive impact on trade between Australia and New Zealand, but a larger negative impact on both countries’ trade with the rest of the world.</w:t>
            </w:r>
          </w:p>
        </w:tc>
      </w:tr>
      <w:tr w:rsidR="00415D36" w14:paraId="190E8548" w14:textId="77777777" w:rsidTr="00302FBB">
        <w:trPr>
          <w:cantSplit/>
        </w:trPr>
        <w:tc>
          <w:tcPr>
            <w:tcW w:w="8771" w:type="dxa"/>
            <w:tcBorders>
              <w:top w:val="nil"/>
              <w:left w:val="nil"/>
              <w:bottom w:val="nil"/>
              <w:right w:val="nil"/>
            </w:tcBorders>
            <w:shd w:val="clear" w:color="auto" w:fill="D9EAF0"/>
          </w:tcPr>
          <w:p w14:paraId="2380A389" w14:textId="77777777" w:rsidR="00415D36" w:rsidRDefault="00415D36">
            <w:pPr>
              <w:pStyle w:val="Box"/>
              <w:spacing w:before="0" w:line="120" w:lineRule="exact"/>
            </w:pPr>
          </w:p>
        </w:tc>
      </w:tr>
      <w:tr w:rsidR="00415D36" w:rsidRPr="00B34C5B" w14:paraId="0E62D392" w14:textId="77777777" w:rsidTr="00302FBB">
        <w:tc>
          <w:tcPr>
            <w:tcW w:w="8771" w:type="dxa"/>
            <w:tcBorders>
              <w:top w:val="nil"/>
              <w:left w:val="nil"/>
              <w:bottom w:val="nil"/>
              <w:right w:val="nil"/>
            </w:tcBorders>
          </w:tcPr>
          <w:p w14:paraId="5D1BCBB5" w14:textId="77777777" w:rsidR="00415D36" w:rsidRPr="00B34C5B" w:rsidRDefault="00415D36">
            <w:pPr>
              <w:pStyle w:val="Box"/>
              <w:keepNext w:val="0"/>
              <w:spacing w:before="60" w:after="60" w:line="80" w:lineRule="exact"/>
              <w:rPr>
                <w:b/>
                <w:color w:val="auto"/>
                <w:sz w:val="14"/>
              </w:rPr>
            </w:pPr>
          </w:p>
        </w:tc>
      </w:tr>
    </w:tbl>
    <w:p w14:paraId="0F967737" w14:textId="30E87F7C" w:rsidR="00D95CCB" w:rsidRDefault="00132713" w:rsidP="00FC6466">
      <w:pPr>
        <w:pStyle w:val="BodyText"/>
      </w:pPr>
      <w:r>
        <w:t>W</w:t>
      </w:r>
      <w:r w:rsidR="00FC1CBF">
        <w:t xml:space="preserve">hile it seems probable that </w:t>
      </w:r>
      <w:proofErr w:type="spellStart"/>
      <w:r w:rsidR="00FC1CBF">
        <w:t>CER</w:t>
      </w:r>
      <w:proofErr w:type="spellEnd"/>
      <w:r w:rsidR="00FC1CBF">
        <w:t xml:space="preserve"> caused net</w:t>
      </w:r>
      <w:r w:rsidR="00FC1CBF" w:rsidRPr="001F40E3">
        <w:t xml:space="preserve"> trade diversion</w:t>
      </w:r>
      <w:r w:rsidR="00FC1CBF">
        <w:t xml:space="preserve"> in the past</w:t>
      </w:r>
      <w:r w:rsidR="00FC1CBF" w:rsidRPr="001F40E3">
        <w:t>, th</w:t>
      </w:r>
      <w:r w:rsidR="00DB7BFA">
        <w:t xml:space="preserve">e potential for </w:t>
      </w:r>
      <w:r w:rsidR="00712945">
        <w:t xml:space="preserve">trade diversion </w:t>
      </w:r>
      <w:r w:rsidR="00C5304E">
        <w:t xml:space="preserve">has </w:t>
      </w:r>
      <w:r w:rsidR="00DB7BFA">
        <w:t>been greatly reduced</w:t>
      </w:r>
      <w:r w:rsidR="009C5ACE">
        <w:t>,</w:t>
      </w:r>
      <w:r w:rsidR="0059291E">
        <w:t xml:space="preserve"> as recognised by a number of study partic</w:t>
      </w:r>
      <w:r w:rsidR="00E4310C">
        <w:t>i</w:t>
      </w:r>
      <w:r w:rsidR="0059291E">
        <w:t>pants, including Lloyd (sub. </w:t>
      </w:r>
      <w:proofErr w:type="spellStart"/>
      <w:r w:rsidR="0059291E">
        <w:t>DR62</w:t>
      </w:r>
      <w:proofErr w:type="spellEnd"/>
      <w:r w:rsidR="0059291E">
        <w:t xml:space="preserve">) and </w:t>
      </w:r>
      <w:proofErr w:type="spellStart"/>
      <w:r w:rsidR="0059291E">
        <w:t>Greig</w:t>
      </w:r>
      <w:proofErr w:type="spellEnd"/>
      <w:r w:rsidR="0059291E">
        <w:t xml:space="preserve"> (sub. </w:t>
      </w:r>
      <w:proofErr w:type="spellStart"/>
      <w:r w:rsidR="0059291E">
        <w:t>DR123</w:t>
      </w:r>
      <w:proofErr w:type="spellEnd"/>
      <w:r w:rsidR="0059291E">
        <w:t>)</w:t>
      </w:r>
      <w:r w:rsidR="00FC1CBF" w:rsidRPr="001F40E3">
        <w:t xml:space="preserve">. </w:t>
      </w:r>
      <w:r w:rsidR="00FC1CBF">
        <w:t>B</w:t>
      </w:r>
      <w:r w:rsidR="00FC1CBF" w:rsidRPr="001F40E3">
        <w:t xml:space="preserve">oth countries have reduced barriers </w:t>
      </w:r>
      <w:r w:rsidR="00FC1CBF">
        <w:t>to</w:t>
      </w:r>
      <w:r w:rsidR="00FC1CBF" w:rsidRPr="001F40E3">
        <w:t xml:space="preserve"> imports </w:t>
      </w:r>
      <w:r w:rsidR="00FC1CBF">
        <w:t xml:space="preserve">generally and entered into agreements that extend preferential tariff rates to other countries. Moreover, </w:t>
      </w:r>
      <w:proofErr w:type="spellStart"/>
      <w:r w:rsidR="00FC1CBF">
        <w:t>CER</w:t>
      </w:r>
      <w:proofErr w:type="spellEnd"/>
      <w:r w:rsidR="00FC1CBF">
        <w:t xml:space="preserve"> may have helped bring about these broader tariff reductions, by helping to </w:t>
      </w:r>
      <w:r w:rsidR="00FC1CBF" w:rsidRPr="004E76AD">
        <w:t>chang</w:t>
      </w:r>
      <w:r w:rsidR="00FC1CBF">
        <w:t>e</w:t>
      </w:r>
      <w:r w:rsidR="00FC1CBF" w:rsidRPr="004E76AD">
        <w:t xml:space="preserve"> opinions about trade protection for manufacturing, particularly in New Zealand (</w:t>
      </w:r>
      <w:proofErr w:type="spellStart"/>
      <w:r w:rsidR="00FC1CBF" w:rsidRPr="004E76AD">
        <w:t>Scollay</w:t>
      </w:r>
      <w:proofErr w:type="spellEnd"/>
      <w:r w:rsidR="00FC1CBF" w:rsidRPr="004E76AD">
        <w:t xml:space="preserve">, </w:t>
      </w:r>
      <w:r w:rsidR="00FC1CBF" w:rsidRPr="004E76AD">
        <w:lastRenderedPageBreak/>
        <w:t>Findlay and Kaufmann</w:t>
      </w:r>
      <w:r w:rsidR="007F45C1">
        <w:t> </w:t>
      </w:r>
      <w:r w:rsidR="00FC1CBF" w:rsidRPr="004E76AD">
        <w:t xml:space="preserve">2011). </w:t>
      </w:r>
      <w:r w:rsidR="00FC1CBF">
        <w:t>T</w:t>
      </w:r>
      <w:r w:rsidR="00FC1CBF" w:rsidRPr="001F40E3">
        <w:t>h</w:t>
      </w:r>
      <w:r w:rsidR="00FC1CBF">
        <w:t>e broader tariff reductions have</w:t>
      </w:r>
      <w:r w:rsidR="00FC1CBF" w:rsidRPr="001F40E3">
        <w:t xml:space="preserve"> greatly reduced tariff preferences for trans</w:t>
      </w:r>
      <w:r w:rsidR="00712945">
        <w:noBreakHyphen/>
      </w:r>
      <w:r w:rsidR="00FC1CBF" w:rsidRPr="001F40E3">
        <w:t>Tasman trade.</w:t>
      </w:r>
    </w:p>
    <w:p w14:paraId="1A6831B4" w14:textId="01C28D77" w:rsidR="008256D3" w:rsidRDefault="000401D7" w:rsidP="00FC6466">
      <w:pPr>
        <w:pStyle w:val="BodyText"/>
      </w:pPr>
      <w:r>
        <w:t xml:space="preserve">Accordingly, </w:t>
      </w:r>
      <w:r w:rsidR="002C6C70">
        <w:t xml:space="preserve">it is unclear </w:t>
      </w:r>
      <w:r>
        <w:t xml:space="preserve">whether </w:t>
      </w:r>
      <w:proofErr w:type="spellStart"/>
      <w:r>
        <w:t>CER</w:t>
      </w:r>
      <w:proofErr w:type="spellEnd"/>
      <w:r>
        <w:t xml:space="preserve"> reduc</w:t>
      </w:r>
      <w:r w:rsidR="002B7FA6">
        <w:t>tions in</w:t>
      </w:r>
      <w:r>
        <w:t xml:space="preserve"> tariff</w:t>
      </w:r>
      <w:r w:rsidR="002B7FA6">
        <w:t>s</w:t>
      </w:r>
      <w:r>
        <w:t xml:space="preserve"> and quantitative restrictions on goods trade </w:t>
      </w:r>
      <w:r w:rsidR="00D95CCB">
        <w:t>yielded overall</w:t>
      </w:r>
      <w:r>
        <w:t xml:space="preserve"> net benefits or net costs for Australia and New Zealand </w:t>
      </w:r>
      <w:r w:rsidR="005030DB">
        <w:t>in the past</w:t>
      </w:r>
      <w:r>
        <w:t xml:space="preserve">. What is clear is that </w:t>
      </w:r>
      <w:proofErr w:type="spellStart"/>
      <w:r>
        <w:t>CER</w:t>
      </w:r>
      <w:proofErr w:type="spellEnd"/>
      <w:r>
        <w:t xml:space="preserve"> tariff preferences are now low and so would be expected to provid</w:t>
      </w:r>
      <w:r w:rsidR="007F20F6">
        <w:t>e</w:t>
      </w:r>
      <w:r>
        <w:t xml:space="preserve"> </w:t>
      </w:r>
      <w:r w:rsidRPr="000401D7">
        <w:t xml:space="preserve">only a </w:t>
      </w:r>
      <w:r w:rsidR="005C14FB">
        <w:t>modest</w:t>
      </w:r>
      <w:r w:rsidR="005C14FB" w:rsidRPr="000401D7">
        <w:t xml:space="preserve"> </w:t>
      </w:r>
      <w:r w:rsidRPr="000401D7">
        <w:t>ongoing boost to trans</w:t>
      </w:r>
      <w:r w:rsidR="002D7363">
        <w:noBreakHyphen/>
      </w:r>
      <w:r w:rsidRPr="000401D7">
        <w:t>Tasman trade</w:t>
      </w:r>
      <w:r w:rsidR="008D505D">
        <w:t>,</w:t>
      </w:r>
      <w:r w:rsidR="002B7FA6">
        <w:t xml:space="preserve"> </w:t>
      </w:r>
      <w:r w:rsidR="00D95CCB">
        <w:t xml:space="preserve">with </w:t>
      </w:r>
      <w:r w:rsidR="00D70299">
        <w:t>minimal</w:t>
      </w:r>
      <w:r w:rsidR="002B7FA6">
        <w:t xml:space="preserve"> </w:t>
      </w:r>
      <w:r w:rsidR="00D95CCB">
        <w:t xml:space="preserve">incentive for </w:t>
      </w:r>
      <w:r w:rsidR="002B7FA6">
        <w:t>trade diversion</w:t>
      </w:r>
      <w:r w:rsidRPr="000401D7">
        <w:t>.</w:t>
      </w:r>
      <w:r w:rsidR="005030DB">
        <w:t xml:space="preserve"> Therefore, any ongoing economic effects </w:t>
      </w:r>
      <w:r w:rsidR="00B45129">
        <w:t xml:space="preserve">of </w:t>
      </w:r>
      <w:proofErr w:type="spellStart"/>
      <w:r w:rsidR="00B45129">
        <w:t>CER</w:t>
      </w:r>
      <w:proofErr w:type="spellEnd"/>
      <w:r w:rsidR="00B45129">
        <w:t xml:space="preserve"> tariff preferences </w:t>
      </w:r>
      <w:r w:rsidR="005030DB">
        <w:t>are likely to be small.</w:t>
      </w:r>
    </w:p>
    <w:p w14:paraId="2A478D20" w14:textId="1FB9CE26" w:rsidR="005030DB" w:rsidRDefault="002B7FA6" w:rsidP="00FC6466">
      <w:pPr>
        <w:pStyle w:val="BodyText"/>
      </w:pPr>
      <w:r>
        <w:t xml:space="preserve">The net benefits calculus for </w:t>
      </w:r>
      <w:proofErr w:type="spellStart"/>
      <w:r>
        <w:t>CER</w:t>
      </w:r>
      <w:proofErr w:type="spellEnd"/>
      <w:r>
        <w:t xml:space="preserve"> </w:t>
      </w:r>
      <w:r w:rsidR="002C6C70">
        <w:t xml:space="preserve">initiatives </w:t>
      </w:r>
      <w:r>
        <w:t>that aim to reduce behind-the-border barriers to goods trade is somewhat different. Such measures can increase trans</w:t>
      </w:r>
      <w:r w:rsidR="005030DB">
        <w:noBreakHyphen/>
      </w:r>
      <w:r>
        <w:t xml:space="preserve">Tasman trade, but have a lower propensity to </w:t>
      </w:r>
      <w:r w:rsidR="0081425C">
        <w:t xml:space="preserve">give rise to </w:t>
      </w:r>
      <w:r>
        <w:t xml:space="preserve">trade </w:t>
      </w:r>
      <w:r w:rsidR="0081425C">
        <w:t>costs</w:t>
      </w:r>
      <w:r>
        <w:t>.</w:t>
      </w:r>
    </w:p>
    <w:p w14:paraId="15FDCA16" w14:textId="77777777" w:rsidR="000401D7" w:rsidRDefault="005030DB" w:rsidP="00FC6466">
      <w:pPr>
        <w:pStyle w:val="BodyText"/>
      </w:pPr>
      <w:r>
        <w:t>R</w:t>
      </w:r>
      <w:r w:rsidR="00ED310F">
        <w:t xml:space="preserve">educing behind-the-border barriers can </w:t>
      </w:r>
      <w:r>
        <w:t xml:space="preserve">also </w:t>
      </w:r>
      <w:r w:rsidR="00ED310F">
        <w:t>save on resources devoted to complying</w:t>
      </w:r>
      <w:r>
        <w:t xml:space="preserve"> with and enforcing regulations</w:t>
      </w:r>
      <w:r w:rsidR="005F2FDA">
        <w:t xml:space="preserve">. For example, </w:t>
      </w:r>
      <w:r w:rsidR="00FB358B">
        <w:t>mutual recognition of product standards result</w:t>
      </w:r>
      <w:r w:rsidR="00B05384">
        <w:t>s</w:t>
      </w:r>
      <w:r w:rsidR="00FB358B">
        <w:t xml:space="preserve"> in firms only having to comply with one set of regulations rather than two.</w:t>
      </w:r>
      <w:r w:rsidR="005F2FDA">
        <w:t xml:space="preserve"> </w:t>
      </w:r>
      <w:r w:rsidR="00FB358B">
        <w:t>This can increase the gains from trade even if it does not increase the quantity of trade.</w:t>
      </w:r>
    </w:p>
    <w:p w14:paraId="443E7014" w14:textId="4851BD07" w:rsidR="0088386A" w:rsidRDefault="0088386A" w:rsidP="0088386A">
      <w:pPr>
        <w:pStyle w:val="BodyText"/>
      </w:pPr>
      <w:r>
        <w:t xml:space="preserve">One source of evidence </w:t>
      </w:r>
      <w:r w:rsidR="006A481C">
        <w:t xml:space="preserve">on the influence of behind-the-border </w:t>
      </w:r>
      <w:proofErr w:type="spellStart"/>
      <w:r w:rsidR="006A481C">
        <w:t>CER</w:t>
      </w:r>
      <w:proofErr w:type="spellEnd"/>
      <w:r w:rsidR="006A481C">
        <w:t xml:space="preserve"> initiatives on trans-Tasman trade is provided by </w:t>
      </w:r>
      <w:r>
        <w:t xml:space="preserve">the Australian Commission’s </w:t>
      </w:r>
      <w:r w:rsidRPr="00DE27AA">
        <w:t>Review of Mutual Recognition Schemes</w:t>
      </w:r>
      <w:r>
        <w:t xml:space="preserve">. This review examined the Mutual Recognition Agreement that operates within Australia as well as the </w:t>
      </w:r>
      <w:proofErr w:type="spellStart"/>
      <w:r w:rsidR="00B62618">
        <w:t>TTMRA</w:t>
      </w:r>
      <w:proofErr w:type="spellEnd"/>
      <w:r>
        <w:t>. The Review found:</w:t>
      </w:r>
    </w:p>
    <w:p w14:paraId="2A5E910C" w14:textId="792278FB" w:rsidR="0088386A" w:rsidRPr="0025406D" w:rsidRDefault="0088386A" w:rsidP="0088386A">
      <w:pPr>
        <w:pStyle w:val="Quote"/>
        <w:rPr>
          <w:sz w:val="22"/>
          <w:szCs w:val="22"/>
        </w:rPr>
      </w:pPr>
      <w:r w:rsidRPr="0025406D">
        <w:rPr>
          <w:sz w:val="22"/>
          <w:szCs w:val="22"/>
        </w:rPr>
        <w:t>The views expressed by participants to this review, along with analysis undertaken by the Commission, suggest that the schemes have been effective in increasing the mobility of goods and labour within Australia and across the Tasman …. In so doing, they have almost certainly promoted efficiency, by allowing people and products to move to those uses that contribute more to community wellbeing. (PC</w:t>
      </w:r>
      <w:r w:rsidR="007F45C1">
        <w:rPr>
          <w:sz w:val="22"/>
          <w:szCs w:val="22"/>
        </w:rPr>
        <w:t> </w:t>
      </w:r>
      <w:proofErr w:type="spellStart"/>
      <w:r w:rsidRPr="0025406D">
        <w:rPr>
          <w:sz w:val="22"/>
          <w:szCs w:val="22"/>
        </w:rPr>
        <w:t>2009</w:t>
      </w:r>
      <w:r w:rsidR="00181522">
        <w:rPr>
          <w:sz w:val="22"/>
          <w:szCs w:val="22"/>
        </w:rPr>
        <w:t>b</w:t>
      </w:r>
      <w:proofErr w:type="spellEnd"/>
      <w:r w:rsidRPr="0025406D">
        <w:rPr>
          <w:sz w:val="22"/>
          <w:szCs w:val="22"/>
        </w:rPr>
        <w:t>, p. xxiii)</w:t>
      </w:r>
    </w:p>
    <w:p w14:paraId="08EF54C7" w14:textId="02C46D9F" w:rsidR="00DE68A5" w:rsidRPr="00DE68A5" w:rsidRDefault="008F4310" w:rsidP="00DE68A5">
      <w:pPr>
        <w:pStyle w:val="BodyText"/>
      </w:pPr>
      <w:r>
        <w:t xml:space="preserve">However, initiatives to reduce behind-the-border </w:t>
      </w:r>
      <w:r w:rsidR="000443CB">
        <w:t xml:space="preserve">barriers </w:t>
      </w:r>
      <w:r>
        <w:t>are sometimes costly</w:t>
      </w:r>
      <w:r w:rsidR="00EA7BD9">
        <w:t xml:space="preserve"> to achieve</w:t>
      </w:r>
      <w:r>
        <w:t xml:space="preserve">, as demonstrated by efforts to introduce the </w:t>
      </w:r>
      <w:proofErr w:type="spellStart"/>
      <w:r w:rsidR="004F71B8">
        <w:t>ANZTPA</w:t>
      </w:r>
      <w:proofErr w:type="spellEnd"/>
      <w:r>
        <w:t xml:space="preserve"> (box</w:t>
      </w:r>
      <w:r w:rsidR="007F45C1">
        <w:t> </w:t>
      </w:r>
      <w:r w:rsidR="009E102F">
        <w:t>3.4</w:t>
      </w:r>
      <w:r>
        <w:t xml:space="preserve">). While this </w:t>
      </w:r>
      <w:r w:rsidR="006364CD">
        <w:t xml:space="preserve">initiative </w:t>
      </w:r>
      <w:r>
        <w:t xml:space="preserve">may in time prove to be worthwhile, so far considerable </w:t>
      </w:r>
      <w:r w:rsidR="005D2013">
        <w:t xml:space="preserve">time and </w:t>
      </w:r>
      <w:r w:rsidR="008943AA">
        <w:t>resources</w:t>
      </w:r>
      <w:r>
        <w:t xml:space="preserve"> have gone into this process </w:t>
      </w:r>
      <w:r w:rsidR="00BB13B5">
        <w:t>in expectation of future gains</w:t>
      </w:r>
      <w:r w:rsidR="005A3412">
        <w:t>.</w:t>
      </w:r>
    </w:p>
    <w:p w14:paraId="6093FA7B" w14:textId="77777777" w:rsidR="005852D3" w:rsidRDefault="005852D3" w:rsidP="00834D93">
      <w:pPr>
        <w:pStyle w:val="Heading3"/>
      </w:pPr>
      <w:r w:rsidRPr="005852D3">
        <w:t>Trade in services</w:t>
      </w:r>
      <w:r w:rsidR="005960D9">
        <w:t xml:space="preserve"> is </w:t>
      </w:r>
      <w:r w:rsidR="009B3A23">
        <w:t>partly</w:t>
      </w:r>
      <w:r w:rsidR="005960D9">
        <w:t xml:space="preserve"> liberalised</w:t>
      </w:r>
    </w:p>
    <w:p w14:paraId="27FD369F" w14:textId="7AFCF820" w:rsidR="00743030" w:rsidRDefault="00553C72" w:rsidP="009F390B">
      <w:pPr>
        <w:pStyle w:val="BodyText"/>
      </w:pPr>
      <w:r>
        <w:t xml:space="preserve">Many services </w:t>
      </w:r>
      <w:r w:rsidR="00CB6CF3">
        <w:t xml:space="preserve">(such as banking, education and health services) </w:t>
      </w:r>
      <w:r>
        <w:t xml:space="preserve">that </w:t>
      </w:r>
      <w:r w:rsidR="002C6C70">
        <w:t xml:space="preserve">previously </w:t>
      </w:r>
      <w:r>
        <w:t xml:space="preserve">have been considered </w:t>
      </w:r>
      <w:r w:rsidR="006638FC">
        <w:t xml:space="preserve">purely </w:t>
      </w:r>
      <w:r>
        <w:t xml:space="preserve">domestic activities </w:t>
      </w:r>
      <w:r w:rsidR="002C6C70">
        <w:t>are becoming</w:t>
      </w:r>
      <w:r>
        <w:t xml:space="preserve"> more </w:t>
      </w:r>
      <w:r w:rsidR="006638FC">
        <w:t>tradeable</w:t>
      </w:r>
      <w:r>
        <w:t xml:space="preserve"> due to new </w:t>
      </w:r>
      <w:r w:rsidR="002C6C70">
        <w:t xml:space="preserve">communication </w:t>
      </w:r>
      <w:r>
        <w:t xml:space="preserve">technologies. </w:t>
      </w:r>
      <w:r w:rsidR="005F4E5A">
        <w:t>The increasing importance of services trade</w:t>
      </w:r>
      <w:r w:rsidR="006638FC">
        <w:t xml:space="preserve"> has </w:t>
      </w:r>
      <w:r w:rsidR="005F4E5A">
        <w:t xml:space="preserve">led to </w:t>
      </w:r>
      <w:r w:rsidR="006638FC">
        <w:t xml:space="preserve">multilateral efforts to liberalise </w:t>
      </w:r>
      <w:r w:rsidR="0022091A">
        <w:t xml:space="preserve">such </w:t>
      </w:r>
      <w:r w:rsidR="006638FC">
        <w:t>trade, most notably through t</w:t>
      </w:r>
      <w:r w:rsidR="00A92DD0">
        <w:t xml:space="preserve">he </w:t>
      </w:r>
      <w:r w:rsidR="00A92DD0">
        <w:lastRenderedPageBreak/>
        <w:t>General Agreement on Trade in Services</w:t>
      </w:r>
      <w:r w:rsidR="006638FC">
        <w:t>, which commenced in 1995</w:t>
      </w:r>
      <w:r w:rsidR="000307D8">
        <w:t xml:space="preserve">. The </w:t>
      </w:r>
      <w:proofErr w:type="spellStart"/>
      <w:r w:rsidR="002C6C70" w:rsidRPr="009C7D7F">
        <w:t>CER</w:t>
      </w:r>
      <w:proofErr w:type="spellEnd"/>
      <w:r w:rsidR="002C6C70" w:rsidRPr="009C7D7F">
        <w:t xml:space="preserve"> Services Protocol</w:t>
      </w:r>
      <w:r w:rsidR="002C6C70">
        <w:t xml:space="preserve"> </w:t>
      </w:r>
      <w:r w:rsidR="006638FC">
        <w:t xml:space="preserve">pre-dates </w:t>
      </w:r>
      <w:r w:rsidR="00DD0D0F">
        <w:t>the General Agreement on Trade in Services</w:t>
      </w:r>
      <w:r w:rsidR="000307D8">
        <w:t>.</w:t>
      </w:r>
    </w:p>
    <w:p w14:paraId="382547DB" w14:textId="7B79AD7D" w:rsidR="00402B38" w:rsidRDefault="00402B38" w:rsidP="00402B38">
      <w:pPr>
        <w:pStyle w:val="BodyText"/>
      </w:pPr>
      <w:r>
        <w:t xml:space="preserve">Under the </w:t>
      </w:r>
      <w:proofErr w:type="spellStart"/>
      <w:r w:rsidRPr="009C7D7F">
        <w:t>CER</w:t>
      </w:r>
      <w:proofErr w:type="spellEnd"/>
      <w:r w:rsidRPr="009C7D7F">
        <w:t xml:space="preserve"> Services Protocol</w:t>
      </w:r>
      <w:r>
        <w:rPr>
          <w:i/>
        </w:rPr>
        <w:t xml:space="preserve"> </w:t>
      </w:r>
      <w:r w:rsidRPr="00504BE9">
        <w:t>b</w:t>
      </w:r>
      <w:r>
        <w:t xml:space="preserve">oth countries agreed to treat service providers in the other country </w:t>
      </w:r>
      <w:r w:rsidR="0022091A">
        <w:t xml:space="preserve">in </w:t>
      </w:r>
      <w:r>
        <w:t xml:space="preserve">the same </w:t>
      </w:r>
      <w:r w:rsidR="0022091A">
        <w:t xml:space="preserve">way </w:t>
      </w:r>
      <w:r>
        <w:t>as they treat their own (the ‘national treatment’ principle). Each country maintains some protections for particular services inscribed on a ‘negative list’ specified in an Annex to the Protocol.</w:t>
      </w:r>
      <w:r w:rsidRPr="008F5DB0">
        <w:t xml:space="preserve"> </w:t>
      </w:r>
      <w:r>
        <w:t>Articles 10 and 20 of the Protocol provide for the items on the list to be reviewed regularly, ‘with a view to the liberalisation of trade in such services and whether, and if so how, removal from the Annex could be achieved’.</w:t>
      </w:r>
      <w:r w:rsidRPr="00381978">
        <w:t xml:space="preserve"> Th</w:t>
      </w:r>
      <w:r>
        <w:t xml:space="preserve">e number of exclusions on this </w:t>
      </w:r>
      <w:r w:rsidRPr="00381978">
        <w:t>list has been progressively reduced</w:t>
      </w:r>
      <w:r>
        <w:t>,</w:t>
      </w:r>
      <w:r w:rsidRPr="00381978">
        <w:t xml:space="preserve"> </w:t>
      </w:r>
      <w:r>
        <w:t>as domestic economic reforms removed restrictions on competition in areas such as health insurance services, workers</w:t>
      </w:r>
      <w:r w:rsidR="0022091A">
        <w:t>’</w:t>
      </w:r>
      <w:r>
        <w:t xml:space="preserve"> compensation insurance and some postal services.</w:t>
      </w:r>
    </w:p>
    <w:p w14:paraId="09426B16" w14:textId="6B159B45" w:rsidR="00402B38" w:rsidRDefault="00402B38" w:rsidP="00402B38">
      <w:pPr>
        <w:pStyle w:val="BodyText"/>
      </w:pPr>
      <w:r>
        <w:t>T</w:t>
      </w:r>
      <w:r w:rsidRPr="00381978">
        <w:t xml:space="preserve">he </w:t>
      </w:r>
      <w:r>
        <w:t>r</w:t>
      </w:r>
      <w:r w:rsidRPr="00381978">
        <w:t xml:space="preserve">emaining </w:t>
      </w:r>
      <w:r>
        <w:t>exclusions</w:t>
      </w:r>
      <w:r w:rsidRPr="00C92DCE">
        <w:t>, specified in an Annex to the Protocol dated March 1999,</w:t>
      </w:r>
      <w:r>
        <w:t xml:space="preserve"> are </w:t>
      </w:r>
      <w:r w:rsidRPr="00381978">
        <w:t>in the areas of air services, broadcasting, third</w:t>
      </w:r>
      <w:r>
        <w:noBreakHyphen/>
      </w:r>
      <w:r w:rsidRPr="00381978">
        <w:t xml:space="preserve">party </w:t>
      </w:r>
      <w:r>
        <w:t xml:space="preserve">motor vehicle </w:t>
      </w:r>
      <w:r w:rsidRPr="00381978">
        <w:t>insurance, postal services and coastal shipping for Australia</w:t>
      </w:r>
      <w:r>
        <w:t>. A</w:t>
      </w:r>
      <w:r w:rsidRPr="00381978">
        <w:t xml:space="preserve">ir services and coastal shipping </w:t>
      </w:r>
      <w:r>
        <w:t>are the only remaining New Zealand exclusions</w:t>
      </w:r>
      <w:r w:rsidRPr="00381978">
        <w:t>.</w:t>
      </w:r>
    </w:p>
    <w:p w14:paraId="5412EC41" w14:textId="13C50F21" w:rsidR="00402B38" w:rsidRDefault="00402B38" w:rsidP="00402B38">
      <w:pPr>
        <w:pStyle w:val="BodyText"/>
      </w:pPr>
      <w:r w:rsidRPr="008F5DB0">
        <w:t>The exemption from the Protocol applies only to some aspects of the services concerned. For example, in the case of the Australian inscriptions:</w:t>
      </w:r>
    </w:p>
    <w:p w14:paraId="74FE5B77" w14:textId="77777777" w:rsidR="00402B38" w:rsidRDefault="00402B38" w:rsidP="00402B38">
      <w:pPr>
        <w:pStyle w:val="ListBullet"/>
      </w:pPr>
      <w:r w:rsidRPr="008F5DB0">
        <w:t xml:space="preserve">coastal shipping: the exemption applies to </w:t>
      </w:r>
      <w:proofErr w:type="spellStart"/>
      <w:r w:rsidRPr="008F5DB0">
        <w:t>cabotage</w:t>
      </w:r>
      <w:proofErr w:type="spellEnd"/>
      <w:r w:rsidRPr="008F5DB0">
        <w:t xml:space="preserve"> policy</w:t>
      </w:r>
    </w:p>
    <w:p w14:paraId="5D07ECF9" w14:textId="77777777" w:rsidR="00402B38" w:rsidRDefault="00402B38" w:rsidP="00402B38">
      <w:pPr>
        <w:pStyle w:val="ListBullet"/>
      </w:pPr>
      <w:r w:rsidRPr="008F5DB0">
        <w:t>broadcasting and television: limits on foreign ownership as set out in the Broadcasting Services Act 1992</w:t>
      </w:r>
    </w:p>
    <w:p w14:paraId="141AF955" w14:textId="0FAD97AE" w:rsidR="00402B38" w:rsidRDefault="00402B38" w:rsidP="00402B38">
      <w:pPr>
        <w:pStyle w:val="ListBullet"/>
      </w:pPr>
      <w:r w:rsidRPr="008F5DB0">
        <w:t>third</w:t>
      </w:r>
      <w:r w:rsidR="00E4310C">
        <w:noBreakHyphen/>
      </w:r>
      <w:r w:rsidRPr="008F5DB0">
        <w:t>party insurance: compulsory third</w:t>
      </w:r>
      <w:r w:rsidR="00E4310C">
        <w:noBreakHyphen/>
        <w:t>party</w:t>
      </w:r>
      <w:r w:rsidRPr="008F5DB0">
        <w:t xml:space="preserve"> motor vehicle insurance</w:t>
      </w:r>
    </w:p>
    <w:p w14:paraId="69DBE26E" w14:textId="77777777" w:rsidR="00402B38" w:rsidRDefault="00402B38" w:rsidP="00402B38">
      <w:pPr>
        <w:pStyle w:val="ListBullet"/>
      </w:pPr>
      <w:r w:rsidRPr="008F5DB0">
        <w:t>postal services: the exclusive right, set out in legislation, of Australia Post to carry letters for reward within Australia, whether the letters originated inside or outside Australia, subject to four specified exceptions.</w:t>
      </w:r>
    </w:p>
    <w:p w14:paraId="338A8AC6" w14:textId="626F7DCE" w:rsidR="00402B38" w:rsidRDefault="00402B38" w:rsidP="00402B38">
      <w:pPr>
        <w:pStyle w:val="BodyText"/>
      </w:pPr>
      <w:r>
        <w:t xml:space="preserve">Even though air services </w:t>
      </w:r>
      <w:r w:rsidR="0022091A">
        <w:t>are</w:t>
      </w:r>
      <w:r>
        <w:t xml:space="preserve"> excluded in both countries, substantial progress to open this sector to competition has been made </w:t>
      </w:r>
      <w:r w:rsidRPr="00C958BA">
        <w:t xml:space="preserve">through the Single Aviation </w:t>
      </w:r>
      <w:r>
        <w:t xml:space="preserve">Market Arrangements </w:t>
      </w:r>
      <w:r w:rsidRPr="00C958BA">
        <w:t>and Open Skies Agreement</w:t>
      </w:r>
      <w:r>
        <w:t>s.</w:t>
      </w:r>
    </w:p>
    <w:p w14:paraId="64FAAE96" w14:textId="5CDA526A" w:rsidR="00247530" w:rsidRDefault="00C6199C" w:rsidP="009F390B">
      <w:pPr>
        <w:pStyle w:val="BodyText"/>
      </w:pPr>
      <w:r>
        <w:t xml:space="preserve">The </w:t>
      </w:r>
      <w:proofErr w:type="spellStart"/>
      <w:r>
        <w:t>BIE</w:t>
      </w:r>
      <w:proofErr w:type="spellEnd"/>
      <w:r w:rsidR="007F45C1">
        <w:t> </w:t>
      </w:r>
      <w:r>
        <w:t xml:space="preserve">(1995) reported that </w:t>
      </w:r>
      <w:r w:rsidR="00BB13B5">
        <w:t xml:space="preserve">the </w:t>
      </w:r>
      <w:r>
        <w:t xml:space="preserve">main significance of the </w:t>
      </w:r>
      <w:proofErr w:type="spellStart"/>
      <w:r w:rsidR="002C6C70" w:rsidRPr="009C7D7F">
        <w:t>CER</w:t>
      </w:r>
      <w:proofErr w:type="spellEnd"/>
      <w:r w:rsidR="002C6C70" w:rsidRPr="009C7D7F">
        <w:t xml:space="preserve"> Services Protocol </w:t>
      </w:r>
      <w:r w:rsidRPr="00C6199C">
        <w:t>w</w:t>
      </w:r>
      <w:r>
        <w:t xml:space="preserve">as that it created an outward looking framework for services trade. Features of this framework include </w:t>
      </w:r>
      <w:r w:rsidR="00C311C9">
        <w:t>the use of a negative list (which prevents the exclusion of new services as they become trad</w:t>
      </w:r>
      <w:r w:rsidR="005C14FB">
        <w:t>e</w:t>
      </w:r>
      <w:r w:rsidR="00C311C9">
        <w:t xml:space="preserve">able) and the elimination of export subsidies for trans-Tasman trade. </w:t>
      </w:r>
      <w:proofErr w:type="spellStart"/>
      <w:r w:rsidR="006638FC">
        <w:t>Ochiai</w:t>
      </w:r>
      <w:proofErr w:type="spellEnd"/>
      <w:r w:rsidR="006638FC">
        <w:t>, Dee and Findlay</w:t>
      </w:r>
      <w:r w:rsidR="007F45C1">
        <w:t> </w:t>
      </w:r>
      <w:r w:rsidR="006638FC">
        <w:t xml:space="preserve">(2009) found the </w:t>
      </w:r>
      <w:proofErr w:type="spellStart"/>
      <w:r w:rsidR="002C6C70" w:rsidRPr="009C7D7F">
        <w:t>CER</w:t>
      </w:r>
      <w:proofErr w:type="spellEnd"/>
      <w:r w:rsidR="002C6C70" w:rsidRPr="009C7D7F">
        <w:t xml:space="preserve"> Services Protocol</w:t>
      </w:r>
      <w:r w:rsidR="002C6C70">
        <w:t xml:space="preserve"> </w:t>
      </w:r>
      <w:r w:rsidR="006638FC">
        <w:t xml:space="preserve">to be relatively liberal compared to </w:t>
      </w:r>
      <w:r w:rsidR="00D27DC5">
        <w:t>other agreements in the Asia</w:t>
      </w:r>
      <w:r w:rsidR="008D505D">
        <w:noBreakHyphen/>
      </w:r>
      <w:r w:rsidR="00D27DC5">
        <w:t xml:space="preserve">Pacific region. This was mainly due to </w:t>
      </w:r>
      <w:proofErr w:type="spellStart"/>
      <w:r w:rsidR="00D27DC5">
        <w:t>CER</w:t>
      </w:r>
      <w:proofErr w:type="spellEnd"/>
      <w:r w:rsidR="00D27DC5">
        <w:t xml:space="preserve"> having </w:t>
      </w:r>
      <w:r w:rsidR="002C6C70">
        <w:t>few</w:t>
      </w:r>
      <w:r w:rsidR="00D27DC5">
        <w:t xml:space="preserve"> excluded sectors and no reservations that apply across all sectors.</w:t>
      </w:r>
    </w:p>
    <w:p w14:paraId="00089679" w14:textId="77777777" w:rsidR="00EE357D" w:rsidRDefault="00EE357D" w:rsidP="009F390B">
      <w:pPr>
        <w:pStyle w:val="BodyText"/>
      </w:pPr>
      <w:r w:rsidRPr="00EE357D">
        <w:lastRenderedPageBreak/>
        <w:t>As with goods, there have also been efforts to reduce barriers to services trade caused by regulatory differences between Australia and New Zealand. For example, the Trans-Tasman Council on Banking Supervision was established in 200</w:t>
      </w:r>
      <w:r w:rsidR="00176DF5">
        <w:t>5</w:t>
      </w:r>
      <w:r w:rsidRPr="00EE357D">
        <w:t xml:space="preserve"> to promote a joint approach to banking supervision and to deliver a more seamless regulatory environment in banking services.</w:t>
      </w:r>
    </w:p>
    <w:p w14:paraId="64815B99" w14:textId="77777777" w:rsidR="00515050" w:rsidRDefault="00515050" w:rsidP="00515050">
      <w:pPr>
        <w:pStyle w:val="Heading4"/>
      </w:pPr>
      <w:r>
        <w:t>Influence on trade and net benefits</w:t>
      </w:r>
    </w:p>
    <w:p w14:paraId="51A3ECE6" w14:textId="080F538C" w:rsidR="000A7761" w:rsidRDefault="002C6C70" w:rsidP="009F390B">
      <w:pPr>
        <w:pStyle w:val="BodyText"/>
      </w:pPr>
      <w:r>
        <w:t xml:space="preserve">Available </w:t>
      </w:r>
      <w:r w:rsidR="00C243BB">
        <w:t>data</w:t>
      </w:r>
      <w:r>
        <w:t xml:space="preserve"> shows that</w:t>
      </w:r>
      <w:r w:rsidRPr="00C243BB">
        <w:t xml:space="preserve"> </w:t>
      </w:r>
      <w:r w:rsidR="00B0474C">
        <w:t>t</w:t>
      </w:r>
      <w:r w:rsidR="00B0474C" w:rsidRPr="00C243BB">
        <w:t xml:space="preserve">wo way trade in services </w:t>
      </w:r>
      <w:r w:rsidR="00B0474C">
        <w:t>between Australia and New Zealand a</w:t>
      </w:r>
      <w:r w:rsidR="00B0474C" w:rsidRPr="00C243BB">
        <w:t xml:space="preserve">mounted to </w:t>
      </w:r>
      <w:r w:rsidR="009D1B39">
        <w:t xml:space="preserve">about </w:t>
      </w:r>
      <w:proofErr w:type="spellStart"/>
      <w:r w:rsidR="005C14FB">
        <w:t>A</w:t>
      </w:r>
      <w:r w:rsidR="00B0474C" w:rsidRPr="00C243BB">
        <w:t>$</w:t>
      </w:r>
      <w:r w:rsidR="009D1B39">
        <w:t>6</w:t>
      </w:r>
      <w:proofErr w:type="spellEnd"/>
      <w:r w:rsidR="003B38C6">
        <w:t> </w:t>
      </w:r>
      <w:r w:rsidR="00B0474C" w:rsidRPr="00C243BB">
        <w:t>billion in 2010</w:t>
      </w:r>
      <w:r w:rsidR="00B0474C">
        <w:t xml:space="preserve"> (figure </w:t>
      </w:r>
      <w:r w:rsidR="00D41A7C">
        <w:t>3.4</w:t>
      </w:r>
      <w:r w:rsidR="00B0474C">
        <w:t>)</w:t>
      </w:r>
      <w:r w:rsidR="00C243BB" w:rsidRPr="00C243BB">
        <w:t>.</w:t>
      </w:r>
      <w:r w:rsidR="00F67FCB">
        <w:t xml:space="preserve"> </w:t>
      </w:r>
      <w:r w:rsidR="00FE3C6B">
        <w:t>New Zealand is a considerably more important destination for Australia’s services than for its merchandise, receiving</w:t>
      </w:r>
      <w:r w:rsidR="00F67FCB">
        <w:t xml:space="preserve"> 6 </w:t>
      </w:r>
      <w:proofErr w:type="spellStart"/>
      <w:r w:rsidR="00F67FCB">
        <w:t>percent</w:t>
      </w:r>
      <w:proofErr w:type="spellEnd"/>
      <w:r w:rsidR="00F67FCB">
        <w:t xml:space="preserve"> of services exports </w:t>
      </w:r>
      <w:r w:rsidR="00FE3C6B">
        <w:t>versus 3 </w:t>
      </w:r>
      <w:proofErr w:type="spellStart"/>
      <w:r w:rsidR="00FE3C6B">
        <w:t>percent</w:t>
      </w:r>
      <w:proofErr w:type="spellEnd"/>
      <w:r w:rsidR="00FE3C6B">
        <w:t xml:space="preserve"> of</w:t>
      </w:r>
      <w:r w:rsidR="00F67FCB">
        <w:t xml:space="preserve"> merchandise exports.</w:t>
      </w:r>
    </w:p>
    <w:p w14:paraId="18C425C0" w14:textId="5A8976B1" w:rsidR="00C243BB" w:rsidRPr="00903092" w:rsidRDefault="00C243BB" w:rsidP="00C243BB">
      <w:pPr>
        <w:keepNext/>
        <w:keepLines/>
        <w:spacing w:before="360" w:after="80" w:line="280" w:lineRule="exact"/>
        <w:ind w:left="1474" w:hanging="1474"/>
        <w:rPr>
          <w:rFonts w:ascii="Arial" w:hAnsi="Arial"/>
          <w:b/>
          <w:sz w:val="24"/>
        </w:rPr>
      </w:pPr>
      <w:r w:rsidRPr="00254B99">
        <w:rPr>
          <w:rFonts w:ascii="Arial" w:hAnsi="Arial"/>
          <w:sz w:val="24"/>
        </w:rPr>
        <w:t xml:space="preserve">Figure </w:t>
      </w:r>
      <w:bookmarkStart w:id="5" w:name="OLE_LINK5"/>
      <w:r w:rsidRPr="00254B99">
        <w:rPr>
          <w:rFonts w:ascii="Arial" w:hAnsi="Arial"/>
          <w:sz w:val="24"/>
        </w:rPr>
        <w:fldChar w:fldCharType="begin"/>
      </w:r>
      <w:r w:rsidRPr="00254B99">
        <w:rPr>
          <w:rFonts w:ascii="Arial" w:hAnsi="Arial"/>
          <w:sz w:val="24"/>
        </w:rPr>
        <w:instrText xml:space="preserve"> COMMENTS  \* MERGEFORMAT </w:instrText>
      </w:r>
      <w:r w:rsidRPr="00254B99">
        <w:rPr>
          <w:rFonts w:ascii="Arial" w:hAnsi="Arial"/>
          <w:sz w:val="24"/>
        </w:rPr>
        <w:fldChar w:fldCharType="separate"/>
      </w:r>
      <w:r w:rsidR="005256BE" w:rsidRPr="00254B99">
        <w:rPr>
          <w:rFonts w:ascii="Arial" w:hAnsi="Arial"/>
          <w:sz w:val="24"/>
        </w:rPr>
        <w:t>3.</w:t>
      </w:r>
      <w:r w:rsidRPr="00254B99">
        <w:rPr>
          <w:rFonts w:ascii="Arial" w:hAnsi="Arial"/>
          <w:sz w:val="24"/>
        </w:rPr>
        <w:fldChar w:fldCharType="end"/>
      </w:r>
      <w:r w:rsidR="007C1C05" w:rsidRPr="00254B99">
        <w:rPr>
          <w:rFonts w:ascii="Arial" w:hAnsi="Arial"/>
          <w:sz w:val="24"/>
        </w:rPr>
        <w:fldChar w:fldCharType="begin"/>
      </w:r>
      <w:r w:rsidR="007C1C05" w:rsidRPr="00254B99">
        <w:rPr>
          <w:rFonts w:ascii="Arial" w:hAnsi="Arial"/>
          <w:sz w:val="24"/>
        </w:rPr>
        <w:instrText xml:space="preserve"> SEQ Figure \* ARABIC </w:instrText>
      </w:r>
      <w:r w:rsidR="007C1C05" w:rsidRPr="00254B99">
        <w:rPr>
          <w:rFonts w:ascii="Arial" w:hAnsi="Arial"/>
          <w:sz w:val="24"/>
        </w:rPr>
        <w:fldChar w:fldCharType="separate"/>
      </w:r>
      <w:r w:rsidR="00EE0939">
        <w:rPr>
          <w:rFonts w:ascii="Arial" w:hAnsi="Arial"/>
          <w:noProof/>
          <w:sz w:val="24"/>
        </w:rPr>
        <w:t>4</w:t>
      </w:r>
      <w:r w:rsidR="007C1C05" w:rsidRPr="00254B99">
        <w:rPr>
          <w:rFonts w:ascii="Arial" w:hAnsi="Arial"/>
          <w:sz w:val="24"/>
        </w:rPr>
        <w:fldChar w:fldCharType="end"/>
      </w:r>
      <w:bookmarkEnd w:id="5"/>
      <w:r>
        <w:tab/>
      </w:r>
      <w:r w:rsidR="006D64FE">
        <w:rPr>
          <w:rFonts w:ascii="Arial" w:hAnsi="Arial"/>
          <w:b/>
          <w:sz w:val="24"/>
        </w:rPr>
        <w:t>Trans-Tasman s</w:t>
      </w:r>
      <w:r w:rsidRPr="00903092">
        <w:rPr>
          <w:rFonts w:ascii="Arial" w:hAnsi="Arial"/>
          <w:b/>
          <w:sz w:val="24"/>
        </w:rPr>
        <w:t>ervices trade</w:t>
      </w:r>
      <w:r>
        <w:rPr>
          <w:rFonts w:ascii="Arial" w:hAnsi="Arial"/>
          <w:b/>
          <w:sz w:val="24"/>
        </w:rPr>
        <w:t>, 2010 prices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243BB" w14:paraId="7C6610A3" w14:textId="77777777" w:rsidTr="009B61CF">
        <w:tc>
          <w:tcPr>
            <w:tcW w:w="8777" w:type="dxa"/>
          </w:tcPr>
          <w:p w14:paraId="37E8E355" w14:textId="7FAA4EF3" w:rsidR="00C243BB" w:rsidRDefault="009B61CF">
            <w:pPr>
              <w:pStyle w:val="Figure"/>
            </w:pPr>
            <w:r w:rsidRPr="009B61CF">
              <w:rPr>
                <w:noProof/>
              </w:rPr>
              <w:drawing>
                <wp:inline distT="0" distB="0" distL="0" distR="0" wp14:anchorId="43A3BFBB" wp14:editId="337E0001">
                  <wp:extent cx="5421772" cy="2880000"/>
                  <wp:effectExtent l="0" t="0" r="7620" b="0"/>
                  <wp:docPr id="1" name="Chart 1" descr="Figure 3.4: Services trade between Australia and New Zealand, 2010 prices. Shows (for 2000 to 2010):&#10;- Services exports from Australia to New Zealand&#10;- Services exports from New Zealand to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14:paraId="72993878" w14:textId="050C31DA" w:rsidR="00C243BB" w:rsidRPr="00903092" w:rsidRDefault="00B05384" w:rsidP="00083E90">
      <w:pPr>
        <w:pStyle w:val="Source"/>
      </w:pPr>
      <w:r>
        <w:rPr>
          <w:i/>
        </w:rPr>
        <w:t>S</w:t>
      </w:r>
      <w:r w:rsidR="00C243BB" w:rsidRPr="00903092">
        <w:rPr>
          <w:i/>
        </w:rPr>
        <w:t>ource</w:t>
      </w:r>
      <w:r w:rsidR="00C243BB" w:rsidRPr="00903092">
        <w:t>: ABS</w:t>
      </w:r>
      <w:r w:rsidR="007F45C1">
        <w:t> </w:t>
      </w:r>
      <w:r w:rsidR="00C243BB" w:rsidRPr="00903092">
        <w:t>(</w:t>
      </w:r>
      <w:proofErr w:type="spellStart"/>
      <w:r w:rsidR="00F56E30">
        <w:t>2011</w:t>
      </w:r>
      <w:r w:rsidR="001E089C">
        <w:t>b</w:t>
      </w:r>
      <w:proofErr w:type="spellEnd"/>
      <w:r w:rsidR="00F56E30">
        <w:t>)</w:t>
      </w:r>
      <w:r w:rsidR="00C243BB" w:rsidRPr="00903092">
        <w:rPr>
          <w:sz w:val="16"/>
          <w:szCs w:val="16"/>
        </w:rPr>
        <w:t>.</w:t>
      </w:r>
    </w:p>
    <w:p w14:paraId="7B184C26" w14:textId="6E04AD3A" w:rsidR="002E4CE4" w:rsidRDefault="000A7761" w:rsidP="009F390B">
      <w:pPr>
        <w:pStyle w:val="BodyText"/>
      </w:pPr>
      <w:r>
        <w:t>T</w:t>
      </w:r>
      <w:r w:rsidRPr="00C243BB">
        <w:t xml:space="preserve">he value of New Zealand’s services exports to Australia has grown </w:t>
      </w:r>
      <w:r>
        <w:t>over the last 10</w:t>
      </w:r>
      <w:r w:rsidRPr="00C243BB">
        <w:t xml:space="preserve"> years</w:t>
      </w:r>
      <w:r>
        <w:t xml:space="preserve">, while there </w:t>
      </w:r>
      <w:r w:rsidRPr="00C243BB">
        <w:t>is no clear trend in the value of Australia’s services exports to New Zealand</w:t>
      </w:r>
      <w:r>
        <w:t xml:space="preserve">. However, little can be inferred from these data about the effects of </w:t>
      </w:r>
      <w:proofErr w:type="spellStart"/>
      <w:r>
        <w:t>CER</w:t>
      </w:r>
      <w:proofErr w:type="spellEnd"/>
      <w:r>
        <w:t xml:space="preserve"> on services trade, due to there being only 10</w:t>
      </w:r>
      <w:r w:rsidR="008D3889">
        <w:t> </w:t>
      </w:r>
      <w:r>
        <w:t xml:space="preserve">years of data </w:t>
      </w:r>
      <w:r w:rsidR="00985101">
        <w:t xml:space="preserve">and because the data is far from comprehensive (for example, </w:t>
      </w:r>
      <w:r w:rsidR="00F67FCB">
        <w:t xml:space="preserve">it excludes </w:t>
      </w:r>
      <w:r w:rsidR="00985101">
        <w:t>trade via commercial presence)</w:t>
      </w:r>
      <w:r>
        <w:t>.</w:t>
      </w:r>
      <w:r w:rsidR="008D3889">
        <w:t xml:space="preserve"> </w:t>
      </w:r>
      <w:r w:rsidR="00985101">
        <w:t xml:space="preserve">As such, </w:t>
      </w:r>
      <w:r w:rsidR="00F71E6B">
        <w:t xml:space="preserve">there is value in examining the experience of particular services sectors. </w:t>
      </w:r>
      <w:r w:rsidR="008D3889">
        <w:t>S</w:t>
      </w:r>
      <w:r w:rsidR="002E4CE4">
        <w:t>ome sectors have experienced marked increase</w:t>
      </w:r>
      <w:r w:rsidR="008D3889">
        <w:t>s</w:t>
      </w:r>
      <w:r w:rsidR="002E4CE4">
        <w:t xml:space="preserve"> in trans</w:t>
      </w:r>
      <w:r w:rsidR="009C5ACE">
        <w:noBreakHyphen/>
      </w:r>
      <w:r w:rsidR="002E4CE4">
        <w:t xml:space="preserve">Tasman trade since </w:t>
      </w:r>
      <w:proofErr w:type="spellStart"/>
      <w:r w:rsidR="002E4CE4">
        <w:t>CER</w:t>
      </w:r>
      <w:proofErr w:type="spellEnd"/>
      <w:r w:rsidR="002E4CE4">
        <w:t xml:space="preserve"> </w:t>
      </w:r>
      <w:r w:rsidR="00BC3069">
        <w:t xml:space="preserve">commenced and </w:t>
      </w:r>
      <w:proofErr w:type="spellStart"/>
      <w:r w:rsidR="002E4CE4">
        <w:t>CER</w:t>
      </w:r>
      <w:proofErr w:type="spellEnd"/>
      <w:r w:rsidR="002E4CE4">
        <w:t xml:space="preserve"> initiatives may have played a role</w:t>
      </w:r>
      <w:r w:rsidR="00BC3069">
        <w:t xml:space="preserve"> (table</w:t>
      </w:r>
      <w:r w:rsidR="007F45C1">
        <w:t> </w:t>
      </w:r>
      <w:r w:rsidR="00BC3069">
        <w:t>3.1)</w:t>
      </w:r>
      <w:r w:rsidR="002E4CE4">
        <w:t>.</w:t>
      </w:r>
    </w:p>
    <w:p w14:paraId="6E2E580B" w14:textId="18A00A5D" w:rsidR="002E4CE4" w:rsidRDefault="002E4CE4">
      <w:pPr>
        <w:pStyle w:val="TableTitle"/>
      </w:pPr>
      <w:r>
        <w:rPr>
          <w:b w:val="0"/>
        </w:rPr>
        <w:lastRenderedPageBreak/>
        <w:t xml:space="preserve">Table </w:t>
      </w:r>
      <w:bookmarkStart w:id="6" w:name="OLE_LINK12"/>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Table \* ARABIC </w:instrText>
      </w:r>
      <w:r>
        <w:rPr>
          <w:b w:val="0"/>
        </w:rPr>
        <w:fldChar w:fldCharType="separate"/>
      </w:r>
      <w:r w:rsidR="00EE0939">
        <w:rPr>
          <w:b w:val="0"/>
          <w:noProof/>
        </w:rPr>
        <w:t>1</w:t>
      </w:r>
      <w:r>
        <w:rPr>
          <w:b w:val="0"/>
        </w:rPr>
        <w:fldChar w:fldCharType="end"/>
      </w:r>
      <w:bookmarkEnd w:id="6"/>
      <w:r>
        <w:tab/>
      </w:r>
      <w:r w:rsidR="00985101">
        <w:t>E</w:t>
      </w:r>
      <w:r w:rsidR="00B73B6F">
        <w:t xml:space="preserve">ffects of </w:t>
      </w:r>
      <w:proofErr w:type="spellStart"/>
      <w:r w:rsidR="00B73B6F">
        <w:t>CER</w:t>
      </w:r>
      <w:proofErr w:type="spellEnd"/>
      <w:r w:rsidR="00B73B6F">
        <w:t xml:space="preserve"> in selected services sectors</w:t>
      </w:r>
    </w:p>
    <w:tbl>
      <w:tblPr>
        <w:tblW w:w="5000" w:type="pct"/>
        <w:tblLayout w:type="fixed"/>
        <w:tblCellMar>
          <w:left w:w="0" w:type="dxa"/>
          <w:right w:w="0" w:type="dxa"/>
        </w:tblCellMar>
        <w:tblLook w:val="0000" w:firstRow="0" w:lastRow="0" w:firstColumn="0" w:lastColumn="0" w:noHBand="0" w:noVBand="0"/>
      </w:tblPr>
      <w:tblGrid>
        <w:gridCol w:w="284"/>
        <w:gridCol w:w="4678"/>
        <w:gridCol w:w="3827"/>
      </w:tblGrid>
      <w:tr w:rsidR="0025406D" w14:paraId="35E79693" w14:textId="77777777" w:rsidTr="0025406D">
        <w:tc>
          <w:tcPr>
            <w:tcW w:w="2823" w:type="pct"/>
            <w:gridSpan w:val="2"/>
            <w:tcBorders>
              <w:top w:val="single" w:sz="6" w:space="0" w:color="auto"/>
              <w:bottom w:val="single" w:sz="6" w:space="0" w:color="auto"/>
            </w:tcBorders>
            <w:shd w:val="clear" w:color="auto" w:fill="E7ECCE"/>
          </w:tcPr>
          <w:p w14:paraId="02F4A326" w14:textId="77777777" w:rsidR="0025406D" w:rsidRDefault="0025406D" w:rsidP="00AC77C7">
            <w:pPr>
              <w:pStyle w:val="TableColumnHeading"/>
              <w:jc w:val="left"/>
            </w:pPr>
            <w:r>
              <w:t>Sector</w:t>
            </w:r>
          </w:p>
        </w:tc>
        <w:tc>
          <w:tcPr>
            <w:tcW w:w="2177" w:type="pct"/>
            <w:tcBorders>
              <w:top w:val="single" w:sz="6" w:space="0" w:color="auto"/>
              <w:bottom w:val="single" w:sz="6" w:space="0" w:color="auto"/>
            </w:tcBorders>
            <w:shd w:val="clear" w:color="auto" w:fill="E7ECCE"/>
          </w:tcPr>
          <w:p w14:paraId="7E2393BC" w14:textId="4EBA4BA1" w:rsidR="0025406D" w:rsidRDefault="00985101" w:rsidP="00985101">
            <w:pPr>
              <w:pStyle w:val="TableColumnHeading"/>
              <w:ind w:right="28"/>
              <w:jc w:val="left"/>
            </w:pPr>
            <w:r>
              <w:t>R</w:t>
            </w:r>
            <w:r w:rsidR="0025406D">
              <w:t xml:space="preserve">ole of </w:t>
            </w:r>
            <w:proofErr w:type="spellStart"/>
            <w:r w:rsidR="0025406D">
              <w:t>CER</w:t>
            </w:r>
            <w:proofErr w:type="spellEnd"/>
            <w:r w:rsidR="0025406D">
              <w:t xml:space="preserve"> and other factors</w:t>
            </w:r>
          </w:p>
        </w:tc>
      </w:tr>
      <w:tr w:rsidR="002855AB" w14:paraId="38D287F5" w14:textId="77777777" w:rsidTr="002855AB">
        <w:tc>
          <w:tcPr>
            <w:tcW w:w="2823" w:type="pct"/>
            <w:gridSpan w:val="2"/>
            <w:tcBorders>
              <w:top w:val="single" w:sz="6" w:space="0" w:color="auto"/>
            </w:tcBorders>
          </w:tcPr>
          <w:p w14:paraId="108858CD" w14:textId="77777777" w:rsidR="002855AB" w:rsidRPr="000775DC" w:rsidRDefault="002855AB" w:rsidP="002855AB">
            <w:pPr>
              <w:pStyle w:val="TableUnitsRow"/>
              <w:jc w:val="left"/>
              <w:rPr>
                <w:b/>
              </w:rPr>
            </w:pPr>
            <w:r w:rsidRPr="000775DC">
              <w:rPr>
                <w:b/>
              </w:rPr>
              <w:t>Air services</w:t>
            </w:r>
          </w:p>
        </w:tc>
        <w:tc>
          <w:tcPr>
            <w:tcW w:w="2177" w:type="pct"/>
            <w:tcBorders>
              <w:top w:val="single" w:sz="6" w:space="0" w:color="auto"/>
            </w:tcBorders>
          </w:tcPr>
          <w:p w14:paraId="59C36A51" w14:textId="77777777" w:rsidR="002855AB" w:rsidRPr="002855AB" w:rsidRDefault="002855AB" w:rsidP="00F71E6B">
            <w:pPr>
              <w:pStyle w:val="TableUnitsRow"/>
              <w:ind w:right="28"/>
            </w:pPr>
          </w:p>
        </w:tc>
      </w:tr>
      <w:tr w:rsidR="002E4CE4" w14:paraId="20C707E4" w14:textId="77777777" w:rsidTr="00BD415A">
        <w:tc>
          <w:tcPr>
            <w:tcW w:w="162" w:type="pct"/>
          </w:tcPr>
          <w:p w14:paraId="7FB6965F" w14:textId="77777777" w:rsidR="002E4CE4" w:rsidRDefault="002E4CE4" w:rsidP="002E4CE4">
            <w:pPr>
              <w:pStyle w:val="TableUnitsRow"/>
              <w:jc w:val="left"/>
            </w:pPr>
          </w:p>
        </w:tc>
        <w:tc>
          <w:tcPr>
            <w:tcW w:w="2661" w:type="pct"/>
          </w:tcPr>
          <w:p w14:paraId="1AB3A896" w14:textId="44958E30" w:rsidR="002E4CE4" w:rsidRDefault="002855AB" w:rsidP="00985101">
            <w:pPr>
              <w:pStyle w:val="TableBodyText"/>
              <w:jc w:val="left"/>
            </w:pPr>
            <w:r w:rsidRPr="002855AB">
              <w:t>Since 1992, Australia and N</w:t>
            </w:r>
            <w:r w:rsidR="00C6199C">
              <w:t xml:space="preserve">ew </w:t>
            </w:r>
            <w:r w:rsidRPr="002855AB">
              <w:t>Z</w:t>
            </w:r>
            <w:r w:rsidR="00C6199C">
              <w:t xml:space="preserve">ealand </w:t>
            </w:r>
            <w:r w:rsidRPr="002855AB">
              <w:t>have negotiated agreements</w:t>
            </w:r>
            <w:r w:rsidR="00BC3069">
              <w:t xml:space="preserve"> that </w:t>
            </w:r>
            <w:r w:rsidRPr="002855AB">
              <w:t xml:space="preserve">have progressively strengthened competition in the trans-Tasman air services market. While Qantas and Air New Zealand continue to dominate the market, </w:t>
            </w:r>
            <w:r w:rsidR="008D3889">
              <w:t xml:space="preserve">more </w:t>
            </w:r>
            <w:r w:rsidRPr="002855AB">
              <w:t xml:space="preserve">airlines </w:t>
            </w:r>
            <w:r w:rsidR="008D3889">
              <w:t xml:space="preserve">now </w:t>
            </w:r>
            <w:r w:rsidRPr="002855AB">
              <w:t>fly across the Tasman. Low-cost carriers have emerged and there has been an increase in the diversity of routes. As a result of greater competition, downwards pressure ha</w:t>
            </w:r>
            <w:r w:rsidR="008A4FE9">
              <w:t>s</w:t>
            </w:r>
            <w:r w:rsidRPr="002855AB">
              <w:t xml:space="preserve"> been placed on airfares</w:t>
            </w:r>
            <w:r w:rsidR="008A4FE9">
              <w:t>,</w:t>
            </w:r>
            <w:r w:rsidRPr="002855AB">
              <w:t xml:space="preserve"> resulting in broad community benefits.</w:t>
            </w:r>
          </w:p>
        </w:tc>
        <w:tc>
          <w:tcPr>
            <w:tcW w:w="2177" w:type="pct"/>
          </w:tcPr>
          <w:p w14:paraId="79572F85" w14:textId="44768E05" w:rsidR="002E4CE4" w:rsidRPr="00A2451D" w:rsidRDefault="002855AB" w:rsidP="009C5ACE">
            <w:pPr>
              <w:pStyle w:val="TableBodyText"/>
              <w:jc w:val="left"/>
            </w:pPr>
            <w:proofErr w:type="spellStart"/>
            <w:r w:rsidRPr="00A2451D">
              <w:t>CER</w:t>
            </w:r>
            <w:proofErr w:type="spellEnd"/>
            <w:r w:rsidRPr="00A2451D">
              <w:t>-related agreements have made the trans-Tasman market one of the most liberal in the world. They allow fifth freedom rights (under which carriers from third countries are able to operate)</w:t>
            </w:r>
            <w:r w:rsidR="00BE095F">
              <w:t>,</w:t>
            </w:r>
            <w:r w:rsidRPr="00A2451D">
              <w:t xml:space="preserve"> as well as seventh freedom rights for cargo services. Eligible Australian and New Zealand airlines are also able to operate domestically in each country. </w:t>
            </w:r>
            <w:r w:rsidR="008A4FE9">
              <w:t>O</w:t>
            </w:r>
            <w:r w:rsidRPr="00A2451D">
              <w:t>wnership restrictions have also been relaxed.</w:t>
            </w:r>
          </w:p>
        </w:tc>
      </w:tr>
      <w:tr w:rsidR="002855AB" w14:paraId="0835CC70" w14:textId="77777777" w:rsidTr="002855AB">
        <w:tc>
          <w:tcPr>
            <w:tcW w:w="2823" w:type="pct"/>
            <w:gridSpan w:val="2"/>
          </w:tcPr>
          <w:p w14:paraId="0E867200" w14:textId="77777777" w:rsidR="002855AB" w:rsidRPr="000775DC" w:rsidRDefault="002855AB" w:rsidP="002855AB">
            <w:pPr>
              <w:pStyle w:val="TableBodyText"/>
              <w:jc w:val="left"/>
              <w:rPr>
                <w:b/>
              </w:rPr>
            </w:pPr>
            <w:r w:rsidRPr="000775DC">
              <w:rPr>
                <w:b/>
              </w:rPr>
              <w:t>Financial services</w:t>
            </w:r>
          </w:p>
        </w:tc>
        <w:tc>
          <w:tcPr>
            <w:tcW w:w="2177" w:type="pct"/>
          </w:tcPr>
          <w:p w14:paraId="56D01801" w14:textId="77777777" w:rsidR="002855AB" w:rsidRDefault="002855AB" w:rsidP="002E4CE4">
            <w:pPr>
              <w:pStyle w:val="TableBodyText"/>
              <w:ind w:right="28"/>
            </w:pPr>
          </w:p>
        </w:tc>
      </w:tr>
      <w:tr w:rsidR="002E4CE4" w14:paraId="6F6FC2C7" w14:textId="77777777" w:rsidTr="00BD415A">
        <w:tc>
          <w:tcPr>
            <w:tcW w:w="162" w:type="pct"/>
          </w:tcPr>
          <w:p w14:paraId="12F091A6" w14:textId="77777777" w:rsidR="002E4CE4" w:rsidRDefault="002E4CE4" w:rsidP="002E4CE4">
            <w:pPr>
              <w:pStyle w:val="TableBodyText"/>
              <w:jc w:val="left"/>
            </w:pPr>
          </w:p>
        </w:tc>
        <w:tc>
          <w:tcPr>
            <w:tcW w:w="2661" w:type="pct"/>
          </w:tcPr>
          <w:p w14:paraId="3210402F" w14:textId="13332AB7" w:rsidR="002E4CE4" w:rsidRDefault="00C1136E" w:rsidP="0022091A">
            <w:pPr>
              <w:pStyle w:val="TableBodyText"/>
              <w:jc w:val="left"/>
            </w:pPr>
            <w:r>
              <w:rPr>
                <w:rFonts w:cs="Arial"/>
              </w:rPr>
              <w:t>Australian banks now own almost 90</w:t>
            </w:r>
            <w:r w:rsidR="0022091A">
              <w:rPr>
                <w:rFonts w:cs="Arial"/>
              </w:rPr>
              <w:t xml:space="preserve"> </w:t>
            </w:r>
            <w:proofErr w:type="spellStart"/>
            <w:r w:rsidR="0022091A">
              <w:rPr>
                <w:rFonts w:cs="Arial"/>
              </w:rPr>
              <w:t>percent</w:t>
            </w:r>
            <w:proofErr w:type="spellEnd"/>
            <w:r>
              <w:rPr>
                <w:rFonts w:cs="Arial"/>
              </w:rPr>
              <w:t xml:space="preserve"> of the New Zealand banking sector. There is also a high level of Australian ownership of the New Zealand insurance industry. The integrated financial systems have played a role in each country’s economic growth</w:t>
            </w:r>
            <w:r w:rsidR="00BE095F">
              <w:rPr>
                <w:rFonts w:cs="Arial"/>
              </w:rPr>
              <w:t>.</w:t>
            </w:r>
            <w:r>
              <w:rPr>
                <w:rFonts w:cs="Arial"/>
              </w:rPr>
              <w:t xml:space="preserve"> </w:t>
            </w:r>
            <w:r w:rsidR="00BE095F">
              <w:rPr>
                <w:rFonts w:cs="Arial"/>
              </w:rPr>
              <w:t>S</w:t>
            </w:r>
            <w:r>
              <w:rPr>
                <w:rFonts w:cs="Arial"/>
              </w:rPr>
              <w:t>ound allocation of capital has enabled funding of economic opportunities, while at the same time encouraging efficiency in financial services.</w:t>
            </w:r>
          </w:p>
        </w:tc>
        <w:tc>
          <w:tcPr>
            <w:tcW w:w="2177" w:type="pct"/>
          </w:tcPr>
          <w:p w14:paraId="347B0B5D" w14:textId="77777777" w:rsidR="002E4CE4" w:rsidRPr="00A2451D" w:rsidRDefault="00C1136E" w:rsidP="00097375">
            <w:pPr>
              <w:pStyle w:val="TableBodyText"/>
              <w:jc w:val="left"/>
            </w:pPr>
            <w:r>
              <w:t>Unilateral f</w:t>
            </w:r>
            <w:r w:rsidR="00422B7E" w:rsidRPr="00A2451D">
              <w:t xml:space="preserve">inancial market deregulation in both countries appears to have been the major driver of increased </w:t>
            </w:r>
            <w:r>
              <w:t>trans-Tasman integration</w:t>
            </w:r>
            <w:r w:rsidR="00422B7E" w:rsidRPr="00A2451D">
              <w:t xml:space="preserve">. However, it seems likely that the </w:t>
            </w:r>
            <w:proofErr w:type="spellStart"/>
            <w:r w:rsidR="00422B7E" w:rsidRPr="00A2451D">
              <w:t>CER</w:t>
            </w:r>
            <w:proofErr w:type="spellEnd"/>
            <w:r w:rsidR="00422B7E" w:rsidRPr="00A2451D">
              <w:t xml:space="preserve"> has </w:t>
            </w:r>
            <w:r>
              <w:t>produced benefits</w:t>
            </w:r>
            <w:r w:rsidR="00422B7E" w:rsidRPr="00A2451D">
              <w:t xml:space="preserve"> by harmoni</w:t>
            </w:r>
            <w:r w:rsidR="00C60885">
              <w:t>s</w:t>
            </w:r>
            <w:r>
              <w:t>ing</w:t>
            </w:r>
            <w:r w:rsidR="00422B7E" w:rsidRPr="00A2451D">
              <w:t xml:space="preserve"> certain regulatory procedures</w:t>
            </w:r>
            <w:r>
              <w:t xml:space="preserve"> </w:t>
            </w:r>
            <w:r w:rsidR="00BE095F">
              <w:t xml:space="preserve">in ways </w:t>
            </w:r>
            <w:r>
              <w:t>that reduce transaction costs.</w:t>
            </w:r>
          </w:p>
        </w:tc>
      </w:tr>
      <w:tr w:rsidR="002855AB" w14:paraId="32B8B6E9" w14:textId="77777777" w:rsidTr="002855AB">
        <w:tc>
          <w:tcPr>
            <w:tcW w:w="2823" w:type="pct"/>
            <w:gridSpan w:val="2"/>
            <w:shd w:val="clear" w:color="auto" w:fill="auto"/>
          </w:tcPr>
          <w:p w14:paraId="2D903DE3" w14:textId="77777777" w:rsidR="002855AB" w:rsidRPr="000775DC" w:rsidRDefault="002855AB" w:rsidP="002855AB">
            <w:pPr>
              <w:pStyle w:val="TableBodyText"/>
              <w:jc w:val="left"/>
              <w:rPr>
                <w:b/>
              </w:rPr>
            </w:pPr>
            <w:r w:rsidRPr="000775DC">
              <w:rPr>
                <w:b/>
              </w:rPr>
              <w:t>Telecommunications</w:t>
            </w:r>
          </w:p>
        </w:tc>
        <w:tc>
          <w:tcPr>
            <w:tcW w:w="2177" w:type="pct"/>
            <w:shd w:val="clear" w:color="auto" w:fill="auto"/>
          </w:tcPr>
          <w:p w14:paraId="11A2EF08" w14:textId="77777777" w:rsidR="002855AB" w:rsidRDefault="002855AB" w:rsidP="002855AB">
            <w:pPr>
              <w:pStyle w:val="TableBodyText"/>
              <w:ind w:right="28"/>
              <w:jc w:val="left"/>
            </w:pPr>
          </w:p>
        </w:tc>
      </w:tr>
      <w:tr w:rsidR="002E4CE4" w14:paraId="0E3E5288" w14:textId="77777777" w:rsidTr="00BD415A">
        <w:tc>
          <w:tcPr>
            <w:tcW w:w="162" w:type="pct"/>
            <w:tcBorders>
              <w:bottom w:val="single" w:sz="6" w:space="0" w:color="auto"/>
            </w:tcBorders>
            <w:shd w:val="clear" w:color="auto" w:fill="auto"/>
          </w:tcPr>
          <w:p w14:paraId="734DDA8A" w14:textId="77777777" w:rsidR="002E4CE4" w:rsidRDefault="002E4CE4" w:rsidP="002E4CE4">
            <w:pPr>
              <w:pStyle w:val="TableBodyText"/>
              <w:jc w:val="left"/>
            </w:pPr>
          </w:p>
        </w:tc>
        <w:tc>
          <w:tcPr>
            <w:tcW w:w="2661" w:type="pct"/>
            <w:tcBorders>
              <w:bottom w:val="single" w:sz="6" w:space="0" w:color="auto"/>
            </w:tcBorders>
            <w:shd w:val="clear" w:color="auto" w:fill="auto"/>
          </w:tcPr>
          <w:p w14:paraId="0CC5CE6E" w14:textId="2CFA5A3D" w:rsidR="002E4CE4" w:rsidRPr="00A2451D" w:rsidRDefault="00EE014D" w:rsidP="009C5ACE">
            <w:pPr>
              <w:pStyle w:val="TableBodyText"/>
              <w:jc w:val="left"/>
            </w:pPr>
            <w:r>
              <w:t xml:space="preserve">Until the late </w:t>
            </w:r>
            <w:proofErr w:type="spellStart"/>
            <w:r>
              <w:t>1980s</w:t>
            </w:r>
            <w:proofErr w:type="spellEnd"/>
            <w:r>
              <w:t>, t</w:t>
            </w:r>
            <w:r w:rsidR="00422B7E" w:rsidRPr="00A2451D">
              <w:t xml:space="preserve">elecommunications </w:t>
            </w:r>
            <w:r w:rsidR="00E611D5">
              <w:t xml:space="preserve">markets </w:t>
            </w:r>
            <w:r w:rsidR="00422B7E" w:rsidRPr="00A2451D">
              <w:t xml:space="preserve">in </w:t>
            </w:r>
            <w:r w:rsidR="008D3889">
              <w:t>both countries</w:t>
            </w:r>
            <w:r w:rsidR="00422B7E" w:rsidRPr="00A2451D">
              <w:t xml:space="preserve"> were dominated by vertically integrated, government</w:t>
            </w:r>
            <w:r w:rsidR="00422B7E" w:rsidRPr="00A2451D">
              <w:noBreakHyphen/>
              <w:t xml:space="preserve">owned monopolies. Both markets now have significant trans-Tasman and international commercial presence. </w:t>
            </w:r>
            <w:r w:rsidR="00E611D5">
              <w:t>For example</w:t>
            </w:r>
            <w:r w:rsidR="00BE095F">
              <w:t>:</w:t>
            </w:r>
            <w:r w:rsidR="00E611D5">
              <w:t xml:space="preserve"> </w:t>
            </w:r>
            <w:proofErr w:type="spellStart"/>
            <w:r w:rsidR="00422B7E" w:rsidRPr="00A2451D">
              <w:t>TelstraClear</w:t>
            </w:r>
            <w:proofErr w:type="spellEnd"/>
            <w:r w:rsidR="00422B7E" w:rsidRPr="00A2451D">
              <w:t xml:space="preserve"> (</w:t>
            </w:r>
            <w:r>
              <w:t>purchased by Voda</w:t>
            </w:r>
            <w:r w:rsidR="00E4310C">
              <w:t>f</w:t>
            </w:r>
            <w:r>
              <w:t>one from Telstra in 2012</w:t>
            </w:r>
            <w:r w:rsidR="00422B7E" w:rsidRPr="00A2451D">
              <w:t>),</w:t>
            </w:r>
            <w:r w:rsidR="00985101">
              <w:t xml:space="preserve"> </w:t>
            </w:r>
            <w:r w:rsidR="00985101" w:rsidRPr="00A2451D">
              <w:t>operate</w:t>
            </w:r>
            <w:r>
              <w:t>s</w:t>
            </w:r>
            <w:r w:rsidR="00985101" w:rsidRPr="00A2451D">
              <w:t xml:space="preserve"> </w:t>
            </w:r>
            <w:r w:rsidR="00422B7E" w:rsidRPr="00A2451D">
              <w:t xml:space="preserve">in New Zealand; and </w:t>
            </w:r>
            <w:proofErr w:type="spellStart"/>
            <w:r w:rsidR="00422B7E" w:rsidRPr="00A2451D">
              <w:t>AAPT</w:t>
            </w:r>
            <w:proofErr w:type="spellEnd"/>
            <w:r w:rsidR="00422B7E" w:rsidRPr="00A2451D">
              <w:t xml:space="preserve"> (owned by Telecom NZ), operates in Australia. Greater integration has generated benefits from increased competition and the availability of foreign skills and technology. Consumers and producers face lower prices and improved availability of services.</w:t>
            </w:r>
          </w:p>
        </w:tc>
        <w:tc>
          <w:tcPr>
            <w:tcW w:w="2177" w:type="pct"/>
            <w:tcBorders>
              <w:bottom w:val="single" w:sz="6" w:space="0" w:color="auto"/>
            </w:tcBorders>
            <w:shd w:val="clear" w:color="auto" w:fill="auto"/>
          </w:tcPr>
          <w:p w14:paraId="1B8D13D3" w14:textId="77777777" w:rsidR="002E4CE4" w:rsidRPr="00A2451D" w:rsidRDefault="00422B7E" w:rsidP="004C7BE8">
            <w:pPr>
              <w:pStyle w:val="TableBodyText"/>
              <w:jc w:val="left"/>
            </w:pPr>
            <w:r w:rsidRPr="00A2451D">
              <w:t xml:space="preserve">Technological change, domestic policy reform, and </w:t>
            </w:r>
            <w:proofErr w:type="spellStart"/>
            <w:r w:rsidRPr="00A2451D">
              <w:t>CER</w:t>
            </w:r>
            <w:proofErr w:type="spellEnd"/>
            <w:r w:rsidRPr="00A2451D">
              <w:t xml:space="preserve"> and WTO agreements have driven integration.</w:t>
            </w:r>
            <w:r w:rsidR="00C6199C" w:rsidRPr="00A2451D">
              <w:t xml:space="preserve"> </w:t>
            </w:r>
            <w:r w:rsidRPr="00A2451D">
              <w:t xml:space="preserve">From 1989, microeconomic reforms in both countries opened markets to new entrants. The </w:t>
            </w:r>
            <w:proofErr w:type="spellStart"/>
            <w:r w:rsidRPr="00A2451D">
              <w:t>CER</w:t>
            </w:r>
            <w:proofErr w:type="spellEnd"/>
            <w:r w:rsidRPr="00A2451D">
              <w:t xml:space="preserve"> Services </w:t>
            </w:r>
            <w:r w:rsidR="008D3889">
              <w:t xml:space="preserve">Protocol </w:t>
            </w:r>
            <w:r w:rsidRPr="00A2451D">
              <w:t>and the WTO’s Basic Agreement on Telecommunications supported these reforms</w:t>
            </w:r>
            <w:r w:rsidR="008D3889">
              <w:t xml:space="preserve">, </w:t>
            </w:r>
            <w:r w:rsidRPr="00A2451D">
              <w:t>furthering integration.</w:t>
            </w:r>
            <w:r w:rsidR="00C6199C" w:rsidRPr="00A2451D">
              <w:t xml:space="preserve"> </w:t>
            </w:r>
            <w:proofErr w:type="spellStart"/>
            <w:r w:rsidR="00C6199C" w:rsidRPr="00A2451D">
              <w:t>CER</w:t>
            </w:r>
            <w:proofErr w:type="spellEnd"/>
            <w:r w:rsidR="00C6199C" w:rsidRPr="00A2451D">
              <w:t xml:space="preserve"> ini</w:t>
            </w:r>
            <w:r w:rsidR="00A2451D">
              <w:t>ti</w:t>
            </w:r>
            <w:r w:rsidR="00C6199C" w:rsidRPr="00A2451D">
              <w:t>atives, such as t</w:t>
            </w:r>
            <w:r w:rsidRPr="00A2451D">
              <w:t>he harmonisation of consumer and competition law played a role by reducing business costs in the sector.</w:t>
            </w:r>
          </w:p>
        </w:tc>
      </w:tr>
    </w:tbl>
    <w:p w14:paraId="40B9FDB8" w14:textId="3FA26BF9" w:rsidR="002E4CE4" w:rsidRDefault="00195648" w:rsidP="009F390B">
      <w:pPr>
        <w:pStyle w:val="BodyText"/>
      </w:pPr>
      <w:r>
        <w:t>Establishing a commercial presence is the primary way that many services are traded internationally (</w:t>
      </w:r>
      <w:r w:rsidR="009055F4">
        <w:t>Hardin and Holmes</w:t>
      </w:r>
      <w:r w:rsidR="007F45C1">
        <w:t> </w:t>
      </w:r>
      <w:r>
        <w:t>1997).</w:t>
      </w:r>
      <w:r w:rsidR="00FB21F1">
        <w:t xml:space="preserve"> </w:t>
      </w:r>
      <w:r>
        <w:t>This could involve, f</w:t>
      </w:r>
      <w:r w:rsidR="00FB21F1">
        <w:t>or example, a</w:t>
      </w:r>
      <w:r>
        <w:t xml:space="preserve"> New Zealand</w:t>
      </w:r>
      <w:r w:rsidR="00FB21F1">
        <w:t xml:space="preserve"> architecture firm establish</w:t>
      </w:r>
      <w:r>
        <w:t xml:space="preserve">ing </w:t>
      </w:r>
      <w:r w:rsidR="00FB21F1">
        <w:t xml:space="preserve">an office in </w:t>
      </w:r>
      <w:r>
        <w:t>Australia. Establishing a commercial presence usually involves foreign direct investment (</w:t>
      </w:r>
      <w:proofErr w:type="spellStart"/>
      <w:r>
        <w:t>FDI</w:t>
      </w:r>
      <w:proofErr w:type="spellEnd"/>
      <w:r>
        <w:t>). This means that there is a close link between services trade and investment.</w:t>
      </w:r>
    </w:p>
    <w:p w14:paraId="3A4755FC" w14:textId="77777777" w:rsidR="005852D3" w:rsidRDefault="005852D3" w:rsidP="00F71E6B">
      <w:pPr>
        <w:pStyle w:val="Heading3"/>
      </w:pPr>
      <w:r>
        <w:t>Investment</w:t>
      </w:r>
      <w:r w:rsidR="00390AFB">
        <w:t xml:space="preserve"> flows have increased substantially</w:t>
      </w:r>
    </w:p>
    <w:p w14:paraId="5DBA6BBA" w14:textId="1B64B300" w:rsidR="00773994" w:rsidRDefault="00854A35" w:rsidP="009F390B">
      <w:pPr>
        <w:pStyle w:val="BodyText"/>
      </w:pPr>
      <w:r>
        <w:t>U</w:t>
      </w:r>
      <w:r w:rsidR="009F2E20">
        <w:t xml:space="preserve">ntil recently </w:t>
      </w:r>
      <w:proofErr w:type="spellStart"/>
      <w:r w:rsidR="009F2E20">
        <w:t>CER</w:t>
      </w:r>
      <w:proofErr w:type="spellEnd"/>
      <w:r w:rsidR="009F2E20">
        <w:t xml:space="preserve"> had </w:t>
      </w:r>
      <w:r w:rsidR="00DC0175">
        <w:t>not made</w:t>
      </w:r>
      <w:r w:rsidR="009F2E20">
        <w:t xml:space="preserve"> progress in formally liberalising investment flows between the two countries. An </w:t>
      </w:r>
      <w:r>
        <w:t>I</w:t>
      </w:r>
      <w:r w:rsidR="009F2E20">
        <w:t xml:space="preserve">nvestment Protocol has now been signed, </w:t>
      </w:r>
      <w:r>
        <w:t xml:space="preserve">but </w:t>
      </w:r>
      <w:r w:rsidR="00DC0175">
        <w:t>is</w:t>
      </w:r>
      <w:r>
        <w:t xml:space="preserve"> </w:t>
      </w:r>
      <w:r>
        <w:lastRenderedPageBreak/>
        <w:t xml:space="preserve">yet to be enacted. Despite this, there are some </w:t>
      </w:r>
      <w:proofErr w:type="spellStart"/>
      <w:r>
        <w:t>CER</w:t>
      </w:r>
      <w:proofErr w:type="spellEnd"/>
      <w:r>
        <w:t xml:space="preserve"> initiatives that </w:t>
      </w:r>
      <w:r w:rsidR="00273BF3">
        <w:t xml:space="preserve">have </w:t>
      </w:r>
      <w:r>
        <w:t>re</w:t>
      </w:r>
      <w:r w:rsidR="00273BF3">
        <w:t>duced</w:t>
      </w:r>
      <w:r>
        <w:t xml:space="preserve"> barriers to firms expanding across the Tasman.</w:t>
      </w:r>
    </w:p>
    <w:p w14:paraId="53C3ADD7" w14:textId="58DE77DE" w:rsidR="00854A35" w:rsidRDefault="00854A35" w:rsidP="00854A35">
      <w:pPr>
        <w:pStyle w:val="BodyText"/>
      </w:pPr>
      <w:r>
        <w:t xml:space="preserve">There is cooperation on securities regulation in both markets, including mutual recognition of securities offer documentation. </w:t>
      </w:r>
      <w:r w:rsidR="00985101">
        <w:t>The Australian Securities and Investments Commission (</w:t>
      </w:r>
      <w:proofErr w:type="spellStart"/>
      <w:r w:rsidR="009D3A2E">
        <w:t>ASIC</w:t>
      </w:r>
      <w:proofErr w:type="spellEnd"/>
      <w:r w:rsidR="00985101">
        <w:t>)</w:t>
      </w:r>
      <w:r w:rsidR="00026239">
        <w:t xml:space="preserve"> </w:t>
      </w:r>
      <w:r w:rsidR="009D3A2E">
        <w:t xml:space="preserve">found that this measure had </w:t>
      </w:r>
      <w:r w:rsidR="001975DD">
        <w:t xml:space="preserve">reduced the cost of firms extending offers across the Tasman by </w:t>
      </w:r>
      <w:r w:rsidR="009D3A2E">
        <w:t xml:space="preserve">between 55 and 95 </w:t>
      </w:r>
      <w:proofErr w:type="spellStart"/>
      <w:r w:rsidR="009D3A2E">
        <w:t>percent</w:t>
      </w:r>
      <w:proofErr w:type="spellEnd"/>
      <w:r w:rsidR="00026239">
        <w:t xml:space="preserve"> (</w:t>
      </w:r>
      <w:proofErr w:type="spellStart"/>
      <w:r w:rsidR="00026239">
        <w:t>ASIC</w:t>
      </w:r>
      <w:proofErr w:type="spellEnd"/>
      <w:r w:rsidR="00026239">
        <w:t> 2009)</w:t>
      </w:r>
      <w:r w:rsidR="009D3A2E">
        <w:t xml:space="preserve">. </w:t>
      </w:r>
      <w:r w:rsidR="00985101">
        <w:t xml:space="preserve">There are agreements resolving issues of double taxation of personal income (although little progress has been made on removing double taxation of company profits) and an agenda to continue harmonisation of business law. </w:t>
      </w:r>
      <w:r>
        <w:t xml:space="preserve">There is </w:t>
      </w:r>
      <w:r w:rsidR="009D3A2E">
        <w:t xml:space="preserve">also </w:t>
      </w:r>
      <w:r>
        <w:t xml:space="preserve">an agreement between competition regulators in each country. </w:t>
      </w:r>
      <w:r w:rsidR="00E4310C">
        <w:t>R</w:t>
      </w:r>
      <w:r>
        <w:t>elevant competition legislation concerning misuse of market power has been amended to consider its impacts in the trans-Tasman market.</w:t>
      </w:r>
    </w:p>
    <w:p w14:paraId="14F0E0D5" w14:textId="0D061150" w:rsidR="00854A35" w:rsidRDefault="006B4043" w:rsidP="009F390B">
      <w:pPr>
        <w:pStyle w:val="BodyText"/>
      </w:pPr>
      <w:r>
        <w:t>A large number of f</w:t>
      </w:r>
      <w:r w:rsidR="00AA00DC">
        <w:t xml:space="preserve">irms </w:t>
      </w:r>
      <w:r>
        <w:t>now</w:t>
      </w:r>
      <w:r w:rsidR="00C24821">
        <w:t xml:space="preserve"> do business across the Tasman (through both trade and investment)</w:t>
      </w:r>
      <w:r>
        <w:t>, although they</w:t>
      </w:r>
      <w:r w:rsidR="00C24821">
        <w:t xml:space="preserve"> </w:t>
      </w:r>
      <w:r w:rsidR="00273BF3">
        <w:t>continue to face</w:t>
      </w:r>
      <w:r w:rsidR="00AA00DC">
        <w:t xml:space="preserve"> some barriers</w:t>
      </w:r>
      <w:r w:rsidR="00273BF3">
        <w:t>.</w:t>
      </w:r>
      <w:r w:rsidR="00AA00DC" w:rsidRPr="00AA00DC">
        <w:t xml:space="preserve"> </w:t>
      </w:r>
      <w:r w:rsidR="00AA00DC">
        <w:t>Box</w:t>
      </w:r>
      <w:r w:rsidR="000B7550">
        <w:t> </w:t>
      </w:r>
      <w:r w:rsidR="00AA00DC">
        <w:t>3.9 provides some insights into their experiences.</w:t>
      </w:r>
    </w:p>
    <w:p w14:paraId="77EE090B" w14:textId="38D34880" w:rsidR="00E611D5" w:rsidRDefault="00E611D5" w:rsidP="00E611D5">
      <w:pPr>
        <w:pStyle w:val="BodyText"/>
      </w:pPr>
      <w:r>
        <w:t xml:space="preserve">The lack of a </w:t>
      </w:r>
      <w:proofErr w:type="spellStart"/>
      <w:r>
        <w:t>CER</w:t>
      </w:r>
      <w:proofErr w:type="spellEnd"/>
      <w:r>
        <w:t xml:space="preserve"> investment protocol has not prevented </w:t>
      </w:r>
      <w:r w:rsidRPr="00F71E6B">
        <w:t xml:space="preserve">a strong bilateral investment relationship </w:t>
      </w:r>
      <w:r>
        <w:t xml:space="preserve">developing </w:t>
      </w:r>
      <w:r w:rsidRPr="00F71E6B">
        <w:t>between Australia and New Zealand. Australia is the largest foreign investor in New Zealand</w:t>
      </w:r>
      <w:r w:rsidR="00AA00DC">
        <w:t xml:space="preserve"> with</w:t>
      </w:r>
      <w:r w:rsidRPr="00F71E6B">
        <w:t xml:space="preserve"> Australians h</w:t>
      </w:r>
      <w:r w:rsidR="00AA00DC">
        <w:t>o</w:t>
      </w:r>
      <w:r w:rsidRPr="00F71E6B">
        <w:t>ld</w:t>
      </w:r>
      <w:r w:rsidR="00AA00DC">
        <w:t>ing</w:t>
      </w:r>
      <w:r w:rsidRPr="00F71E6B">
        <w:t xml:space="preserve"> investments worth around </w:t>
      </w:r>
      <w:proofErr w:type="spellStart"/>
      <w:r>
        <w:t>A</w:t>
      </w:r>
      <w:r w:rsidRPr="00F71E6B">
        <w:t>$74</w:t>
      </w:r>
      <w:proofErr w:type="spellEnd"/>
      <w:r w:rsidRPr="00F71E6B">
        <w:t xml:space="preserve"> billion in New Zealand in 2010</w:t>
      </w:r>
      <w:r w:rsidR="00AA00DC">
        <w:t xml:space="preserve">. </w:t>
      </w:r>
      <w:proofErr w:type="spellStart"/>
      <w:r w:rsidR="00AA00DC">
        <w:t>FDI</w:t>
      </w:r>
      <w:proofErr w:type="spellEnd"/>
      <w:r w:rsidR="00AA00DC">
        <w:t xml:space="preserve"> </w:t>
      </w:r>
      <w:r w:rsidR="009C5ACE">
        <w:t>(</w:t>
      </w:r>
      <w:r w:rsidR="009C5ACE" w:rsidRPr="00F71E6B">
        <w:t xml:space="preserve">that is, </w:t>
      </w:r>
      <w:r w:rsidR="001865A8">
        <w:t>investment</w:t>
      </w:r>
      <w:r w:rsidR="009C5ACE" w:rsidRPr="00F71E6B">
        <w:t xml:space="preserve"> where the foreigner creates, or gains a significant interest in, a local firm</w:t>
      </w:r>
      <w:r w:rsidR="001865A8">
        <w:t>)</w:t>
      </w:r>
      <w:r w:rsidR="009C5ACE">
        <w:t xml:space="preserve"> </w:t>
      </w:r>
      <w:r w:rsidR="00AA00DC">
        <w:t>makes up</w:t>
      </w:r>
      <w:r w:rsidRPr="00F71E6B">
        <w:t xml:space="preserve"> over half of </w:t>
      </w:r>
      <w:r w:rsidR="00AA00DC">
        <w:t>this investment</w:t>
      </w:r>
      <w:r w:rsidRPr="00F71E6B">
        <w:t xml:space="preserve"> (ABS</w:t>
      </w:r>
      <w:r w:rsidR="000B7550">
        <w:t> </w:t>
      </w:r>
      <w:proofErr w:type="spellStart"/>
      <w:r w:rsidRPr="00F71E6B">
        <w:t>201</w:t>
      </w:r>
      <w:r>
        <w:t>2a</w:t>
      </w:r>
      <w:proofErr w:type="spellEnd"/>
      <w:r w:rsidRPr="00F71E6B">
        <w:t xml:space="preserve">). In the other direction, New Zealand is Australia’s ninth largest source of foreign investment. In 2010, New Zealanders held investments worth around </w:t>
      </w:r>
      <w:proofErr w:type="spellStart"/>
      <w:r w:rsidRPr="00F71E6B">
        <w:t>NZ</w:t>
      </w:r>
      <w:r>
        <w:t>$</w:t>
      </w:r>
      <w:r w:rsidRPr="00F71E6B">
        <w:t>34</w:t>
      </w:r>
      <w:proofErr w:type="spellEnd"/>
      <w:r w:rsidRPr="00F71E6B">
        <w:t xml:space="preserve"> billion in Australia, just under </w:t>
      </w:r>
      <w:r>
        <w:t>a</w:t>
      </w:r>
      <w:r w:rsidRPr="00F71E6B">
        <w:t xml:space="preserve"> </w:t>
      </w:r>
      <w:r w:rsidR="00B33BC4">
        <w:t>fifth</w:t>
      </w:r>
      <w:r w:rsidRPr="00F71E6B">
        <w:t xml:space="preserve"> of which was </w:t>
      </w:r>
      <w:proofErr w:type="spellStart"/>
      <w:r w:rsidRPr="00F71E6B">
        <w:t>FDI</w:t>
      </w:r>
      <w:proofErr w:type="spellEnd"/>
      <w:r w:rsidRPr="00F71E6B">
        <w:t xml:space="preserve"> (</w:t>
      </w:r>
      <w:proofErr w:type="spellStart"/>
      <w:r w:rsidRPr="00F71E6B">
        <w:t>SNZ</w:t>
      </w:r>
      <w:proofErr w:type="spellEnd"/>
      <w:r w:rsidR="000B7550">
        <w:t> </w:t>
      </w:r>
      <w:r w:rsidRPr="00F71E6B">
        <w:t>2011).</w:t>
      </w:r>
    </w:p>
    <w:p w14:paraId="7FBD80E4" w14:textId="77777777" w:rsidR="002859CF" w:rsidRDefault="002859CF" w:rsidP="002859CF">
      <w:pPr>
        <w:pStyle w:val="BodyText"/>
      </w:pPr>
      <w:r>
        <w:t xml:space="preserve">Figure 3.5 shows that the stock of Australian </w:t>
      </w:r>
      <w:proofErr w:type="spellStart"/>
      <w:r>
        <w:t>FDI</w:t>
      </w:r>
      <w:proofErr w:type="spellEnd"/>
      <w:r>
        <w:t xml:space="preserve"> in New Zealand has more than tripled in real terms over the past 18 years. The stock of New Zealand portfolio investment in Australia has more than doubled over this period.</w:t>
      </w:r>
    </w:p>
    <w:p w14:paraId="2406B7C5" w14:textId="77777777" w:rsidR="002859CF" w:rsidRDefault="002859CF" w:rsidP="002859CF">
      <w:pPr>
        <w:pStyle w:val="BodyText"/>
      </w:pPr>
      <w:r>
        <w:t xml:space="preserve">The rise in the stock of Australian </w:t>
      </w:r>
      <w:proofErr w:type="spellStart"/>
      <w:r>
        <w:t>FDI</w:t>
      </w:r>
      <w:proofErr w:type="spellEnd"/>
      <w:r>
        <w:t xml:space="preserve"> in New Zealand may be explained by a variety of factors. Capital has become more mobile across national borders generally. In addition, movements in exchange rates and labour costs are likely to have made some Australian investments in New Zealand more attractive. New Zealand made extensive changes to regulation of its finance sector between 1984 and 1987, including removing restrictions on foreign firms, including Australian firms, from acquiring New Zealand banks. </w:t>
      </w:r>
      <w:proofErr w:type="spellStart"/>
      <w:r>
        <w:t>CER</w:t>
      </w:r>
      <w:proofErr w:type="spellEnd"/>
      <w:r>
        <w:t xml:space="preserve"> initiatives are likely to have also played a role, but it is difficult to isolate their effects.</w:t>
      </w:r>
    </w:p>
    <w:p w14:paraId="01DDD7A5" w14:textId="77777777" w:rsidR="005247AD" w:rsidRDefault="005247AD" w:rsidP="005247A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47AD" w14:paraId="2FF9E975" w14:textId="77777777" w:rsidTr="005247AD">
        <w:tc>
          <w:tcPr>
            <w:tcW w:w="8771" w:type="dxa"/>
            <w:tcBorders>
              <w:top w:val="nil"/>
              <w:left w:val="nil"/>
              <w:bottom w:val="nil"/>
              <w:right w:val="nil"/>
            </w:tcBorders>
            <w:shd w:val="clear" w:color="auto" w:fill="D9EAF0"/>
          </w:tcPr>
          <w:p w14:paraId="36A696F4" w14:textId="77777777" w:rsidR="005247AD" w:rsidRDefault="005247AD" w:rsidP="005247A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9</w:t>
            </w:r>
            <w:r>
              <w:rPr>
                <w:b w:val="0"/>
              </w:rPr>
              <w:fldChar w:fldCharType="end"/>
            </w:r>
            <w:r>
              <w:tab/>
              <w:t>Firm level experience with trans-Tasman integration</w:t>
            </w:r>
          </w:p>
        </w:tc>
      </w:tr>
      <w:tr w:rsidR="005247AD" w14:paraId="3DACFC23" w14:textId="77777777" w:rsidTr="005247AD">
        <w:trPr>
          <w:cantSplit/>
        </w:trPr>
        <w:tc>
          <w:tcPr>
            <w:tcW w:w="8771" w:type="dxa"/>
            <w:tcBorders>
              <w:top w:val="nil"/>
              <w:left w:val="nil"/>
              <w:bottom w:val="nil"/>
              <w:right w:val="nil"/>
            </w:tcBorders>
            <w:shd w:val="clear" w:color="auto" w:fill="D9EAF0"/>
          </w:tcPr>
          <w:p w14:paraId="217DFDAE" w14:textId="2CE923EE" w:rsidR="005247AD" w:rsidRDefault="00DF0939" w:rsidP="005247AD">
            <w:pPr>
              <w:pStyle w:val="Box"/>
            </w:pPr>
            <w:r>
              <w:t>In 2004, the New Zealand Ministry of Economic Development commissioned a study to</w:t>
            </w:r>
            <w:r w:rsidR="00D2765C">
              <w:t xml:space="preserve"> better understand the complex web of trans</w:t>
            </w:r>
            <w:r>
              <w:noBreakHyphen/>
            </w:r>
            <w:r w:rsidR="00D2765C">
              <w:t>Tasman business connections</w:t>
            </w:r>
            <w:r>
              <w:t xml:space="preserve"> (</w:t>
            </w:r>
            <w:proofErr w:type="spellStart"/>
            <w:r>
              <w:t>ACIL</w:t>
            </w:r>
            <w:proofErr w:type="spellEnd"/>
            <w:r w:rsidR="00775FB0">
              <w:t> </w:t>
            </w:r>
            <w:r>
              <w:t xml:space="preserve">Tasman and </w:t>
            </w:r>
            <w:proofErr w:type="spellStart"/>
            <w:r>
              <w:t>LECG</w:t>
            </w:r>
            <w:proofErr w:type="spellEnd"/>
            <w:r>
              <w:t xml:space="preserve"> Economics</w:t>
            </w:r>
            <w:r w:rsidR="00BD4F9A">
              <w:t>-</w:t>
            </w:r>
            <w:r>
              <w:t>Finance 2004)</w:t>
            </w:r>
            <w:r w:rsidR="00D2765C">
              <w:t xml:space="preserve">. </w:t>
            </w:r>
            <w:r w:rsidR="008B1386">
              <w:t>F</w:t>
            </w:r>
            <w:r w:rsidR="00D2765C">
              <w:t xml:space="preserve">irms </w:t>
            </w:r>
            <w:r w:rsidR="00E4310C">
              <w:t>from</w:t>
            </w:r>
            <w:r w:rsidR="00D2765C">
              <w:t xml:space="preserve"> </w:t>
            </w:r>
            <w:r>
              <w:t>various sectors</w:t>
            </w:r>
            <w:r w:rsidR="00E4310C">
              <w:t xml:space="preserve"> were interviewed</w:t>
            </w:r>
            <w:r>
              <w:t xml:space="preserve">, including </w:t>
            </w:r>
            <w:r w:rsidR="00D2765C">
              <w:t>manufacturing, health IT, telecommunications, legal services, banking, food and beverage</w:t>
            </w:r>
            <w:r w:rsidR="00C81576">
              <w:t>, travel</w:t>
            </w:r>
            <w:r>
              <w:t xml:space="preserve"> and </w:t>
            </w:r>
            <w:r w:rsidR="00C81576">
              <w:t>retail</w:t>
            </w:r>
            <w:r w:rsidR="008B1386">
              <w:t xml:space="preserve">. The study </w:t>
            </w:r>
            <w:r w:rsidR="005247AD">
              <w:t>found that:</w:t>
            </w:r>
          </w:p>
          <w:p w14:paraId="7979BD52" w14:textId="5DCB50EC" w:rsidR="005247AD" w:rsidRDefault="005247AD" w:rsidP="005247AD">
            <w:pPr>
              <w:pStyle w:val="BoxListBullet"/>
            </w:pPr>
            <w:r>
              <w:t>over half of the New Zealand firms saw growth across the Tasman as crucial, while nearly all of the Australian firms saw it as incidental to wider ambitions</w:t>
            </w:r>
          </w:p>
          <w:p w14:paraId="4E60ED12" w14:textId="77777777" w:rsidR="005912FE" w:rsidRDefault="005912FE" w:rsidP="005247AD">
            <w:pPr>
              <w:pStyle w:val="BoxListBullet"/>
            </w:pPr>
            <w:r>
              <w:t>it was more common for relatively small New Zealand firms to expand into Australia than vice versa (small Australian firms tend to grow by expanding into other Australian states</w:t>
            </w:r>
            <w:r w:rsidR="00C81576">
              <w:t xml:space="preserve"> first</w:t>
            </w:r>
            <w:r>
              <w:t>)</w:t>
            </w:r>
          </w:p>
          <w:p w14:paraId="7773B629" w14:textId="77777777" w:rsidR="005247AD" w:rsidRDefault="005247AD" w:rsidP="005247AD">
            <w:pPr>
              <w:pStyle w:val="BoxListBullet"/>
            </w:pPr>
            <w:r>
              <w:t>reasons for involvement across the Tasman include incremental revenue and economies of scale, proximity and similarity, market diversification, outgrowing home markets, and a test market or learning experience for subsequent expansion elsewhere</w:t>
            </w:r>
          </w:p>
          <w:p w14:paraId="2D202EF1" w14:textId="77777777" w:rsidR="005247AD" w:rsidRDefault="005247AD" w:rsidP="005247AD">
            <w:pPr>
              <w:pStyle w:val="BoxListBullet"/>
            </w:pPr>
            <w:r>
              <w:t>there were different types of integration experiences, covering different stages of the production and distribution chain</w:t>
            </w:r>
            <w:r w:rsidR="005912FE">
              <w:t xml:space="preserve"> (weak integration was often confined to distribution and sales, while strong integration generally involved multiple points in the process of production (and sometimes design)</w:t>
            </w:r>
          </w:p>
          <w:p w14:paraId="46B5AA8B" w14:textId="77777777" w:rsidR="005247AD" w:rsidRDefault="005247AD" w:rsidP="005247AD">
            <w:pPr>
              <w:pStyle w:val="BoxListBullet"/>
            </w:pPr>
            <w:r>
              <w:t>many New Zealand firms found Australia difficult, especially at first, due to ‘bureaucratic hurdles, a strong need for local networks and a more ruthless business culture’ (p. ix)</w:t>
            </w:r>
          </w:p>
          <w:p w14:paraId="425C6BEA" w14:textId="77777777" w:rsidR="005247AD" w:rsidRDefault="005247AD" w:rsidP="005247AD">
            <w:pPr>
              <w:pStyle w:val="BoxListBullet"/>
            </w:pPr>
            <w:r>
              <w:t>spin-offs from integration included</w:t>
            </w:r>
            <w:r w:rsidR="00BE095F">
              <w:t>:</w:t>
            </w:r>
            <w:r>
              <w:t xml:space="preserve"> better positioning for eventual expansion elsewhere; greater interest from Australian venture capitalists; cross-fertilisation of ideas and products that can then be used elsewhere; improved ability to manage stocks through intra-firm trade; and improved career prospects for staff</w:t>
            </w:r>
          </w:p>
          <w:p w14:paraId="6EA4CC8B" w14:textId="77777777" w:rsidR="005247AD" w:rsidRDefault="005247AD" w:rsidP="005247AD">
            <w:pPr>
              <w:pStyle w:val="BoxListBullet"/>
            </w:pPr>
            <w:r>
              <w:t>intermediaries, such as law firms, banks and telecommunication firms, have facilitated integration and been stimulated by it.</w:t>
            </w:r>
          </w:p>
          <w:p w14:paraId="4347D6D9" w14:textId="5BEC694A" w:rsidR="005247AD" w:rsidRDefault="005247AD" w:rsidP="005247AD">
            <w:pPr>
              <w:pStyle w:val="Box"/>
            </w:pPr>
            <w:r>
              <w:t>Barriers to integration identified by respondents include</w:t>
            </w:r>
            <w:r w:rsidR="006B4043">
              <w:t>d</w:t>
            </w:r>
            <w:r>
              <w:t>: travel, transport and communication costs; legal, bureaucratic, insurance and other start-up costs in Australia; tax differences; differences in legal systems; regulatory differences; and rules of origin.</w:t>
            </w:r>
          </w:p>
          <w:p w14:paraId="360A2151" w14:textId="3BB231AC" w:rsidR="008B1386" w:rsidRDefault="008B1386" w:rsidP="00D510B8">
            <w:pPr>
              <w:pStyle w:val="Box"/>
            </w:pPr>
            <w:r>
              <w:t>The Business Operations Survey provides more recent information about international engagement by New Zealand firms (</w:t>
            </w:r>
            <w:proofErr w:type="spellStart"/>
            <w:r w:rsidR="00D52F29">
              <w:t>S</w:t>
            </w:r>
            <w:r w:rsidR="00D510B8">
              <w:t>NZ</w:t>
            </w:r>
            <w:proofErr w:type="spellEnd"/>
            <w:r w:rsidR="00D52F29">
              <w:t xml:space="preserve"> 2012)</w:t>
            </w:r>
            <w:r>
              <w:t xml:space="preserve">. </w:t>
            </w:r>
            <w:r w:rsidR="004E4CF6">
              <w:t xml:space="preserve">The 2011 survey found that </w:t>
            </w:r>
            <w:r w:rsidR="00B10E35">
              <w:t xml:space="preserve">of </w:t>
            </w:r>
            <w:r w:rsidR="006B4043">
              <w:t xml:space="preserve">New Zealand </w:t>
            </w:r>
            <w:r w:rsidR="00B10E35">
              <w:t xml:space="preserve">firms </w:t>
            </w:r>
            <w:r w:rsidR="006B4043">
              <w:t xml:space="preserve">that export, </w:t>
            </w:r>
            <w:r w:rsidR="00B10E35">
              <w:t xml:space="preserve">76 </w:t>
            </w:r>
            <w:proofErr w:type="spellStart"/>
            <w:r w:rsidR="00B10E35">
              <w:t>percent</w:t>
            </w:r>
            <w:proofErr w:type="spellEnd"/>
            <w:r w:rsidR="00B10E35">
              <w:t xml:space="preserve"> </w:t>
            </w:r>
            <w:r w:rsidR="006B4043">
              <w:t>export to Australia (</w:t>
            </w:r>
            <w:r w:rsidR="004E4CF6">
              <w:t>17 </w:t>
            </w:r>
            <w:proofErr w:type="spellStart"/>
            <w:r w:rsidR="004E4CF6">
              <w:t>percent</w:t>
            </w:r>
            <w:proofErr w:type="spellEnd"/>
            <w:r w:rsidR="004E4CF6">
              <w:t xml:space="preserve"> </w:t>
            </w:r>
            <w:r w:rsidR="00B10E35">
              <w:t xml:space="preserve">export </w:t>
            </w:r>
            <w:r w:rsidR="0076438F">
              <w:t xml:space="preserve">to Australia only and </w:t>
            </w:r>
            <w:r w:rsidR="004E4CF6">
              <w:t>59 </w:t>
            </w:r>
            <w:proofErr w:type="spellStart"/>
            <w:r w:rsidR="004E4CF6">
              <w:t>percent</w:t>
            </w:r>
            <w:proofErr w:type="spellEnd"/>
            <w:r w:rsidR="004E4CF6">
              <w:t xml:space="preserve"> </w:t>
            </w:r>
            <w:r w:rsidR="0076438F">
              <w:t>to A</w:t>
            </w:r>
            <w:r w:rsidR="004E4CF6">
              <w:t>ustralia and other countries</w:t>
            </w:r>
            <w:r w:rsidR="0076438F">
              <w:t>)</w:t>
            </w:r>
            <w:r w:rsidR="004E4CF6">
              <w:t>. The proportion of firms that exported solely to Australia was higher in services sectors, such as construction, finance and insurance and communication services. Barriers to exporting to Australia included limited experience in expanding beyond New Zealand and limited access to finance.</w:t>
            </w:r>
            <w:r>
              <w:t xml:space="preserve"> </w:t>
            </w:r>
          </w:p>
        </w:tc>
      </w:tr>
      <w:tr w:rsidR="005247AD" w14:paraId="49059788" w14:textId="77777777" w:rsidTr="005247AD">
        <w:trPr>
          <w:cantSplit/>
        </w:trPr>
        <w:tc>
          <w:tcPr>
            <w:tcW w:w="8771" w:type="dxa"/>
            <w:tcBorders>
              <w:top w:val="nil"/>
              <w:left w:val="nil"/>
              <w:bottom w:val="nil"/>
              <w:right w:val="nil"/>
            </w:tcBorders>
            <w:shd w:val="clear" w:color="auto" w:fill="D9EAF0"/>
          </w:tcPr>
          <w:p w14:paraId="3051B125" w14:textId="77777777" w:rsidR="005247AD" w:rsidRDefault="005247AD" w:rsidP="005247AD">
            <w:pPr>
              <w:pStyle w:val="Box"/>
              <w:spacing w:before="0" w:line="120" w:lineRule="exact"/>
            </w:pPr>
          </w:p>
        </w:tc>
      </w:tr>
      <w:tr w:rsidR="005247AD" w:rsidRPr="00B34C5B" w14:paraId="03730471" w14:textId="77777777" w:rsidTr="005247AD">
        <w:tc>
          <w:tcPr>
            <w:tcW w:w="8771" w:type="dxa"/>
            <w:tcBorders>
              <w:top w:val="nil"/>
              <w:left w:val="nil"/>
              <w:bottom w:val="nil"/>
              <w:right w:val="nil"/>
            </w:tcBorders>
          </w:tcPr>
          <w:p w14:paraId="769313FF" w14:textId="77777777" w:rsidR="005247AD" w:rsidRPr="00B34C5B" w:rsidRDefault="005247AD" w:rsidP="005247AD">
            <w:pPr>
              <w:pStyle w:val="Box"/>
              <w:keepNext w:val="0"/>
              <w:spacing w:before="60" w:after="60" w:line="80" w:lineRule="exact"/>
              <w:rPr>
                <w:b/>
                <w:color w:val="auto"/>
                <w:sz w:val="14"/>
              </w:rPr>
            </w:pPr>
          </w:p>
        </w:tc>
      </w:tr>
    </w:tbl>
    <w:p w14:paraId="24E39410" w14:textId="77777777" w:rsidR="00A201DF" w:rsidRDefault="00A201DF">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EE0939">
        <w:rPr>
          <w:b w:val="0"/>
          <w:noProof/>
        </w:rPr>
        <w:t>5</w:t>
      </w:r>
      <w:r>
        <w:rPr>
          <w:b w:val="0"/>
        </w:rPr>
        <w:fldChar w:fldCharType="end"/>
      </w:r>
      <w:r>
        <w:tab/>
        <w:t>Stock</w:t>
      </w:r>
      <w:r w:rsidR="004E4DAF">
        <w:t>s</w:t>
      </w:r>
      <w:r>
        <w:t xml:space="preserve"> of trans-Tasman investment</w:t>
      </w:r>
      <w:r w:rsidR="00D61D21">
        <w:t>, 2010 prices</w:t>
      </w:r>
      <w:proofErr w:type="spellStart"/>
      <w:r w:rsidRPr="00A201DF">
        <w:rPr>
          <w:position w:val="6"/>
          <w:sz w:val="18"/>
        </w:rPr>
        <w:t>a,b</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201DF" w14:paraId="1892BFA3" w14:textId="77777777">
        <w:tc>
          <w:tcPr>
            <w:tcW w:w="8777" w:type="dxa"/>
          </w:tcPr>
          <w:p w14:paraId="49B3FA36" w14:textId="43818B61" w:rsidR="00A201DF" w:rsidRDefault="00805F09">
            <w:pPr>
              <w:pStyle w:val="Figure"/>
            </w:pPr>
            <w:r>
              <w:rPr>
                <w:noProof/>
              </w:rPr>
              <w:pict w14:anchorId="3AFB146F">
                <v:shape id="_x0000_i1029" type="#_x0000_t75" alt="Figure 3.5: Stocks of trans-Tasman investment, 2010 prices. Shows (for 1991 to 2010):&#10;- Australian foreign direct investment (FDI) in New Zealand&#10;- Australian portfolio investment in New Zealand&#10;- New Zealand FDI in Australia&#10;- New Zealand portfolio investment in Australia." style="width:429pt;height:249pt">
                  <v:imagedata r:id="rId15" o:title=""/>
                </v:shape>
              </w:pict>
            </w:r>
          </w:p>
        </w:tc>
      </w:tr>
    </w:tbl>
    <w:p w14:paraId="50CE97C5" w14:textId="3B3F5699" w:rsidR="00803DD8" w:rsidRPr="00803DD8" w:rsidRDefault="00A201DF" w:rsidP="00083E90">
      <w:pPr>
        <w:pStyle w:val="Note"/>
      </w:pPr>
      <w:proofErr w:type="spellStart"/>
      <w:r>
        <w:rPr>
          <w:rStyle w:val="NoteLabel"/>
        </w:rPr>
        <w:t>a</w:t>
      </w:r>
      <w:proofErr w:type="spellEnd"/>
      <w:r w:rsidRPr="00083E90">
        <w:t xml:space="preserve"> </w:t>
      </w:r>
      <w:r w:rsidR="00052CAA">
        <w:t>In 2010, foreign direct investment (</w:t>
      </w:r>
      <w:proofErr w:type="spellStart"/>
      <w:r w:rsidR="00052CAA">
        <w:t>FDI</w:t>
      </w:r>
      <w:proofErr w:type="spellEnd"/>
      <w:r w:rsidR="00052CAA">
        <w:t>)</w:t>
      </w:r>
      <w:r w:rsidR="00CA094A" w:rsidRPr="00083E90">
        <w:t xml:space="preserve"> plus portfolio investment made up 61 </w:t>
      </w:r>
      <w:proofErr w:type="spellStart"/>
      <w:r w:rsidR="00CA094A" w:rsidRPr="00083E90">
        <w:t>percent</w:t>
      </w:r>
      <w:proofErr w:type="spellEnd"/>
      <w:r w:rsidR="00CA094A" w:rsidRPr="00083E90">
        <w:t xml:space="preserve"> of total Australian investment in New Zealand and 74 </w:t>
      </w:r>
      <w:proofErr w:type="spellStart"/>
      <w:r w:rsidR="00CA094A" w:rsidRPr="00083E90">
        <w:t>percent</w:t>
      </w:r>
      <w:proofErr w:type="spellEnd"/>
      <w:r w:rsidR="00CA094A" w:rsidRPr="00083E90">
        <w:t xml:space="preserve"> of total New Zealand investment in Australia.</w:t>
      </w:r>
      <w:r w:rsidR="003716EA" w:rsidRPr="00083E90">
        <w:t xml:space="preserve"> </w:t>
      </w:r>
      <w:r w:rsidR="00CA094A" w:rsidRPr="00083E90">
        <w:rPr>
          <w:rStyle w:val="NoteLabel"/>
        </w:rPr>
        <w:t>b</w:t>
      </w:r>
      <w:r w:rsidR="00CA094A">
        <w:t xml:space="preserve"> </w:t>
      </w:r>
      <w:r w:rsidR="00CA094A" w:rsidRPr="00803DD8">
        <w:t>Data for New Zealand portfolio investment in Australia in 2001 was unavailable and has been intercalated from 2000 and 2002</w:t>
      </w:r>
      <w:r w:rsidR="00AA00DC">
        <w:t xml:space="preserve"> data</w:t>
      </w:r>
      <w:r w:rsidR="00CA094A" w:rsidRPr="00803DD8">
        <w:t>.</w:t>
      </w:r>
    </w:p>
    <w:p w14:paraId="20A14C51" w14:textId="2628FECA" w:rsidR="00A201DF" w:rsidRDefault="00AC77C7">
      <w:pPr>
        <w:pStyle w:val="Source"/>
      </w:pPr>
      <w:r>
        <w:rPr>
          <w:i/>
        </w:rPr>
        <w:t>S</w:t>
      </w:r>
      <w:r w:rsidR="00A201DF">
        <w:rPr>
          <w:i/>
        </w:rPr>
        <w:t>ource</w:t>
      </w:r>
      <w:r w:rsidR="00A201DF" w:rsidRPr="00167F06">
        <w:t xml:space="preserve">: </w:t>
      </w:r>
      <w:r w:rsidR="00A201DF">
        <w:t xml:space="preserve">ABS </w:t>
      </w:r>
      <w:r w:rsidR="009075FB">
        <w:t>(</w:t>
      </w:r>
      <w:proofErr w:type="spellStart"/>
      <w:r w:rsidR="00A201DF">
        <w:t>2012a</w:t>
      </w:r>
      <w:proofErr w:type="spellEnd"/>
      <w:r w:rsidR="009075FB">
        <w:t>)</w:t>
      </w:r>
      <w:r w:rsidR="00F345A6">
        <w:t>.</w:t>
      </w:r>
    </w:p>
    <w:p w14:paraId="66F97A8B" w14:textId="35A372BF" w:rsidR="00E611D5" w:rsidRPr="00F5132F" w:rsidRDefault="00E611D5" w:rsidP="00E611D5">
      <w:pPr>
        <w:pStyle w:val="BodyText"/>
      </w:pPr>
      <w:r>
        <w:t xml:space="preserve">Inward </w:t>
      </w:r>
      <w:proofErr w:type="spellStart"/>
      <w:r>
        <w:t>FDI</w:t>
      </w:r>
      <w:proofErr w:type="spellEnd"/>
      <w:r>
        <w:t xml:space="preserve"> produces significant benefits for Australia and New Zealand. </w:t>
      </w:r>
      <w:r w:rsidRPr="00613DDD">
        <w:t>The OECD</w:t>
      </w:r>
      <w:r w:rsidR="000B7550">
        <w:t> </w:t>
      </w:r>
      <w:r>
        <w:t xml:space="preserve">(2005) argues that </w:t>
      </w:r>
      <w:r w:rsidRPr="00613DDD">
        <w:t xml:space="preserve">liberalisation of </w:t>
      </w:r>
      <w:proofErr w:type="spellStart"/>
      <w:r>
        <w:t>FDI</w:t>
      </w:r>
      <w:proofErr w:type="spellEnd"/>
      <w:r w:rsidRPr="00613DDD">
        <w:t xml:space="preserve"> </w:t>
      </w:r>
      <w:r>
        <w:t xml:space="preserve">is associated with increased investment, trade and economic growth in the host country. </w:t>
      </w:r>
      <w:r w:rsidR="00AA00DC">
        <w:t>New Zealand Treasury</w:t>
      </w:r>
      <w:r w:rsidR="000B7550">
        <w:t> </w:t>
      </w:r>
      <w:r w:rsidR="00AA00DC">
        <w:t xml:space="preserve">(2009) has stated that </w:t>
      </w:r>
      <w:proofErr w:type="spellStart"/>
      <w:r w:rsidR="00AA00DC" w:rsidRPr="00130F8E">
        <w:t>FDI</w:t>
      </w:r>
      <w:proofErr w:type="spellEnd"/>
      <w:r w:rsidR="00AA00DC" w:rsidRPr="00130F8E">
        <w:t xml:space="preserve"> </w:t>
      </w:r>
      <w:r w:rsidR="00AA00DC">
        <w:t xml:space="preserve">inflows have </w:t>
      </w:r>
      <w:r w:rsidR="00AA00DC" w:rsidRPr="00130F8E">
        <w:t>improve</w:t>
      </w:r>
      <w:r w:rsidR="00AA00DC">
        <w:t>d</w:t>
      </w:r>
      <w:r w:rsidR="00AA00DC" w:rsidRPr="00130F8E">
        <w:t xml:space="preserve"> </w:t>
      </w:r>
      <w:r w:rsidR="00AA00DC">
        <w:t xml:space="preserve">economy-wide </w:t>
      </w:r>
      <w:r w:rsidR="00AA00DC" w:rsidRPr="00130F8E">
        <w:t>productivity</w:t>
      </w:r>
      <w:r w:rsidR="00AA00DC">
        <w:t xml:space="preserve"> </w:t>
      </w:r>
      <w:r w:rsidR="00AA00DC" w:rsidRPr="00130F8E">
        <w:t>by allow</w:t>
      </w:r>
      <w:r w:rsidR="00AA00DC">
        <w:t>ing</w:t>
      </w:r>
      <w:r w:rsidR="00AA00DC" w:rsidRPr="00130F8E">
        <w:t xml:space="preserve"> domestic firms </w:t>
      </w:r>
      <w:r w:rsidR="00AA00DC">
        <w:t xml:space="preserve">to access </w:t>
      </w:r>
      <w:r w:rsidR="00AA00DC" w:rsidRPr="00130F8E">
        <w:t xml:space="preserve">international </w:t>
      </w:r>
      <w:r w:rsidR="00AA00DC">
        <w:t xml:space="preserve">supply chains, new technologies and foreign </w:t>
      </w:r>
      <w:r w:rsidR="00AA00DC" w:rsidRPr="00130F8E">
        <w:t>expertise and skills</w:t>
      </w:r>
      <w:r w:rsidR="00AA00DC">
        <w:t xml:space="preserve">. </w:t>
      </w:r>
      <w:r w:rsidR="00D42E12">
        <w:t>R</w:t>
      </w:r>
      <w:r>
        <w:t>ecent growth in Australia’s mining sector has been financed in part by a more than four</w:t>
      </w:r>
      <w:r>
        <w:noBreakHyphen/>
        <w:t xml:space="preserve">fold increase in </w:t>
      </w:r>
      <w:proofErr w:type="spellStart"/>
      <w:r>
        <w:t>FDI</w:t>
      </w:r>
      <w:proofErr w:type="spellEnd"/>
      <w:r>
        <w:t xml:space="preserve"> in the sector between 2001 and 2010 (PC</w:t>
      </w:r>
      <w:r w:rsidR="000B7550">
        <w:t> </w:t>
      </w:r>
      <w:proofErr w:type="spellStart"/>
      <w:r>
        <w:t>2012b</w:t>
      </w:r>
      <w:proofErr w:type="spellEnd"/>
      <w:r>
        <w:t xml:space="preserve">). In terms of trans-Tasman flows, Australia accounts for over half of all </w:t>
      </w:r>
      <w:proofErr w:type="spellStart"/>
      <w:r>
        <w:t>FDI</w:t>
      </w:r>
      <w:proofErr w:type="spellEnd"/>
      <w:r>
        <w:t xml:space="preserve"> in New Zealand. Makin, Zhang and </w:t>
      </w:r>
      <w:proofErr w:type="spellStart"/>
      <w:r>
        <w:t>Scobie</w:t>
      </w:r>
      <w:proofErr w:type="spellEnd"/>
      <w:r w:rsidR="000B7550">
        <w:t> </w:t>
      </w:r>
      <w:r>
        <w:t xml:space="preserve">(2008) estimated that foreign investment in New Zealand </w:t>
      </w:r>
      <w:r w:rsidRPr="00AB26D6">
        <w:t>between 1988 and 2006</w:t>
      </w:r>
      <w:r>
        <w:t xml:space="preserve"> (including direct and portfolio flows) </w:t>
      </w:r>
      <w:r w:rsidRPr="00AB26D6">
        <w:t>increased income</w:t>
      </w:r>
      <w:r>
        <w:t>s</w:t>
      </w:r>
      <w:r w:rsidRPr="00AB26D6">
        <w:t xml:space="preserve"> by </w:t>
      </w:r>
      <w:proofErr w:type="spellStart"/>
      <w:r>
        <w:t>NZ$33</w:t>
      </w:r>
      <w:r w:rsidRPr="00AB26D6">
        <w:t>00</w:t>
      </w:r>
      <w:proofErr w:type="spellEnd"/>
      <w:r w:rsidRPr="00AB26D6">
        <w:t xml:space="preserve"> per worker </w:t>
      </w:r>
      <w:r w:rsidRPr="003B38C6">
        <w:t xml:space="preserve">and national wealth by </w:t>
      </w:r>
      <w:proofErr w:type="spellStart"/>
      <w:r w:rsidRPr="003B38C6">
        <w:t>NZ$14</w:t>
      </w:r>
      <w:proofErr w:type="spellEnd"/>
      <w:r w:rsidRPr="003B38C6">
        <w:t> 000 per person (in 2007 dollars).</w:t>
      </w:r>
    </w:p>
    <w:p w14:paraId="0BDF0C67" w14:textId="64170ED3" w:rsidR="00531DE9" w:rsidRPr="004A47CD" w:rsidRDefault="006B4043" w:rsidP="00531DE9">
      <w:pPr>
        <w:pStyle w:val="BodyText"/>
      </w:pPr>
      <w:r w:rsidRPr="004A47CD">
        <w:t>As international supply chains have developed, intra-firm trade has played an increasingly important role in economic integration (</w:t>
      </w:r>
      <w:r w:rsidR="00B312A3" w:rsidRPr="004A47CD">
        <w:t xml:space="preserve">De </w:t>
      </w:r>
      <w:r w:rsidRPr="004A47CD">
        <w:t xml:space="preserve">Backer and </w:t>
      </w:r>
      <w:proofErr w:type="spellStart"/>
      <w:r w:rsidRPr="004A47CD">
        <w:t>Yamano</w:t>
      </w:r>
      <w:proofErr w:type="spellEnd"/>
      <w:r w:rsidR="000B7550" w:rsidRPr="004A47CD">
        <w:t> </w:t>
      </w:r>
      <w:r w:rsidRPr="004A47CD">
        <w:t>2012). Such trade can involve a firm producing an intermediate good for export to an affiliated company</w:t>
      </w:r>
      <w:r w:rsidR="00B10E35" w:rsidRPr="004A47CD">
        <w:t xml:space="preserve"> that</w:t>
      </w:r>
      <w:r w:rsidRPr="004A47CD">
        <w:t xml:space="preserve"> undertakes further processing. For example, Cadbury, as part of a decision to specialise production across the whole trans</w:t>
      </w:r>
      <w:r w:rsidRPr="004A47CD">
        <w:noBreakHyphen/>
        <w:t xml:space="preserve">Tasman market, now produces chocolate crumb at its upgraded Dunedin factory for export to </w:t>
      </w:r>
      <w:r w:rsidRPr="004A47CD">
        <w:lastRenderedPageBreak/>
        <w:t>Australia, where it is made into block chocolate. Data from the Australian Taxation Office indicates that intra</w:t>
      </w:r>
      <w:r w:rsidRPr="004A47CD">
        <w:noBreakHyphen/>
        <w:t>firm trade with New Zealand accounted for 6.2</w:t>
      </w:r>
      <w:r w:rsidR="000B7550" w:rsidRPr="004A47CD">
        <w:t> </w:t>
      </w:r>
      <w:proofErr w:type="spellStart"/>
      <w:r w:rsidRPr="004A47CD">
        <w:t>percent</w:t>
      </w:r>
      <w:proofErr w:type="spellEnd"/>
      <w:r w:rsidRPr="004A47CD">
        <w:t xml:space="preserve"> of Australia’s total intra-firm trade in 2010 (</w:t>
      </w:r>
      <w:proofErr w:type="spellStart"/>
      <w:r w:rsidRPr="004A47CD">
        <w:t>ATO</w:t>
      </w:r>
      <w:proofErr w:type="spellEnd"/>
      <w:r w:rsidRPr="004A47CD">
        <w:t xml:space="preserve"> unpublished). This is significantly higher than the 3.7</w:t>
      </w:r>
      <w:r w:rsidR="000B7550" w:rsidRPr="004A47CD">
        <w:t> </w:t>
      </w:r>
      <w:proofErr w:type="spellStart"/>
      <w:r w:rsidRPr="004A47CD">
        <w:t>percent</w:t>
      </w:r>
      <w:proofErr w:type="spellEnd"/>
      <w:r w:rsidRPr="004A47CD">
        <w:t xml:space="preserve"> of Australia’s total trade in goods and services that was with New Zealand in that year. Approximately 25</w:t>
      </w:r>
      <w:r w:rsidR="000B7550" w:rsidRPr="004A47CD">
        <w:t> </w:t>
      </w:r>
      <w:proofErr w:type="spellStart"/>
      <w:r w:rsidRPr="004A47CD">
        <w:t>percent</w:t>
      </w:r>
      <w:proofErr w:type="spellEnd"/>
      <w:r w:rsidRPr="004A47CD">
        <w:t xml:space="preserve"> of Australian firms that engaged in intra-firm trade did so with affiliates in New Zealand. </w:t>
      </w:r>
      <w:proofErr w:type="spellStart"/>
      <w:r w:rsidRPr="004A47CD">
        <w:t>FDI</w:t>
      </w:r>
      <w:proofErr w:type="spellEnd"/>
      <w:r w:rsidRPr="004A47CD">
        <w:t xml:space="preserve"> facilitates intra-firm trade</w:t>
      </w:r>
      <w:r w:rsidR="00B10E35" w:rsidRPr="004A47CD">
        <w:t xml:space="preserve"> by allowing </w:t>
      </w:r>
      <w:r w:rsidR="00E4310C" w:rsidRPr="004A47CD">
        <w:t xml:space="preserve">the establishment of </w:t>
      </w:r>
      <w:r w:rsidR="00B10E35" w:rsidRPr="004A47CD">
        <w:t>foreign affiliates</w:t>
      </w:r>
      <w:r w:rsidRPr="004A47CD">
        <w:t>.</w:t>
      </w:r>
    </w:p>
    <w:p w14:paraId="06EB8019" w14:textId="77777777" w:rsidR="005852D3" w:rsidRDefault="00C164E0" w:rsidP="00F71E6B">
      <w:pPr>
        <w:pStyle w:val="Heading3"/>
      </w:pPr>
      <w:r>
        <w:t>The free m</w:t>
      </w:r>
      <w:r w:rsidR="009F390B">
        <w:t>ovement of people</w:t>
      </w:r>
      <w:r>
        <w:t xml:space="preserve"> remains a key feature</w:t>
      </w:r>
    </w:p>
    <w:p w14:paraId="139DE6CC" w14:textId="3F608D49" w:rsidR="008A466B" w:rsidRDefault="00D42E12" w:rsidP="009F390B">
      <w:pPr>
        <w:pStyle w:val="BodyText"/>
      </w:pPr>
      <w:r>
        <w:t>F</w:t>
      </w:r>
      <w:r w:rsidR="00930247">
        <w:t xml:space="preserve">ree movement of people between Australia and New Zealand </w:t>
      </w:r>
      <w:r w:rsidR="00837009">
        <w:t xml:space="preserve">far </w:t>
      </w:r>
      <w:r w:rsidR="00930247">
        <w:t xml:space="preserve">pre-dates </w:t>
      </w:r>
      <w:proofErr w:type="spellStart"/>
      <w:r w:rsidR="00930247">
        <w:t>CER</w:t>
      </w:r>
      <w:proofErr w:type="spellEnd"/>
      <w:r w:rsidR="00930247">
        <w:t xml:space="preserve">, but </w:t>
      </w:r>
      <w:r w:rsidR="00ED3B5E">
        <w:t>remains</w:t>
      </w:r>
      <w:r w:rsidR="00930247">
        <w:t xml:space="preserve"> an important aspect of trans-Tasman integration. From this </w:t>
      </w:r>
      <w:r w:rsidR="002C5E6D">
        <w:t>base</w:t>
      </w:r>
      <w:r w:rsidR="00930247">
        <w:t xml:space="preserve">, there have been some </w:t>
      </w:r>
      <w:proofErr w:type="spellStart"/>
      <w:r w:rsidR="00930247">
        <w:t>CER</w:t>
      </w:r>
      <w:proofErr w:type="spellEnd"/>
      <w:r w:rsidR="00930247">
        <w:t xml:space="preserve"> initiatives that have had some influence </w:t>
      </w:r>
      <w:r w:rsidR="005247AD">
        <w:t>i</w:t>
      </w:r>
      <w:r w:rsidR="00930247">
        <w:t>n addressing barriers to people movement</w:t>
      </w:r>
      <w:r w:rsidR="009077CB">
        <w:t xml:space="preserve">, such as </w:t>
      </w:r>
      <w:proofErr w:type="spellStart"/>
      <w:r w:rsidR="009077CB">
        <w:t>TTTA</w:t>
      </w:r>
      <w:proofErr w:type="spellEnd"/>
      <w:r w:rsidR="009077CB">
        <w:t xml:space="preserve">, </w:t>
      </w:r>
      <w:proofErr w:type="spellStart"/>
      <w:r w:rsidR="009077CB">
        <w:t>TTMRA</w:t>
      </w:r>
      <w:proofErr w:type="spellEnd"/>
      <w:r w:rsidR="009077CB">
        <w:t xml:space="preserve"> and </w:t>
      </w:r>
      <w:proofErr w:type="spellStart"/>
      <w:r w:rsidR="00EA7BD9">
        <w:t>SmartGate</w:t>
      </w:r>
      <w:proofErr w:type="spellEnd"/>
      <w:r w:rsidR="009077CB">
        <w:t xml:space="preserve"> (an automated passenger clearance system)</w:t>
      </w:r>
      <w:r w:rsidR="00930247">
        <w:t xml:space="preserve">. </w:t>
      </w:r>
      <w:r w:rsidR="008A466B">
        <w:t xml:space="preserve">However, changes </w:t>
      </w:r>
      <w:r w:rsidR="005247AD">
        <w:t xml:space="preserve">have also been made </w:t>
      </w:r>
      <w:r w:rsidR="008A466B">
        <w:t xml:space="preserve">to </w:t>
      </w:r>
      <w:r w:rsidR="008A466B" w:rsidRPr="008A466B">
        <w:t xml:space="preserve">limit access to social security for </w:t>
      </w:r>
      <w:r w:rsidR="008A466B">
        <w:t>some</w:t>
      </w:r>
      <w:r w:rsidR="008A466B" w:rsidRPr="008A466B">
        <w:t xml:space="preserve"> New Zealand citizens living in Australia</w:t>
      </w:r>
      <w:r w:rsidR="00A31EEC">
        <w:t xml:space="preserve"> </w:t>
      </w:r>
      <w:r w:rsidR="008A466B">
        <w:t xml:space="preserve">(supplementary paper </w:t>
      </w:r>
      <w:r w:rsidR="00A46366">
        <w:t>D</w:t>
      </w:r>
      <w:r w:rsidR="008A466B">
        <w:t>).</w:t>
      </w:r>
    </w:p>
    <w:p w14:paraId="2BABDDED" w14:textId="5D3369EB" w:rsidR="00250FAA" w:rsidRDefault="00F71E6B" w:rsidP="00F71E6B">
      <w:pPr>
        <w:pStyle w:val="BodyText"/>
      </w:pPr>
      <w:r>
        <w:t xml:space="preserve">People have moved between Australia and New Zealand since </w:t>
      </w:r>
      <w:r w:rsidR="004A56FD">
        <w:t>pre</w:t>
      </w:r>
      <w:r w:rsidR="004A56FD">
        <w:noBreakHyphen/>
      </w:r>
      <w:r>
        <w:t xml:space="preserve">colonial times, with a long history of labour </w:t>
      </w:r>
      <w:r w:rsidR="009F14C7">
        <w:t>exchange at all skill levels (</w:t>
      </w:r>
      <w:proofErr w:type="spellStart"/>
      <w:r>
        <w:t>DoL</w:t>
      </w:r>
      <w:proofErr w:type="spellEnd"/>
      <w:r>
        <w:t xml:space="preserve"> 2010). Since the </w:t>
      </w:r>
      <w:proofErr w:type="spellStart"/>
      <w:r>
        <w:t>19</w:t>
      </w:r>
      <w:r w:rsidR="005034C8">
        <w:t>70</w:t>
      </w:r>
      <w:r>
        <w:t>s</w:t>
      </w:r>
      <w:proofErr w:type="spellEnd"/>
      <w:r>
        <w:t xml:space="preserve">, there has been a substantial increase </w:t>
      </w:r>
      <w:r w:rsidR="00D42E12">
        <w:t>in</w:t>
      </w:r>
      <w:r>
        <w:t xml:space="preserve"> New Zealand</w:t>
      </w:r>
      <w:r w:rsidR="00C31793">
        <w:noBreakHyphen/>
      </w:r>
      <w:r>
        <w:t>born</w:t>
      </w:r>
      <w:r w:rsidR="005247AD">
        <w:t xml:space="preserve"> people </w:t>
      </w:r>
      <w:r>
        <w:t>living in Australia, outpacing growth in Australian</w:t>
      </w:r>
      <w:r w:rsidR="00C31793">
        <w:noBreakHyphen/>
      </w:r>
      <w:r>
        <w:t xml:space="preserve">born </w:t>
      </w:r>
      <w:r w:rsidR="0022091A">
        <w:t xml:space="preserve">people </w:t>
      </w:r>
      <w:r>
        <w:t>living in New Zealand</w:t>
      </w:r>
      <w:r w:rsidR="005034C8">
        <w:t xml:space="preserve"> (figure</w:t>
      </w:r>
      <w:r w:rsidR="000B7550">
        <w:t> </w:t>
      </w:r>
      <w:r w:rsidR="001E4AF4">
        <w:t>3.6</w:t>
      </w:r>
      <w:r w:rsidR="005034C8">
        <w:t>).</w:t>
      </w:r>
    </w:p>
    <w:p w14:paraId="7B6DA150" w14:textId="07031201" w:rsidR="00F71E6B" w:rsidRDefault="00250FAA" w:rsidP="00F71E6B">
      <w:pPr>
        <w:pStyle w:val="BodyText"/>
      </w:pPr>
      <w:r>
        <w:t>T</w:t>
      </w:r>
      <w:r w:rsidR="00E610ED">
        <w:t xml:space="preserve">he proportion of people living in Australia who were born in New Zealand </w:t>
      </w:r>
      <w:r>
        <w:t>has increased from around 1 </w:t>
      </w:r>
      <w:proofErr w:type="spellStart"/>
      <w:r>
        <w:t>percent</w:t>
      </w:r>
      <w:proofErr w:type="spellEnd"/>
      <w:r>
        <w:t xml:space="preserve"> in the early </w:t>
      </w:r>
      <w:proofErr w:type="spellStart"/>
      <w:r>
        <w:t>1970s</w:t>
      </w:r>
      <w:proofErr w:type="spellEnd"/>
      <w:r>
        <w:t xml:space="preserve"> to just </w:t>
      </w:r>
      <w:r w:rsidR="00B8428D">
        <w:t>over</w:t>
      </w:r>
      <w:r>
        <w:t xml:space="preserve"> 2</w:t>
      </w:r>
      <w:r w:rsidR="000B7550">
        <w:t> </w:t>
      </w:r>
      <w:proofErr w:type="spellStart"/>
      <w:r>
        <w:t>percent</w:t>
      </w:r>
      <w:proofErr w:type="spellEnd"/>
      <w:r>
        <w:t xml:space="preserve"> in 2006. </w:t>
      </w:r>
      <w:r w:rsidR="005247AD">
        <w:t>In contrast, t</w:t>
      </w:r>
      <w:r w:rsidR="00E610ED">
        <w:t>he proportion of New Zealand’s population born in Australia</w:t>
      </w:r>
      <w:r>
        <w:t xml:space="preserve"> has steadily fallen from around 5 </w:t>
      </w:r>
      <w:proofErr w:type="spellStart"/>
      <w:r>
        <w:t>percent</w:t>
      </w:r>
      <w:proofErr w:type="spellEnd"/>
      <w:r>
        <w:t xml:space="preserve"> in the early </w:t>
      </w:r>
      <w:proofErr w:type="spellStart"/>
      <w:r>
        <w:t>1900s</w:t>
      </w:r>
      <w:proofErr w:type="spellEnd"/>
      <w:r>
        <w:t xml:space="preserve"> to just </w:t>
      </w:r>
      <w:r w:rsidR="00B8428D">
        <w:t>under</w:t>
      </w:r>
      <w:r>
        <w:t xml:space="preserve"> 2</w:t>
      </w:r>
      <w:r w:rsidR="000B7550">
        <w:t> </w:t>
      </w:r>
      <w:proofErr w:type="spellStart"/>
      <w:r>
        <w:t>percent</w:t>
      </w:r>
      <w:proofErr w:type="spellEnd"/>
      <w:r>
        <w:t xml:space="preserve"> by 2011 (supplementary paper </w:t>
      </w:r>
      <w:r w:rsidR="00A46366">
        <w:t>D</w:t>
      </w:r>
      <w:r>
        <w:t>)</w:t>
      </w:r>
      <w:r w:rsidR="00E610ED">
        <w:t>.</w:t>
      </w:r>
    </w:p>
    <w:p w14:paraId="47B17D29" w14:textId="77777777" w:rsidR="002859CF" w:rsidRDefault="002859CF" w:rsidP="002859CF">
      <w:pPr>
        <w:pStyle w:val="BodyText"/>
      </w:pPr>
      <w:r>
        <w:t xml:space="preserve">The </w:t>
      </w:r>
      <w:proofErr w:type="spellStart"/>
      <w:r>
        <w:t>TTTA</w:t>
      </w:r>
      <w:proofErr w:type="spellEnd"/>
      <w:r>
        <w:t xml:space="preserve"> and </w:t>
      </w:r>
      <w:proofErr w:type="spellStart"/>
      <w:r>
        <w:t>TTMRA</w:t>
      </w:r>
      <w:proofErr w:type="spellEnd"/>
      <w:r>
        <w:t xml:space="preserve"> are likely to have had an influence on trans-Tasman people movement. The </w:t>
      </w:r>
      <w:proofErr w:type="spellStart"/>
      <w:r>
        <w:t>TTTA</w:t>
      </w:r>
      <w:proofErr w:type="spellEnd"/>
      <w:r>
        <w:t xml:space="preserve"> </w:t>
      </w:r>
      <w:r w:rsidRPr="00F67B91">
        <w:t>formal</w:t>
      </w:r>
      <w:r>
        <w:t xml:space="preserve">ised existing freedom of people movement, and extended freedoms to some citizens that previously faced restrictions. The </w:t>
      </w:r>
      <w:proofErr w:type="spellStart"/>
      <w:r>
        <w:t>TTTA</w:t>
      </w:r>
      <w:proofErr w:type="spellEnd"/>
      <w:r>
        <w:t xml:space="preserve"> and </w:t>
      </w:r>
      <w:proofErr w:type="spellStart"/>
      <w:r>
        <w:t>TTMRA</w:t>
      </w:r>
      <w:proofErr w:type="spellEnd"/>
      <w:r>
        <w:t xml:space="preserve"> have </w:t>
      </w:r>
      <w:r w:rsidRPr="00F67B91">
        <w:t>benefi</w:t>
      </w:r>
      <w:r>
        <w:t>t</w:t>
      </w:r>
      <w:r w:rsidRPr="00F67B91">
        <w:t xml:space="preserve">ed both countries by </w:t>
      </w:r>
      <w:r>
        <w:t>allowing people to move to higher value employment, although there are some concerns in New Zealand about the number of people emigrating (supplementary paper D)</w:t>
      </w:r>
      <w:r w:rsidRPr="00F67B91">
        <w:t xml:space="preserve">. </w:t>
      </w:r>
      <w:r>
        <w:t>The free movement of people has assisted in the development of business links between Australia and New Zealand (</w:t>
      </w:r>
      <w:proofErr w:type="spellStart"/>
      <w:r>
        <w:t>Greig</w:t>
      </w:r>
      <w:proofErr w:type="spellEnd"/>
      <w:r>
        <w:t>, sub. </w:t>
      </w:r>
      <w:proofErr w:type="spellStart"/>
      <w:r>
        <w:t>DR123</w:t>
      </w:r>
      <w:proofErr w:type="spellEnd"/>
      <w:r>
        <w:t xml:space="preserve">). </w:t>
      </w:r>
    </w:p>
    <w:p w14:paraId="7F1B70DF" w14:textId="77777777" w:rsidR="002859CF" w:rsidRDefault="002859CF" w:rsidP="002859CF">
      <w:pPr>
        <w:pStyle w:val="BodyText"/>
      </w:pPr>
      <w:r>
        <w:t>A</w:t>
      </w:r>
      <w:r w:rsidRPr="00DC4B9B">
        <w:t>nalysis suggests that economic factors</w:t>
      </w:r>
      <w:r>
        <w:t xml:space="preserve"> — mainly </w:t>
      </w:r>
      <w:r w:rsidRPr="00DC4B9B">
        <w:t xml:space="preserve">higher wages </w:t>
      </w:r>
      <w:r>
        <w:t>in Australia —</w:t>
      </w:r>
      <w:r w:rsidRPr="00DC4B9B">
        <w:t xml:space="preserve"> </w:t>
      </w:r>
      <w:r>
        <w:t xml:space="preserve">have been the main ongoing drivers of </w:t>
      </w:r>
      <w:r w:rsidRPr="00DC4B9B">
        <w:t>net migration flows of New Zealanders to Australia</w:t>
      </w:r>
      <w:r>
        <w:t xml:space="preserve"> (</w:t>
      </w:r>
      <w:proofErr w:type="spellStart"/>
      <w:r w:rsidRPr="001401DF">
        <w:t>DIAC</w:t>
      </w:r>
      <w:proofErr w:type="spellEnd"/>
      <w:r>
        <w:t> </w:t>
      </w:r>
      <w:r w:rsidRPr="001401DF">
        <w:t>2011; Green</w:t>
      </w:r>
      <w:r>
        <w:t>, Power and Jang</w:t>
      </w:r>
      <w:r w:rsidRPr="001401DF">
        <w:t xml:space="preserve"> 2008; </w:t>
      </w:r>
      <w:proofErr w:type="spellStart"/>
      <w:r w:rsidRPr="001401DF">
        <w:t>Hamer</w:t>
      </w:r>
      <w:proofErr w:type="spellEnd"/>
      <w:r w:rsidRPr="001401DF">
        <w:t xml:space="preserve"> 2008</w:t>
      </w:r>
      <w:r>
        <w:t xml:space="preserve">; </w:t>
      </w:r>
      <w:proofErr w:type="spellStart"/>
      <w:r>
        <w:t>Stillman</w:t>
      </w:r>
      <w:proofErr w:type="spellEnd"/>
      <w:r>
        <w:t xml:space="preserve"> and </w:t>
      </w:r>
      <w:proofErr w:type="spellStart"/>
      <w:r>
        <w:lastRenderedPageBreak/>
        <w:t>Velamuri</w:t>
      </w:r>
      <w:proofErr w:type="spellEnd"/>
      <w:r>
        <w:t> 2010)</w:t>
      </w:r>
      <w:r w:rsidRPr="00DC4B9B">
        <w:t>.</w:t>
      </w:r>
      <w:r>
        <w:t xml:space="preserve"> </w:t>
      </w:r>
      <w:proofErr w:type="spellStart"/>
      <w:r w:rsidRPr="00B8428D">
        <w:rPr>
          <w:lang w:val="en-NZ"/>
        </w:rPr>
        <w:t>Poot</w:t>
      </w:r>
      <w:proofErr w:type="spellEnd"/>
      <w:r>
        <w:rPr>
          <w:lang w:val="en-NZ"/>
        </w:rPr>
        <w:t> </w:t>
      </w:r>
      <w:r w:rsidRPr="00B8428D">
        <w:rPr>
          <w:lang w:val="en-NZ"/>
        </w:rPr>
        <w:t>(2009) highlights the correlation between divergence of real income</w:t>
      </w:r>
      <w:r>
        <w:rPr>
          <w:lang w:val="en-NZ"/>
        </w:rPr>
        <w:t>s</w:t>
      </w:r>
      <w:r w:rsidRPr="00B8428D">
        <w:rPr>
          <w:lang w:val="en-NZ"/>
        </w:rPr>
        <w:t xml:space="preserve"> on either side of the Tasman from the late </w:t>
      </w:r>
      <w:proofErr w:type="spellStart"/>
      <w:r w:rsidRPr="00B8428D">
        <w:rPr>
          <w:lang w:val="en-NZ"/>
        </w:rPr>
        <w:t>1960s</w:t>
      </w:r>
      <w:proofErr w:type="spellEnd"/>
      <w:r w:rsidRPr="00B8428D">
        <w:rPr>
          <w:lang w:val="en-NZ"/>
        </w:rPr>
        <w:t xml:space="preserve"> and migration flows from New Zealand to Australia.</w:t>
      </w:r>
    </w:p>
    <w:p w14:paraId="37D2808F" w14:textId="77777777" w:rsidR="007F15B1" w:rsidRDefault="007F15B1">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EE0939">
        <w:rPr>
          <w:b w:val="0"/>
          <w:noProof/>
        </w:rPr>
        <w:t>6</w:t>
      </w:r>
      <w:r>
        <w:rPr>
          <w:b w:val="0"/>
        </w:rPr>
        <w:fldChar w:fldCharType="end"/>
      </w:r>
      <w:r>
        <w:tab/>
      </w:r>
      <w:r w:rsidR="0018598C">
        <w:t>Australia’s New Zealand</w:t>
      </w:r>
      <w:r w:rsidR="00BE095F">
        <w:t>-</w:t>
      </w:r>
      <w:r w:rsidRPr="00294C69">
        <w:t>born population</w:t>
      </w:r>
      <w:r w:rsidR="00A2091F">
        <w:t xml:space="preserve"> </w:t>
      </w:r>
      <w:r w:rsidR="00BD036A">
        <w:t>has increas</w:t>
      </w:r>
      <w:r w:rsidR="000803C1">
        <w:t>ed</w:t>
      </w:r>
      <w:r w:rsidR="00BD036A">
        <w:t xml:space="preserve"> sharply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F15B1" w14:paraId="4A345EF3" w14:textId="77777777" w:rsidTr="003042E3">
        <w:tc>
          <w:tcPr>
            <w:tcW w:w="8777" w:type="dxa"/>
          </w:tcPr>
          <w:p w14:paraId="219AC997" w14:textId="252CF93B" w:rsidR="007F15B1" w:rsidRDefault="00805F09">
            <w:pPr>
              <w:pStyle w:val="Figure"/>
            </w:pPr>
            <w:r>
              <w:rPr>
                <w:noProof/>
              </w:rPr>
              <w:pict w14:anchorId="50E5D81E">
                <v:shape id="_x0000_i1030" type="#_x0000_t75" alt="Figure 3.6: Australia's New Zealand-born population has increased sharply.&#10;The figure shows the number of Australian born living in New Zealand and the number of New Zealand born living in Australia over the period from 1881 to 2012.&#10;The numbers were broadly similar until around the late 1960s and early 1970s at which time the number of New Zealand-born living in Australia increased sharply to stand at around half a million people by 2012. The number of Australian-born living in New Zealand has not grown markedly over the period." style="width:424.5pt;height:226.5pt">
                  <v:imagedata r:id="rId16" o:title=""/>
                </v:shape>
              </w:pict>
            </w:r>
          </w:p>
        </w:tc>
      </w:tr>
    </w:tbl>
    <w:p w14:paraId="562B79DA" w14:textId="0AC3E0A7" w:rsidR="007F15B1" w:rsidRDefault="002A484B" w:rsidP="007F15B1">
      <w:pPr>
        <w:pStyle w:val="Source"/>
      </w:pPr>
      <w:r>
        <w:rPr>
          <w:i/>
        </w:rPr>
        <w:t>S</w:t>
      </w:r>
      <w:r w:rsidR="007F15B1">
        <w:rPr>
          <w:i/>
        </w:rPr>
        <w:t>ource</w:t>
      </w:r>
      <w:r w:rsidR="00405E12">
        <w:rPr>
          <w:i/>
        </w:rPr>
        <w:t>s</w:t>
      </w:r>
      <w:r w:rsidR="007F15B1" w:rsidRPr="00167F06">
        <w:t xml:space="preserve">: </w:t>
      </w:r>
      <w:r w:rsidR="00603927">
        <w:t>ABS</w:t>
      </w:r>
      <w:r w:rsidR="000B7550">
        <w:t> </w:t>
      </w:r>
      <w:r w:rsidR="00603927">
        <w:t>(</w:t>
      </w:r>
      <w:proofErr w:type="spellStart"/>
      <w:r w:rsidR="00603927">
        <w:t>2012</w:t>
      </w:r>
      <w:r w:rsidR="0024644D">
        <w:t>b</w:t>
      </w:r>
      <w:proofErr w:type="spellEnd"/>
      <w:r w:rsidR="00603927">
        <w:t xml:space="preserve">); </w:t>
      </w:r>
      <w:proofErr w:type="spellStart"/>
      <w:r w:rsidR="00603927">
        <w:t>Poot</w:t>
      </w:r>
      <w:proofErr w:type="spellEnd"/>
      <w:r w:rsidR="000B7550">
        <w:t> </w:t>
      </w:r>
      <w:r w:rsidR="00603927">
        <w:t>(20</w:t>
      </w:r>
      <w:r w:rsidR="00121343">
        <w:t>09</w:t>
      </w:r>
      <w:r w:rsidR="00603927">
        <w:t>).</w:t>
      </w:r>
    </w:p>
    <w:p w14:paraId="034188C5" w14:textId="77777777" w:rsidR="00256C42" w:rsidRDefault="004F73F3" w:rsidP="00F71E6B">
      <w:pPr>
        <w:pStyle w:val="Heading3"/>
      </w:pPr>
      <w:proofErr w:type="spellStart"/>
      <w:r>
        <w:t>Interg</w:t>
      </w:r>
      <w:r w:rsidR="00256C42">
        <w:t>overnment</w:t>
      </w:r>
      <w:proofErr w:type="spellEnd"/>
      <w:r w:rsidR="00256C42">
        <w:t xml:space="preserve"> cooperation</w:t>
      </w:r>
      <w:r w:rsidR="00BE4D92">
        <w:t xml:space="preserve"> is extensive</w:t>
      </w:r>
    </w:p>
    <w:p w14:paraId="0428AEAF" w14:textId="77777777" w:rsidR="00773994" w:rsidRDefault="00773994" w:rsidP="00256C42">
      <w:pPr>
        <w:pStyle w:val="BodyText"/>
      </w:pPr>
      <w:r>
        <w:t xml:space="preserve">Collaboration between </w:t>
      </w:r>
      <w:r w:rsidR="00DC3C35">
        <w:t xml:space="preserve">the </w:t>
      </w:r>
      <w:r>
        <w:t xml:space="preserve">Australian and New Zealand Governments is extensive </w:t>
      </w:r>
      <w:r w:rsidR="002460B5">
        <w:t xml:space="preserve">and </w:t>
      </w:r>
      <w:r>
        <w:t>takes many forms, including:</w:t>
      </w:r>
    </w:p>
    <w:p w14:paraId="27C21D23" w14:textId="77777777" w:rsidR="00364791" w:rsidRPr="006C7287" w:rsidRDefault="00364791" w:rsidP="006C7287">
      <w:pPr>
        <w:pStyle w:val="ListBullet"/>
      </w:pPr>
      <w:r w:rsidRPr="006C7287">
        <w:t>annual meetings of Prime Ministers</w:t>
      </w:r>
    </w:p>
    <w:p w14:paraId="5CE47C9C" w14:textId="31882998" w:rsidR="00364791" w:rsidRPr="006C7287" w:rsidRDefault="00364791" w:rsidP="006C7287">
      <w:pPr>
        <w:pStyle w:val="ListBullet"/>
      </w:pPr>
      <w:r w:rsidRPr="006C7287">
        <w:t>regular ministerial and officials meetings</w:t>
      </w:r>
      <w:r w:rsidR="000803C1" w:rsidRPr="006C7287">
        <w:t xml:space="preserve"> (table</w:t>
      </w:r>
      <w:r w:rsidR="000B7550">
        <w:t> </w:t>
      </w:r>
      <w:r w:rsidR="000803C1" w:rsidRPr="006C7287">
        <w:t>3.2)</w:t>
      </w:r>
    </w:p>
    <w:p w14:paraId="448D4802" w14:textId="4E6D3120" w:rsidR="002E2E1F" w:rsidRPr="006C7287" w:rsidRDefault="002E2E1F" w:rsidP="006C7287">
      <w:pPr>
        <w:pStyle w:val="ListBullet"/>
      </w:pPr>
      <w:r w:rsidRPr="006C7287">
        <w:t xml:space="preserve">New Zealand ministers and officials </w:t>
      </w:r>
      <w:r w:rsidR="00C41154" w:rsidRPr="006C7287">
        <w:t xml:space="preserve">being members, along with </w:t>
      </w:r>
      <w:r w:rsidRPr="006C7287">
        <w:t>Australian federal and state counterparts</w:t>
      </w:r>
      <w:r w:rsidR="00C41154" w:rsidRPr="006C7287">
        <w:t xml:space="preserve">, of </w:t>
      </w:r>
      <w:r w:rsidRPr="006C7287">
        <w:t xml:space="preserve">many </w:t>
      </w:r>
      <w:proofErr w:type="spellStart"/>
      <w:r w:rsidR="0022091A">
        <w:t>COAG</w:t>
      </w:r>
      <w:proofErr w:type="spellEnd"/>
      <w:r w:rsidR="0022091A">
        <w:t xml:space="preserve"> Ministerial </w:t>
      </w:r>
      <w:r w:rsidR="00C41154" w:rsidRPr="006C7287">
        <w:t>Councils</w:t>
      </w:r>
    </w:p>
    <w:p w14:paraId="7B105EAC" w14:textId="009B4EFF" w:rsidR="00364791" w:rsidRPr="006C7287" w:rsidRDefault="00364791" w:rsidP="006C7287">
      <w:pPr>
        <w:pStyle w:val="ListBullet"/>
      </w:pPr>
      <w:r w:rsidRPr="006C7287">
        <w:t xml:space="preserve">shared representation on </w:t>
      </w:r>
      <w:r w:rsidR="002E2E1F" w:rsidRPr="006C7287">
        <w:t xml:space="preserve">other </w:t>
      </w:r>
      <w:r w:rsidR="00C41154" w:rsidRPr="006C7287">
        <w:t xml:space="preserve">councils, </w:t>
      </w:r>
      <w:r w:rsidRPr="006C7287">
        <w:t xml:space="preserve">boards and other bodies (such as the appointment of Commissioners from the other country to the </w:t>
      </w:r>
      <w:proofErr w:type="spellStart"/>
      <w:r w:rsidRPr="006C7287">
        <w:t>ACCC</w:t>
      </w:r>
      <w:proofErr w:type="spellEnd"/>
      <w:r w:rsidRPr="006C7287">
        <w:t xml:space="preserve"> and the N</w:t>
      </w:r>
      <w:r w:rsidR="00527724">
        <w:t xml:space="preserve">ew </w:t>
      </w:r>
      <w:r w:rsidRPr="006C7287">
        <w:t>Z</w:t>
      </w:r>
      <w:r w:rsidR="00527724">
        <w:t xml:space="preserve">ealand </w:t>
      </w:r>
      <w:r w:rsidRPr="006C7287">
        <w:t>C</w:t>
      </w:r>
      <w:r w:rsidR="00527724">
        <w:t xml:space="preserve">ommerce </w:t>
      </w:r>
      <w:r w:rsidRPr="006C7287">
        <w:t>C</w:t>
      </w:r>
      <w:r w:rsidR="00527724">
        <w:t>ommission</w:t>
      </w:r>
      <w:r w:rsidRPr="006C7287">
        <w:t>)</w:t>
      </w:r>
    </w:p>
    <w:p w14:paraId="3E0CE68B" w14:textId="77777777" w:rsidR="00364791" w:rsidRPr="006C7287" w:rsidRDefault="00364791" w:rsidP="006C7287">
      <w:pPr>
        <w:pStyle w:val="ListBullet"/>
      </w:pPr>
      <w:r w:rsidRPr="006C7287">
        <w:t>joint ventures or other unincorporated activity</w:t>
      </w:r>
    </w:p>
    <w:p w14:paraId="0FF5384B" w14:textId="77777777" w:rsidR="00364791" w:rsidRPr="006C7287" w:rsidRDefault="00364791" w:rsidP="006C7287">
      <w:pPr>
        <w:pStyle w:val="ListBullet"/>
      </w:pPr>
      <w:r w:rsidRPr="006C7287">
        <w:t xml:space="preserve">joint body, company or other incorporated institution (such as </w:t>
      </w:r>
      <w:proofErr w:type="spellStart"/>
      <w:r w:rsidRPr="006C7287">
        <w:t>FSANZ</w:t>
      </w:r>
      <w:proofErr w:type="spellEnd"/>
      <w:r w:rsidRPr="006C7287">
        <w:t xml:space="preserve"> and JAS</w:t>
      </w:r>
      <w:r w:rsidR="00BE095F">
        <w:noBreakHyphen/>
      </w:r>
      <w:proofErr w:type="spellStart"/>
      <w:r w:rsidRPr="006C7287">
        <w:t>ANZ</w:t>
      </w:r>
      <w:proofErr w:type="spellEnd"/>
      <w:r w:rsidRPr="006C7287">
        <w:t>).</w:t>
      </w:r>
    </w:p>
    <w:p w14:paraId="64E43307" w14:textId="21868EE1" w:rsidR="00B33BC4" w:rsidRDefault="00B33BC4">
      <w:pPr>
        <w:rPr>
          <w:rFonts w:ascii="Arial" w:hAnsi="Arial"/>
          <w:color w:val="1C1C1C"/>
          <w:sz w:val="24"/>
          <w:szCs w:val="20"/>
        </w:rPr>
      </w:pPr>
      <w:r>
        <w:br w:type="page"/>
      </w:r>
    </w:p>
    <w:p w14:paraId="4DE3AE54" w14:textId="77777777" w:rsidR="000803C1" w:rsidRDefault="000803C1">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Table \* ARABIC </w:instrText>
      </w:r>
      <w:r>
        <w:rPr>
          <w:b w:val="0"/>
        </w:rPr>
        <w:fldChar w:fldCharType="separate"/>
      </w:r>
      <w:r w:rsidR="00EE0939">
        <w:rPr>
          <w:b w:val="0"/>
          <w:noProof/>
        </w:rPr>
        <w:t>2</w:t>
      </w:r>
      <w:r>
        <w:rPr>
          <w:b w:val="0"/>
        </w:rPr>
        <w:fldChar w:fldCharType="end"/>
      </w:r>
      <w:r>
        <w:tab/>
      </w:r>
      <w:r w:rsidR="008D66ED">
        <w:t>New Zealand</w:t>
      </w:r>
      <w:r w:rsidR="00647E85">
        <w:t xml:space="preserve"> </w:t>
      </w:r>
      <w:r w:rsidR="00B9299F">
        <w:t>m</w:t>
      </w:r>
      <w:r>
        <w:t>inisterial and government agency interactions</w:t>
      </w:r>
      <w:r w:rsidR="008D66ED">
        <w:t xml:space="preserve"> with counterparts in Australia</w:t>
      </w:r>
      <w:r>
        <w:t>, 2012</w:t>
      </w:r>
      <w:r>
        <w:rPr>
          <w:rStyle w:val="NoteLabel"/>
          <w:b/>
        </w:rPr>
        <w:t>a</w:t>
      </w:r>
    </w:p>
    <w:tbl>
      <w:tblPr>
        <w:tblW w:w="0" w:type="auto"/>
        <w:tblCellMar>
          <w:left w:w="0" w:type="dxa"/>
          <w:right w:w="0" w:type="dxa"/>
        </w:tblCellMar>
        <w:tblLook w:val="04A0" w:firstRow="1" w:lastRow="0" w:firstColumn="1" w:lastColumn="0" w:noHBand="0" w:noVBand="1"/>
      </w:tblPr>
      <w:tblGrid>
        <w:gridCol w:w="1869"/>
        <w:gridCol w:w="1108"/>
        <w:gridCol w:w="1130"/>
        <w:gridCol w:w="1138"/>
        <w:gridCol w:w="1076"/>
        <w:gridCol w:w="1403"/>
        <w:gridCol w:w="1065"/>
      </w:tblGrid>
      <w:tr w:rsidR="006C7287" w14:paraId="227BCD6E" w14:textId="77777777" w:rsidTr="00083E90">
        <w:trPr>
          <w:tblHeader/>
        </w:trPr>
        <w:tc>
          <w:tcPr>
            <w:tcW w:w="0" w:type="auto"/>
            <w:vMerge w:val="restart"/>
            <w:tcBorders>
              <w:top w:val="single" w:sz="6" w:space="0" w:color="auto"/>
              <w:left w:val="nil"/>
              <w:bottom w:val="single" w:sz="4" w:space="0" w:color="auto"/>
              <w:right w:val="dotted" w:sz="12" w:space="0" w:color="BFBFBF" w:themeColor="background1" w:themeShade="BF"/>
            </w:tcBorders>
            <w:shd w:val="clear" w:color="auto" w:fill="E7ECCE"/>
            <w:vAlign w:val="center"/>
            <w:hideMark/>
          </w:tcPr>
          <w:p w14:paraId="32A3BCFC" w14:textId="77777777" w:rsidR="006C7287" w:rsidRDefault="006C7287" w:rsidP="006C7287">
            <w:pPr>
              <w:pStyle w:val="TableColumnHeading"/>
              <w:ind w:left="0"/>
              <w:jc w:val="left"/>
              <w:rPr>
                <w:lang w:val="en-NZ" w:eastAsia="en-US"/>
              </w:rPr>
            </w:pPr>
            <w:r>
              <w:rPr>
                <w:lang w:val="en-NZ" w:eastAsia="en-US"/>
              </w:rPr>
              <w:t>New Zealand agency</w:t>
            </w:r>
          </w:p>
        </w:tc>
        <w:tc>
          <w:tcPr>
            <w:tcW w:w="2238" w:type="dxa"/>
            <w:gridSpan w:val="2"/>
            <w:tcBorders>
              <w:top w:val="single" w:sz="6" w:space="0" w:color="auto"/>
              <w:left w:val="dotted" w:sz="12" w:space="0" w:color="BFBFBF" w:themeColor="background1" w:themeShade="BF"/>
              <w:bottom w:val="single" w:sz="4" w:space="0" w:color="auto"/>
              <w:right w:val="dotted" w:sz="12" w:space="0" w:color="BFBFBF" w:themeColor="background1" w:themeShade="BF"/>
            </w:tcBorders>
            <w:shd w:val="clear" w:color="auto" w:fill="E7ECCE"/>
            <w:hideMark/>
          </w:tcPr>
          <w:p w14:paraId="4E95DBAC" w14:textId="77777777" w:rsidR="006C7287" w:rsidRDefault="006C7287">
            <w:pPr>
              <w:pStyle w:val="TableColumnHeading"/>
              <w:ind w:left="0"/>
              <w:jc w:val="center"/>
              <w:rPr>
                <w:lang w:val="en-NZ" w:eastAsia="en-US"/>
              </w:rPr>
            </w:pPr>
            <w:r>
              <w:rPr>
                <w:lang w:val="en-NZ" w:eastAsia="en-US"/>
              </w:rPr>
              <w:t>Ministerial meetings</w:t>
            </w:r>
          </w:p>
        </w:tc>
        <w:tc>
          <w:tcPr>
            <w:tcW w:w="0" w:type="auto"/>
            <w:gridSpan w:val="2"/>
            <w:tcBorders>
              <w:top w:val="single" w:sz="6" w:space="0" w:color="auto"/>
              <w:left w:val="dotted" w:sz="12" w:space="0" w:color="BFBFBF" w:themeColor="background1" w:themeShade="BF"/>
              <w:bottom w:val="single" w:sz="4" w:space="0" w:color="auto"/>
              <w:right w:val="dotted" w:sz="12" w:space="0" w:color="BFBFBF" w:themeColor="background1" w:themeShade="BF"/>
            </w:tcBorders>
            <w:shd w:val="clear" w:color="auto" w:fill="E7ECCE"/>
            <w:hideMark/>
          </w:tcPr>
          <w:p w14:paraId="6619444D" w14:textId="77777777" w:rsidR="006C7287" w:rsidRDefault="006C7287">
            <w:pPr>
              <w:pStyle w:val="TableColumnHeading"/>
              <w:jc w:val="center"/>
              <w:rPr>
                <w:lang w:val="en-NZ" w:eastAsia="en-US"/>
              </w:rPr>
            </w:pPr>
            <w:r>
              <w:rPr>
                <w:lang w:val="en-NZ" w:eastAsia="en-US"/>
              </w:rPr>
              <w:t>Officials meetings</w:t>
            </w:r>
          </w:p>
        </w:tc>
        <w:tc>
          <w:tcPr>
            <w:tcW w:w="0" w:type="auto"/>
            <w:gridSpan w:val="2"/>
            <w:tcBorders>
              <w:top w:val="single" w:sz="6" w:space="0" w:color="auto"/>
              <w:left w:val="dotted" w:sz="12" w:space="0" w:color="BFBFBF" w:themeColor="background1" w:themeShade="BF"/>
              <w:bottom w:val="single" w:sz="4" w:space="0" w:color="auto"/>
              <w:right w:val="nil"/>
            </w:tcBorders>
            <w:shd w:val="clear" w:color="auto" w:fill="E7ECCE"/>
            <w:vAlign w:val="bottom"/>
            <w:hideMark/>
          </w:tcPr>
          <w:p w14:paraId="725E309C" w14:textId="77777777" w:rsidR="006C7287" w:rsidRDefault="006C7287">
            <w:pPr>
              <w:pStyle w:val="TableColumnHeading"/>
              <w:ind w:right="28"/>
              <w:jc w:val="center"/>
              <w:rPr>
                <w:lang w:val="en-NZ" w:eastAsia="en-US"/>
              </w:rPr>
            </w:pPr>
            <w:r>
              <w:rPr>
                <w:lang w:val="en-NZ" w:eastAsia="en-US"/>
              </w:rPr>
              <w:t>Other interaction</w:t>
            </w:r>
          </w:p>
        </w:tc>
      </w:tr>
      <w:tr w:rsidR="006C7287" w14:paraId="3146C9CE" w14:textId="77777777" w:rsidTr="00083E90">
        <w:trPr>
          <w:tblHeader/>
        </w:trPr>
        <w:tc>
          <w:tcPr>
            <w:tcW w:w="0" w:type="auto"/>
            <w:vMerge/>
            <w:tcBorders>
              <w:top w:val="single" w:sz="6" w:space="0" w:color="auto"/>
              <w:left w:val="nil"/>
              <w:bottom w:val="single" w:sz="4" w:space="0" w:color="auto"/>
              <w:right w:val="dotted" w:sz="12" w:space="0" w:color="BFBFBF" w:themeColor="background1" w:themeShade="BF"/>
            </w:tcBorders>
            <w:vAlign w:val="center"/>
            <w:hideMark/>
          </w:tcPr>
          <w:p w14:paraId="0284B913" w14:textId="77777777" w:rsidR="006C7287" w:rsidRDefault="006C7287">
            <w:pPr>
              <w:rPr>
                <w:rFonts w:ascii="Arial" w:hAnsi="Arial"/>
                <w:i/>
                <w:color w:val="1C1C1C"/>
                <w:sz w:val="20"/>
                <w:szCs w:val="20"/>
                <w:lang w:val="en-NZ" w:eastAsia="en-US"/>
              </w:rPr>
            </w:pPr>
          </w:p>
        </w:tc>
        <w:tc>
          <w:tcPr>
            <w:tcW w:w="1108" w:type="dxa"/>
            <w:tcBorders>
              <w:top w:val="single" w:sz="4" w:space="0" w:color="auto"/>
              <w:left w:val="dotted" w:sz="12" w:space="0" w:color="BFBFBF" w:themeColor="background1" w:themeShade="BF"/>
              <w:bottom w:val="single" w:sz="4" w:space="0" w:color="auto"/>
              <w:right w:val="nil"/>
            </w:tcBorders>
            <w:shd w:val="clear" w:color="auto" w:fill="E7ECCE"/>
            <w:hideMark/>
          </w:tcPr>
          <w:p w14:paraId="38BCC5A6" w14:textId="77777777" w:rsidR="006C7287" w:rsidRDefault="006C7287" w:rsidP="006C7287">
            <w:pPr>
              <w:pStyle w:val="TableColumnHeading"/>
              <w:rPr>
                <w:lang w:val="en-NZ" w:eastAsia="en-US"/>
              </w:rPr>
            </w:pPr>
            <w:r>
              <w:rPr>
                <w:lang w:val="en-NZ" w:eastAsia="en-US"/>
              </w:rPr>
              <w:t>Number of groups</w:t>
            </w:r>
          </w:p>
        </w:tc>
        <w:tc>
          <w:tcPr>
            <w:tcW w:w="1130" w:type="dxa"/>
            <w:tcBorders>
              <w:top w:val="single" w:sz="4" w:space="0" w:color="auto"/>
              <w:left w:val="nil"/>
              <w:bottom w:val="single" w:sz="4" w:space="0" w:color="auto"/>
              <w:right w:val="dotted" w:sz="12" w:space="0" w:color="BFBFBF" w:themeColor="background1" w:themeShade="BF"/>
            </w:tcBorders>
            <w:shd w:val="clear" w:color="auto" w:fill="E7ECCE"/>
            <w:vAlign w:val="bottom"/>
            <w:hideMark/>
          </w:tcPr>
          <w:p w14:paraId="3CF7508B" w14:textId="77777777" w:rsidR="006C7287" w:rsidRDefault="006C7287" w:rsidP="006C7287">
            <w:pPr>
              <w:pStyle w:val="TableColumnHeading"/>
              <w:rPr>
                <w:lang w:val="en-NZ" w:eastAsia="en-US"/>
              </w:rPr>
            </w:pPr>
            <w:r>
              <w:rPr>
                <w:lang w:val="en-NZ" w:eastAsia="en-US"/>
              </w:rPr>
              <w:t>Total number of meetings per year</w:t>
            </w:r>
          </w:p>
        </w:tc>
        <w:tc>
          <w:tcPr>
            <w:tcW w:w="1138" w:type="dxa"/>
            <w:tcBorders>
              <w:top w:val="single" w:sz="4" w:space="0" w:color="auto"/>
              <w:left w:val="dotted" w:sz="12" w:space="0" w:color="BFBFBF" w:themeColor="background1" w:themeShade="BF"/>
              <w:bottom w:val="single" w:sz="4" w:space="0" w:color="auto"/>
              <w:right w:val="nil"/>
            </w:tcBorders>
            <w:shd w:val="clear" w:color="auto" w:fill="E7ECCE"/>
            <w:hideMark/>
          </w:tcPr>
          <w:p w14:paraId="76D9A9CD" w14:textId="77777777" w:rsidR="006C7287" w:rsidRDefault="006C7287" w:rsidP="006C7287">
            <w:pPr>
              <w:pStyle w:val="TableColumnHeading"/>
              <w:rPr>
                <w:lang w:val="en-NZ" w:eastAsia="en-US"/>
              </w:rPr>
            </w:pPr>
            <w:r>
              <w:rPr>
                <w:lang w:val="en-NZ" w:eastAsia="en-US"/>
              </w:rPr>
              <w:t>Number of groups</w:t>
            </w:r>
          </w:p>
        </w:tc>
        <w:tc>
          <w:tcPr>
            <w:tcW w:w="1076" w:type="dxa"/>
            <w:tcBorders>
              <w:top w:val="single" w:sz="4" w:space="0" w:color="auto"/>
              <w:left w:val="nil"/>
              <w:bottom w:val="single" w:sz="4" w:space="0" w:color="auto"/>
              <w:right w:val="dotted" w:sz="12" w:space="0" w:color="BFBFBF" w:themeColor="background1" w:themeShade="BF"/>
            </w:tcBorders>
            <w:shd w:val="clear" w:color="auto" w:fill="E7ECCE"/>
            <w:hideMark/>
          </w:tcPr>
          <w:p w14:paraId="17541E5A" w14:textId="77777777" w:rsidR="006C7287" w:rsidRDefault="006C7287" w:rsidP="006C7287">
            <w:pPr>
              <w:pStyle w:val="TableColumnHeading"/>
              <w:rPr>
                <w:lang w:val="en-NZ" w:eastAsia="en-US"/>
              </w:rPr>
            </w:pPr>
            <w:r>
              <w:rPr>
                <w:lang w:val="en-NZ" w:eastAsia="en-US"/>
              </w:rPr>
              <w:t>Total number of meetings per year</w:t>
            </w:r>
          </w:p>
        </w:tc>
        <w:tc>
          <w:tcPr>
            <w:tcW w:w="0" w:type="auto"/>
            <w:tcBorders>
              <w:top w:val="single" w:sz="4" w:space="0" w:color="auto"/>
              <w:left w:val="dotted" w:sz="12" w:space="0" w:color="BFBFBF" w:themeColor="background1" w:themeShade="BF"/>
              <w:bottom w:val="single" w:sz="4" w:space="0" w:color="auto"/>
              <w:right w:val="nil"/>
            </w:tcBorders>
            <w:shd w:val="clear" w:color="auto" w:fill="E7ECCE"/>
            <w:hideMark/>
          </w:tcPr>
          <w:p w14:paraId="111D265C" w14:textId="77777777" w:rsidR="006C7287" w:rsidRDefault="006C7287" w:rsidP="006C7287">
            <w:pPr>
              <w:pStyle w:val="TableColumnHeading"/>
              <w:rPr>
                <w:lang w:val="en-NZ" w:eastAsia="en-US"/>
              </w:rPr>
            </w:pPr>
            <w:r>
              <w:rPr>
                <w:lang w:val="en-NZ" w:eastAsia="en-US"/>
              </w:rPr>
              <w:t>Number of bilateral instruments</w:t>
            </w:r>
          </w:p>
        </w:tc>
        <w:tc>
          <w:tcPr>
            <w:tcW w:w="0" w:type="auto"/>
            <w:tcBorders>
              <w:top w:val="single" w:sz="4" w:space="0" w:color="auto"/>
              <w:left w:val="nil"/>
              <w:bottom w:val="single" w:sz="4" w:space="0" w:color="auto"/>
              <w:right w:val="nil"/>
            </w:tcBorders>
            <w:shd w:val="clear" w:color="auto" w:fill="E7ECCE"/>
            <w:hideMark/>
          </w:tcPr>
          <w:p w14:paraId="26554BB9" w14:textId="77777777" w:rsidR="006C7287" w:rsidRDefault="006C7287" w:rsidP="006C7287">
            <w:pPr>
              <w:pStyle w:val="TableColumnHeading"/>
              <w:ind w:right="28"/>
              <w:rPr>
                <w:lang w:val="en-NZ" w:eastAsia="en-US"/>
              </w:rPr>
            </w:pPr>
            <w:r>
              <w:rPr>
                <w:lang w:val="en-NZ" w:eastAsia="en-US"/>
              </w:rPr>
              <w:t>Staff exchanges</w:t>
            </w:r>
          </w:p>
        </w:tc>
      </w:tr>
      <w:tr w:rsidR="006C7287" w14:paraId="2F104036" w14:textId="77777777" w:rsidTr="00083E90">
        <w:tc>
          <w:tcPr>
            <w:tcW w:w="0" w:type="auto"/>
            <w:tcBorders>
              <w:top w:val="nil"/>
              <w:left w:val="nil"/>
              <w:bottom w:val="nil"/>
              <w:right w:val="dotted" w:sz="12" w:space="0" w:color="BFBFBF" w:themeColor="background1" w:themeShade="BF"/>
            </w:tcBorders>
            <w:vAlign w:val="bottom"/>
            <w:hideMark/>
          </w:tcPr>
          <w:p w14:paraId="03B8B643" w14:textId="77777777" w:rsidR="006C7287" w:rsidRDefault="006C7287">
            <w:pPr>
              <w:pStyle w:val="TableUnitsRow"/>
              <w:jc w:val="left"/>
              <w:rPr>
                <w:lang w:val="en-NZ" w:eastAsia="en-US"/>
              </w:rPr>
            </w:pPr>
            <w:r>
              <w:rPr>
                <w:lang w:val="en-NZ" w:eastAsia="en-US"/>
              </w:rPr>
              <w:t>Ministry of Foreign Affairs and Trade</w:t>
            </w:r>
          </w:p>
        </w:tc>
        <w:tc>
          <w:tcPr>
            <w:tcW w:w="1108" w:type="dxa"/>
            <w:tcBorders>
              <w:top w:val="single" w:sz="4" w:space="0" w:color="auto"/>
              <w:left w:val="dotted" w:sz="12" w:space="0" w:color="BFBFBF" w:themeColor="background1" w:themeShade="BF"/>
              <w:bottom w:val="nil"/>
              <w:right w:val="nil"/>
            </w:tcBorders>
            <w:vAlign w:val="center"/>
            <w:hideMark/>
          </w:tcPr>
          <w:p w14:paraId="6034D452" w14:textId="77777777" w:rsidR="006C7287" w:rsidRDefault="006C7287">
            <w:pPr>
              <w:pStyle w:val="TableUnitsRow"/>
              <w:rPr>
                <w:lang w:val="en-NZ" w:eastAsia="en-US"/>
              </w:rPr>
            </w:pPr>
            <w:r>
              <w:rPr>
                <w:lang w:val="en-NZ" w:eastAsia="en-US"/>
              </w:rPr>
              <w:t>8+</w:t>
            </w:r>
          </w:p>
        </w:tc>
        <w:tc>
          <w:tcPr>
            <w:tcW w:w="1130" w:type="dxa"/>
            <w:tcBorders>
              <w:top w:val="single" w:sz="4" w:space="0" w:color="auto"/>
              <w:left w:val="nil"/>
              <w:bottom w:val="nil"/>
              <w:right w:val="dotted" w:sz="12" w:space="0" w:color="BFBFBF" w:themeColor="background1" w:themeShade="BF"/>
            </w:tcBorders>
            <w:vAlign w:val="center"/>
            <w:hideMark/>
          </w:tcPr>
          <w:p w14:paraId="65C23F87" w14:textId="77777777" w:rsidR="006C7287" w:rsidRDefault="006C7287">
            <w:pPr>
              <w:pStyle w:val="TableUnitsRow"/>
              <w:ind w:left="0"/>
              <w:rPr>
                <w:lang w:val="en-NZ" w:eastAsia="en-US"/>
              </w:rPr>
            </w:pPr>
            <w:r>
              <w:rPr>
                <w:lang w:val="en-NZ" w:eastAsia="en-US"/>
              </w:rPr>
              <w:t>10+</w:t>
            </w:r>
          </w:p>
        </w:tc>
        <w:tc>
          <w:tcPr>
            <w:tcW w:w="1138" w:type="dxa"/>
            <w:vAlign w:val="center"/>
            <w:hideMark/>
          </w:tcPr>
          <w:p w14:paraId="680C13E7" w14:textId="77777777" w:rsidR="006C7287" w:rsidRDefault="006C7287" w:rsidP="006C7287">
            <w:pPr>
              <w:pStyle w:val="TableUnitsRow"/>
              <w:rPr>
                <w:lang w:val="en-NZ" w:eastAsia="en-US"/>
              </w:rPr>
            </w:pPr>
            <w:r>
              <w:rPr>
                <w:lang w:val="en-NZ" w:eastAsia="en-US"/>
              </w:rPr>
              <w:t>14</w:t>
            </w:r>
          </w:p>
        </w:tc>
        <w:tc>
          <w:tcPr>
            <w:tcW w:w="1076" w:type="dxa"/>
            <w:tcBorders>
              <w:top w:val="single" w:sz="4" w:space="0" w:color="auto"/>
              <w:left w:val="nil"/>
              <w:bottom w:val="nil"/>
              <w:right w:val="dotted" w:sz="12" w:space="0" w:color="BFBFBF" w:themeColor="background1" w:themeShade="BF"/>
            </w:tcBorders>
            <w:vAlign w:val="center"/>
            <w:hideMark/>
          </w:tcPr>
          <w:p w14:paraId="32647A68" w14:textId="77777777" w:rsidR="006C7287" w:rsidRDefault="006C7287">
            <w:pPr>
              <w:pStyle w:val="TableUnitsRow"/>
              <w:rPr>
                <w:lang w:val="en-NZ" w:eastAsia="en-US"/>
              </w:rPr>
            </w:pPr>
            <w:r>
              <w:rPr>
                <w:lang w:val="en-NZ" w:eastAsia="en-US"/>
              </w:rPr>
              <w:t>17+</w:t>
            </w:r>
          </w:p>
        </w:tc>
        <w:tc>
          <w:tcPr>
            <w:tcW w:w="0" w:type="auto"/>
            <w:tcBorders>
              <w:top w:val="nil"/>
              <w:left w:val="dotted" w:sz="12" w:space="0" w:color="BFBFBF" w:themeColor="background1" w:themeShade="BF"/>
              <w:bottom w:val="nil"/>
              <w:right w:val="nil"/>
            </w:tcBorders>
            <w:vAlign w:val="center"/>
            <w:hideMark/>
          </w:tcPr>
          <w:p w14:paraId="53B8BA6D" w14:textId="77777777" w:rsidR="006C7287" w:rsidRDefault="006C7287" w:rsidP="008D66ED">
            <w:pPr>
              <w:pStyle w:val="TableUnitsRow"/>
              <w:rPr>
                <w:lang w:val="en-NZ" w:eastAsia="en-US"/>
              </w:rPr>
            </w:pPr>
            <w:r>
              <w:rPr>
                <w:lang w:val="en-NZ" w:eastAsia="en-US"/>
              </w:rPr>
              <w:t>6</w:t>
            </w:r>
          </w:p>
        </w:tc>
        <w:tc>
          <w:tcPr>
            <w:tcW w:w="0" w:type="auto"/>
            <w:vAlign w:val="center"/>
            <w:hideMark/>
          </w:tcPr>
          <w:p w14:paraId="70D4CED9" w14:textId="77777777" w:rsidR="006C7287" w:rsidRDefault="006C7287" w:rsidP="008D66ED">
            <w:pPr>
              <w:pStyle w:val="TableUnitsRow"/>
              <w:ind w:right="28"/>
              <w:rPr>
                <w:lang w:val="en-NZ" w:eastAsia="en-US"/>
              </w:rPr>
            </w:pPr>
            <w:r>
              <w:rPr>
                <w:lang w:val="en-NZ" w:eastAsia="en-US"/>
              </w:rPr>
              <w:t>1</w:t>
            </w:r>
          </w:p>
        </w:tc>
      </w:tr>
      <w:tr w:rsidR="006C7287" w14:paraId="4A6AEE62" w14:textId="77777777" w:rsidTr="00083E90">
        <w:tc>
          <w:tcPr>
            <w:tcW w:w="0" w:type="auto"/>
            <w:tcBorders>
              <w:top w:val="nil"/>
              <w:left w:val="nil"/>
              <w:bottom w:val="nil"/>
              <w:right w:val="dotted" w:sz="12" w:space="0" w:color="BFBFBF" w:themeColor="background1" w:themeShade="BF"/>
            </w:tcBorders>
            <w:vAlign w:val="bottom"/>
            <w:hideMark/>
          </w:tcPr>
          <w:p w14:paraId="1D7C2851" w14:textId="77777777" w:rsidR="006C7287" w:rsidRDefault="006C7287">
            <w:pPr>
              <w:pStyle w:val="TableUnitsRow"/>
              <w:jc w:val="left"/>
              <w:rPr>
                <w:lang w:val="en-NZ" w:eastAsia="en-US"/>
              </w:rPr>
            </w:pPr>
            <w:r>
              <w:rPr>
                <w:lang w:val="en-NZ" w:eastAsia="en-US"/>
              </w:rPr>
              <w:t xml:space="preserve">Ministry of Business, Innovation and Employment </w:t>
            </w:r>
          </w:p>
        </w:tc>
        <w:tc>
          <w:tcPr>
            <w:tcW w:w="1108" w:type="dxa"/>
            <w:tcBorders>
              <w:top w:val="nil"/>
              <w:left w:val="dotted" w:sz="12" w:space="0" w:color="BFBFBF" w:themeColor="background1" w:themeShade="BF"/>
              <w:bottom w:val="nil"/>
              <w:right w:val="nil"/>
            </w:tcBorders>
            <w:vAlign w:val="center"/>
            <w:hideMark/>
          </w:tcPr>
          <w:p w14:paraId="3F2376F4" w14:textId="77777777" w:rsidR="006C7287" w:rsidRDefault="006C7287">
            <w:pPr>
              <w:pStyle w:val="TableUnitsRow"/>
              <w:rPr>
                <w:lang w:val="en-NZ" w:eastAsia="en-US"/>
              </w:rPr>
            </w:pPr>
            <w:r>
              <w:rPr>
                <w:lang w:val="en-NZ" w:eastAsia="en-US"/>
              </w:rPr>
              <w:t>9</w:t>
            </w:r>
          </w:p>
        </w:tc>
        <w:tc>
          <w:tcPr>
            <w:tcW w:w="1130" w:type="dxa"/>
            <w:tcBorders>
              <w:top w:val="nil"/>
              <w:left w:val="nil"/>
              <w:bottom w:val="nil"/>
              <w:right w:val="dotted" w:sz="12" w:space="0" w:color="BFBFBF" w:themeColor="background1" w:themeShade="BF"/>
            </w:tcBorders>
            <w:vAlign w:val="center"/>
            <w:hideMark/>
          </w:tcPr>
          <w:p w14:paraId="4E974C13" w14:textId="77777777" w:rsidR="006C7287" w:rsidRDefault="006C7287">
            <w:pPr>
              <w:pStyle w:val="TableUnitsRow"/>
              <w:ind w:left="0"/>
              <w:rPr>
                <w:lang w:val="en-NZ" w:eastAsia="en-US"/>
              </w:rPr>
            </w:pPr>
            <w:r>
              <w:rPr>
                <w:lang w:val="en-NZ" w:eastAsia="en-US"/>
              </w:rPr>
              <w:t>10+</w:t>
            </w:r>
          </w:p>
        </w:tc>
        <w:tc>
          <w:tcPr>
            <w:tcW w:w="1138" w:type="dxa"/>
            <w:vAlign w:val="center"/>
            <w:hideMark/>
          </w:tcPr>
          <w:p w14:paraId="1D4E6226" w14:textId="77777777" w:rsidR="006C7287" w:rsidRDefault="006C7287">
            <w:pPr>
              <w:pStyle w:val="TableUnitsRow"/>
              <w:rPr>
                <w:lang w:val="en-NZ" w:eastAsia="en-US"/>
              </w:rPr>
            </w:pPr>
            <w:r>
              <w:rPr>
                <w:lang w:val="en-NZ" w:eastAsia="en-US"/>
              </w:rPr>
              <w:t>14+</w:t>
            </w:r>
          </w:p>
        </w:tc>
        <w:tc>
          <w:tcPr>
            <w:tcW w:w="1076" w:type="dxa"/>
            <w:tcBorders>
              <w:top w:val="nil"/>
              <w:left w:val="nil"/>
              <w:bottom w:val="nil"/>
              <w:right w:val="dotted" w:sz="12" w:space="0" w:color="BFBFBF" w:themeColor="background1" w:themeShade="BF"/>
            </w:tcBorders>
            <w:vAlign w:val="center"/>
            <w:hideMark/>
          </w:tcPr>
          <w:p w14:paraId="63181F33" w14:textId="77777777" w:rsidR="006C7287" w:rsidRDefault="006C7287">
            <w:pPr>
              <w:pStyle w:val="TableUnitsRow"/>
              <w:rPr>
                <w:lang w:val="en-NZ" w:eastAsia="en-US"/>
              </w:rPr>
            </w:pPr>
            <w:r>
              <w:rPr>
                <w:lang w:val="en-NZ" w:eastAsia="en-US"/>
              </w:rPr>
              <w:t>21+</w:t>
            </w:r>
          </w:p>
        </w:tc>
        <w:tc>
          <w:tcPr>
            <w:tcW w:w="0" w:type="auto"/>
            <w:tcBorders>
              <w:top w:val="nil"/>
              <w:left w:val="dotted" w:sz="12" w:space="0" w:color="BFBFBF" w:themeColor="background1" w:themeShade="BF"/>
              <w:bottom w:val="nil"/>
              <w:right w:val="nil"/>
            </w:tcBorders>
            <w:vAlign w:val="center"/>
            <w:hideMark/>
          </w:tcPr>
          <w:p w14:paraId="2F71C7BD" w14:textId="77777777" w:rsidR="006C7287" w:rsidRDefault="006C7287" w:rsidP="008D66ED">
            <w:pPr>
              <w:pStyle w:val="TableUnitsRow"/>
              <w:rPr>
                <w:lang w:val="en-NZ" w:eastAsia="en-US"/>
              </w:rPr>
            </w:pPr>
            <w:r>
              <w:rPr>
                <w:lang w:val="en-NZ" w:eastAsia="en-US"/>
              </w:rPr>
              <w:t>9</w:t>
            </w:r>
          </w:p>
        </w:tc>
        <w:tc>
          <w:tcPr>
            <w:tcW w:w="0" w:type="auto"/>
            <w:vAlign w:val="center"/>
            <w:hideMark/>
          </w:tcPr>
          <w:p w14:paraId="3B0859D4" w14:textId="77777777" w:rsidR="006C7287" w:rsidRDefault="006C7287" w:rsidP="00F90139">
            <w:pPr>
              <w:pStyle w:val="TableUnitsRow"/>
              <w:ind w:right="28"/>
              <w:rPr>
                <w:lang w:val="en-NZ" w:eastAsia="en-US"/>
              </w:rPr>
            </w:pPr>
            <w:r>
              <w:rPr>
                <w:lang w:val="en-NZ" w:eastAsia="en-US"/>
              </w:rPr>
              <w:t>–</w:t>
            </w:r>
          </w:p>
        </w:tc>
      </w:tr>
      <w:tr w:rsidR="006C7287" w14:paraId="4596A832" w14:textId="77777777" w:rsidTr="00083E90">
        <w:tc>
          <w:tcPr>
            <w:tcW w:w="0" w:type="auto"/>
            <w:tcBorders>
              <w:top w:val="nil"/>
              <w:left w:val="nil"/>
              <w:bottom w:val="nil"/>
              <w:right w:val="dotted" w:sz="12" w:space="0" w:color="BFBFBF" w:themeColor="background1" w:themeShade="BF"/>
            </w:tcBorders>
            <w:vAlign w:val="bottom"/>
            <w:hideMark/>
          </w:tcPr>
          <w:p w14:paraId="034813AD" w14:textId="77777777" w:rsidR="006C7287" w:rsidRDefault="006C7287">
            <w:pPr>
              <w:pStyle w:val="TableUnitsRow"/>
              <w:jc w:val="left"/>
              <w:rPr>
                <w:lang w:val="en-NZ" w:eastAsia="en-US"/>
              </w:rPr>
            </w:pPr>
            <w:r>
              <w:rPr>
                <w:lang w:val="en-NZ" w:eastAsia="en-US"/>
              </w:rPr>
              <w:t>The Treasury</w:t>
            </w:r>
          </w:p>
        </w:tc>
        <w:tc>
          <w:tcPr>
            <w:tcW w:w="1108" w:type="dxa"/>
            <w:tcBorders>
              <w:top w:val="nil"/>
              <w:left w:val="dotted" w:sz="12" w:space="0" w:color="BFBFBF" w:themeColor="background1" w:themeShade="BF"/>
              <w:bottom w:val="nil"/>
              <w:right w:val="nil"/>
            </w:tcBorders>
            <w:vAlign w:val="center"/>
            <w:hideMark/>
          </w:tcPr>
          <w:p w14:paraId="7F2780CD" w14:textId="77777777" w:rsidR="006C7287" w:rsidRDefault="006C7287">
            <w:pPr>
              <w:pStyle w:val="TableUnitsRow"/>
              <w:rPr>
                <w:lang w:val="en-NZ" w:eastAsia="en-US"/>
              </w:rPr>
            </w:pPr>
            <w:r>
              <w:rPr>
                <w:lang w:val="en-NZ" w:eastAsia="en-US"/>
              </w:rPr>
              <w:t>2</w:t>
            </w:r>
          </w:p>
        </w:tc>
        <w:tc>
          <w:tcPr>
            <w:tcW w:w="1130" w:type="dxa"/>
            <w:tcBorders>
              <w:top w:val="nil"/>
              <w:left w:val="nil"/>
              <w:bottom w:val="nil"/>
              <w:right w:val="dotted" w:sz="12" w:space="0" w:color="BFBFBF" w:themeColor="background1" w:themeShade="BF"/>
            </w:tcBorders>
            <w:vAlign w:val="center"/>
            <w:hideMark/>
          </w:tcPr>
          <w:p w14:paraId="29853814" w14:textId="77777777" w:rsidR="006C7287" w:rsidRDefault="006C7287">
            <w:pPr>
              <w:pStyle w:val="TableUnitsRow"/>
              <w:ind w:left="0"/>
              <w:rPr>
                <w:lang w:val="en-NZ" w:eastAsia="en-US"/>
              </w:rPr>
            </w:pPr>
            <w:r>
              <w:rPr>
                <w:lang w:val="en-NZ" w:eastAsia="en-US"/>
              </w:rPr>
              <w:t>2</w:t>
            </w:r>
          </w:p>
        </w:tc>
        <w:tc>
          <w:tcPr>
            <w:tcW w:w="1138" w:type="dxa"/>
            <w:vAlign w:val="center"/>
            <w:hideMark/>
          </w:tcPr>
          <w:p w14:paraId="76C52E8E" w14:textId="77777777" w:rsidR="006C7287" w:rsidRDefault="006C7287">
            <w:pPr>
              <w:pStyle w:val="TableUnitsRow"/>
              <w:rPr>
                <w:lang w:val="en-NZ" w:eastAsia="en-US"/>
              </w:rPr>
            </w:pPr>
            <w:r>
              <w:rPr>
                <w:lang w:val="en-NZ" w:eastAsia="en-US"/>
              </w:rPr>
              <w:t>1+</w:t>
            </w:r>
          </w:p>
        </w:tc>
        <w:tc>
          <w:tcPr>
            <w:tcW w:w="1076" w:type="dxa"/>
            <w:tcBorders>
              <w:top w:val="nil"/>
              <w:left w:val="nil"/>
              <w:bottom w:val="nil"/>
              <w:right w:val="dotted" w:sz="12" w:space="0" w:color="BFBFBF" w:themeColor="background1" w:themeShade="BF"/>
            </w:tcBorders>
            <w:vAlign w:val="center"/>
            <w:hideMark/>
          </w:tcPr>
          <w:p w14:paraId="0597EEE2" w14:textId="77777777" w:rsidR="006C7287" w:rsidRDefault="006C7287">
            <w:pPr>
              <w:pStyle w:val="TableUnitsRow"/>
              <w:rPr>
                <w:lang w:val="en-NZ" w:eastAsia="en-US"/>
              </w:rPr>
            </w:pPr>
            <w:r>
              <w:rPr>
                <w:lang w:val="en-NZ" w:eastAsia="en-US"/>
              </w:rPr>
              <w:t>1+</w:t>
            </w:r>
          </w:p>
        </w:tc>
        <w:tc>
          <w:tcPr>
            <w:tcW w:w="0" w:type="auto"/>
            <w:tcBorders>
              <w:top w:val="nil"/>
              <w:left w:val="dotted" w:sz="12" w:space="0" w:color="BFBFBF" w:themeColor="background1" w:themeShade="BF"/>
              <w:bottom w:val="nil"/>
              <w:right w:val="nil"/>
            </w:tcBorders>
            <w:vAlign w:val="center"/>
            <w:hideMark/>
          </w:tcPr>
          <w:p w14:paraId="30B3F9CB" w14:textId="77777777" w:rsidR="006C7287" w:rsidRDefault="006C7287">
            <w:pPr>
              <w:pStyle w:val="TableUnitsRow"/>
              <w:rPr>
                <w:lang w:val="en-NZ" w:eastAsia="en-US"/>
              </w:rPr>
            </w:pPr>
            <w:r>
              <w:rPr>
                <w:lang w:val="en-NZ" w:eastAsia="en-US"/>
              </w:rPr>
              <w:t>–</w:t>
            </w:r>
          </w:p>
        </w:tc>
        <w:tc>
          <w:tcPr>
            <w:tcW w:w="0" w:type="auto"/>
            <w:vAlign w:val="center"/>
            <w:hideMark/>
          </w:tcPr>
          <w:p w14:paraId="0382A23D" w14:textId="77777777" w:rsidR="006C7287" w:rsidRDefault="006C7287">
            <w:pPr>
              <w:pStyle w:val="TableUnitsRow"/>
              <w:ind w:right="28"/>
              <w:rPr>
                <w:lang w:val="en-NZ" w:eastAsia="en-US"/>
              </w:rPr>
            </w:pPr>
            <w:r>
              <w:rPr>
                <w:lang w:val="en-NZ" w:eastAsia="en-US"/>
              </w:rPr>
              <w:t>–</w:t>
            </w:r>
          </w:p>
        </w:tc>
      </w:tr>
      <w:tr w:rsidR="006C7287" w14:paraId="58A6C948" w14:textId="77777777" w:rsidTr="00083E90">
        <w:tc>
          <w:tcPr>
            <w:tcW w:w="0" w:type="auto"/>
            <w:tcBorders>
              <w:top w:val="nil"/>
              <w:left w:val="nil"/>
              <w:bottom w:val="nil"/>
              <w:right w:val="dotted" w:sz="12" w:space="0" w:color="BFBFBF" w:themeColor="background1" w:themeShade="BF"/>
            </w:tcBorders>
            <w:vAlign w:val="bottom"/>
            <w:hideMark/>
          </w:tcPr>
          <w:p w14:paraId="3FBF5C2F" w14:textId="77777777" w:rsidR="006C7287" w:rsidRDefault="006C7287">
            <w:pPr>
              <w:pStyle w:val="TableUnitsRow"/>
              <w:jc w:val="left"/>
              <w:rPr>
                <w:lang w:val="en-NZ" w:eastAsia="en-US"/>
              </w:rPr>
            </w:pPr>
            <w:r>
              <w:rPr>
                <w:lang w:val="en-NZ" w:eastAsia="en-US"/>
              </w:rPr>
              <w:t>Inland Revenue Department</w:t>
            </w:r>
          </w:p>
        </w:tc>
        <w:tc>
          <w:tcPr>
            <w:tcW w:w="1108" w:type="dxa"/>
            <w:tcBorders>
              <w:top w:val="nil"/>
              <w:left w:val="dotted" w:sz="12" w:space="0" w:color="BFBFBF" w:themeColor="background1" w:themeShade="BF"/>
              <w:bottom w:val="nil"/>
              <w:right w:val="nil"/>
            </w:tcBorders>
            <w:vAlign w:val="center"/>
            <w:hideMark/>
          </w:tcPr>
          <w:p w14:paraId="2B403EA2" w14:textId="77777777" w:rsidR="006C7287" w:rsidRDefault="006C7287">
            <w:pPr>
              <w:pStyle w:val="TableUnitsRow"/>
              <w:rPr>
                <w:lang w:val="en-NZ" w:eastAsia="en-US"/>
              </w:rPr>
            </w:pPr>
            <w:r>
              <w:rPr>
                <w:lang w:val="en-NZ" w:eastAsia="en-US"/>
              </w:rPr>
              <w:t>–</w:t>
            </w:r>
          </w:p>
        </w:tc>
        <w:tc>
          <w:tcPr>
            <w:tcW w:w="1130" w:type="dxa"/>
            <w:tcBorders>
              <w:top w:val="nil"/>
              <w:left w:val="nil"/>
              <w:bottom w:val="nil"/>
              <w:right w:val="dotted" w:sz="12" w:space="0" w:color="BFBFBF" w:themeColor="background1" w:themeShade="BF"/>
            </w:tcBorders>
            <w:vAlign w:val="center"/>
            <w:hideMark/>
          </w:tcPr>
          <w:p w14:paraId="5AAF923C" w14:textId="77777777" w:rsidR="006C7287" w:rsidRDefault="006C7287">
            <w:pPr>
              <w:pStyle w:val="TableUnitsRow"/>
              <w:rPr>
                <w:lang w:val="en-NZ" w:eastAsia="en-US"/>
              </w:rPr>
            </w:pPr>
            <w:r>
              <w:rPr>
                <w:lang w:val="en-NZ" w:eastAsia="en-US"/>
              </w:rPr>
              <w:t>–</w:t>
            </w:r>
          </w:p>
        </w:tc>
        <w:tc>
          <w:tcPr>
            <w:tcW w:w="1138" w:type="dxa"/>
            <w:vAlign w:val="center"/>
            <w:hideMark/>
          </w:tcPr>
          <w:p w14:paraId="1C89E948" w14:textId="77777777" w:rsidR="006C7287" w:rsidRDefault="006C7287">
            <w:pPr>
              <w:pStyle w:val="TableUnitsRow"/>
              <w:rPr>
                <w:lang w:val="en-NZ" w:eastAsia="en-US"/>
              </w:rPr>
            </w:pPr>
            <w:r>
              <w:rPr>
                <w:lang w:val="en-NZ" w:eastAsia="en-US"/>
              </w:rPr>
              <w:t>2+</w:t>
            </w:r>
          </w:p>
        </w:tc>
        <w:tc>
          <w:tcPr>
            <w:tcW w:w="1076" w:type="dxa"/>
            <w:tcBorders>
              <w:top w:val="nil"/>
              <w:left w:val="nil"/>
              <w:bottom w:val="nil"/>
              <w:right w:val="dotted" w:sz="12" w:space="0" w:color="BFBFBF" w:themeColor="background1" w:themeShade="BF"/>
            </w:tcBorders>
            <w:vAlign w:val="center"/>
            <w:hideMark/>
          </w:tcPr>
          <w:p w14:paraId="71C72EB1" w14:textId="77777777" w:rsidR="006C7287" w:rsidRDefault="006C7287">
            <w:pPr>
              <w:pStyle w:val="TableUnitsRow"/>
              <w:rPr>
                <w:lang w:val="en-NZ" w:eastAsia="en-US"/>
              </w:rPr>
            </w:pPr>
            <w:r>
              <w:rPr>
                <w:lang w:val="en-NZ" w:eastAsia="en-US"/>
              </w:rPr>
              <w:t>2+</w:t>
            </w:r>
          </w:p>
        </w:tc>
        <w:tc>
          <w:tcPr>
            <w:tcW w:w="0" w:type="auto"/>
            <w:tcBorders>
              <w:top w:val="nil"/>
              <w:left w:val="dotted" w:sz="12" w:space="0" w:color="BFBFBF" w:themeColor="background1" w:themeShade="BF"/>
              <w:bottom w:val="nil"/>
              <w:right w:val="nil"/>
            </w:tcBorders>
            <w:vAlign w:val="center"/>
            <w:hideMark/>
          </w:tcPr>
          <w:p w14:paraId="01573DB5" w14:textId="77777777" w:rsidR="006C7287" w:rsidRDefault="006C7287">
            <w:pPr>
              <w:pStyle w:val="TableUnitsRow"/>
              <w:rPr>
                <w:lang w:val="en-NZ" w:eastAsia="en-US"/>
              </w:rPr>
            </w:pPr>
            <w:r>
              <w:rPr>
                <w:lang w:val="en-NZ" w:eastAsia="en-US"/>
              </w:rPr>
              <w:t>4</w:t>
            </w:r>
          </w:p>
        </w:tc>
        <w:tc>
          <w:tcPr>
            <w:tcW w:w="0" w:type="auto"/>
            <w:vAlign w:val="center"/>
            <w:hideMark/>
          </w:tcPr>
          <w:p w14:paraId="0AE6F08B" w14:textId="77777777" w:rsidR="006C7287" w:rsidRDefault="006C7287">
            <w:pPr>
              <w:pStyle w:val="TableUnitsRow"/>
              <w:ind w:right="28"/>
              <w:rPr>
                <w:lang w:val="en-NZ" w:eastAsia="en-US"/>
              </w:rPr>
            </w:pPr>
            <w:r>
              <w:rPr>
                <w:lang w:val="en-NZ" w:eastAsia="en-US"/>
              </w:rPr>
              <w:t>–</w:t>
            </w:r>
          </w:p>
        </w:tc>
      </w:tr>
      <w:tr w:rsidR="006C7287" w14:paraId="71F37B17" w14:textId="77777777" w:rsidTr="00083E90">
        <w:tc>
          <w:tcPr>
            <w:tcW w:w="0" w:type="auto"/>
            <w:tcBorders>
              <w:top w:val="nil"/>
              <w:left w:val="nil"/>
              <w:bottom w:val="nil"/>
              <w:right w:val="dotted" w:sz="12" w:space="0" w:color="BFBFBF" w:themeColor="background1" w:themeShade="BF"/>
            </w:tcBorders>
            <w:vAlign w:val="bottom"/>
            <w:hideMark/>
          </w:tcPr>
          <w:p w14:paraId="1184AAC2" w14:textId="77777777" w:rsidR="006C7287" w:rsidRDefault="006C7287">
            <w:pPr>
              <w:pStyle w:val="TableUnitsRow"/>
              <w:jc w:val="left"/>
              <w:rPr>
                <w:lang w:val="en-NZ" w:eastAsia="en-US"/>
              </w:rPr>
            </w:pPr>
            <w:r>
              <w:rPr>
                <w:lang w:val="en-NZ" w:eastAsia="en-US"/>
              </w:rPr>
              <w:t>Ministry for Primary Industries</w:t>
            </w:r>
          </w:p>
        </w:tc>
        <w:tc>
          <w:tcPr>
            <w:tcW w:w="1108" w:type="dxa"/>
            <w:tcBorders>
              <w:top w:val="nil"/>
              <w:left w:val="dotted" w:sz="12" w:space="0" w:color="BFBFBF" w:themeColor="background1" w:themeShade="BF"/>
              <w:bottom w:val="nil"/>
              <w:right w:val="nil"/>
            </w:tcBorders>
            <w:vAlign w:val="center"/>
            <w:hideMark/>
          </w:tcPr>
          <w:p w14:paraId="29979D4F" w14:textId="77777777" w:rsidR="006C7287" w:rsidRDefault="006C7287">
            <w:pPr>
              <w:pStyle w:val="TableUnitsRow"/>
              <w:rPr>
                <w:lang w:val="en-NZ" w:eastAsia="en-US"/>
              </w:rPr>
            </w:pPr>
            <w:r>
              <w:rPr>
                <w:lang w:val="en-NZ" w:eastAsia="en-US"/>
              </w:rPr>
              <w:t>4</w:t>
            </w:r>
          </w:p>
        </w:tc>
        <w:tc>
          <w:tcPr>
            <w:tcW w:w="1130" w:type="dxa"/>
            <w:tcBorders>
              <w:top w:val="nil"/>
              <w:left w:val="nil"/>
              <w:bottom w:val="nil"/>
              <w:right w:val="dotted" w:sz="12" w:space="0" w:color="BFBFBF" w:themeColor="background1" w:themeShade="BF"/>
            </w:tcBorders>
            <w:vAlign w:val="center"/>
            <w:hideMark/>
          </w:tcPr>
          <w:p w14:paraId="387AA875" w14:textId="77777777" w:rsidR="006C7287" w:rsidRDefault="006C7287">
            <w:pPr>
              <w:pStyle w:val="TableUnitsRow"/>
              <w:ind w:left="0"/>
              <w:rPr>
                <w:lang w:val="en-NZ" w:eastAsia="en-US"/>
              </w:rPr>
            </w:pPr>
            <w:r>
              <w:rPr>
                <w:lang w:val="en-NZ" w:eastAsia="en-US"/>
              </w:rPr>
              <w:t>7+</w:t>
            </w:r>
          </w:p>
        </w:tc>
        <w:tc>
          <w:tcPr>
            <w:tcW w:w="1138" w:type="dxa"/>
            <w:vAlign w:val="center"/>
            <w:hideMark/>
          </w:tcPr>
          <w:p w14:paraId="549D524A" w14:textId="77777777" w:rsidR="006C7287" w:rsidRDefault="006C7287">
            <w:pPr>
              <w:pStyle w:val="TableUnitsRow"/>
              <w:rPr>
                <w:lang w:val="en-NZ" w:eastAsia="en-US"/>
              </w:rPr>
            </w:pPr>
            <w:r>
              <w:rPr>
                <w:lang w:val="en-NZ" w:eastAsia="en-US"/>
              </w:rPr>
              <w:t>6+</w:t>
            </w:r>
          </w:p>
        </w:tc>
        <w:tc>
          <w:tcPr>
            <w:tcW w:w="1076" w:type="dxa"/>
            <w:tcBorders>
              <w:top w:val="nil"/>
              <w:left w:val="nil"/>
              <w:bottom w:val="nil"/>
              <w:right w:val="dotted" w:sz="12" w:space="0" w:color="BFBFBF" w:themeColor="background1" w:themeShade="BF"/>
            </w:tcBorders>
            <w:vAlign w:val="center"/>
            <w:hideMark/>
          </w:tcPr>
          <w:p w14:paraId="326ACD28" w14:textId="77777777" w:rsidR="006C7287" w:rsidRDefault="006C7287">
            <w:pPr>
              <w:pStyle w:val="TableUnitsRow"/>
              <w:rPr>
                <w:lang w:val="en-NZ" w:eastAsia="en-US"/>
              </w:rPr>
            </w:pPr>
            <w:r>
              <w:rPr>
                <w:lang w:val="en-NZ" w:eastAsia="en-US"/>
              </w:rPr>
              <w:t>10+</w:t>
            </w:r>
          </w:p>
        </w:tc>
        <w:tc>
          <w:tcPr>
            <w:tcW w:w="0" w:type="auto"/>
            <w:tcBorders>
              <w:top w:val="nil"/>
              <w:left w:val="dotted" w:sz="12" w:space="0" w:color="BFBFBF" w:themeColor="background1" w:themeShade="BF"/>
              <w:bottom w:val="nil"/>
              <w:right w:val="nil"/>
            </w:tcBorders>
            <w:vAlign w:val="center"/>
            <w:hideMark/>
          </w:tcPr>
          <w:p w14:paraId="464D3D11" w14:textId="77777777" w:rsidR="006C7287" w:rsidRDefault="006C7287">
            <w:pPr>
              <w:pStyle w:val="TableUnitsRow"/>
              <w:rPr>
                <w:lang w:val="en-NZ" w:eastAsia="en-US"/>
              </w:rPr>
            </w:pPr>
            <w:r>
              <w:rPr>
                <w:lang w:val="en-NZ" w:eastAsia="en-US"/>
              </w:rPr>
              <w:t>6</w:t>
            </w:r>
          </w:p>
        </w:tc>
        <w:tc>
          <w:tcPr>
            <w:tcW w:w="0" w:type="auto"/>
            <w:vAlign w:val="center"/>
            <w:hideMark/>
          </w:tcPr>
          <w:p w14:paraId="1C2C7E3C" w14:textId="77777777" w:rsidR="006C7287" w:rsidRDefault="006C7287" w:rsidP="008D66ED">
            <w:pPr>
              <w:pStyle w:val="TableUnitsRow"/>
              <w:ind w:right="28"/>
              <w:rPr>
                <w:lang w:val="en-NZ" w:eastAsia="en-US"/>
              </w:rPr>
            </w:pPr>
            <w:r>
              <w:rPr>
                <w:lang w:val="en-NZ" w:eastAsia="en-US"/>
              </w:rPr>
              <w:t>1</w:t>
            </w:r>
          </w:p>
        </w:tc>
      </w:tr>
      <w:tr w:rsidR="006C7287" w14:paraId="4BBB3F29" w14:textId="77777777" w:rsidTr="00083E90">
        <w:tc>
          <w:tcPr>
            <w:tcW w:w="0" w:type="auto"/>
            <w:tcBorders>
              <w:top w:val="nil"/>
              <w:left w:val="nil"/>
              <w:bottom w:val="nil"/>
              <w:right w:val="dotted" w:sz="12" w:space="0" w:color="BFBFBF" w:themeColor="background1" w:themeShade="BF"/>
            </w:tcBorders>
            <w:vAlign w:val="bottom"/>
            <w:hideMark/>
          </w:tcPr>
          <w:p w14:paraId="24C62382" w14:textId="77777777" w:rsidR="006C7287" w:rsidRDefault="006C7287">
            <w:pPr>
              <w:pStyle w:val="TableUnitsRow"/>
              <w:jc w:val="left"/>
              <w:rPr>
                <w:lang w:val="en-NZ" w:eastAsia="en-US"/>
              </w:rPr>
            </w:pPr>
            <w:r>
              <w:rPr>
                <w:lang w:val="en-NZ" w:eastAsia="en-US"/>
              </w:rPr>
              <w:t>New Zealand Defence Force/Ministry of Defence</w:t>
            </w:r>
          </w:p>
        </w:tc>
        <w:tc>
          <w:tcPr>
            <w:tcW w:w="1108" w:type="dxa"/>
            <w:tcBorders>
              <w:top w:val="nil"/>
              <w:left w:val="dotted" w:sz="12" w:space="0" w:color="BFBFBF" w:themeColor="background1" w:themeShade="BF"/>
              <w:bottom w:val="nil"/>
              <w:right w:val="nil"/>
            </w:tcBorders>
            <w:vAlign w:val="center"/>
            <w:hideMark/>
          </w:tcPr>
          <w:p w14:paraId="604CF955" w14:textId="77777777" w:rsidR="006C7287" w:rsidRDefault="006C7287">
            <w:pPr>
              <w:pStyle w:val="TableUnitsRow"/>
              <w:rPr>
                <w:lang w:val="en-NZ" w:eastAsia="en-US"/>
              </w:rPr>
            </w:pPr>
            <w:r>
              <w:rPr>
                <w:lang w:val="en-NZ" w:eastAsia="en-US"/>
              </w:rPr>
              <w:t>3+</w:t>
            </w:r>
          </w:p>
        </w:tc>
        <w:tc>
          <w:tcPr>
            <w:tcW w:w="1130" w:type="dxa"/>
            <w:tcBorders>
              <w:top w:val="nil"/>
              <w:left w:val="nil"/>
              <w:bottom w:val="nil"/>
              <w:right w:val="dotted" w:sz="12" w:space="0" w:color="BFBFBF" w:themeColor="background1" w:themeShade="BF"/>
            </w:tcBorders>
            <w:vAlign w:val="center"/>
            <w:hideMark/>
          </w:tcPr>
          <w:p w14:paraId="04061A2F" w14:textId="77777777" w:rsidR="006C7287" w:rsidRDefault="006C7287">
            <w:pPr>
              <w:pStyle w:val="TableUnitsRow"/>
              <w:ind w:left="0"/>
              <w:rPr>
                <w:lang w:val="en-NZ" w:eastAsia="en-US"/>
              </w:rPr>
            </w:pPr>
            <w:r>
              <w:rPr>
                <w:lang w:val="en-NZ" w:eastAsia="en-US"/>
              </w:rPr>
              <w:t>3+</w:t>
            </w:r>
          </w:p>
        </w:tc>
        <w:tc>
          <w:tcPr>
            <w:tcW w:w="1138" w:type="dxa"/>
            <w:vAlign w:val="center"/>
            <w:hideMark/>
          </w:tcPr>
          <w:p w14:paraId="79272A8D" w14:textId="77777777" w:rsidR="006C7287" w:rsidRDefault="006C7287">
            <w:pPr>
              <w:pStyle w:val="TableUnitsRow"/>
              <w:rPr>
                <w:lang w:val="en-NZ" w:eastAsia="en-US"/>
              </w:rPr>
            </w:pPr>
            <w:r>
              <w:rPr>
                <w:lang w:val="en-NZ" w:eastAsia="en-US"/>
              </w:rPr>
              <w:t>2+</w:t>
            </w:r>
          </w:p>
        </w:tc>
        <w:tc>
          <w:tcPr>
            <w:tcW w:w="1076" w:type="dxa"/>
            <w:tcBorders>
              <w:top w:val="nil"/>
              <w:left w:val="nil"/>
              <w:bottom w:val="nil"/>
              <w:right w:val="dotted" w:sz="12" w:space="0" w:color="BFBFBF" w:themeColor="background1" w:themeShade="BF"/>
            </w:tcBorders>
            <w:vAlign w:val="center"/>
            <w:hideMark/>
          </w:tcPr>
          <w:p w14:paraId="6E986D3D" w14:textId="77777777" w:rsidR="006C7287" w:rsidRDefault="006C7287">
            <w:pPr>
              <w:pStyle w:val="TableUnitsRow"/>
              <w:rPr>
                <w:lang w:val="en-NZ" w:eastAsia="en-US"/>
              </w:rPr>
            </w:pPr>
            <w:r>
              <w:rPr>
                <w:lang w:val="en-NZ" w:eastAsia="en-US"/>
              </w:rPr>
              <w:t>5+</w:t>
            </w:r>
          </w:p>
        </w:tc>
        <w:tc>
          <w:tcPr>
            <w:tcW w:w="0" w:type="auto"/>
            <w:tcBorders>
              <w:top w:val="nil"/>
              <w:left w:val="dotted" w:sz="12" w:space="0" w:color="BFBFBF" w:themeColor="background1" w:themeShade="BF"/>
              <w:bottom w:val="nil"/>
              <w:right w:val="nil"/>
            </w:tcBorders>
            <w:vAlign w:val="center"/>
            <w:hideMark/>
          </w:tcPr>
          <w:p w14:paraId="68A3AD53" w14:textId="77777777" w:rsidR="006C7287" w:rsidRDefault="006C7287">
            <w:pPr>
              <w:pStyle w:val="TableUnitsRow"/>
              <w:rPr>
                <w:lang w:val="en-NZ" w:eastAsia="en-US"/>
              </w:rPr>
            </w:pPr>
            <w:r>
              <w:rPr>
                <w:lang w:val="en-NZ" w:eastAsia="en-US"/>
              </w:rPr>
              <w:t>2</w:t>
            </w:r>
          </w:p>
        </w:tc>
        <w:tc>
          <w:tcPr>
            <w:tcW w:w="0" w:type="auto"/>
            <w:vAlign w:val="center"/>
            <w:hideMark/>
          </w:tcPr>
          <w:p w14:paraId="6A3D4635" w14:textId="77777777" w:rsidR="006C7287" w:rsidRDefault="006C7287" w:rsidP="008D66ED">
            <w:pPr>
              <w:pStyle w:val="TableUnitsRow"/>
              <w:ind w:right="28"/>
              <w:rPr>
                <w:lang w:val="en-NZ" w:eastAsia="en-US"/>
              </w:rPr>
            </w:pPr>
            <w:r>
              <w:rPr>
                <w:lang w:val="en-NZ" w:eastAsia="en-US"/>
              </w:rPr>
              <w:t>1</w:t>
            </w:r>
          </w:p>
        </w:tc>
      </w:tr>
      <w:tr w:rsidR="006C7287" w14:paraId="04537984" w14:textId="77777777" w:rsidTr="00083E90">
        <w:tc>
          <w:tcPr>
            <w:tcW w:w="0" w:type="auto"/>
            <w:tcBorders>
              <w:top w:val="nil"/>
              <w:left w:val="nil"/>
              <w:bottom w:val="nil"/>
              <w:right w:val="dotted" w:sz="12" w:space="0" w:color="BFBFBF" w:themeColor="background1" w:themeShade="BF"/>
            </w:tcBorders>
            <w:vAlign w:val="bottom"/>
            <w:hideMark/>
          </w:tcPr>
          <w:p w14:paraId="6972F4EA" w14:textId="77777777" w:rsidR="006C7287" w:rsidRDefault="006C7287">
            <w:pPr>
              <w:pStyle w:val="TableUnitsRow"/>
              <w:jc w:val="left"/>
              <w:rPr>
                <w:lang w:val="en-NZ" w:eastAsia="en-US"/>
              </w:rPr>
            </w:pPr>
            <w:r>
              <w:rPr>
                <w:lang w:val="en-NZ" w:eastAsia="en-US"/>
              </w:rPr>
              <w:t>New Zealand Customs Service</w:t>
            </w:r>
          </w:p>
        </w:tc>
        <w:tc>
          <w:tcPr>
            <w:tcW w:w="1108" w:type="dxa"/>
            <w:tcBorders>
              <w:top w:val="nil"/>
              <w:left w:val="dotted" w:sz="12" w:space="0" w:color="BFBFBF" w:themeColor="background1" w:themeShade="BF"/>
              <w:bottom w:val="nil"/>
              <w:right w:val="nil"/>
            </w:tcBorders>
            <w:vAlign w:val="center"/>
            <w:hideMark/>
          </w:tcPr>
          <w:p w14:paraId="7A2A99DC" w14:textId="77777777" w:rsidR="006C7287" w:rsidRDefault="006C7287">
            <w:pPr>
              <w:pStyle w:val="TableUnitsRow"/>
              <w:rPr>
                <w:lang w:val="en-NZ" w:eastAsia="en-US"/>
              </w:rPr>
            </w:pPr>
            <w:r>
              <w:rPr>
                <w:lang w:val="en-NZ" w:eastAsia="en-US"/>
              </w:rPr>
              <w:t>1</w:t>
            </w:r>
          </w:p>
        </w:tc>
        <w:tc>
          <w:tcPr>
            <w:tcW w:w="1130" w:type="dxa"/>
            <w:tcBorders>
              <w:top w:val="nil"/>
              <w:left w:val="nil"/>
              <w:bottom w:val="nil"/>
              <w:right w:val="dotted" w:sz="12" w:space="0" w:color="BFBFBF" w:themeColor="background1" w:themeShade="BF"/>
            </w:tcBorders>
            <w:vAlign w:val="center"/>
            <w:hideMark/>
          </w:tcPr>
          <w:p w14:paraId="4F5D797E" w14:textId="77777777" w:rsidR="006C7287" w:rsidRDefault="006C7287">
            <w:pPr>
              <w:pStyle w:val="TableUnitsRow"/>
              <w:ind w:left="0"/>
              <w:rPr>
                <w:lang w:val="en-NZ" w:eastAsia="en-US"/>
              </w:rPr>
            </w:pPr>
            <w:r>
              <w:rPr>
                <w:lang w:val="en-NZ" w:eastAsia="en-US"/>
              </w:rPr>
              <w:t>1</w:t>
            </w:r>
          </w:p>
        </w:tc>
        <w:tc>
          <w:tcPr>
            <w:tcW w:w="1138" w:type="dxa"/>
            <w:vAlign w:val="center"/>
            <w:hideMark/>
          </w:tcPr>
          <w:p w14:paraId="500AB841" w14:textId="77777777" w:rsidR="006C7287" w:rsidRDefault="006C7287">
            <w:pPr>
              <w:pStyle w:val="TableUnitsRow"/>
              <w:rPr>
                <w:lang w:val="en-NZ" w:eastAsia="en-US"/>
              </w:rPr>
            </w:pPr>
            <w:r>
              <w:rPr>
                <w:lang w:val="en-NZ" w:eastAsia="en-US"/>
              </w:rPr>
              <w:t>2</w:t>
            </w:r>
          </w:p>
        </w:tc>
        <w:tc>
          <w:tcPr>
            <w:tcW w:w="1076" w:type="dxa"/>
            <w:tcBorders>
              <w:top w:val="nil"/>
              <w:left w:val="nil"/>
              <w:bottom w:val="nil"/>
              <w:right w:val="dotted" w:sz="12" w:space="0" w:color="BFBFBF" w:themeColor="background1" w:themeShade="BF"/>
            </w:tcBorders>
            <w:vAlign w:val="center"/>
            <w:hideMark/>
          </w:tcPr>
          <w:p w14:paraId="464B7B84" w14:textId="77777777" w:rsidR="006C7287" w:rsidRDefault="006C7287">
            <w:pPr>
              <w:pStyle w:val="TableUnitsRow"/>
              <w:rPr>
                <w:lang w:val="en-NZ" w:eastAsia="en-US"/>
              </w:rPr>
            </w:pPr>
            <w:r>
              <w:rPr>
                <w:lang w:val="en-NZ" w:eastAsia="en-US"/>
              </w:rPr>
              <w:t>2+</w:t>
            </w:r>
          </w:p>
        </w:tc>
        <w:tc>
          <w:tcPr>
            <w:tcW w:w="0" w:type="auto"/>
            <w:tcBorders>
              <w:top w:val="nil"/>
              <w:left w:val="dotted" w:sz="12" w:space="0" w:color="BFBFBF" w:themeColor="background1" w:themeShade="BF"/>
              <w:bottom w:val="nil"/>
              <w:right w:val="nil"/>
            </w:tcBorders>
            <w:vAlign w:val="center"/>
            <w:hideMark/>
          </w:tcPr>
          <w:p w14:paraId="58CE51FD" w14:textId="77777777" w:rsidR="006C7287" w:rsidRDefault="006C7287">
            <w:pPr>
              <w:pStyle w:val="TableUnitsRow"/>
              <w:rPr>
                <w:lang w:val="en-NZ" w:eastAsia="en-US"/>
              </w:rPr>
            </w:pPr>
            <w:r>
              <w:rPr>
                <w:lang w:val="en-NZ" w:eastAsia="en-US"/>
              </w:rPr>
              <w:t>3</w:t>
            </w:r>
          </w:p>
        </w:tc>
        <w:tc>
          <w:tcPr>
            <w:tcW w:w="0" w:type="auto"/>
            <w:vAlign w:val="center"/>
            <w:hideMark/>
          </w:tcPr>
          <w:p w14:paraId="7E2C4B58" w14:textId="77777777" w:rsidR="006C7287" w:rsidRDefault="006C7287" w:rsidP="008D66ED">
            <w:pPr>
              <w:pStyle w:val="TableUnitsRow"/>
              <w:ind w:right="28"/>
              <w:rPr>
                <w:lang w:val="en-NZ" w:eastAsia="en-US"/>
              </w:rPr>
            </w:pPr>
            <w:r>
              <w:rPr>
                <w:lang w:val="en-NZ" w:eastAsia="en-US"/>
              </w:rPr>
              <w:t>1</w:t>
            </w:r>
          </w:p>
        </w:tc>
      </w:tr>
      <w:tr w:rsidR="006C7287" w14:paraId="5BD88543" w14:textId="77777777" w:rsidTr="00083E90">
        <w:tc>
          <w:tcPr>
            <w:tcW w:w="0" w:type="auto"/>
            <w:tcBorders>
              <w:top w:val="nil"/>
              <w:left w:val="nil"/>
              <w:bottom w:val="nil"/>
              <w:right w:val="dotted" w:sz="12" w:space="0" w:color="BFBFBF" w:themeColor="background1" w:themeShade="BF"/>
            </w:tcBorders>
            <w:vAlign w:val="bottom"/>
            <w:hideMark/>
          </w:tcPr>
          <w:p w14:paraId="11696AE3" w14:textId="77777777" w:rsidR="006C7287" w:rsidRDefault="006C7287">
            <w:pPr>
              <w:pStyle w:val="TableUnitsRow"/>
              <w:jc w:val="left"/>
              <w:rPr>
                <w:lang w:val="en-NZ" w:eastAsia="en-US"/>
              </w:rPr>
            </w:pPr>
            <w:r>
              <w:rPr>
                <w:lang w:val="en-NZ" w:eastAsia="en-US"/>
              </w:rPr>
              <w:t>Ministry of Education</w:t>
            </w:r>
          </w:p>
        </w:tc>
        <w:tc>
          <w:tcPr>
            <w:tcW w:w="1108" w:type="dxa"/>
            <w:tcBorders>
              <w:top w:val="nil"/>
              <w:left w:val="dotted" w:sz="12" w:space="0" w:color="BFBFBF" w:themeColor="background1" w:themeShade="BF"/>
              <w:bottom w:val="nil"/>
              <w:right w:val="nil"/>
            </w:tcBorders>
            <w:vAlign w:val="center"/>
            <w:hideMark/>
          </w:tcPr>
          <w:p w14:paraId="14364735" w14:textId="77777777" w:rsidR="006C7287" w:rsidRDefault="006C7287">
            <w:pPr>
              <w:pStyle w:val="TableUnitsRow"/>
              <w:rPr>
                <w:lang w:val="en-NZ" w:eastAsia="en-US"/>
              </w:rPr>
            </w:pPr>
            <w:r>
              <w:rPr>
                <w:lang w:val="en-NZ" w:eastAsia="en-US"/>
              </w:rPr>
              <w:t>2</w:t>
            </w:r>
          </w:p>
        </w:tc>
        <w:tc>
          <w:tcPr>
            <w:tcW w:w="1130" w:type="dxa"/>
            <w:tcBorders>
              <w:top w:val="nil"/>
              <w:left w:val="nil"/>
              <w:bottom w:val="nil"/>
              <w:right w:val="dotted" w:sz="12" w:space="0" w:color="BFBFBF" w:themeColor="background1" w:themeShade="BF"/>
            </w:tcBorders>
            <w:vAlign w:val="center"/>
            <w:hideMark/>
          </w:tcPr>
          <w:p w14:paraId="01566D56" w14:textId="77777777" w:rsidR="006C7287" w:rsidRDefault="006C7287">
            <w:pPr>
              <w:pStyle w:val="TableUnitsRow"/>
              <w:ind w:left="0"/>
              <w:rPr>
                <w:lang w:val="en-NZ" w:eastAsia="en-US"/>
              </w:rPr>
            </w:pPr>
            <w:r>
              <w:rPr>
                <w:lang w:val="en-NZ" w:eastAsia="en-US"/>
              </w:rPr>
              <w:t>2+</w:t>
            </w:r>
          </w:p>
        </w:tc>
        <w:tc>
          <w:tcPr>
            <w:tcW w:w="1138" w:type="dxa"/>
            <w:vAlign w:val="center"/>
            <w:hideMark/>
          </w:tcPr>
          <w:p w14:paraId="6BAD2EBE" w14:textId="77777777" w:rsidR="006C7287" w:rsidRDefault="006C7287">
            <w:pPr>
              <w:pStyle w:val="TableUnitsRow"/>
              <w:rPr>
                <w:lang w:val="en-NZ" w:eastAsia="en-US"/>
              </w:rPr>
            </w:pPr>
            <w:r>
              <w:rPr>
                <w:lang w:val="en-NZ" w:eastAsia="en-US"/>
              </w:rPr>
              <w:t>2</w:t>
            </w:r>
          </w:p>
        </w:tc>
        <w:tc>
          <w:tcPr>
            <w:tcW w:w="1076" w:type="dxa"/>
            <w:tcBorders>
              <w:top w:val="nil"/>
              <w:left w:val="nil"/>
              <w:bottom w:val="nil"/>
              <w:right w:val="dotted" w:sz="12" w:space="0" w:color="BFBFBF" w:themeColor="background1" w:themeShade="BF"/>
            </w:tcBorders>
            <w:vAlign w:val="center"/>
            <w:hideMark/>
          </w:tcPr>
          <w:p w14:paraId="6DE71932" w14:textId="77777777" w:rsidR="006C7287" w:rsidRDefault="006C7287">
            <w:pPr>
              <w:pStyle w:val="TableUnitsRow"/>
              <w:rPr>
                <w:lang w:val="en-NZ" w:eastAsia="en-US"/>
              </w:rPr>
            </w:pPr>
            <w:r>
              <w:rPr>
                <w:lang w:val="en-NZ" w:eastAsia="en-US"/>
              </w:rPr>
              <w:t>2+</w:t>
            </w:r>
          </w:p>
        </w:tc>
        <w:tc>
          <w:tcPr>
            <w:tcW w:w="0" w:type="auto"/>
            <w:tcBorders>
              <w:top w:val="nil"/>
              <w:left w:val="dotted" w:sz="12" w:space="0" w:color="BFBFBF" w:themeColor="background1" w:themeShade="BF"/>
              <w:bottom w:val="nil"/>
              <w:right w:val="nil"/>
            </w:tcBorders>
            <w:vAlign w:val="center"/>
            <w:hideMark/>
          </w:tcPr>
          <w:p w14:paraId="55BE873A" w14:textId="77777777" w:rsidR="006C7287" w:rsidRDefault="006C7287">
            <w:pPr>
              <w:pStyle w:val="TableUnitsRow"/>
              <w:rPr>
                <w:lang w:val="en-NZ" w:eastAsia="en-US"/>
              </w:rPr>
            </w:pPr>
            <w:r>
              <w:rPr>
                <w:lang w:val="en-NZ" w:eastAsia="en-US"/>
              </w:rPr>
              <w:t>–</w:t>
            </w:r>
          </w:p>
        </w:tc>
        <w:tc>
          <w:tcPr>
            <w:tcW w:w="0" w:type="auto"/>
            <w:vAlign w:val="center"/>
            <w:hideMark/>
          </w:tcPr>
          <w:p w14:paraId="0956A3DA" w14:textId="77777777" w:rsidR="006C7287" w:rsidRDefault="006C7287">
            <w:pPr>
              <w:pStyle w:val="TableUnitsRow"/>
              <w:ind w:right="28"/>
              <w:rPr>
                <w:lang w:val="en-NZ" w:eastAsia="en-US"/>
              </w:rPr>
            </w:pPr>
            <w:r>
              <w:rPr>
                <w:lang w:val="en-NZ" w:eastAsia="en-US"/>
              </w:rPr>
              <w:t>–</w:t>
            </w:r>
          </w:p>
        </w:tc>
      </w:tr>
      <w:tr w:rsidR="006C7287" w14:paraId="74DD6FDE" w14:textId="77777777" w:rsidTr="00083E90">
        <w:tc>
          <w:tcPr>
            <w:tcW w:w="0" w:type="auto"/>
            <w:tcBorders>
              <w:top w:val="nil"/>
              <w:left w:val="nil"/>
              <w:bottom w:val="nil"/>
              <w:right w:val="dotted" w:sz="12" w:space="0" w:color="BFBFBF" w:themeColor="background1" w:themeShade="BF"/>
            </w:tcBorders>
            <w:vAlign w:val="bottom"/>
            <w:hideMark/>
          </w:tcPr>
          <w:p w14:paraId="1C7D357B" w14:textId="77777777" w:rsidR="006C7287" w:rsidRDefault="006C7287">
            <w:pPr>
              <w:pStyle w:val="TableUnitsRow"/>
              <w:jc w:val="left"/>
              <w:rPr>
                <w:lang w:val="en-NZ" w:eastAsia="en-US"/>
              </w:rPr>
            </w:pPr>
            <w:r>
              <w:rPr>
                <w:lang w:val="en-NZ" w:eastAsia="en-US"/>
              </w:rPr>
              <w:t>Ministry for the Environment</w:t>
            </w:r>
          </w:p>
        </w:tc>
        <w:tc>
          <w:tcPr>
            <w:tcW w:w="1108" w:type="dxa"/>
            <w:tcBorders>
              <w:top w:val="nil"/>
              <w:left w:val="dotted" w:sz="12" w:space="0" w:color="BFBFBF" w:themeColor="background1" w:themeShade="BF"/>
              <w:bottom w:val="nil"/>
              <w:right w:val="nil"/>
            </w:tcBorders>
            <w:vAlign w:val="center"/>
            <w:hideMark/>
          </w:tcPr>
          <w:p w14:paraId="0A7976DE" w14:textId="77777777" w:rsidR="006C7287" w:rsidRDefault="006C7287">
            <w:pPr>
              <w:pStyle w:val="TableUnitsRow"/>
              <w:rPr>
                <w:lang w:val="en-NZ" w:eastAsia="en-US"/>
              </w:rPr>
            </w:pPr>
            <w:r>
              <w:rPr>
                <w:lang w:val="en-NZ" w:eastAsia="en-US"/>
              </w:rPr>
              <w:t>1</w:t>
            </w:r>
          </w:p>
        </w:tc>
        <w:tc>
          <w:tcPr>
            <w:tcW w:w="1130" w:type="dxa"/>
            <w:tcBorders>
              <w:top w:val="nil"/>
              <w:left w:val="nil"/>
              <w:bottom w:val="nil"/>
              <w:right w:val="dotted" w:sz="12" w:space="0" w:color="BFBFBF" w:themeColor="background1" w:themeShade="BF"/>
            </w:tcBorders>
            <w:vAlign w:val="center"/>
            <w:hideMark/>
          </w:tcPr>
          <w:p w14:paraId="70D1EB8D" w14:textId="77777777" w:rsidR="006C7287" w:rsidRDefault="006C7287">
            <w:pPr>
              <w:pStyle w:val="TableUnitsRow"/>
              <w:ind w:left="0"/>
              <w:rPr>
                <w:lang w:val="en-NZ" w:eastAsia="en-US"/>
              </w:rPr>
            </w:pPr>
            <w:r>
              <w:rPr>
                <w:lang w:val="en-NZ" w:eastAsia="en-US"/>
              </w:rPr>
              <w:t>2+</w:t>
            </w:r>
          </w:p>
        </w:tc>
        <w:tc>
          <w:tcPr>
            <w:tcW w:w="1138" w:type="dxa"/>
            <w:vAlign w:val="center"/>
            <w:hideMark/>
          </w:tcPr>
          <w:p w14:paraId="4046764F" w14:textId="77777777" w:rsidR="006C7287" w:rsidRDefault="006C7287">
            <w:pPr>
              <w:pStyle w:val="TableUnitsRow"/>
              <w:rPr>
                <w:lang w:val="en-NZ" w:eastAsia="en-US"/>
              </w:rPr>
            </w:pPr>
            <w:r>
              <w:rPr>
                <w:lang w:val="en-NZ" w:eastAsia="en-US"/>
              </w:rPr>
              <w:t>3</w:t>
            </w:r>
          </w:p>
        </w:tc>
        <w:tc>
          <w:tcPr>
            <w:tcW w:w="1076" w:type="dxa"/>
            <w:tcBorders>
              <w:top w:val="nil"/>
              <w:left w:val="nil"/>
              <w:bottom w:val="nil"/>
              <w:right w:val="dotted" w:sz="12" w:space="0" w:color="BFBFBF" w:themeColor="background1" w:themeShade="BF"/>
            </w:tcBorders>
            <w:vAlign w:val="center"/>
            <w:hideMark/>
          </w:tcPr>
          <w:p w14:paraId="6A3598BA" w14:textId="77777777" w:rsidR="006C7287" w:rsidRDefault="006C7287">
            <w:pPr>
              <w:pStyle w:val="TableUnitsRow"/>
              <w:rPr>
                <w:lang w:val="en-NZ" w:eastAsia="en-US"/>
              </w:rPr>
            </w:pPr>
            <w:r>
              <w:rPr>
                <w:lang w:val="en-NZ" w:eastAsia="en-US"/>
              </w:rPr>
              <w:t>3+</w:t>
            </w:r>
          </w:p>
        </w:tc>
        <w:tc>
          <w:tcPr>
            <w:tcW w:w="0" w:type="auto"/>
            <w:tcBorders>
              <w:top w:val="nil"/>
              <w:left w:val="dotted" w:sz="12" w:space="0" w:color="BFBFBF" w:themeColor="background1" w:themeShade="BF"/>
              <w:bottom w:val="nil"/>
              <w:right w:val="nil"/>
            </w:tcBorders>
            <w:vAlign w:val="center"/>
            <w:hideMark/>
          </w:tcPr>
          <w:p w14:paraId="25310438" w14:textId="77777777" w:rsidR="006C7287" w:rsidRDefault="006C7287">
            <w:pPr>
              <w:pStyle w:val="TableUnitsRow"/>
              <w:rPr>
                <w:lang w:val="en-NZ" w:eastAsia="en-US"/>
              </w:rPr>
            </w:pPr>
            <w:r>
              <w:rPr>
                <w:lang w:val="en-NZ" w:eastAsia="en-US"/>
              </w:rPr>
              <w:t>–</w:t>
            </w:r>
          </w:p>
        </w:tc>
        <w:tc>
          <w:tcPr>
            <w:tcW w:w="0" w:type="auto"/>
            <w:vAlign w:val="center"/>
            <w:hideMark/>
          </w:tcPr>
          <w:p w14:paraId="647B9A5B" w14:textId="77777777" w:rsidR="006C7287" w:rsidRDefault="006C7287">
            <w:pPr>
              <w:pStyle w:val="TableUnitsRow"/>
              <w:ind w:right="28"/>
              <w:rPr>
                <w:lang w:val="en-NZ" w:eastAsia="en-US"/>
              </w:rPr>
            </w:pPr>
            <w:r>
              <w:rPr>
                <w:lang w:val="en-NZ" w:eastAsia="en-US"/>
              </w:rPr>
              <w:t>–</w:t>
            </w:r>
          </w:p>
        </w:tc>
      </w:tr>
      <w:tr w:rsidR="006C7287" w14:paraId="2B084182" w14:textId="77777777" w:rsidTr="00083E90">
        <w:tc>
          <w:tcPr>
            <w:tcW w:w="0" w:type="auto"/>
            <w:tcBorders>
              <w:top w:val="nil"/>
              <w:left w:val="nil"/>
              <w:bottom w:val="nil"/>
              <w:right w:val="dotted" w:sz="12" w:space="0" w:color="BFBFBF" w:themeColor="background1" w:themeShade="BF"/>
            </w:tcBorders>
            <w:vAlign w:val="bottom"/>
            <w:hideMark/>
          </w:tcPr>
          <w:p w14:paraId="6E199D8B" w14:textId="77777777" w:rsidR="006C7287" w:rsidRDefault="006C7287">
            <w:pPr>
              <w:pStyle w:val="TableUnitsRow"/>
              <w:jc w:val="left"/>
              <w:rPr>
                <w:lang w:val="en-NZ" w:eastAsia="en-US"/>
              </w:rPr>
            </w:pPr>
            <w:r>
              <w:rPr>
                <w:lang w:val="en-NZ" w:eastAsia="en-US"/>
              </w:rPr>
              <w:t>New Zealand Police</w:t>
            </w:r>
          </w:p>
        </w:tc>
        <w:tc>
          <w:tcPr>
            <w:tcW w:w="1108" w:type="dxa"/>
            <w:tcBorders>
              <w:top w:val="nil"/>
              <w:left w:val="dotted" w:sz="12" w:space="0" w:color="BFBFBF" w:themeColor="background1" w:themeShade="BF"/>
              <w:bottom w:val="nil"/>
              <w:right w:val="nil"/>
            </w:tcBorders>
            <w:vAlign w:val="center"/>
            <w:hideMark/>
          </w:tcPr>
          <w:p w14:paraId="67BDCE1C" w14:textId="77777777" w:rsidR="006C7287" w:rsidRDefault="006C7287">
            <w:pPr>
              <w:pStyle w:val="TableUnitsRow"/>
              <w:rPr>
                <w:lang w:val="en-NZ" w:eastAsia="en-US"/>
              </w:rPr>
            </w:pPr>
            <w:r>
              <w:rPr>
                <w:lang w:val="en-NZ" w:eastAsia="en-US"/>
              </w:rPr>
              <w:t>1</w:t>
            </w:r>
          </w:p>
        </w:tc>
        <w:tc>
          <w:tcPr>
            <w:tcW w:w="1130" w:type="dxa"/>
            <w:tcBorders>
              <w:top w:val="nil"/>
              <w:left w:val="nil"/>
              <w:bottom w:val="nil"/>
              <w:right w:val="dotted" w:sz="12" w:space="0" w:color="BFBFBF" w:themeColor="background1" w:themeShade="BF"/>
            </w:tcBorders>
            <w:vAlign w:val="center"/>
            <w:hideMark/>
          </w:tcPr>
          <w:p w14:paraId="779908AC" w14:textId="77777777" w:rsidR="006C7287" w:rsidRDefault="006C7287">
            <w:pPr>
              <w:pStyle w:val="TableUnitsRow"/>
              <w:ind w:left="0"/>
              <w:rPr>
                <w:lang w:val="en-NZ" w:eastAsia="en-US"/>
              </w:rPr>
            </w:pPr>
            <w:r>
              <w:rPr>
                <w:lang w:val="en-NZ" w:eastAsia="en-US"/>
              </w:rPr>
              <w:t>2</w:t>
            </w:r>
          </w:p>
        </w:tc>
        <w:tc>
          <w:tcPr>
            <w:tcW w:w="1138" w:type="dxa"/>
            <w:vAlign w:val="center"/>
            <w:hideMark/>
          </w:tcPr>
          <w:p w14:paraId="44EE9C08" w14:textId="77777777" w:rsidR="006C7287" w:rsidRDefault="006C7287">
            <w:pPr>
              <w:pStyle w:val="TableUnitsRow"/>
              <w:rPr>
                <w:lang w:val="en-NZ" w:eastAsia="en-US"/>
              </w:rPr>
            </w:pPr>
            <w:r>
              <w:rPr>
                <w:lang w:val="en-NZ" w:eastAsia="en-US"/>
              </w:rPr>
              <w:t>2</w:t>
            </w:r>
          </w:p>
        </w:tc>
        <w:tc>
          <w:tcPr>
            <w:tcW w:w="1076" w:type="dxa"/>
            <w:tcBorders>
              <w:top w:val="nil"/>
              <w:left w:val="nil"/>
              <w:bottom w:val="nil"/>
              <w:right w:val="dotted" w:sz="12" w:space="0" w:color="BFBFBF" w:themeColor="background1" w:themeShade="BF"/>
            </w:tcBorders>
            <w:vAlign w:val="center"/>
            <w:hideMark/>
          </w:tcPr>
          <w:p w14:paraId="10E4A7D1" w14:textId="77777777" w:rsidR="006C7287" w:rsidRDefault="006C7287">
            <w:pPr>
              <w:pStyle w:val="TableUnitsRow"/>
              <w:rPr>
                <w:lang w:val="en-NZ" w:eastAsia="en-US"/>
              </w:rPr>
            </w:pPr>
            <w:r>
              <w:rPr>
                <w:lang w:val="en-NZ" w:eastAsia="en-US"/>
              </w:rPr>
              <w:t>6+</w:t>
            </w:r>
          </w:p>
        </w:tc>
        <w:tc>
          <w:tcPr>
            <w:tcW w:w="0" w:type="auto"/>
            <w:tcBorders>
              <w:top w:val="nil"/>
              <w:left w:val="dotted" w:sz="12" w:space="0" w:color="BFBFBF" w:themeColor="background1" w:themeShade="BF"/>
              <w:bottom w:val="nil"/>
              <w:right w:val="nil"/>
            </w:tcBorders>
            <w:vAlign w:val="center"/>
            <w:hideMark/>
          </w:tcPr>
          <w:p w14:paraId="2F06A64A" w14:textId="77777777" w:rsidR="006C7287" w:rsidRDefault="006C7287">
            <w:pPr>
              <w:pStyle w:val="TableUnitsRow"/>
              <w:rPr>
                <w:lang w:val="en-NZ" w:eastAsia="en-US"/>
              </w:rPr>
            </w:pPr>
            <w:r>
              <w:rPr>
                <w:lang w:val="en-NZ" w:eastAsia="en-US"/>
              </w:rPr>
              <w:t>–</w:t>
            </w:r>
          </w:p>
        </w:tc>
        <w:tc>
          <w:tcPr>
            <w:tcW w:w="0" w:type="auto"/>
            <w:vAlign w:val="center"/>
            <w:hideMark/>
          </w:tcPr>
          <w:p w14:paraId="2D26228D" w14:textId="77777777" w:rsidR="006C7287" w:rsidRDefault="006C7287" w:rsidP="008D66ED">
            <w:pPr>
              <w:pStyle w:val="TableUnitsRow"/>
              <w:ind w:right="28"/>
              <w:rPr>
                <w:lang w:val="en-NZ" w:eastAsia="en-US"/>
              </w:rPr>
            </w:pPr>
            <w:r>
              <w:rPr>
                <w:lang w:val="en-NZ" w:eastAsia="en-US"/>
              </w:rPr>
              <w:t>1</w:t>
            </w:r>
          </w:p>
        </w:tc>
      </w:tr>
      <w:tr w:rsidR="006C7287" w14:paraId="31E77A41" w14:textId="77777777" w:rsidTr="00083E90">
        <w:tc>
          <w:tcPr>
            <w:tcW w:w="0" w:type="auto"/>
            <w:tcBorders>
              <w:top w:val="nil"/>
              <w:left w:val="nil"/>
              <w:bottom w:val="nil"/>
              <w:right w:val="dotted" w:sz="12" w:space="0" w:color="BFBFBF" w:themeColor="background1" w:themeShade="BF"/>
            </w:tcBorders>
            <w:vAlign w:val="bottom"/>
            <w:hideMark/>
          </w:tcPr>
          <w:p w14:paraId="76C5DA3C" w14:textId="77777777" w:rsidR="006C7287" w:rsidRDefault="006C7287">
            <w:pPr>
              <w:pStyle w:val="TableUnitsRow"/>
              <w:jc w:val="left"/>
              <w:rPr>
                <w:lang w:val="en-NZ" w:eastAsia="en-US"/>
              </w:rPr>
            </w:pPr>
            <w:r>
              <w:rPr>
                <w:lang w:val="en-NZ" w:eastAsia="en-US"/>
              </w:rPr>
              <w:t>Ministry of Civil Defence and Emergency Management</w:t>
            </w:r>
          </w:p>
        </w:tc>
        <w:tc>
          <w:tcPr>
            <w:tcW w:w="1108" w:type="dxa"/>
            <w:tcBorders>
              <w:top w:val="nil"/>
              <w:left w:val="dotted" w:sz="12" w:space="0" w:color="BFBFBF" w:themeColor="background1" w:themeShade="BF"/>
              <w:bottom w:val="nil"/>
              <w:right w:val="nil"/>
            </w:tcBorders>
            <w:vAlign w:val="center"/>
            <w:hideMark/>
          </w:tcPr>
          <w:p w14:paraId="1F5230FA" w14:textId="77777777" w:rsidR="006C7287" w:rsidRDefault="006C7287">
            <w:pPr>
              <w:pStyle w:val="TableUnitsRow"/>
              <w:rPr>
                <w:lang w:val="en-NZ" w:eastAsia="en-US"/>
              </w:rPr>
            </w:pPr>
            <w:r>
              <w:rPr>
                <w:lang w:val="en-NZ" w:eastAsia="en-US"/>
              </w:rPr>
              <w:t>1</w:t>
            </w:r>
          </w:p>
        </w:tc>
        <w:tc>
          <w:tcPr>
            <w:tcW w:w="1130" w:type="dxa"/>
            <w:tcBorders>
              <w:top w:val="nil"/>
              <w:left w:val="nil"/>
              <w:bottom w:val="nil"/>
              <w:right w:val="dotted" w:sz="12" w:space="0" w:color="BFBFBF" w:themeColor="background1" w:themeShade="BF"/>
            </w:tcBorders>
            <w:vAlign w:val="center"/>
            <w:hideMark/>
          </w:tcPr>
          <w:p w14:paraId="2F2D9FFE" w14:textId="77777777" w:rsidR="006C7287" w:rsidRDefault="006C7287">
            <w:pPr>
              <w:pStyle w:val="TableUnitsRow"/>
              <w:rPr>
                <w:lang w:val="en-NZ" w:eastAsia="en-US"/>
              </w:rPr>
            </w:pPr>
            <w:r>
              <w:rPr>
                <w:lang w:val="en-NZ" w:eastAsia="en-US"/>
              </w:rPr>
              <w:t>1</w:t>
            </w:r>
          </w:p>
        </w:tc>
        <w:tc>
          <w:tcPr>
            <w:tcW w:w="1138" w:type="dxa"/>
            <w:vAlign w:val="center"/>
            <w:hideMark/>
          </w:tcPr>
          <w:p w14:paraId="045F9D75" w14:textId="77777777" w:rsidR="006C7287" w:rsidRDefault="006C7287">
            <w:pPr>
              <w:pStyle w:val="TableUnitsRow"/>
              <w:rPr>
                <w:lang w:val="en-NZ" w:eastAsia="en-US"/>
              </w:rPr>
            </w:pPr>
            <w:r>
              <w:rPr>
                <w:lang w:val="en-NZ" w:eastAsia="en-US"/>
              </w:rPr>
              <w:t>1</w:t>
            </w:r>
          </w:p>
        </w:tc>
        <w:tc>
          <w:tcPr>
            <w:tcW w:w="1076" w:type="dxa"/>
            <w:tcBorders>
              <w:top w:val="nil"/>
              <w:left w:val="nil"/>
              <w:bottom w:val="nil"/>
              <w:right w:val="dotted" w:sz="12" w:space="0" w:color="BFBFBF" w:themeColor="background1" w:themeShade="BF"/>
            </w:tcBorders>
            <w:vAlign w:val="center"/>
            <w:hideMark/>
          </w:tcPr>
          <w:p w14:paraId="63283E3C" w14:textId="77777777" w:rsidR="006C7287" w:rsidRDefault="006C7287">
            <w:pPr>
              <w:pStyle w:val="TableUnitsRow"/>
              <w:rPr>
                <w:lang w:val="en-NZ" w:eastAsia="en-US"/>
              </w:rPr>
            </w:pPr>
            <w:r>
              <w:rPr>
                <w:lang w:val="en-NZ" w:eastAsia="en-US"/>
              </w:rPr>
              <w:t>4</w:t>
            </w:r>
          </w:p>
        </w:tc>
        <w:tc>
          <w:tcPr>
            <w:tcW w:w="0" w:type="auto"/>
            <w:tcBorders>
              <w:top w:val="nil"/>
              <w:left w:val="dotted" w:sz="12" w:space="0" w:color="BFBFBF" w:themeColor="background1" w:themeShade="BF"/>
              <w:bottom w:val="nil"/>
              <w:right w:val="nil"/>
            </w:tcBorders>
            <w:vAlign w:val="center"/>
            <w:hideMark/>
          </w:tcPr>
          <w:p w14:paraId="19E86E7F" w14:textId="77777777" w:rsidR="006C7287" w:rsidRDefault="006C7287">
            <w:pPr>
              <w:pStyle w:val="TableUnitsRow"/>
              <w:rPr>
                <w:lang w:val="en-NZ" w:eastAsia="en-US"/>
              </w:rPr>
            </w:pPr>
            <w:r>
              <w:rPr>
                <w:lang w:val="en-NZ" w:eastAsia="en-US"/>
              </w:rPr>
              <w:t>2</w:t>
            </w:r>
          </w:p>
        </w:tc>
        <w:tc>
          <w:tcPr>
            <w:tcW w:w="0" w:type="auto"/>
            <w:vAlign w:val="center"/>
            <w:hideMark/>
          </w:tcPr>
          <w:p w14:paraId="04E3CACB" w14:textId="77777777" w:rsidR="006C7287" w:rsidRDefault="006C7287">
            <w:pPr>
              <w:pStyle w:val="TableUnitsRow"/>
              <w:ind w:right="28"/>
              <w:rPr>
                <w:lang w:val="en-NZ" w:eastAsia="en-US"/>
              </w:rPr>
            </w:pPr>
            <w:r>
              <w:rPr>
                <w:lang w:val="en-NZ" w:eastAsia="en-US"/>
              </w:rPr>
              <w:t>–</w:t>
            </w:r>
          </w:p>
        </w:tc>
      </w:tr>
      <w:tr w:rsidR="006C7287" w14:paraId="1FBCA627" w14:textId="77777777" w:rsidTr="00083E90">
        <w:tc>
          <w:tcPr>
            <w:tcW w:w="0" w:type="auto"/>
            <w:tcBorders>
              <w:top w:val="nil"/>
              <w:left w:val="nil"/>
              <w:bottom w:val="nil"/>
              <w:right w:val="dotted" w:sz="12" w:space="0" w:color="BFBFBF" w:themeColor="background1" w:themeShade="BF"/>
            </w:tcBorders>
            <w:vAlign w:val="bottom"/>
            <w:hideMark/>
          </w:tcPr>
          <w:p w14:paraId="1849E569" w14:textId="77777777" w:rsidR="006C7287" w:rsidRDefault="006C7287">
            <w:pPr>
              <w:pStyle w:val="TableUnitsRow"/>
              <w:jc w:val="left"/>
              <w:rPr>
                <w:lang w:val="en-NZ" w:eastAsia="en-US"/>
              </w:rPr>
            </w:pPr>
            <w:r>
              <w:rPr>
                <w:lang w:val="en-NZ" w:eastAsia="en-US"/>
              </w:rPr>
              <w:t>Ministry of Health</w:t>
            </w:r>
          </w:p>
        </w:tc>
        <w:tc>
          <w:tcPr>
            <w:tcW w:w="1108" w:type="dxa"/>
            <w:tcBorders>
              <w:top w:val="nil"/>
              <w:left w:val="dotted" w:sz="12" w:space="0" w:color="BFBFBF" w:themeColor="background1" w:themeShade="BF"/>
              <w:bottom w:val="nil"/>
              <w:right w:val="nil"/>
            </w:tcBorders>
            <w:vAlign w:val="center"/>
            <w:hideMark/>
          </w:tcPr>
          <w:p w14:paraId="65F29FCB" w14:textId="77777777" w:rsidR="006C7287" w:rsidRDefault="006C7287">
            <w:pPr>
              <w:pStyle w:val="TableUnitsRow"/>
              <w:rPr>
                <w:lang w:val="en-NZ" w:eastAsia="en-US"/>
              </w:rPr>
            </w:pPr>
            <w:r>
              <w:rPr>
                <w:lang w:val="en-NZ" w:eastAsia="en-US"/>
              </w:rPr>
              <w:t>1</w:t>
            </w:r>
          </w:p>
        </w:tc>
        <w:tc>
          <w:tcPr>
            <w:tcW w:w="1130" w:type="dxa"/>
            <w:tcBorders>
              <w:top w:val="nil"/>
              <w:left w:val="nil"/>
              <w:bottom w:val="nil"/>
              <w:right w:val="dotted" w:sz="12" w:space="0" w:color="BFBFBF" w:themeColor="background1" w:themeShade="BF"/>
            </w:tcBorders>
            <w:vAlign w:val="center"/>
            <w:hideMark/>
          </w:tcPr>
          <w:p w14:paraId="27E926DC" w14:textId="77777777" w:rsidR="006C7287" w:rsidRDefault="006C7287">
            <w:pPr>
              <w:pStyle w:val="TableUnitsRow"/>
              <w:ind w:left="0"/>
              <w:rPr>
                <w:lang w:val="en-NZ" w:eastAsia="en-US"/>
              </w:rPr>
            </w:pPr>
            <w:r>
              <w:rPr>
                <w:lang w:val="en-NZ" w:eastAsia="en-US"/>
              </w:rPr>
              <w:t>3</w:t>
            </w:r>
          </w:p>
        </w:tc>
        <w:tc>
          <w:tcPr>
            <w:tcW w:w="1138" w:type="dxa"/>
            <w:vAlign w:val="center"/>
            <w:hideMark/>
          </w:tcPr>
          <w:p w14:paraId="36847FEB" w14:textId="77777777" w:rsidR="006C7287" w:rsidRDefault="006C7287">
            <w:pPr>
              <w:pStyle w:val="TableUnitsRow"/>
              <w:rPr>
                <w:lang w:val="en-NZ" w:eastAsia="en-US"/>
              </w:rPr>
            </w:pPr>
            <w:r>
              <w:rPr>
                <w:lang w:val="en-NZ" w:eastAsia="en-US"/>
              </w:rPr>
              <w:t>1</w:t>
            </w:r>
          </w:p>
        </w:tc>
        <w:tc>
          <w:tcPr>
            <w:tcW w:w="1076" w:type="dxa"/>
            <w:tcBorders>
              <w:top w:val="nil"/>
              <w:left w:val="nil"/>
              <w:bottom w:val="nil"/>
              <w:right w:val="dotted" w:sz="12" w:space="0" w:color="BFBFBF" w:themeColor="background1" w:themeShade="BF"/>
            </w:tcBorders>
            <w:vAlign w:val="center"/>
            <w:hideMark/>
          </w:tcPr>
          <w:p w14:paraId="142C247A" w14:textId="77777777" w:rsidR="006C7287" w:rsidRDefault="006C7287">
            <w:pPr>
              <w:pStyle w:val="TableUnitsRow"/>
              <w:rPr>
                <w:lang w:val="en-NZ" w:eastAsia="en-US"/>
              </w:rPr>
            </w:pPr>
            <w:r>
              <w:rPr>
                <w:lang w:val="en-NZ" w:eastAsia="en-US"/>
              </w:rPr>
              <w:t>3</w:t>
            </w:r>
          </w:p>
        </w:tc>
        <w:tc>
          <w:tcPr>
            <w:tcW w:w="0" w:type="auto"/>
            <w:tcBorders>
              <w:top w:val="nil"/>
              <w:left w:val="dotted" w:sz="12" w:space="0" w:color="BFBFBF" w:themeColor="background1" w:themeShade="BF"/>
              <w:bottom w:val="nil"/>
              <w:right w:val="nil"/>
            </w:tcBorders>
            <w:vAlign w:val="center"/>
            <w:hideMark/>
          </w:tcPr>
          <w:p w14:paraId="7C802872" w14:textId="77777777" w:rsidR="006C7287" w:rsidRDefault="006C7287">
            <w:pPr>
              <w:pStyle w:val="TableUnitsRow"/>
              <w:rPr>
                <w:lang w:val="en-NZ" w:eastAsia="en-US"/>
              </w:rPr>
            </w:pPr>
            <w:r>
              <w:rPr>
                <w:lang w:val="en-NZ" w:eastAsia="en-US"/>
              </w:rPr>
              <w:t>1</w:t>
            </w:r>
          </w:p>
        </w:tc>
        <w:tc>
          <w:tcPr>
            <w:tcW w:w="0" w:type="auto"/>
            <w:vAlign w:val="center"/>
            <w:hideMark/>
          </w:tcPr>
          <w:p w14:paraId="5B9C8C3B" w14:textId="77777777" w:rsidR="006C7287" w:rsidRDefault="006C7287">
            <w:pPr>
              <w:pStyle w:val="TableUnitsRow"/>
              <w:ind w:right="28"/>
              <w:rPr>
                <w:lang w:val="en-NZ" w:eastAsia="en-US"/>
              </w:rPr>
            </w:pPr>
            <w:r>
              <w:rPr>
                <w:lang w:val="en-NZ" w:eastAsia="en-US"/>
              </w:rPr>
              <w:t>–</w:t>
            </w:r>
          </w:p>
        </w:tc>
      </w:tr>
      <w:tr w:rsidR="006C7287" w14:paraId="2AA2B254" w14:textId="77777777" w:rsidTr="00083E90">
        <w:tc>
          <w:tcPr>
            <w:tcW w:w="0" w:type="auto"/>
            <w:tcBorders>
              <w:top w:val="nil"/>
              <w:left w:val="nil"/>
              <w:right w:val="dotted" w:sz="12" w:space="0" w:color="BFBFBF" w:themeColor="background1" w:themeShade="BF"/>
            </w:tcBorders>
            <w:vAlign w:val="bottom"/>
            <w:hideMark/>
          </w:tcPr>
          <w:p w14:paraId="233EDD2B" w14:textId="77777777" w:rsidR="006C7287" w:rsidRDefault="006C7287">
            <w:pPr>
              <w:pStyle w:val="TableUnitsRow"/>
              <w:jc w:val="left"/>
              <w:rPr>
                <w:lang w:val="en-NZ" w:eastAsia="en-US"/>
              </w:rPr>
            </w:pPr>
            <w:r>
              <w:rPr>
                <w:lang w:val="en-NZ" w:eastAsia="en-US"/>
              </w:rPr>
              <w:t xml:space="preserve">Department of Internal Affairs </w:t>
            </w:r>
          </w:p>
        </w:tc>
        <w:tc>
          <w:tcPr>
            <w:tcW w:w="1108" w:type="dxa"/>
            <w:tcBorders>
              <w:top w:val="nil"/>
              <w:left w:val="dotted" w:sz="12" w:space="0" w:color="BFBFBF" w:themeColor="background1" w:themeShade="BF"/>
              <w:right w:val="nil"/>
            </w:tcBorders>
            <w:vAlign w:val="center"/>
            <w:hideMark/>
          </w:tcPr>
          <w:p w14:paraId="3DB77A89" w14:textId="77777777" w:rsidR="006C7287" w:rsidRDefault="006C7287">
            <w:pPr>
              <w:pStyle w:val="TableUnitsRow"/>
              <w:rPr>
                <w:lang w:val="en-NZ" w:eastAsia="en-US"/>
              </w:rPr>
            </w:pPr>
            <w:r>
              <w:rPr>
                <w:lang w:val="en-NZ" w:eastAsia="en-US"/>
              </w:rPr>
              <w:t>2</w:t>
            </w:r>
          </w:p>
        </w:tc>
        <w:tc>
          <w:tcPr>
            <w:tcW w:w="1130" w:type="dxa"/>
            <w:tcBorders>
              <w:top w:val="nil"/>
              <w:left w:val="nil"/>
              <w:right w:val="dotted" w:sz="12" w:space="0" w:color="BFBFBF" w:themeColor="background1" w:themeShade="BF"/>
            </w:tcBorders>
            <w:vAlign w:val="center"/>
            <w:hideMark/>
          </w:tcPr>
          <w:p w14:paraId="42E4B149" w14:textId="77777777" w:rsidR="006C7287" w:rsidRDefault="006C7287">
            <w:pPr>
              <w:pStyle w:val="TableUnitsRow"/>
              <w:rPr>
                <w:lang w:val="en-NZ" w:eastAsia="en-US"/>
              </w:rPr>
            </w:pPr>
            <w:r>
              <w:rPr>
                <w:lang w:val="en-NZ" w:eastAsia="en-US"/>
              </w:rPr>
              <w:t>3</w:t>
            </w:r>
          </w:p>
        </w:tc>
        <w:tc>
          <w:tcPr>
            <w:tcW w:w="1138" w:type="dxa"/>
            <w:vAlign w:val="center"/>
            <w:hideMark/>
          </w:tcPr>
          <w:p w14:paraId="5A721D5A" w14:textId="77777777" w:rsidR="006C7287" w:rsidRDefault="006C7287">
            <w:pPr>
              <w:pStyle w:val="TableUnitsRow"/>
              <w:rPr>
                <w:lang w:val="en-NZ" w:eastAsia="en-US"/>
              </w:rPr>
            </w:pPr>
            <w:r>
              <w:rPr>
                <w:lang w:val="en-NZ" w:eastAsia="en-US"/>
              </w:rPr>
              <w:t>8+</w:t>
            </w:r>
          </w:p>
        </w:tc>
        <w:tc>
          <w:tcPr>
            <w:tcW w:w="1076" w:type="dxa"/>
            <w:tcBorders>
              <w:top w:val="nil"/>
              <w:left w:val="nil"/>
              <w:right w:val="dotted" w:sz="12" w:space="0" w:color="BFBFBF" w:themeColor="background1" w:themeShade="BF"/>
            </w:tcBorders>
            <w:vAlign w:val="center"/>
            <w:hideMark/>
          </w:tcPr>
          <w:p w14:paraId="66DCEBBF" w14:textId="77777777" w:rsidR="006C7287" w:rsidRDefault="006C7287">
            <w:pPr>
              <w:pStyle w:val="TableUnitsRow"/>
              <w:rPr>
                <w:lang w:val="en-NZ" w:eastAsia="en-US"/>
              </w:rPr>
            </w:pPr>
            <w:r>
              <w:rPr>
                <w:lang w:val="en-NZ" w:eastAsia="en-US"/>
              </w:rPr>
              <w:t>10+</w:t>
            </w:r>
          </w:p>
        </w:tc>
        <w:tc>
          <w:tcPr>
            <w:tcW w:w="0" w:type="auto"/>
            <w:tcBorders>
              <w:top w:val="nil"/>
              <w:left w:val="dotted" w:sz="12" w:space="0" w:color="BFBFBF" w:themeColor="background1" w:themeShade="BF"/>
              <w:right w:val="nil"/>
            </w:tcBorders>
            <w:vAlign w:val="center"/>
            <w:hideMark/>
          </w:tcPr>
          <w:p w14:paraId="444CE75C" w14:textId="77777777" w:rsidR="006C7287" w:rsidRDefault="006C7287">
            <w:pPr>
              <w:pStyle w:val="TableUnitsRow"/>
              <w:rPr>
                <w:lang w:val="en-NZ" w:eastAsia="en-US"/>
              </w:rPr>
            </w:pPr>
            <w:r>
              <w:rPr>
                <w:lang w:val="en-NZ" w:eastAsia="en-US"/>
              </w:rPr>
              <w:t>3</w:t>
            </w:r>
          </w:p>
        </w:tc>
        <w:tc>
          <w:tcPr>
            <w:tcW w:w="0" w:type="auto"/>
            <w:vAlign w:val="center"/>
            <w:hideMark/>
          </w:tcPr>
          <w:p w14:paraId="5554A09E" w14:textId="77777777" w:rsidR="006C7287" w:rsidRDefault="006C7287">
            <w:pPr>
              <w:pStyle w:val="TableUnitsRow"/>
              <w:ind w:right="28"/>
              <w:rPr>
                <w:lang w:val="en-NZ" w:eastAsia="en-US"/>
              </w:rPr>
            </w:pPr>
            <w:r>
              <w:rPr>
                <w:lang w:val="en-NZ" w:eastAsia="en-US"/>
              </w:rPr>
              <w:t>–</w:t>
            </w:r>
          </w:p>
        </w:tc>
      </w:tr>
      <w:tr w:rsidR="006C7287" w14:paraId="185B43DE" w14:textId="77777777" w:rsidTr="00083E90">
        <w:tc>
          <w:tcPr>
            <w:tcW w:w="0" w:type="auto"/>
            <w:tcBorders>
              <w:top w:val="nil"/>
              <w:left w:val="nil"/>
              <w:bottom w:val="single" w:sz="4" w:space="0" w:color="auto"/>
              <w:right w:val="dotted" w:sz="12" w:space="0" w:color="BFBFBF" w:themeColor="background1" w:themeShade="BF"/>
            </w:tcBorders>
            <w:vAlign w:val="bottom"/>
            <w:hideMark/>
          </w:tcPr>
          <w:p w14:paraId="3EA00DB1" w14:textId="77777777" w:rsidR="006C7287" w:rsidRDefault="006C7287">
            <w:pPr>
              <w:pStyle w:val="TableUnitsRow"/>
              <w:ind w:left="0"/>
              <w:jc w:val="left"/>
              <w:rPr>
                <w:lang w:val="en-NZ" w:eastAsia="en-US"/>
              </w:rPr>
            </w:pPr>
            <w:r>
              <w:rPr>
                <w:lang w:val="en-NZ" w:eastAsia="en-US"/>
              </w:rPr>
              <w:t>Others surveyed</w:t>
            </w:r>
          </w:p>
        </w:tc>
        <w:tc>
          <w:tcPr>
            <w:tcW w:w="1108" w:type="dxa"/>
            <w:tcBorders>
              <w:top w:val="nil"/>
              <w:left w:val="dotted" w:sz="12" w:space="0" w:color="BFBFBF" w:themeColor="background1" w:themeShade="BF"/>
              <w:bottom w:val="single" w:sz="4" w:space="0" w:color="auto"/>
              <w:right w:val="nil"/>
            </w:tcBorders>
            <w:vAlign w:val="center"/>
            <w:hideMark/>
          </w:tcPr>
          <w:p w14:paraId="1D3A1C97" w14:textId="77777777" w:rsidR="006C7287" w:rsidRDefault="006C7287">
            <w:pPr>
              <w:pStyle w:val="TableUnitsRow"/>
              <w:rPr>
                <w:lang w:val="en-NZ" w:eastAsia="en-US"/>
              </w:rPr>
            </w:pPr>
            <w:r>
              <w:rPr>
                <w:lang w:val="en-NZ" w:eastAsia="en-US"/>
              </w:rPr>
              <w:t>3</w:t>
            </w:r>
          </w:p>
        </w:tc>
        <w:tc>
          <w:tcPr>
            <w:tcW w:w="1130" w:type="dxa"/>
            <w:tcBorders>
              <w:top w:val="nil"/>
              <w:left w:val="nil"/>
              <w:bottom w:val="single" w:sz="4" w:space="0" w:color="auto"/>
              <w:right w:val="dotted" w:sz="12" w:space="0" w:color="BFBFBF" w:themeColor="background1" w:themeShade="BF"/>
            </w:tcBorders>
            <w:vAlign w:val="center"/>
            <w:hideMark/>
          </w:tcPr>
          <w:p w14:paraId="596785CD" w14:textId="77777777" w:rsidR="006C7287" w:rsidRDefault="006C7287">
            <w:pPr>
              <w:pStyle w:val="TableUnitsRow"/>
              <w:ind w:left="0"/>
              <w:rPr>
                <w:lang w:val="en-NZ" w:eastAsia="en-US"/>
              </w:rPr>
            </w:pPr>
            <w:r>
              <w:rPr>
                <w:lang w:val="en-NZ" w:eastAsia="en-US"/>
              </w:rPr>
              <w:t>2</w:t>
            </w:r>
          </w:p>
        </w:tc>
        <w:tc>
          <w:tcPr>
            <w:tcW w:w="1138" w:type="dxa"/>
            <w:tcBorders>
              <w:bottom w:val="single" w:sz="4" w:space="0" w:color="auto"/>
            </w:tcBorders>
            <w:vAlign w:val="center"/>
            <w:hideMark/>
          </w:tcPr>
          <w:p w14:paraId="7384E51B" w14:textId="77777777" w:rsidR="006C7287" w:rsidRDefault="006C7287">
            <w:pPr>
              <w:pStyle w:val="TableUnitsRow"/>
              <w:rPr>
                <w:lang w:val="en-NZ" w:eastAsia="en-US"/>
              </w:rPr>
            </w:pPr>
            <w:r>
              <w:rPr>
                <w:lang w:val="en-NZ" w:eastAsia="en-US"/>
              </w:rPr>
              <w:t>5+</w:t>
            </w:r>
          </w:p>
        </w:tc>
        <w:tc>
          <w:tcPr>
            <w:tcW w:w="1076" w:type="dxa"/>
            <w:tcBorders>
              <w:top w:val="nil"/>
              <w:left w:val="nil"/>
              <w:bottom w:val="single" w:sz="4" w:space="0" w:color="auto"/>
              <w:right w:val="dotted" w:sz="12" w:space="0" w:color="BFBFBF" w:themeColor="background1" w:themeShade="BF"/>
            </w:tcBorders>
            <w:vAlign w:val="center"/>
            <w:hideMark/>
          </w:tcPr>
          <w:p w14:paraId="4C5642A1" w14:textId="77777777" w:rsidR="006C7287" w:rsidRDefault="006C7287">
            <w:pPr>
              <w:pStyle w:val="TableUnitsRow"/>
              <w:rPr>
                <w:lang w:val="en-NZ" w:eastAsia="en-US"/>
              </w:rPr>
            </w:pPr>
            <w:r>
              <w:rPr>
                <w:lang w:val="en-NZ" w:eastAsia="en-US"/>
              </w:rPr>
              <w:t>8+</w:t>
            </w:r>
            <w:r>
              <w:rPr>
                <w:rStyle w:val="NoteLabel"/>
                <w:lang w:val="en-NZ" w:eastAsia="en-US"/>
              </w:rPr>
              <w:t xml:space="preserve"> </w:t>
            </w:r>
          </w:p>
        </w:tc>
        <w:tc>
          <w:tcPr>
            <w:tcW w:w="0" w:type="auto"/>
            <w:tcBorders>
              <w:top w:val="nil"/>
              <w:left w:val="dotted" w:sz="12" w:space="0" w:color="BFBFBF" w:themeColor="background1" w:themeShade="BF"/>
              <w:bottom w:val="single" w:sz="4" w:space="0" w:color="auto"/>
              <w:right w:val="nil"/>
            </w:tcBorders>
            <w:vAlign w:val="center"/>
            <w:hideMark/>
          </w:tcPr>
          <w:p w14:paraId="24470410" w14:textId="77777777" w:rsidR="006C7287" w:rsidRDefault="006C7287" w:rsidP="008D66ED">
            <w:pPr>
              <w:pStyle w:val="TableUnitsRow"/>
              <w:rPr>
                <w:lang w:val="en-NZ" w:eastAsia="en-US"/>
              </w:rPr>
            </w:pPr>
            <w:r>
              <w:rPr>
                <w:lang w:val="en-NZ" w:eastAsia="en-US"/>
              </w:rPr>
              <w:t>7</w:t>
            </w:r>
          </w:p>
        </w:tc>
        <w:tc>
          <w:tcPr>
            <w:tcW w:w="0" w:type="auto"/>
            <w:tcBorders>
              <w:bottom w:val="single" w:sz="4" w:space="0" w:color="auto"/>
            </w:tcBorders>
            <w:vAlign w:val="center"/>
            <w:hideMark/>
          </w:tcPr>
          <w:p w14:paraId="5373B107" w14:textId="77777777" w:rsidR="006C7287" w:rsidRDefault="006C7287" w:rsidP="008D66ED">
            <w:pPr>
              <w:pStyle w:val="TableUnitsRow"/>
              <w:ind w:right="28"/>
              <w:rPr>
                <w:lang w:val="en-NZ" w:eastAsia="en-US"/>
              </w:rPr>
            </w:pPr>
            <w:r>
              <w:rPr>
                <w:lang w:val="en-NZ" w:eastAsia="en-US"/>
              </w:rPr>
              <w:t>1</w:t>
            </w:r>
          </w:p>
        </w:tc>
      </w:tr>
    </w:tbl>
    <w:p w14:paraId="00476BD3" w14:textId="6D93AD5B" w:rsidR="000803C1" w:rsidRDefault="000803C1" w:rsidP="000803C1">
      <w:pPr>
        <w:pStyle w:val="Note"/>
        <w:rPr>
          <w:rFonts w:ascii="Calibri" w:hAnsi="Calibri" w:cs="Calibri"/>
          <w:b/>
          <w:bCs/>
          <w:color w:val="000000"/>
          <w:sz w:val="22"/>
          <w:lang w:eastAsia="en-NZ"/>
        </w:rPr>
      </w:pPr>
      <w:proofErr w:type="spellStart"/>
      <w:r>
        <w:rPr>
          <w:rStyle w:val="NoteLabel"/>
        </w:rPr>
        <w:t>a</w:t>
      </w:r>
      <w:proofErr w:type="spellEnd"/>
      <w:r>
        <w:t xml:space="preserve"> These data are drawn from a </w:t>
      </w:r>
      <w:r w:rsidR="00B9299F">
        <w:t>non-comprehensive</w:t>
      </w:r>
      <w:r>
        <w:t xml:space="preserve"> survey of New Zealand government agencies</w:t>
      </w:r>
      <w:r w:rsidR="00B9299F">
        <w:t xml:space="preserve"> that</w:t>
      </w:r>
      <w:r>
        <w:t xml:space="preserve"> interact with Australian counterparts</w:t>
      </w:r>
      <w:r w:rsidR="00B9299F">
        <w:t>.</w:t>
      </w:r>
      <w:r w:rsidR="0076438F">
        <w:t xml:space="preserve"> Meetings planned for the remainder of 2012 are included.</w:t>
      </w:r>
      <w:r w:rsidR="006D6F46">
        <w:t xml:space="preserve"> </w:t>
      </w:r>
      <w:r w:rsidR="000B7550">
        <w:rPr>
          <w:lang w:val="en-NZ" w:eastAsia="en-US"/>
        </w:rPr>
        <w:t>–</w:t>
      </w:r>
      <w:r w:rsidR="00BD4F9A">
        <w:rPr>
          <w:lang w:val="en-NZ" w:eastAsia="en-US"/>
        </w:rPr>
        <w:t xml:space="preserve"> </w:t>
      </w:r>
      <w:r w:rsidR="006D6F46">
        <w:rPr>
          <w:lang w:val="en-NZ" w:eastAsia="en-US"/>
        </w:rPr>
        <w:t>Nil or rounded to zero.</w:t>
      </w:r>
    </w:p>
    <w:p w14:paraId="4F003EC4" w14:textId="3D4C844E" w:rsidR="000803C1" w:rsidRDefault="000803C1" w:rsidP="000803C1">
      <w:pPr>
        <w:pStyle w:val="Source"/>
      </w:pPr>
      <w:r>
        <w:rPr>
          <w:i/>
        </w:rPr>
        <w:t>Source</w:t>
      </w:r>
      <w:r w:rsidR="003614C5">
        <w:rPr>
          <w:i/>
        </w:rPr>
        <w:t>s</w:t>
      </w:r>
      <w:r>
        <w:t xml:space="preserve">: </w:t>
      </w:r>
      <w:r w:rsidR="00D360F6">
        <w:t xml:space="preserve">NZ PC and </w:t>
      </w:r>
      <w:r>
        <w:t>New Zealand Ministry of Foreign Affairs and Trade</w:t>
      </w:r>
      <w:r w:rsidR="008D66ED">
        <w:t>.</w:t>
      </w:r>
    </w:p>
    <w:p w14:paraId="36587C73" w14:textId="77777777" w:rsidR="002859CF" w:rsidRDefault="002859CF" w:rsidP="002859CF">
      <w:pPr>
        <w:pStyle w:val="BodyText"/>
      </w:pPr>
      <w:r>
        <w:lastRenderedPageBreak/>
        <w:t xml:space="preserve">The </w:t>
      </w:r>
      <w:proofErr w:type="spellStart"/>
      <w:r>
        <w:t>CER</w:t>
      </w:r>
      <w:proofErr w:type="spellEnd"/>
      <w:r>
        <w:t xml:space="preserve"> agenda is developed and progressed through such collaboration, both formally and informally, including initiatives to coordinate regulations. The relationships and shared understanding developed through government</w:t>
      </w:r>
      <w:r>
        <w:noBreakHyphen/>
        <w:t>to</w:t>
      </w:r>
      <w:r>
        <w:noBreakHyphen/>
        <w:t>government contact have allowed each country to learn from the policy approaches of the other. This has allowed policy and regulatory frameworks to move closer together, which promotes increased integration.</w:t>
      </w:r>
    </w:p>
    <w:p w14:paraId="7BAB1C71" w14:textId="77777777" w:rsidR="002859CF" w:rsidRDefault="002859CF" w:rsidP="002859CF">
      <w:pPr>
        <w:pStyle w:val="BodyText"/>
      </w:pPr>
      <w:r>
        <w:t xml:space="preserve">Although Australia and New Zealand have mostly negotiated regional and bilateral trade agreements individually, they have sometimes taken a joint approach. The most notable example of Australia-New Zealand joint cooperation with other regional </w:t>
      </w:r>
      <w:proofErr w:type="spellStart"/>
      <w:r>
        <w:t>fora</w:t>
      </w:r>
      <w:proofErr w:type="spellEnd"/>
      <w:r>
        <w:t xml:space="preserve"> is the ASEAN Free Trade Area-</w:t>
      </w:r>
      <w:proofErr w:type="spellStart"/>
      <w:r>
        <w:t>CER</w:t>
      </w:r>
      <w:proofErr w:type="spellEnd"/>
      <w:r>
        <w:t xml:space="preserve"> dialogue. This initiative dates back to 1995. Since then, Australia and New Zealand have jointly negotiated further agreements with ASEAN, including the </w:t>
      </w:r>
      <w:proofErr w:type="spellStart"/>
      <w:r>
        <w:t>AFTA-CER</w:t>
      </w:r>
      <w:proofErr w:type="spellEnd"/>
      <w:r>
        <w:t xml:space="preserve"> Closer Economic Partnership, signed in 2002.</w:t>
      </w:r>
      <w:r w:rsidRPr="00C41154">
        <w:t xml:space="preserve"> </w:t>
      </w:r>
      <w:r>
        <w:t>Negotiations for a free trade area involving the 10 countries of ASEAN as well as Australia and New Zealand commenced in 2005. The agreement creating the ASEAN-Australia-New Zealand Free Trade Area (</w:t>
      </w:r>
      <w:proofErr w:type="spellStart"/>
      <w:r>
        <w:t>AANZFTA</w:t>
      </w:r>
      <w:proofErr w:type="spellEnd"/>
      <w:r>
        <w:t xml:space="preserve">) came into force in 2010. </w:t>
      </w:r>
      <w:proofErr w:type="spellStart"/>
      <w:r w:rsidRPr="00731D17">
        <w:t>AANZFTA</w:t>
      </w:r>
      <w:proofErr w:type="spellEnd"/>
      <w:r w:rsidRPr="00731D17">
        <w:t xml:space="preserve"> provides for the progressive reduction or elimination of tariffs</w:t>
      </w:r>
      <w:r>
        <w:t>,</w:t>
      </w:r>
      <w:r w:rsidRPr="00731D17">
        <w:t xml:space="preserve"> market access commitments for services</w:t>
      </w:r>
      <w:r>
        <w:t>, and investment liberalisation commitments</w:t>
      </w:r>
      <w:r w:rsidRPr="00731D17">
        <w:t>.</w:t>
      </w:r>
    </w:p>
    <w:p w14:paraId="33EED346" w14:textId="4647B073" w:rsidR="00E611D5" w:rsidRDefault="00E611D5" w:rsidP="00E611D5">
      <w:pPr>
        <w:pStyle w:val="BodyText"/>
      </w:pPr>
      <w:r>
        <w:t>In social policy, b</w:t>
      </w:r>
      <w:r w:rsidRPr="00C41154">
        <w:t xml:space="preserve">oth countries have agreed to reciprocal emergency health access for short term visits by residents of the other, and recognise child support determinations made by each jurisdiction. In addition, agreements have been made about access to social security </w:t>
      </w:r>
      <w:r w:rsidR="00527724">
        <w:t>for trans-Tasman migrants</w:t>
      </w:r>
      <w:r w:rsidRPr="00C41154">
        <w:t>.</w:t>
      </w:r>
    </w:p>
    <w:p w14:paraId="6C2BE551" w14:textId="77777777" w:rsidR="00EB45EB" w:rsidRDefault="00357E99" w:rsidP="00EB45EB">
      <w:pPr>
        <w:pStyle w:val="Heading3"/>
      </w:pPr>
      <w:r>
        <w:t xml:space="preserve">Summing up </w:t>
      </w:r>
      <w:r w:rsidR="001F3880">
        <w:t>—</w:t>
      </w:r>
      <w:r>
        <w:t xml:space="preserve"> </w:t>
      </w:r>
      <w:proofErr w:type="spellStart"/>
      <w:r>
        <w:t>CER</w:t>
      </w:r>
      <w:proofErr w:type="spellEnd"/>
      <w:r>
        <w:t xml:space="preserve"> has produced net benefits for both countries</w:t>
      </w:r>
    </w:p>
    <w:p w14:paraId="6B0939CD" w14:textId="5F1C6231" w:rsidR="00816B26" w:rsidRPr="00F06668" w:rsidRDefault="00816B26" w:rsidP="00816B26">
      <w:pPr>
        <w:pStyle w:val="BodyText"/>
      </w:pPr>
      <w:r>
        <w:t xml:space="preserve">The data presented above on trade, investment and people movement suggest that the Australian and New Zealand economies have become closely integrated and that </w:t>
      </w:r>
      <w:proofErr w:type="spellStart"/>
      <w:r>
        <w:t>CER</w:t>
      </w:r>
      <w:proofErr w:type="spellEnd"/>
      <w:r>
        <w:t xml:space="preserve"> has played a role in this. The conclusion is consistent with other measures of integration (box 3.10).</w:t>
      </w:r>
    </w:p>
    <w:p w14:paraId="5BFB6488" w14:textId="77777777" w:rsidR="00063C52" w:rsidRDefault="00063C52" w:rsidP="00DE572E">
      <w:pPr>
        <w:pStyle w:val="BodyText"/>
      </w:pPr>
      <w:proofErr w:type="spellStart"/>
      <w:r>
        <w:t>CER</w:t>
      </w:r>
      <w:proofErr w:type="spellEnd"/>
      <w:r>
        <w:t xml:space="preserve"> has been successful in removing explicit restrictions on trade and substantial progress has </w:t>
      </w:r>
      <w:r w:rsidR="00DC3C35">
        <w:t xml:space="preserve">also </w:t>
      </w:r>
      <w:r>
        <w:t xml:space="preserve">been made </w:t>
      </w:r>
      <w:r w:rsidR="002A484B">
        <w:t>i</w:t>
      </w:r>
      <w:r>
        <w:t>n reducing behind-the-border barriers</w:t>
      </w:r>
      <w:r w:rsidR="003D38A4">
        <w:t>.</w:t>
      </w:r>
      <w:r>
        <w:t xml:space="preserve"> Until recently, little progress had been made in reducing formal barriers to trans</w:t>
      </w:r>
      <w:r w:rsidR="00F06668">
        <w:noBreakHyphen/>
      </w:r>
      <w:r>
        <w:t xml:space="preserve">Tasman investment, but this has not prevented a strong bilateral investment relationship </w:t>
      </w:r>
      <w:r w:rsidR="002A484B">
        <w:t xml:space="preserve">from </w:t>
      </w:r>
      <w:r>
        <w:t xml:space="preserve">developing. Free movement of people between Australia and New Zealand </w:t>
      </w:r>
      <w:r w:rsidR="00285D51">
        <w:t xml:space="preserve">was in place long before </w:t>
      </w:r>
      <w:proofErr w:type="spellStart"/>
      <w:r w:rsidR="003462CF">
        <w:t>ANZ</w:t>
      </w:r>
      <w:r w:rsidR="00285D51">
        <w:t>CER</w:t>
      </w:r>
      <w:r w:rsidR="003462CF">
        <w:t>TA</w:t>
      </w:r>
      <w:proofErr w:type="spellEnd"/>
      <w:r w:rsidR="00285D51">
        <w:t xml:space="preserve"> commenced</w:t>
      </w:r>
      <w:r w:rsidR="00DC1981">
        <w:t xml:space="preserve"> and</w:t>
      </w:r>
      <w:r w:rsidR="00285D51">
        <w:t xml:space="preserve"> this </w:t>
      </w:r>
      <w:r w:rsidR="00DC3C35">
        <w:t>key</w:t>
      </w:r>
      <w:r w:rsidR="00285D51">
        <w:t xml:space="preserve"> feature of the relationship has b</w:t>
      </w:r>
      <w:r w:rsidR="002A0E8E">
        <w:t>een maintained.</w:t>
      </w:r>
    </w:p>
    <w:p w14:paraId="007F2120" w14:textId="77777777" w:rsidR="00816B26" w:rsidRDefault="00816B2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6B26" w14:paraId="67E0FE34" w14:textId="77777777" w:rsidTr="00816B26">
        <w:tc>
          <w:tcPr>
            <w:tcW w:w="8771" w:type="dxa"/>
            <w:tcBorders>
              <w:top w:val="nil"/>
              <w:left w:val="nil"/>
              <w:bottom w:val="nil"/>
              <w:right w:val="nil"/>
            </w:tcBorders>
            <w:shd w:val="clear" w:color="auto" w:fill="D9EAF0"/>
          </w:tcPr>
          <w:p w14:paraId="28267EF3" w14:textId="77777777" w:rsidR="00816B26" w:rsidRDefault="00816B26" w:rsidP="001975D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A01A13">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10</w:t>
            </w:r>
            <w:r>
              <w:rPr>
                <w:b w:val="0"/>
              </w:rPr>
              <w:fldChar w:fldCharType="end"/>
            </w:r>
            <w:r>
              <w:tab/>
            </w:r>
            <w:r w:rsidR="001975DD">
              <w:t>H</w:t>
            </w:r>
            <w:r>
              <w:t>ow integrated are we?</w:t>
            </w:r>
          </w:p>
        </w:tc>
      </w:tr>
      <w:tr w:rsidR="00816B26" w14:paraId="0E1817E6" w14:textId="77777777" w:rsidTr="00816B26">
        <w:trPr>
          <w:cantSplit/>
        </w:trPr>
        <w:tc>
          <w:tcPr>
            <w:tcW w:w="8771" w:type="dxa"/>
            <w:tcBorders>
              <w:top w:val="nil"/>
              <w:left w:val="nil"/>
              <w:bottom w:val="nil"/>
              <w:right w:val="nil"/>
            </w:tcBorders>
            <w:shd w:val="clear" w:color="auto" w:fill="D9EAF0"/>
          </w:tcPr>
          <w:p w14:paraId="3D84F2A3" w14:textId="31137C5D" w:rsidR="00816B26" w:rsidRDefault="00816B26" w:rsidP="00816B26">
            <w:pPr>
              <w:pStyle w:val="Box"/>
            </w:pPr>
            <w:r>
              <w:t xml:space="preserve">Measures of economic integration are often based on the extent to which a single market operates across national borders. Increasing cross-border flows of </w:t>
            </w:r>
            <w:r w:rsidR="00F460BC">
              <w:t>goods, services</w:t>
            </w:r>
            <w:r>
              <w:t xml:space="preserve">, capital, people and </w:t>
            </w:r>
            <w:r w:rsidR="003C559B">
              <w:t xml:space="preserve">information </w:t>
            </w:r>
            <w:r>
              <w:t xml:space="preserve">should lead economies to display </w:t>
            </w:r>
            <w:r w:rsidR="003C559B">
              <w:t xml:space="preserve">increasingly consistent </w:t>
            </w:r>
            <w:r>
              <w:t>characteristics.</w:t>
            </w:r>
          </w:p>
          <w:p w14:paraId="305D1C00" w14:textId="3F6D8922" w:rsidR="00816B26" w:rsidRDefault="00816B26" w:rsidP="00816B26">
            <w:pPr>
              <w:pStyle w:val="Box"/>
            </w:pPr>
            <w:r>
              <w:t xml:space="preserve">Assessments of integration from this perspective are based on </w:t>
            </w:r>
            <w:r w:rsidR="00BE095F">
              <w:t>‘</w:t>
            </w:r>
            <w:r>
              <w:t>de facto</w:t>
            </w:r>
            <w:r w:rsidR="00BE095F">
              <w:t>’</w:t>
            </w:r>
            <w:r>
              <w:t xml:space="preserve"> measures of economic interdependence, as opposed to </w:t>
            </w:r>
            <w:r w:rsidR="00BE095F">
              <w:t>‘</w:t>
            </w:r>
            <w:r>
              <w:t>de jure</w:t>
            </w:r>
            <w:r w:rsidR="00BE095F">
              <w:t>’</w:t>
            </w:r>
            <w:r>
              <w:t xml:space="preserve"> measures of policy barriers to integration. As such, one weakness is that they capture both policy and non-policy factors. So they cannot, for example, distinguish between the impacts of </w:t>
            </w:r>
            <w:proofErr w:type="spellStart"/>
            <w:r>
              <w:t>CER</w:t>
            </w:r>
            <w:proofErr w:type="spellEnd"/>
            <w:r>
              <w:t xml:space="preserve"> and improvements in transportation </w:t>
            </w:r>
            <w:r w:rsidR="003C559B">
              <w:t xml:space="preserve">and </w:t>
            </w:r>
            <w:r>
              <w:t xml:space="preserve">communications technology. </w:t>
            </w:r>
            <w:r w:rsidR="00235BF9">
              <w:t xml:space="preserve">However, </w:t>
            </w:r>
            <w:r>
              <w:t>they provide a useful complement to assessments of policy barriers and have been widely used to measure integration in other economically close countries (see, for example, European Commission</w:t>
            </w:r>
            <w:r w:rsidR="000B7550">
              <w:t> </w:t>
            </w:r>
            <w:r>
              <w:t>2008).</w:t>
            </w:r>
          </w:p>
          <w:p w14:paraId="7F07FC18" w14:textId="6832AC06" w:rsidR="00816B26" w:rsidRDefault="003C559B" w:rsidP="00816B26">
            <w:pPr>
              <w:pStyle w:val="Box"/>
            </w:pPr>
            <w:r>
              <w:t>W</w:t>
            </w:r>
            <w:r w:rsidR="00816B26">
              <w:t xml:space="preserve">hat do these techniques reveal about economic integration across the Tasman? First, the Australian and New Zealand business cycles have become more synchronised over recent years. This could be indicative of increased integration, driven by demand-side </w:t>
            </w:r>
            <w:proofErr w:type="spellStart"/>
            <w:r w:rsidR="00816B26">
              <w:t>spillovers</w:t>
            </w:r>
            <w:proofErr w:type="spellEnd"/>
            <w:r w:rsidR="00816B26">
              <w:t xml:space="preserve"> and financial linkages, or simply reflect greater synchronisation of the world business cycle. Perhaps more conclusively, price changes for the same products have become more strongly correlated across Australia and New Zealand over the medium to long term</w:t>
            </w:r>
            <w:r>
              <w:t>,</w:t>
            </w:r>
            <w:r w:rsidR="00816B26">
              <w:t xml:space="preserve"> and financial markets appear highly integrated. </w:t>
            </w:r>
            <w:r>
              <w:t>T</w:t>
            </w:r>
            <w:r w:rsidR="00816B26">
              <w:t>hese results indicate that significant progress has been made towards achieving a single trans-Tasman market.</w:t>
            </w:r>
          </w:p>
          <w:p w14:paraId="705F2B96" w14:textId="2F71C735" w:rsidR="00816B26" w:rsidRDefault="00816B26" w:rsidP="003C559B">
            <w:pPr>
              <w:pStyle w:val="Box"/>
            </w:pPr>
            <w:r>
              <w:t xml:space="preserve">Notwithstanding this progress, the international border between Australia and New Zealand is estimated to be considerably </w:t>
            </w:r>
            <w:r w:rsidR="00EA7BD9">
              <w:t>‘</w:t>
            </w:r>
            <w:r>
              <w:t>thicker</w:t>
            </w:r>
            <w:r w:rsidR="00EA7BD9">
              <w:t>’</w:t>
            </w:r>
            <w:r>
              <w:t xml:space="preserve"> than state boundaries within Australia. For example, the linkages between economic cycles and relative prices are tighter across states than they are across the Tasman. Greater economic interdependence across Australian states reflects internal trade and people flows that are much larger than between New Zealand and Australia. In addition, trans-Tasman price movements in services markets are less correlated than in goods markets, indicating a greater extent of market fragmentation. Consequently, this suggests that the opportunities for future economic integration across Australia and New Zealand predominantly lie in the services sector.</w:t>
            </w:r>
          </w:p>
        </w:tc>
      </w:tr>
      <w:tr w:rsidR="00816B26" w14:paraId="00F01621" w14:textId="77777777" w:rsidTr="00816B26">
        <w:trPr>
          <w:cantSplit/>
        </w:trPr>
        <w:tc>
          <w:tcPr>
            <w:tcW w:w="8771" w:type="dxa"/>
            <w:tcBorders>
              <w:top w:val="nil"/>
              <w:left w:val="nil"/>
              <w:bottom w:val="nil"/>
              <w:right w:val="nil"/>
            </w:tcBorders>
            <w:shd w:val="clear" w:color="auto" w:fill="D9EAF0"/>
          </w:tcPr>
          <w:p w14:paraId="4D599684" w14:textId="56862076" w:rsidR="00816B26" w:rsidRDefault="00816B26" w:rsidP="00071C3A">
            <w:pPr>
              <w:pStyle w:val="BoxSource"/>
            </w:pPr>
            <w:r>
              <w:rPr>
                <w:i/>
              </w:rPr>
              <w:t>Source</w:t>
            </w:r>
            <w:r w:rsidRPr="00167F06">
              <w:t xml:space="preserve">: </w:t>
            </w:r>
            <w:r w:rsidR="00480FE4">
              <w:rPr>
                <w:lang w:val="en-US"/>
              </w:rPr>
              <w:t>Conway, Meehan and Zheng</w:t>
            </w:r>
            <w:r w:rsidR="000B7550">
              <w:rPr>
                <w:lang w:val="en-US"/>
              </w:rPr>
              <w:t> </w:t>
            </w:r>
            <w:r w:rsidR="00480FE4">
              <w:rPr>
                <w:lang w:val="en-US"/>
              </w:rPr>
              <w:t>(</w:t>
            </w:r>
            <w:r w:rsidR="00071C3A">
              <w:rPr>
                <w:lang w:val="en-US"/>
              </w:rPr>
              <w:t>forthcoming</w:t>
            </w:r>
            <w:r w:rsidR="00480FE4">
              <w:rPr>
                <w:lang w:val="en-US"/>
              </w:rPr>
              <w:t>)</w:t>
            </w:r>
            <w:r w:rsidR="00102313">
              <w:rPr>
                <w:lang w:val="en-US"/>
              </w:rPr>
              <w:t>.</w:t>
            </w:r>
          </w:p>
        </w:tc>
      </w:tr>
      <w:tr w:rsidR="00816B26" w14:paraId="77D0065D" w14:textId="77777777" w:rsidTr="00816B26">
        <w:trPr>
          <w:cantSplit/>
        </w:trPr>
        <w:tc>
          <w:tcPr>
            <w:tcW w:w="8771" w:type="dxa"/>
            <w:tcBorders>
              <w:top w:val="nil"/>
              <w:left w:val="nil"/>
              <w:bottom w:val="nil"/>
              <w:right w:val="nil"/>
            </w:tcBorders>
            <w:shd w:val="clear" w:color="auto" w:fill="D9EAF0"/>
          </w:tcPr>
          <w:p w14:paraId="158DB11B" w14:textId="77777777" w:rsidR="00816B26" w:rsidRDefault="00816B26">
            <w:pPr>
              <w:pStyle w:val="Box"/>
              <w:spacing w:before="0" w:line="120" w:lineRule="exact"/>
            </w:pPr>
          </w:p>
        </w:tc>
      </w:tr>
      <w:tr w:rsidR="00816B26" w:rsidRPr="00083E90" w14:paraId="12B5A5F1" w14:textId="77777777" w:rsidTr="00816B26">
        <w:tc>
          <w:tcPr>
            <w:tcW w:w="8771" w:type="dxa"/>
            <w:tcBorders>
              <w:top w:val="nil"/>
              <w:left w:val="nil"/>
              <w:bottom w:val="nil"/>
              <w:right w:val="nil"/>
            </w:tcBorders>
          </w:tcPr>
          <w:p w14:paraId="029113EA" w14:textId="77777777" w:rsidR="00816B26" w:rsidRPr="00083E90" w:rsidRDefault="00816B26">
            <w:pPr>
              <w:pStyle w:val="Box"/>
              <w:keepNext w:val="0"/>
              <w:spacing w:before="60" w:after="60" w:line="80" w:lineRule="exact"/>
              <w:rPr>
                <w:b/>
                <w:color w:val="auto"/>
                <w:sz w:val="14"/>
              </w:rPr>
            </w:pPr>
          </w:p>
        </w:tc>
      </w:tr>
    </w:tbl>
    <w:p w14:paraId="1ED3DF1A" w14:textId="77777777" w:rsidR="002859CF" w:rsidRDefault="002859CF" w:rsidP="002859CF">
      <w:pPr>
        <w:pStyle w:val="BodyText"/>
      </w:pPr>
      <w:r>
        <w:t xml:space="preserve">As documented above, the </w:t>
      </w:r>
      <w:proofErr w:type="spellStart"/>
      <w:r>
        <w:t>CER</w:t>
      </w:r>
      <w:proofErr w:type="spellEnd"/>
      <w:r>
        <w:t xml:space="preserve"> agenda is made up of many agreements dealing with diverse issues. </w:t>
      </w:r>
      <w:proofErr w:type="spellStart"/>
      <w:r>
        <w:t>CER</w:t>
      </w:r>
      <w:proofErr w:type="spellEnd"/>
      <w:r>
        <w:t xml:space="preserve"> has also progressed through close government</w:t>
      </w:r>
      <w:r>
        <w:noBreakHyphen/>
        <w:t>to</w:t>
      </w:r>
      <w:r>
        <w:noBreakHyphen/>
        <w:t>government contacts and cooperation. This has promoted a subtle process of mutual learning that has improved domestic policy in both countries, and brought regulatory and policy approaches closer together.</w:t>
      </w:r>
    </w:p>
    <w:p w14:paraId="4122A3F0" w14:textId="77777777" w:rsidR="002859CF" w:rsidRDefault="002859CF" w:rsidP="002859CF">
      <w:pPr>
        <w:pStyle w:val="BodyText"/>
      </w:pPr>
      <w:r>
        <w:t xml:space="preserve">The quantitative evidence on the benefits and costs of </w:t>
      </w:r>
      <w:proofErr w:type="spellStart"/>
      <w:r>
        <w:t>CER</w:t>
      </w:r>
      <w:proofErr w:type="spellEnd"/>
      <w:r>
        <w:t xml:space="preserve"> is not definitive. To some degree this simply reflects the difficulty of isolating </w:t>
      </w:r>
      <w:proofErr w:type="spellStart"/>
      <w:r>
        <w:t>CER’s</w:t>
      </w:r>
      <w:proofErr w:type="spellEnd"/>
      <w:r>
        <w:t xml:space="preserve"> effects from other </w:t>
      </w:r>
      <w:r>
        <w:lastRenderedPageBreak/>
        <w:t>policy and market influences. There is evidence of trade diversion in merchandise, but the potential for this to occur has diminished greatly as both countries have dismantled trade barriers more broadly.</w:t>
      </w:r>
    </w:p>
    <w:p w14:paraId="68F81091" w14:textId="77777777" w:rsidR="002859CF" w:rsidRDefault="002859CF" w:rsidP="002859CF">
      <w:pPr>
        <w:pStyle w:val="BodyText"/>
      </w:pPr>
      <w:r>
        <w:t xml:space="preserve">Some </w:t>
      </w:r>
      <w:proofErr w:type="spellStart"/>
      <w:r>
        <w:t>CER</w:t>
      </w:r>
      <w:proofErr w:type="spellEnd"/>
      <w:r>
        <w:t xml:space="preserve"> initiatives have worked better than others. For example, it is clear that </w:t>
      </w:r>
      <w:proofErr w:type="spellStart"/>
      <w:r>
        <w:t>TTMRA</w:t>
      </w:r>
      <w:proofErr w:type="spellEnd"/>
      <w:r>
        <w:t xml:space="preserve"> has enabled transaction costs to be reduced on a broad front. It is reasonable to infer that this has brought considerable benefits and, as the cost associated with this initiative is modest, that net benefits have resulted. In contrast, efforts to harmonise the regulation of therapeutic goods through the creation of a trans-Tasman regulator have been protracted and costly, with the gains remaining prospective.</w:t>
      </w:r>
    </w:p>
    <w:p w14:paraId="5DABCF4A" w14:textId="77777777" w:rsidR="00E611D5" w:rsidRDefault="00E611D5" w:rsidP="00E611D5">
      <w:pPr>
        <w:pStyle w:val="BodyText"/>
      </w:pPr>
      <w:r>
        <w:t xml:space="preserve">However, in the main </w:t>
      </w:r>
      <w:proofErr w:type="spellStart"/>
      <w:r>
        <w:t>CER</w:t>
      </w:r>
      <w:proofErr w:type="spellEnd"/>
      <w:r>
        <w:t xml:space="preserve"> has avoided integration options that would be costly to secure. This is evident, for example, in the approach taken to more closely aligning competition and consumer protection regimes.</w:t>
      </w:r>
    </w:p>
    <w:p w14:paraId="233C3854" w14:textId="0A78EDA4" w:rsidR="00E611D5" w:rsidRDefault="00E611D5" w:rsidP="00E611D5">
      <w:pPr>
        <w:pStyle w:val="BodyText"/>
      </w:pPr>
      <w:r>
        <w:t xml:space="preserve">It is also likely that </w:t>
      </w:r>
      <w:proofErr w:type="spellStart"/>
      <w:r>
        <w:t>CER</w:t>
      </w:r>
      <w:proofErr w:type="spellEnd"/>
      <w:r>
        <w:t xml:space="preserve"> has helped engender reform to broader policy settings in Australia and New Zealand. </w:t>
      </w:r>
      <w:proofErr w:type="spellStart"/>
      <w:r>
        <w:t>CER</w:t>
      </w:r>
      <w:proofErr w:type="spellEnd"/>
      <w:r>
        <w:t xml:space="preserve"> appears to have helped to </w:t>
      </w:r>
      <w:r w:rsidRPr="004E76AD">
        <w:t>change opinions about trade protection for manufacturing and paved the way for unilateral reductions in tariffs generally, particularly in New Zealand (</w:t>
      </w:r>
      <w:proofErr w:type="spellStart"/>
      <w:r w:rsidRPr="004E76AD">
        <w:t>Scollay</w:t>
      </w:r>
      <w:proofErr w:type="spellEnd"/>
      <w:r w:rsidRPr="004E76AD">
        <w:t>, Findlay and Kaufmann</w:t>
      </w:r>
      <w:r w:rsidR="000B7550">
        <w:t> </w:t>
      </w:r>
      <w:r w:rsidRPr="004E76AD">
        <w:t xml:space="preserve">2011). In this way, and unlike some other </w:t>
      </w:r>
      <w:r>
        <w:t xml:space="preserve">bilateral or regional </w:t>
      </w:r>
      <w:r w:rsidRPr="004E76AD">
        <w:t xml:space="preserve">agreements, </w:t>
      </w:r>
      <w:proofErr w:type="spellStart"/>
      <w:r w:rsidRPr="004E76AD">
        <w:t>CER</w:t>
      </w:r>
      <w:proofErr w:type="spellEnd"/>
      <w:r w:rsidRPr="004E76AD">
        <w:t xml:space="preserve"> appears to have acted more as a ‘building block’ than ‘stumbling block’ in the pursuit of wider integration.</w:t>
      </w:r>
      <w:r>
        <w:t xml:space="preserve"> Wider integration </w:t>
      </w:r>
      <w:r w:rsidRPr="00F95452">
        <w:t xml:space="preserve">has </w:t>
      </w:r>
      <w:r>
        <w:t>in turn brought</w:t>
      </w:r>
      <w:r w:rsidRPr="00F95452">
        <w:t xml:space="preserve"> large benefits</w:t>
      </w:r>
      <w:r>
        <w:t>, including higher standards of living in both countries.</w:t>
      </w:r>
    </w:p>
    <w:p w14:paraId="5849BE50" w14:textId="77777777" w:rsidR="00E611D5" w:rsidRDefault="00E611D5" w:rsidP="00E611D5">
      <w:pPr>
        <w:pStyle w:val="BodyText"/>
      </w:pPr>
      <w:r>
        <w:t xml:space="preserve">Overall, the Commissions’ assessment is that </w:t>
      </w:r>
      <w:proofErr w:type="spellStart"/>
      <w:r>
        <w:t>CER</w:t>
      </w:r>
      <w:proofErr w:type="spellEnd"/>
      <w:r>
        <w:t xml:space="preserve"> has produced net benefits for Australia and New Zealand, notwithstanding u</w:t>
      </w:r>
      <w:r w:rsidR="002A0E8E">
        <w:t>ncertainty about the magnitude</w:t>
      </w:r>
      <w:r w:rsidR="00BE095F">
        <w:t>s</w:t>
      </w:r>
      <w:r w:rsidR="002A0E8E">
        <w:t>.</w:t>
      </w:r>
    </w:p>
    <w:p w14:paraId="2016EE10" w14:textId="77777777" w:rsidR="00DE572E" w:rsidRDefault="004A47CD" w:rsidP="00DE572E">
      <w:pPr>
        <w:pStyle w:val="Heading2"/>
      </w:pPr>
      <w:fldSimple w:instr=" COMMENTS  \* MERGEFORMAT ">
        <w:r w:rsidR="005256BE">
          <w:t>3.</w:t>
        </w:r>
      </w:fldSimple>
      <w:fldSimple w:instr=" SEQ Heading2 ">
        <w:r w:rsidR="00EE0939">
          <w:rPr>
            <w:noProof/>
          </w:rPr>
          <w:t>3</w:t>
        </w:r>
      </w:fldSimple>
      <w:r w:rsidR="00DE572E">
        <w:tab/>
      </w:r>
      <w:r w:rsidR="00DE5DEB">
        <w:t>I</w:t>
      </w:r>
      <w:r w:rsidR="006A3E08">
        <w:t>mplications</w:t>
      </w:r>
      <w:r w:rsidR="004F73F3">
        <w:t xml:space="preserve"> for the future agenda</w:t>
      </w:r>
    </w:p>
    <w:p w14:paraId="2AB79DFA" w14:textId="77777777" w:rsidR="00F57183" w:rsidRDefault="00DE5DEB" w:rsidP="00F57183">
      <w:pPr>
        <w:pStyle w:val="BodyText"/>
      </w:pPr>
      <w:r>
        <w:t>E</w:t>
      </w:r>
      <w:r w:rsidR="006A4570">
        <w:t>xperience with</w:t>
      </w:r>
      <w:r w:rsidR="00F57183">
        <w:t xml:space="preserve"> </w:t>
      </w:r>
      <w:proofErr w:type="spellStart"/>
      <w:r w:rsidR="00F57183">
        <w:t>CER</w:t>
      </w:r>
      <w:proofErr w:type="spellEnd"/>
      <w:r w:rsidR="00F57183">
        <w:t xml:space="preserve"> </w:t>
      </w:r>
      <w:r>
        <w:t xml:space="preserve">over the </w:t>
      </w:r>
      <w:r w:rsidR="00235BF9">
        <w:t>p</w:t>
      </w:r>
      <w:r>
        <w:t xml:space="preserve">ast 30 years </w:t>
      </w:r>
      <w:r w:rsidR="00A64F2F">
        <w:t>yields</w:t>
      </w:r>
      <w:r>
        <w:t xml:space="preserve"> </w:t>
      </w:r>
      <w:r w:rsidR="00F57183">
        <w:t xml:space="preserve">some </w:t>
      </w:r>
      <w:r>
        <w:t>insights that are relevant to</w:t>
      </w:r>
      <w:r w:rsidR="00F57183">
        <w:t xml:space="preserve"> the future trans-Tasman integration agenda.</w:t>
      </w:r>
    </w:p>
    <w:p w14:paraId="61344235" w14:textId="77777777" w:rsidR="00F57183" w:rsidRDefault="00EF3F81" w:rsidP="00F57183">
      <w:pPr>
        <w:pStyle w:val="Heading3"/>
      </w:pPr>
      <w:r>
        <w:t xml:space="preserve">Future progress will require </w:t>
      </w:r>
      <w:r w:rsidR="004F73F3">
        <w:t>careful assessment</w:t>
      </w:r>
    </w:p>
    <w:p w14:paraId="2CDCC28C" w14:textId="5396BFF8" w:rsidR="00F57183" w:rsidRDefault="00F57183" w:rsidP="00F57183">
      <w:pPr>
        <w:pStyle w:val="BodyText"/>
      </w:pPr>
      <w:r>
        <w:t xml:space="preserve">The early years of </w:t>
      </w:r>
      <w:proofErr w:type="spellStart"/>
      <w:r>
        <w:t>CER</w:t>
      </w:r>
      <w:proofErr w:type="spellEnd"/>
      <w:r>
        <w:t xml:space="preserve"> saw major </w:t>
      </w:r>
      <w:r w:rsidR="003462CF">
        <w:t>advances</w:t>
      </w:r>
      <w:r>
        <w:t xml:space="preserve">, with </w:t>
      </w:r>
      <w:r w:rsidRPr="007B3BF3">
        <w:t xml:space="preserve">restrictions on </w:t>
      </w:r>
      <w:r>
        <w:t xml:space="preserve">virtually </w:t>
      </w:r>
      <w:r w:rsidRPr="007B3BF3">
        <w:t>all goods trade</w:t>
      </w:r>
      <w:r>
        <w:t xml:space="preserve">d between the two countries </w:t>
      </w:r>
      <w:r w:rsidRPr="007B3BF3">
        <w:t>eliminated by 1990</w:t>
      </w:r>
      <w:r w:rsidR="00F460BC">
        <w:t>. T</w:t>
      </w:r>
      <w:r>
        <w:t xml:space="preserve">he agenda </w:t>
      </w:r>
      <w:r w:rsidR="00F460BC">
        <w:t xml:space="preserve">then </w:t>
      </w:r>
      <w:r>
        <w:t xml:space="preserve">moved into new areas, such as services trade and behind-the-border regulatory barriers. Implementing agreements on reducing behind-the-border barriers has </w:t>
      </w:r>
      <w:r w:rsidR="006A4570">
        <w:t xml:space="preserve">proven </w:t>
      </w:r>
      <w:r>
        <w:t>more complicated than the early agenda</w:t>
      </w:r>
      <w:r w:rsidR="008634EA">
        <w:t xml:space="preserve"> focused on merchandise trade</w:t>
      </w:r>
      <w:r>
        <w:t>.</w:t>
      </w:r>
    </w:p>
    <w:p w14:paraId="2C203FCA" w14:textId="3AF41139" w:rsidR="00F57183" w:rsidRDefault="00F57183" w:rsidP="00F57183">
      <w:pPr>
        <w:pStyle w:val="BodyText"/>
      </w:pPr>
      <w:r>
        <w:lastRenderedPageBreak/>
        <w:t xml:space="preserve">That said, there is an ambitious agenda of business law reform, and progress towards integration in many other areas. </w:t>
      </w:r>
      <w:r w:rsidR="00552C7C">
        <w:t xml:space="preserve">However, as advances are made, new integration opportunities are becoming less obvious. </w:t>
      </w:r>
      <w:r w:rsidRPr="00B70AFA">
        <w:t xml:space="preserve">Extending or deepening the trans-Tasman integration agenda will </w:t>
      </w:r>
      <w:r>
        <w:t xml:space="preserve">generally </w:t>
      </w:r>
      <w:r w:rsidRPr="00B70AFA">
        <w:t xml:space="preserve">require tackling more complex and </w:t>
      </w:r>
      <w:r w:rsidR="00386A6D">
        <w:t>difficult</w:t>
      </w:r>
      <w:r w:rsidRPr="00B70AFA">
        <w:t xml:space="preserve"> areas of policy and regulation.</w:t>
      </w:r>
      <w:r>
        <w:t xml:space="preserve"> This makes it particularly important to identify those initiatives that offer a satisfactory payoff. Good public policy processes w</w:t>
      </w:r>
      <w:r w:rsidR="00251925">
        <w:t>ill be instrumental in ensuring</w:t>
      </w:r>
      <w:r>
        <w:t xml:space="preserve"> that the best policy initiatives are selected.</w:t>
      </w:r>
    </w:p>
    <w:p w14:paraId="6C3BF46F" w14:textId="77777777" w:rsidR="00F57183" w:rsidRDefault="00F57183" w:rsidP="00F57183">
      <w:pPr>
        <w:pStyle w:val="Heading3"/>
      </w:pPr>
      <w:r w:rsidRPr="00BD58BF">
        <w:t>Policy initiatives to e</w:t>
      </w:r>
      <w:r>
        <w:t xml:space="preserve">ncourage economic integration </w:t>
      </w:r>
      <w:r w:rsidRPr="00BD58BF">
        <w:t>should be outward</w:t>
      </w:r>
      <w:r w:rsidR="00E638A7">
        <w:t xml:space="preserve"> looking</w:t>
      </w:r>
    </w:p>
    <w:p w14:paraId="531D2E2D" w14:textId="594F722C" w:rsidR="0048675F" w:rsidRDefault="00F57183" w:rsidP="00F57183">
      <w:pPr>
        <w:pStyle w:val="BodyText"/>
      </w:pPr>
      <w:proofErr w:type="spellStart"/>
      <w:r>
        <w:t>CER</w:t>
      </w:r>
      <w:proofErr w:type="spellEnd"/>
      <w:r>
        <w:t xml:space="preserve"> was established to be outward</w:t>
      </w:r>
      <w:r w:rsidR="00F460BC">
        <w:t xml:space="preserve"> </w:t>
      </w:r>
      <w:r>
        <w:t>oriented, rather than focus</w:t>
      </w:r>
      <w:r w:rsidR="00251925">
        <w:t>ing</w:t>
      </w:r>
      <w:r>
        <w:t xml:space="preserve"> inwards on the bilateral relationship. Originally motivated by the need to find replacements for European markets, the trans</w:t>
      </w:r>
      <w:r>
        <w:noBreakHyphen/>
        <w:t xml:space="preserve">Tasman integration agenda now needs to ‘fit’ with the broader challenges and opportunities </w:t>
      </w:r>
      <w:r w:rsidR="0048675F">
        <w:t>being created by the rise of Asia (box</w:t>
      </w:r>
      <w:r w:rsidR="00B10E35">
        <w:t> </w:t>
      </w:r>
      <w:r w:rsidR="0047352D">
        <w:t>3.</w:t>
      </w:r>
      <w:r w:rsidR="00B10E35">
        <w:t>11</w:t>
      </w:r>
      <w:r w:rsidR="0048675F">
        <w:t>).</w:t>
      </w:r>
    </w:p>
    <w:p w14:paraId="1222B1E8" w14:textId="49620C0C" w:rsidR="00A01A13" w:rsidRDefault="00A01A1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1A13" w14:paraId="7094714B" w14:textId="77777777" w:rsidTr="00A01A13">
        <w:tc>
          <w:tcPr>
            <w:tcW w:w="8771" w:type="dxa"/>
            <w:tcBorders>
              <w:top w:val="nil"/>
              <w:left w:val="nil"/>
              <w:bottom w:val="nil"/>
              <w:right w:val="nil"/>
            </w:tcBorders>
            <w:shd w:val="clear" w:color="auto" w:fill="D9EAF0"/>
          </w:tcPr>
          <w:p w14:paraId="580FC8BA" w14:textId="64287E66" w:rsidR="00A01A13" w:rsidRDefault="00A01A13" w:rsidP="00A01A1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11</w:t>
            </w:r>
            <w:r>
              <w:rPr>
                <w:b w:val="0"/>
              </w:rPr>
              <w:fldChar w:fldCharType="end"/>
            </w:r>
            <w:r>
              <w:tab/>
              <w:t>Australia and New Zealand in the Asian Century</w:t>
            </w:r>
          </w:p>
        </w:tc>
      </w:tr>
      <w:tr w:rsidR="00A01A13" w14:paraId="52E63E23" w14:textId="77777777" w:rsidTr="00A01A13">
        <w:trPr>
          <w:cantSplit/>
        </w:trPr>
        <w:tc>
          <w:tcPr>
            <w:tcW w:w="8771" w:type="dxa"/>
            <w:tcBorders>
              <w:top w:val="nil"/>
              <w:left w:val="nil"/>
              <w:bottom w:val="nil"/>
              <w:right w:val="nil"/>
            </w:tcBorders>
            <w:shd w:val="clear" w:color="auto" w:fill="D9EAF0"/>
          </w:tcPr>
          <w:p w14:paraId="7765492C" w14:textId="77777777" w:rsidR="00A01A13" w:rsidRDefault="00A01A13" w:rsidP="00A01A13">
            <w:pPr>
              <w:pStyle w:val="Box"/>
            </w:pPr>
            <w:r>
              <w:t>The Australia in the Asian Century white paper, released by the Australian Government in October 2012, argues that the extraordinary ascent of Asia means that Australia is ‘entering a truly transformative period in our history’ (Australian Government 2012, p. 1). It reports that Asia’s share of global output increased from 20 </w:t>
            </w:r>
            <w:proofErr w:type="spellStart"/>
            <w:r>
              <w:t>percent</w:t>
            </w:r>
            <w:proofErr w:type="spellEnd"/>
            <w:r>
              <w:t xml:space="preserve"> in 1970 to 36 </w:t>
            </w:r>
            <w:proofErr w:type="spellStart"/>
            <w:r>
              <w:t>percent</w:t>
            </w:r>
            <w:proofErr w:type="spellEnd"/>
            <w:r>
              <w:t xml:space="preserve"> in 2010, and that this share is forecast to reach 47 </w:t>
            </w:r>
            <w:proofErr w:type="spellStart"/>
            <w:r>
              <w:t>percent</w:t>
            </w:r>
            <w:proofErr w:type="spellEnd"/>
            <w:r>
              <w:t xml:space="preserve"> in 2025 (based on GDP adjusted for purchasing power parity). Asia accounted for two-thirds of Australia’s goods trade in 2010 and this proportion is rising.</w:t>
            </w:r>
          </w:p>
          <w:p w14:paraId="03B51C4B" w14:textId="77777777" w:rsidR="00A01A13" w:rsidRDefault="00A01A13" w:rsidP="00A01A13">
            <w:pPr>
              <w:pStyle w:val="Box"/>
            </w:pPr>
            <w:r>
              <w:t>The white paper summarises the opportunities created by the rise of Asia as follows:</w:t>
            </w:r>
          </w:p>
          <w:p w14:paraId="560B0DBC" w14:textId="77777777" w:rsidR="00A01A13" w:rsidRDefault="00A01A13" w:rsidP="00A01A13">
            <w:pPr>
              <w:pStyle w:val="BoxQuote"/>
            </w:pPr>
            <w:r>
              <w:t>The Asian century offers a wealth of opportunities and career choices in a variety of businesses (including small and medium-sized enterprises), especially for Australia’s young people:</w:t>
            </w:r>
          </w:p>
          <w:p w14:paraId="011AD0C0" w14:textId="77777777" w:rsidR="00A01A13" w:rsidRDefault="00A01A13" w:rsidP="009B61CF">
            <w:pPr>
              <w:pStyle w:val="BoxQuote"/>
              <w:numPr>
                <w:ilvl w:val="0"/>
                <w:numId w:val="15"/>
              </w:numPr>
            </w:pPr>
            <w:r>
              <w:t>in mining and resource related sectors — continued economic development in the region will drive demand for energy and mineral resources</w:t>
            </w:r>
          </w:p>
          <w:p w14:paraId="7CC6F4FE" w14:textId="77777777" w:rsidR="00A01A13" w:rsidRDefault="00A01A13" w:rsidP="009B61CF">
            <w:pPr>
              <w:pStyle w:val="BoxQuote"/>
              <w:numPr>
                <w:ilvl w:val="0"/>
                <w:numId w:val="15"/>
              </w:numPr>
            </w:pPr>
            <w:r>
              <w:t>in tourism, sport, education, the arts and creative industries, professional, banking and financial services, and science and technology — thanks to growing affluence in Asia</w:t>
            </w:r>
          </w:p>
          <w:p w14:paraId="09CB2F67" w14:textId="7E56EBE8" w:rsidR="00A01A13" w:rsidRDefault="00A01A13" w:rsidP="009B61CF">
            <w:pPr>
              <w:pStyle w:val="BoxQuote"/>
              <w:numPr>
                <w:ilvl w:val="0"/>
                <w:numId w:val="15"/>
              </w:numPr>
            </w:pPr>
            <w:r>
              <w:t>in agriculture — rising food demand, connected to rising populations and an expanding middle class in Asia, offers an opportunity for Australia to be an important supplier of high-value food, requiring greater investment by agribusinesses to boost output and research, adapt to regulatory change and build capacity</w:t>
            </w:r>
          </w:p>
        </w:tc>
      </w:tr>
      <w:tr w:rsidR="00A01A13" w14:paraId="737B6EA5" w14:textId="77777777" w:rsidTr="00A01A13">
        <w:trPr>
          <w:cantSplit/>
        </w:trPr>
        <w:tc>
          <w:tcPr>
            <w:tcW w:w="8771" w:type="dxa"/>
            <w:tcBorders>
              <w:top w:val="nil"/>
              <w:left w:val="nil"/>
              <w:bottom w:val="nil"/>
              <w:right w:val="nil"/>
            </w:tcBorders>
            <w:shd w:val="clear" w:color="auto" w:fill="D9EAF0"/>
          </w:tcPr>
          <w:p w14:paraId="65EA95A3" w14:textId="1B117C79" w:rsidR="00A01A13" w:rsidRDefault="00A01A13" w:rsidP="009B61CF">
            <w:pPr>
              <w:pStyle w:val="Continued"/>
            </w:pPr>
            <w:r>
              <w:t>(continued next page)</w:t>
            </w:r>
          </w:p>
        </w:tc>
      </w:tr>
      <w:tr w:rsidR="00A01A13" w14:paraId="6E31FC3E" w14:textId="77777777" w:rsidTr="00A01A13">
        <w:trPr>
          <w:cantSplit/>
        </w:trPr>
        <w:tc>
          <w:tcPr>
            <w:tcW w:w="8771" w:type="dxa"/>
            <w:tcBorders>
              <w:top w:val="nil"/>
              <w:left w:val="nil"/>
              <w:bottom w:val="nil"/>
              <w:right w:val="nil"/>
            </w:tcBorders>
            <w:shd w:val="clear" w:color="auto" w:fill="D9EAF0"/>
          </w:tcPr>
          <w:p w14:paraId="6150A760" w14:textId="77777777" w:rsidR="00A01A13" w:rsidRDefault="00A01A13">
            <w:pPr>
              <w:pStyle w:val="Box"/>
              <w:spacing w:before="0" w:line="120" w:lineRule="exact"/>
            </w:pPr>
          </w:p>
        </w:tc>
      </w:tr>
      <w:tr w:rsidR="00A01A13" w:rsidRPr="009B61CF" w14:paraId="2EFBEC9A" w14:textId="77777777" w:rsidTr="00A01A13">
        <w:tc>
          <w:tcPr>
            <w:tcW w:w="8771" w:type="dxa"/>
            <w:tcBorders>
              <w:top w:val="nil"/>
              <w:left w:val="nil"/>
              <w:bottom w:val="nil"/>
              <w:right w:val="nil"/>
            </w:tcBorders>
          </w:tcPr>
          <w:p w14:paraId="0EA6C5B8" w14:textId="77777777" w:rsidR="00A01A13" w:rsidRPr="009B61CF" w:rsidRDefault="00A01A13">
            <w:pPr>
              <w:pStyle w:val="Box"/>
              <w:keepNext w:val="0"/>
              <w:spacing w:before="60" w:after="60" w:line="80" w:lineRule="exact"/>
              <w:rPr>
                <w:b/>
                <w:color w:val="auto"/>
                <w:sz w:val="14"/>
              </w:rPr>
            </w:pPr>
          </w:p>
        </w:tc>
      </w:tr>
    </w:tbl>
    <w:p w14:paraId="2334D0C1" w14:textId="51750A5D" w:rsidR="00A01A13" w:rsidRDefault="00A01A1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1A13" w14:paraId="78CC868F" w14:textId="77777777" w:rsidTr="00A01A13">
        <w:tc>
          <w:tcPr>
            <w:tcW w:w="8771" w:type="dxa"/>
            <w:tcBorders>
              <w:top w:val="nil"/>
              <w:left w:val="nil"/>
              <w:bottom w:val="nil"/>
              <w:right w:val="nil"/>
            </w:tcBorders>
            <w:shd w:val="clear" w:color="auto" w:fill="D9EAF0"/>
          </w:tcPr>
          <w:p w14:paraId="3C392EFD" w14:textId="30CF75D4" w:rsidR="00A01A13" w:rsidRDefault="00A01A13" w:rsidP="00A01A1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t>11</w:t>
            </w:r>
            <w:r>
              <w:tab/>
            </w:r>
            <w:r w:rsidRPr="00936C78">
              <w:rPr>
                <w:b w:val="0"/>
                <w:sz w:val="18"/>
                <w:szCs w:val="18"/>
              </w:rPr>
              <w:t>(continued)</w:t>
            </w:r>
          </w:p>
        </w:tc>
      </w:tr>
      <w:tr w:rsidR="00A01A13" w14:paraId="638BA000" w14:textId="77777777" w:rsidTr="00A01A13">
        <w:trPr>
          <w:cantSplit/>
        </w:trPr>
        <w:tc>
          <w:tcPr>
            <w:tcW w:w="8771" w:type="dxa"/>
            <w:tcBorders>
              <w:top w:val="nil"/>
              <w:left w:val="nil"/>
              <w:bottom w:val="nil"/>
              <w:right w:val="nil"/>
            </w:tcBorders>
            <w:shd w:val="clear" w:color="auto" w:fill="D9EAF0"/>
          </w:tcPr>
          <w:p w14:paraId="1D17F889" w14:textId="77777777" w:rsidR="00A01A13" w:rsidRDefault="00A01A13" w:rsidP="009B61CF">
            <w:pPr>
              <w:pStyle w:val="BoxQuote"/>
              <w:numPr>
                <w:ilvl w:val="0"/>
                <w:numId w:val="15"/>
              </w:numPr>
            </w:pPr>
            <w:r>
              <w:t>in manufacturing and services — as Australian businesses join regional and global value chains and over time become increasingly integrated and specialised, they will offer high-value and innovative products and services</w:t>
            </w:r>
          </w:p>
          <w:p w14:paraId="3BA66AB3" w14:textId="77777777" w:rsidR="00A01A13" w:rsidRDefault="00A01A13" w:rsidP="009B61CF">
            <w:pPr>
              <w:pStyle w:val="BoxQuote"/>
              <w:numPr>
                <w:ilvl w:val="0"/>
                <w:numId w:val="15"/>
              </w:numPr>
            </w:pPr>
            <w:r>
              <w:t>in environmentally sustainable growth, natural resource management, infrastructure development, urban design and health and aged care — as Australians leverage their expertise to do business with their neighbours. (Australian Government 2012, p. 8)</w:t>
            </w:r>
          </w:p>
          <w:p w14:paraId="20C5D954" w14:textId="77777777" w:rsidR="00A01A13" w:rsidRDefault="00A01A13" w:rsidP="00A01A13">
            <w:pPr>
              <w:pStyle w:val="Box"/>
            </w:pPr>
            <w:r>
              <w:t xml:space="preserve">There is also recognition that not all parts of the Australian economy are facing the same opportunities and that some industries and regions are working through difficult transitions, due in part to </w:t>
            </w:r>
            <w:r w:rsidRPr="007B55B4">
              <w:t>intense competition from a rapidly industrialising Asia</w:t>
            </w:r>
            <w:r>
              <w:t>.</w:t>
            </w:r>
          </w:p>
          <w:p w14:paraId="5953164E" w14:textId="612F1E8A" w:rsidR="00A01A13" w:rsidRDefault="00A01A13" w:rsidP="00A01A13">
            <w:pPr>
              <w:pStyle w:val="Box"/>
            </w:pPr>
            <w:r>
              <w:t>The proportion of New Zealand’s trade accounted for by Asia has increased from 29 to 43 </w:t>
            </w:r>
            <w:proofErr w:type="spellStart"/>
            <w:r>
              <w:t>percent</w:t>
            </w:r>
            <w:proofErr w:type="spellEnd"/>
            <w:r>
              <w:t xml:space="preserve"> over the last 30 years. The opportunities and challenges for New Zealand in the Asian century are broadly similar to those for Australia, but with greater emphasis on agriculture, and less on mining and resources. </w:t>
            </w:r>
            <w:r w:rsidRPr="00373690">
              <w:t xml:space="preserve">Over the last two years the New Zealand Government has published country and regional strategies, known as NZ </w:t>
            </w:r>
            <w:proofErr w:type="spellStart"/>
            <w:r w:rsidRPr="00373690">
              <w:t>Inc</w:t>
            </w:r>
            <w:proofErr w:type="spellEnd"/>
            <w:r w:rsidRPr="00373690">
              <w:t xml:space="preserve"> strategies, with the first two publications focusing on India and China and another under way on ASEAN.</w:t>
            </w:r>
          </w:p>
        </w:tc>
      </w:tr>
      <w:tr w:rsidR="00A01A13" w14:paraId="18F6FDBA" w14:textId="77777777" w:rsidTr="00A01A13">
        <w:trPr>
          <w:cantSplit/>
        </w:trPr>
        <w:tc>
          <w:tcPr>
            <w:tcW w:w="8771" w:type="dxa"/>
            <w:tcBorders>
              <w:top w:val="nil"/>
              <w:left w:val="nil"/>
              <w:bottom w:val="nil"/>
              <w:right w:val="nil"/>
            </w:tcBorders>
            <w:shd w:val="clear" w:color="auto" w:fill="D9EAF0"/>
          </w:tcPr>
          <w:p w14:paraId="3C2CAD09" w14:textId="77777777" w:rsidR="00A01A13" w:rsidRDefault="00A01A13">
            <w:pPr>
              <w:pStyle w:val="Box"/>
              <w:spacing w:before="0" w:line="120" w:lineRule="exact"/>
            </w:pPr>
          </w:p>
        </w:tc>
      </w:tr>
      <w:tr w:rsidR="00A01A13" w:rsidRPr="009B61CF" w14:paraId="33D24FDA" w14:textId="77777777" w:rsidTr="00A01A13">
        <w:tc>
          <w:tcPr>
            <w:tcW w:w="8771" w:type="dxa"/>
            <w:tcBorders>
              <w:top w:val="nil"/>
              <w:left w:val="nil"/>
              <w:bottom w:val="nil"/>
              <w:right w:val="nil"/>
            </w:tcBorders>
          </w:tcPr>
          <w:p w14:paraId="567078AC" w14:textId="77777777" w:rsidR="00A01A13" w:rsidRPr="009B61CF" w:rsidRDefault="00A01A13">
            <w:pPr>
              <w:pStyle w:val="Box"/>
              <w:keepNext w:val="0"/>
              <w:spacing w:before="60" w:after="60" w:line="80" w:lineRule="exact"/>
              <w:rPr>
                <w:b/>
                <w:color w:val="auto"/>
                <w:sz w:val="14"/>
              </w:rPr>
            </w:pPr>
          </w:p>
        </w:tc>
      </w:tr>
    </w:tbl>
    <w:p w14:paraId="74954510" w14:textId="7993DCC3" w:rsidR="007E5048" w:rsidRDefault="007E5048" w:rsidP="00F57183">
      <w:pPr>
        <w:pStyle w:val="BodyText"/>
      </w:pPr>
      <w:r w:rsidRPr="007E5048">
        <w:t>Australia and New Zealand’s trade and investment links with Asia mean that what happens in Asia has repercussions for the trans-Tasman partners (</w:t>
      </w:r>
      <w:r>
        <w:t>b</w:t>
      </w:r>
      <w:r w:rsidRPr="007E5048">
        <w:t>ox</w:t>
      </w:r>
      <w:r w:rsidR="000B7550">
        <w:t> </w:t>
      </w:r>
      <w:r>
        <w:t>3.1</w:t>
      </w:r>
      <w:r w:rsidR="00BC0607">
        <w:t>2</w:t>
      </w:r>
      <w:r w:rsidRPr="007E5048">
        <w:t>).</w:t>
      </w:r>
    </w:p>
    <w:p w14:paraId="0394D0BA" w14:textId="77777777" w:rsidR="00E75D20" w:rsidRPr="004A47CD" w:rsidRDefault="00E75D20" w:rsidP="00E75D20">
      <w:pPr>
        <w:pStyle w:val="BodyText"/>
      </w:pPr>
      <w:r w:rsidRPr="004A47CD">
        <w:t xml:space="preserve">At the same time that Asian economies have expanded, multilateral efforts to promote trade liberalisation have lost momentum. The Doha Round began 11 years ago, but is yet to be concluded and its future is uncertain. This has reinforced the need to consider trans-Tasman integration in a broader regional and global context. It means avoiding actions that impede integration with other countries and extending trans-Tasman initiatives to reap further gains from broader integration </w:t>
      </w:r>
      <w:r w:rsidRPr="004A47CD">
        <w:rPr>
          <w:rFonts w:eastAsia="Calibri" w:cs="Arial"/>
          <w:szCs w:val="24"/>
          <w:lang w:eastAsia="en-US"/>
        </w:rPr>
        <w:t xml:space="preserve">in multilateral </w:t>
      </w:r>
      <w:proofErr w:type="spellStart"/>
      <w:r w:rsidRPr="004A47CD">
        <w:rPr>
          <w:rFonts w:eastAsia="Calibri" w:cs="Arial"/>
          <w:szCs w:val="24"/>
          <w:lang w:eastAsia="en-US"/>
        </w:rPr>
        <w:t>fora</w:t>
      </w:r>
      <w:proofErr w:type="spellEnd"/>
      <w:r w:rsidRPr="004A47CD">
        <w:rPr>
          <w:rFonts w:eastAsia="Calibri" w:cs="Arial"/>
          <w:szCs w:val="24"/>
          <w:lang w:eastAsia="en-US"/>
        </w:rPr>
        <w:t xml:space="preserve"> and at a wider regional level. Finding ways to ensure that trade and investment creation predominates more generally should continue to be an objective for </w:t>
      </w:r>
      <w:proofErr w:type="spellStart"/>
      <w:r w:rsidRPr="004A47CD">
        <w:rPr>
          <w:rFonts w:eastAsia="Calibri" w:cs="Arial"/>
          <w:szCs w:val="24"/>
          <w:lang w:eastAsia="en-US"/>
        </w:rPr>
        <w:t>CER</w:t>
      </w:r>
      <w:proofErr w:type="spellEnd"/>
      <w:r w:rsidRPr="004A47CD">
        <w:rPr>
          <w:rFonts w:eastAsia="Calibri" w:cs="Arial"/>
          <w:szCs w:val="24"/>
          <w:lang w:eastAsia="en-US"/>
        </w:rPr>
        <w:t>.</w:t>
      </w:r>
    </w:p>
    <w:p w14:paraId="7F182A63" w14:textId="77777777" w:rsidR="00E75D20" w:rsidRPr="004A47CD" w:rsidRDefault="00E75D20" w:rsidP="00E75D20">
      <w:pPr>
        <w:pStyle w:val="BodyText"/>
      </w:pPr>
      <w:r w:rsidRPr="004A47CD">
        <w:rPr>
          <w:rFonts w:eastAsia="Calibri" w:cs="Arial"/>
          <w:szCs w:val="24"/>
          <w:lang w:eastAsia="en-US"/>
        </w:rPr>
        <w:t>The rise of Asia presents great opportunities for both countries — with benefits that potentially far outweigh those on offer through further trans-Tasman integration, significant though these may be. The best way to position both economies to capture the benefits of the ‘Asian Century’ will be to enhance their productivity and competitiveness.</w:t>
      </w:r>
      <w:r w:rsidRPr="004A47CD">
        <w:t xml:space="preserve"> This means that each country needs to remain outwardly focused, and continue to pursue domestic policies that enhance efficiency and improve productivity.</w:t>
      </w:r>
    </w:p>
    <w:p w14:paraId="2A3531A8" w14:textId="77777777" w:rsidR="00E75D20" w:rsidRDefault="00E75D20" w:rsidP="00E75D20">
      <w:pPr>
        <w:pStyle w:val="BodyText"/>
      </w:pPr>
      <w:r>
        <w:t xml:space="preserve">Opportunities for Australia and New Zealand from growth in Asian economies depend on there being sufficient flexibility and business capability to respond to changing patterns of demand. Hence, it is important that the integration initiatives </w:t>
      </w:r>
      <w:r>
        <w:lastRenderedPageBreak/>
        <w:t>and domestic reforms develop in ways that increase the capability of both economies to adjust to, and make the most of, changing economic circumstances.</w:t>
      </w:r>
    </w:p>
    <w:p w14:paraId="1D876D6D" w14:textId="77777777" w:rsidR="006832F8" w:rsidRPr="009C7D7F" w:rsidRDefault="006832F8" w:rsidP="009B61CF">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832F8" w14:paraId="44D8E0E1" w14:textId="77777777" w:rsidTr="006832F8">
        <w:tc>
          <w:tcPr>
            <w:tcW w:w="8771" w:type="dxa"/>
            <w:tcBorders>
              <w:top w:val="nil"/>
              <w:left w:val="nil"/>
              <w:bottom w:val="nil"/>
              <w:right w:val="nil"/>
            </w:tcBorders>
            <w:shd w:val="clear" w:color="auto" w:fill="D9EAF0"/>
          </w:tcPr>
          <w:p w14:paraId="6F7DB6C0" w14:textId="093690A5" w:rsidR="006832F8" w:rsidRDefault="006832F8" w:rsidP="006832F8">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BC0607">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12</w:t>
            </w:r>
            <w:r>
              <w:rPr>
                <w:b w:val="0"/>
              </w:rPr>
              <w:fldChar w:fldCharType="end"/>
            </w:r>
            <w:r>
              <w:tab/>
            </w:r>
            <w:r w:rsidRPr="006832F8">
              <w:t>Transmission of Asian growth to Australia and New Zealand</w:t>
            </w:r>
          </w:p>
        </w:tc>
      </w:tr>
      <w:tr w:rsidR="006832F8" w14:paraId="14AF382D" w14:textId="77777777" w:rsidTr="006832F8">
        <w:trPr>
          <w:cantSplit/>
        </w:trPr>
        <w:tc>
          <w:tcPr>
            <w:tcW w:w="8771" w:type="dxa"/>
            <w:tcBorders>
              <w:top w:val="nil"/>
              <w:left w:val="nil"/>
              <w:bottom w:val="nil"/>
              <w:right w:val="nil"/>
            </w:tcBorders>
            <w:shd w:val="clear" w:color="auto" w:fill="D9EAF0"/>
          </w:tcPr>
          <w:p w14:paraId="4F37FE9D" w14:textId="57DBDD19" w:rsidR="00BC0607" w:rsidRDefault="00BC0607" w:rsidP="00BC0607">
            <w:pPr>
              <w:pStyle w:val="Box"/>
              <w:spacing w:after="120"/>
            </w:pPr>
            <w:r>
              <w:t xml:space="preserve">The </w:t>
            </w:r>
            <w:proofErr w:type="spellStart"/>
            <w:r>
              <w:t>ANZEA</w:t>
            </w:r>
            <w:proofErr w:type="spellEnd"/>
            <w:r>
              <w:t xml:space="preserve"> model was used to illustrate the effects on Australia and New Zealand of growth in Asia</w:t>
            </w:r>
            <w:r w:rsidRPr="00126FC3">
              <w:t>. The first</w:t>
            </w:r>
            <w:r>
              <w:t>-</w:t>
            </w:r>
            <w:r w:rsidRPr="00126FC3">
              <w:t xml:space="preserve">round expansion </w:t>
            </w:r>
            <w:r>
              <w:t>was</w:t>
            </w:r>
            <w:r w:rsidRPr="00126FC3">
              <w:t xml:space="preserve"> modelled as </w:t>
            </w:r>
            <w:r>
              <w:t>a uniform expansion in labour and capital (and corresponding incomes) in all Asian economies</w:t>
            </w:r>
            <w:r w:rsidRPr="00126FC3">
              <w:t>.</w:t>
            </w:r>
          </w:p>
          <w:p w14:paraId="322FB5F0" w14:textId="21F4A543" w:rsidR="00BC0607" w:rsidRDefault="00BC0607" w:rsidP="00BC0607">
            <w:pPr>
              <w:pStyle w:val="Box"/>
              <w:spacing w:after="120"/>
            </w:pPr>
            <w:r>
              <w:t xml:space="preserve">Asian growth </w:t>
            </w:r>
            <w:r w:rsidR="00F460BC">
              <w:t xml:space="preserve">of 10 </w:t>
            </w:r>
            <w:proofErr w:type="spellStart"/>
            <w:r w:rsidR="00F460BC">
              <w:t>percent</w:t>
            </w:r>
            <w:proofErr w:type="spellEnd"/>
            <w:r w:rsidR="00F460BC">
              <w:t xml:space="preserve"> </w:t>
            </w:r>
            <w:r>
              <w:t xml:space="preserve">contributes to </w:t>
            </w:r>
            <w:r w:rsidR="002765F8">
              <w:t>g</w:t>
            </w:r>
            <w:r>
              <w:t xml:space="preserve">ross </w:t>
            </w:r>
            <w:r w:rsidR="002765F8">
              <w:t>n</w:t>
            </w:r>
            <w:r>
              <w:t xml:space="preserve">ational </w:t>
            </w:r>
            <w:r w:rsidR="002765F8">
              <w:t>p</w:t>
            </w:r>
            <w:r>
              <w:t>roduct</w:t>
            </w:r>
            <w:r w:rsidR="002765F8">
              <w:t xml:space="preserve"> (GNP</w:t>
            </w:r>
            <w:r>
              <w:t>) growth in Australia and New Zealand to a small extent — far less than 1</w:t>
            </w:r>
            <w:r w:rsidR="000B7550">
              <w:t> </w:t>
            </w:r>
            <w:proofErr w:type="spellStart"/>
            <w:r>
              <w:t>percent</w:t>
            </w:r>
            <w:proofErr w:type="spellEnd"/>
            <w:r>
              <w:t xml:space="preserve"> (see table)</w:t>
            </w:r>
            <w:r w:rsidRPr="000505BE">
              <w:t xml:space="preserve">. </w:t>
            </w:r>
            <w:r>
              <w:t>Growth in Asia:</w:t>
            </w:r>
          </w:p>
          <w:p w14:paraId="6B63770D" w14:textId="77777777" w:rsidR="00BC0607" w:rsidRPr="00BE095F" w:rsidRDefault="00BC0607" w:rsidP="00BC0607">
            <w:pPr>
              <w:pStyle w:val="BoxListBullet"/>
            </w:pPr>
            <w:r w:rsidRPr="00BE095F">
              <w:t>increases demand for Australian and New Zealand exports</w:t>
            </w:r>
          </w:p>
          <w:p w14:paraId="61DB16C5" w14:textId="77777777" w:rsidR="00BC0607" w:rsidRPr="00BE095F" w:rsidRDefault="00BC0607" w:rsidP="00BC0607">
            <w:pPr>
              <w:pStyle w:val="BoxListBullet"/>
            </w:pPr>
            <w:r w:rsidRPr="00BE095F">
              <w:t>improves Asian competitiveness, crowding out Australian and New Zealand exports.</w:t>
            </w:r>
          </w:p>
          <w:p w14:paraId="2D0576BC" w14:textId="68F537F1" w:rsidR="00BC0607" w:rsidRDefault="00BC0607" w:rsidP="00BC0607">
            <w:pPr>
              <w:pStyle w:val="Box"/>
              <w:spacing w:after="120"/>
            </w:pPr>
            <w:r>
              <w:t>At the industry levels, growth in the Asian construction sectors (especially in China) translates into increased demand for Australian min</w:t>
            </w:r>
            <w:r w:rsidR="00FE3C6B">
              <w:t>eral</w:t>
            </w:r>
            <w:r w:rsidR="0047352D">
              <w:t xml:space="preserve"> exports</w:t>
            </w:r>
            <w:r>
              <w:t xml:space="preserve">. Growth in Asian consumer demand (especially in ASEAN) translates into increased demand for agricultural products, especially dairy and meat products </w:t>
            </w:r>
            <w:r w:rsidR="0047352D">
              <w:t>from</w:t>
            </w:r>
            <w:r>
              <w:t xml:space="preserve"> New Zealand.</w:t>
            </w:r>
          </w:p>
          <w:p w14:paraId="45A8C4BE" w14:textId="19CFE68D" w:rsidR="00BC0607" w:rsidRDefault="00BC0607" w:rsidP="00BC0607">
            <w:pPr>
              <w:pStyle w:val="Box"/>
              <w:spacing w:after="120"/>
            </w:pPr>
            <w:r>
              <w:t>Lower bound results in the table are associated with high substitutability between domestic and imported products. Growth in input supplies in Asia decreases production costs and prices. To the extent that cheaper domestic products can be substituted for imports, this domestic production crowds out Australian and New Zealand exports. This is especially the case for agriculture. Upper bound results occur when low substitution is assumed — the expansion effect dominates as Asian economies expand their use of unique Australian and New Zealand products and little crowding out occurs.</w:t>
            </w:r>
          </w:p>
          <w:p w14:paraId="76907A92" w14:textId="16D8F4B0" w:rsidR="00BC0607" w:rsidRPr="00505919" w:rsidRDefault="00BC0607" w:rsidP="00BC0607">
            <w:pPr>
              <w:pStyle w:val="Box"/>
              <w:tabs>
                <w:tab w:val="left" w:pos="863"/>
              </w:tabs>
            </w:pPr>
            <w:r w:rsidRPr="00083E90">
              <w:t>Table</w:t>
            </w:r>
            <w:r>
              <w:tab/>
            </w:r>
            <w:r w:rsidRPr="00083E90">
              <w:rPr>
                <w:b/>
              </w:rPr>
              <w:t>Economy</w:t>
            </w:r>
            <w:r w:rsidRPr="00083E90">
              <w:rPr>
                <w:b/>
              </w:rPr>
              <w:noBreakHyphen/>
              <w:t xml:space="preserve">wide effects of </w:t>
            </w:r>
            <w:r w:rsidR="00F460BC">
              <w:rPr>
                <w:b/>
              </w:rPr>
              <w:t xml:space="preserve">10 </w:t>
            </w:r>
            <w:proofErr w:type="spellStart"/>
            <w:r w:rsidR="00F460BC">
              <w:rPr>
                <w:b/>
              </w:rPr>
              <w:t>percent</w:t>
            </w:r>
            <w:proofErr w:type="spellEnd"/>
            <w:r w:rsidR="00F460BC">
              <w:rPr>
                <w:b/>
              </w:rPr>
              <w:t xml:space="preserve"> growth in </w:t>
            </w:r>
            <w:r w:rsidRPr="00083E90">
              <w:rPr>
                <w:b/>
              </w:rPr>
              <w:t>Asia</w:t>
            </w:r>
            <w:r w:rsidR="00F460BC">
              <w:rPr>
                <w:b/>
              </w:rPr>
              <w:t xml:space="preserve">, </w:t>
            </w:r>
            <w:proofErr w:type="spellStart"/>
            <w:r w:rsidR="00F460BC">
              <w:rPr>
                <w:b/>
              </w:rPr>
              <w:t>percent</w:t>
            </w:r>
            <w:proofErr w:type="spellEnd"/>
          </w:p>
          <w:tbl>
            <w:tblPr>
              <w:tblW w:w="8512" w:type="dxa"/>
              <w:tblLayout w:type="fixed"/>
              <w:tblCellMar>
                <w:left w:w="0" w:type="dxa"/>
                <w:right w:w="0" w:type="dxa"/>
              </w:tblCellMar>
              <w:tblLook w:val="0000" w:firstRow="0" w:lastRow="0" w:firstColumn="0" w:lastColumn="0" w:noHBand="0" w:noVBand="0"/>
            </w:tblPr>
            <w:tblGrid>
              <w:gridCol w:w="2837"/>
              <w:gridCol w:w="2837"/>
              <w:gridCol w:w="2838"/>
            </w:tblGrid>
            <w:tr w:rsidR="00BC0607" w14:paraId="55AB5B9B" w14:textId="77777777" w:rsidTr="00BC0607">
              <w:trPr>
                <w:trHeight w:val="452"/>
              </w:trPr>
              <w:tc>
                <w:tcPr>
                  <w:tcW w:w="1666" w:type="pct"/>
                  <w:tcBorders>
                    <w:top w:val="single" w:sz="6" w:space="0" w:color="auto"/>
                    <w:bottom w:val="single" w:sz="4" w:space="0" w:color="auto"/>
                  </w:tcBorders>
                  <w:shd w:val="clear" w:color="auto" w:fill="auto"/>
                </w:tcPr>
                <w:p w14:paraId="1FBB332B" w14:textId="77777777" w:rsidR="00BC0607" w:rsidRDefault="00BC0607" w:rsidP="00BC0607">
                  <w:pPr>
                    <w:pStyle w:val="TableColumnHeading"/>
                    <w:tabs>
                      <w:tab w:val="left" w:pos="280"/>
                    </w:tabs>
                    <w:spacing w:line="276" w:lineRule="auto"/>
                    <w:jc w:val="left"/>
                  </w:pPr>
                </w:p>
              </w:tc>
              <w:tc>
                <w:tcPr>
                  <w:tcW w:w="1666" w:type="pct"/>
                  <w:tcBorders>
                    <w:top w:val="single" w:sz="6" w:space="0" w:color="auto"/>
                    <w:bottom w:val="single" w:sz="6" w:space="0" w:color="auto"/>
                  </w:tcBorders>
                </w:tcPr>
                <w:p w14:paraId="6BA6C352" w14:textId="77777777" w:rsidR="00BC0607" w:rsidRPr="00D32A82" w:rsidRDefault="00BC0607" w:rsidP="00BC0607">
                  <w:pPr>
                    <w:pStyle w:val="TableColumnHeading"/>
                    <w:spacing w:line="276" w:lineRule="auto"/>
                  </w:pPr>
                  <w:r>
                    <w:t>Australia</w:t>
                  </w:r>
                </w:p>
              </w:tc>
              <w:tc>
                <w:tcPr>
                  <w:tcW w:w="1667" w:type="pct"/>
                  <w:tcBorders>
                    <w:top w:val="single" w:sz="6" w:space="0" w:color="auto"/>
                    <w:bottom w:val="single" w:sz="6" w:space="0" w:color="auto"/>
                  </w:tcBorders>
                </w:tcPr>
                <w:p w14:paraId="77A024A9" w14:textId="32C50677" w:rsidR="00BC0607" w:rsidRDefault="00BC0607" w:rsidP="009B61CF">
                  <w:pPr>
                    <w:pStyle w:val="TableColumnHeading"/>
                    <w:spacing w:line="276" w:lineRule="auto"/>
                  </w:pPr>
                  <w:r>
                    <w:t>New Zealand</w:t>
                  </w:r>
                </w:p>
              </w:tc>
            </w:tr>
            <w:tr w:rsidR="00BC0607" w14:paraId="7E5826C5" w14:textId="77777777" w:rsidTr="009C7D7F">
              <w:tc>
                <w:tcPr>
                  <w:tcW w:w="1666" w:type="pct"/>
                </w:tcPr>
                <w:p w14:paraId="29E63F06" w14:textId="77777777" w:rsidR="00BC0607" w:rsidRDefault="00BC0607" w:rsidP="00BC0607">
                  <w:pPr>
                    <w:pStyle w:val="TableBodyText"/>
                    <w:spacing w:before="80"/>
                    <w:jc w:val="left"/>
                  </w:pPr>
                  <w:r>
                    <w:t>GNP</w:t>
                  </w:r>
                </w:p>
              </w:tc>
              <w:tc>
                <w:tcPr>
                  <w:tcW w:w="1666" w:type="pct"/>
                  <w:vAlign w:val="center"/>
                </w:tcPr>
                <w:p w14:paraId="010C8A5F" w14:textId="62D452B6" w:rsidR="00BC0607" w:rsidRPr="004E55AC" w:rsidRDefault="00BC0607" w:rsidP="009C7D7F">
                  <w:pPr>
                    <w:pStyle w:val="TableBodyText"/>
                    <w:ind w:right="57"/>
                    <w:rPr>
                      <w:i/>
                    </w:rPr>
                  </w:pPr>
                  <w:r w:rsidRPr="00317B64">
                    <w:t>0.02 – 0.11</w:t>
                  </w:r>
                </w:p>
              </w:tc>
              <w:tc>
                <w:tcPr>
                  <w:tcW w:w="1667" w:type="pct"/>
                  <w:vAlign w:val="center"/>
                </w:tcPr>
                <w:p w14:paraId="59251309" w14:textId="3264FC69" w:rsidR="00BC0607" w:rsidRDefault="00BC0607" w:rsidP="009B61CF">
                  <w:pPr>
                    <w:pStyle w:val="TableBodyText"/>
                    <w:ind w:left="62" w:right="57"/>
                  </w:pPr>
                  <w:r w:rsidRPr="00CA3F0B">
                    <w:t>0.00 – 0.12</w:t>
                  </w:r>
                </w:p>
              </w:tc>
            </w:tr>
            <w:tr w:rsidR="00BC0607" w14:paraId="030CFFF2" w14:textId="77777777" w:rsidTr="009C7D7F">
              <w:tc>
                <w:tcPr>
                  <w:tcW w:w="1666" w:type="pct"/>
                </w:tcPr>
                <w:p w14:paraId="16D44B74" w14:textId="77777777" w:rsidR="00BC0607" w:rsidRDefault="00BC0607" w:rsidP="00BC0607">
                  <w:pPr>
                    <w:pStyle w:val="TableBodyText"/>
                    <w:tabs>
                      <w:tab w:val="left" w:pos="280"/>
                    </w:tabs>
                    <w:jc w:val="left"/>
                  </w:pPr>
                  <w:r>
                    <w:t>Exports</w:t>
                  </w:r>
                </w:p>
              </w:tc>
              <w:tc>
                <w:tcPr>
                  <w:tcW w:w="1666" w:type="pct"/>
                  <w:vAlign w:val="center"/>
                </w:tcPr>
                <w:p w14:paraId="695F6C97" w14:textId="6B8A864B" w:rsidR="00BC0607" w:rsidRPr="004E55AC" w:rsidRDefault="00BC0607" w:rsidP="009C7D7F">
                  <w:pPr>
                    <w:pStyle w:val="TableBodyText"/>
                    <w:ind w:right="57"/>
                    <w:rPr>
                      <w:i/>
                    </w:rPr>
                  </w:pPr>
                  <w:r w:rsidRPr="00317B64">
                    <w:t>1.07 – 1.83</w:t>
                  </w:r>
                </w:p>
              </w:tc>
              <w:tc>
                <w:tcPr>
                  <w:tcW w:w="1667" w:type="pct"/>
                  <w:vAlign w:val="center"/>
                </w:tcPr>
                <w:p w14:paraId="0CD5D9B0" w14:textId="0286D740" w:rsidR="00BC0607" w:rsidRPr="00402705" w:rsidRDefault="00BC0607" w:rsidP="009B61CF">
                  <w:pPr>
                    <w:pStyle w:val="TableBodyText"/>
                    <w:ind w:left="62" w:right="57"/>
                  </w:pPr>
                  <w:r w:rsidRPr="00CA3F0B">
                    <w:t>0.02 – 0.86</w:t>
                  </w:r>
                </w:p>
              </w:tc>
            </w:tr>
            <w:tr w:rsidR="00BC0607" w14:paraId="265B557A" w14:textId="77777777" w:rsidTr="009C7D7F">
              <w:tc>
                <w:tcPr>
                  <w:tcW w:w="1666" w:type="pct"/>
                </w:tcPr>
                <w:p w14:paraId="24C39393" w14:textId="77777777" w:rsidR="00BC0607" w:rsidRDefault="00BC0607" w:rsidP="00BC0607">
                  <w:pPr>
                    <w:pStyle w:val="TableBodyText"/>
                    <w:tabs>
                      <w:tab w:val="left" w:pos="280"/>
                    </w:tabs>
                    <w:jc w:val="left"/>
                  </w:pPr>
                  <w:r>
                    <w:t>Value-added</w:t>
                  </w:r>
                </w:p>
              </w:tc>
              <w:tc>
                <w:tcPr>
                  <w:tcW w:w="1666" w:type="pct"/>
                  <w:vAlign w:val="center"/>
                </w:tcPr>
                <w:p w14:paraId="7E012BC4" w14:textId="77777777" w:rsidR="00BC0607" w:rsidRPr="00402705" w:rsidRDefault="00BC0607" w:rsidP="009C7D7F">
                  <w:pPr>
                    <w:pStyle w:val="TableBodyText"/>
                    <w:ind w:right="57"/>
                    <w:rPr>
                      <w:szCs w:val="24"/>
                    </w:rPr>
                  </w:pPr>
                </w:p>
              </w:tc>
              <w:tc>
                <w:tcPr>
                  <w:tcW w:w="1667" w:type="pct"/>
                  <w:vAlign w:val="center"/>
                </w:tcPr>
                <w:p w14:paraId="0DF90C58" w14:textId="77777777" w:rsidR="00BC0607" w:rsidRPr="00402705" w:rsidRDefault="00BC0607" w:rsidP="009B61CF">
                  <w:pPr>
                    <w:pStyle w:val="TableBodyText"/>
                    <w:ind w:left="62" w:right="57"/>
                  </w:pPr>
                </w:p>
              </w:tc>
            </w:tr>
            <w:tr w:rsidR="00BC0607" w14:paraId="1B514F41" w14:textId="77777777" w:rsidTr="009C7D7F">
              <w:tc>
                <w:tcPr>
                  <w:tcW w:w="1666" w:type="pct"/>
                </w:tcPr>
                <w:p w14:paraId="18EAE411" w14:textId="77777777" w:rsidR="00BC0607" w:rsidRDefault="00BC0607" w:rsidP="00BC0607">
                  <w:pPr>
                    <w:pStyle w:val="TableBodyText"/>
                    <w:tabs>
                      <w:tab w:val="left" w:pos="280"/>
                    </w:tabs>
                    <w:jc w:val="left"/>
                  </w:pPr>
                  <w:r>
                    <w:tab/>
                    <w:t>Agriculture</w:t>
                  </w:r>
                </w:p>
              </w:tc>
              <w:tc>
                <w:tcPr>
                  <w:tcW w:w="1666" w:type="pct"/>
                  <w:vAlign w:val="center"/>
                </w:tcPr>
                <w:p w14:paraId="063C233E" w14:textId="326A2729" w:rsidR="00BC0607" w:rsidRPr="004E55AC" w:rsidRDefault="00BC0607" w:rsidP="009C7D7F">
                  <w:pPr>
                    <w:pStyle w:val="TableBodyText"/>
                    <w:ind w:right="57"/>
                    <w:rPr>
                      <w:i/>
                    </w:rPr>
                  </w:pPr>
                  <w:r w:rsidRPr="00317B64">
                    <w:t>0.12 – 0.50</w:t>
                  </w:r>
                </w:p>
              </w:tc>
              <w:tc>
                <w:tcPr>
                  <w:tcW w:w="1667" w:type="pct"/>
                  <w:vAlign w:val="center"/>
                </w:tcPr>
                <w:p w14:paraId="4C20A471" w14:textId="4E00BCDA" w:rsidR="00BC0607" w:rsidRPr="00402705" w:rsidRDefault="00BC0607" w:rsidP="009B61CF">
                  <w:pPr>
                    <w:pStyle w:val="TableBodyText"/>
                    <w:ind w:left="62" w:right="57"/>
                  </w:pPr>
                  <w:r w:rsidRPr="00CA3F0B">
                    <w:t>0.12 – 0.29</w:t>
                  </w:r>
                </w:p>
              </w:tc>
            </w:tr>
            <w:tr w:rsidR="00BC0607" w14:paraId="6247C3AE" w14:textId="77777777" w:rsidTr="009C7D7F">
              <w:tc>
                <w:tcPr>
                  <w:tcW w:w="1666" w:type="pct"/>
                </w:tcPr>
                <w:p w14:paraId="195A400A" w14:textId="77777777" w:rsidR="00BC0607" w:rsidRDefault="00BC0607" w:rsidP="00BC0607">
                  <w:pPr>
                    <w:pStyle w:val="TableBodyText"/>
                    <w:tabs>
                      <w:tab w:val="left" w:pos="280"/>
                    </w:tabs>
                    <w:jc w:val="left"/>
                  </w:pPr>
                  <w:r>
                    <w:tab/>
                    <w:t>Mining</w:t>
                  </w:r>
                </w:p>
              </w:tc>
              <w:tc>
                <w:tcPr>
                  <w:tcW w:w="1666" w:type="pct"/>
                  <w:vAlign w:val="center"/>
                </w:tcPr>
                <w:p w14:paraId="365787CA" w14:textId="0D59C4B6" w:rsidR="00BC0607" w:rsidRPr="004E55AC" w:rsidRDefault="00BC0607" w:rsidP="009C7D7F">
                  <w:pPr>
                    <w:pStyle w:val="TableBodyText"/>
                    <w:ind w:right="57"/>
                    <w:rPr>
                      <w:i/>
                    </w:rPr>
                  </w:pPr>
                  <w:r w:rsidRPr="00317B64">
                    <w:t>1.40 – 2.00</w:t>
                  </w:r>
                </w:p>
              </w:tc>
              <w:tc>
                <w:tcPr>
                  <w:tcW w:w="1667" w:type="pct"/>
                  <w:vAlign w:val="center"/>
                </w:tcPr>
                <w:p w14:paraId="57012726" w14:textId="6726B6DC" w:rsidR="00BC0607" w:rsidRPr="00402705" w:rsidRDefault="00BC0607" w:rsidP="009B61CF">
                  <w:pPr>
                    <w:pStyle w:val="TableBodyText"/>
                    <w:ind w:left="62" w:right="57"/>
                  </w:pPr>
                  <w:r w:rsidRPr="00CA3F0B">
                    <w:t>0.38 – 0.67</w:t>
                  </w:r>
                </w:p>
              </w:tc>
            </w:tr>
            <w:tr w:rsidR="00BC0607" w14:paraId="57D2107B" w14:textId="77777777" w:rsidTr="009C7D7F">
              <w:tc>
                <w:tcPr>
                  <w:tcW w:w="1666" w:type="pct"/>
                </w:tcPr>
                <w:p w14:paraId="762AD31C" w14:textId="77777777" w:rsidR="00BC0607" w:rsidRDefault="00BC0607" w:rsidP="00BC0607">
                  <w:pPr>
                    <w:pStyle w:val="TableBodyText"/>
                    <w:tabs>
                      <w:tab w:val="left" w:pos="280"/>
                    </w:tabs>
                    <w:jc w:val="left"/>
                  </w:pPr>
                  <w:r>
                    <w:t>Exports to Asia</w:t>
                  </w:r>
                </w:p>
              </w:tc>
              <w:tc>
                <w:tcPr>
                  <w:tcW w:w="1666" w:type="pct"/>
                  <w:vAlign w:val="center"/>
                </w:tcPr>
                <w:p w14:paraId="63F1BE66" w14:textId="77777777" w:rsidR="00BC0607" w:rsidRPr="00402705" w:rsidRDefault="00BC0607" w:rsidP="009C7D7F">
                  <w:pPr>
                    <w:pStyle w:val="TableBodyText"/>
                    <w:ind w:right="57"/>
                    <w:rPr>
                      <w:szCs w:val="24"/>
                    </w:rPr>
                  </w:pPr>
                </w:p>
              </w:tc>
              <w:tc>
                <w:tcPr>
                  <w:tcW w:w="1667" w:type="pct"/>
                  <w:vAlign w:val="center"/>
                </w:tcPr>
                <w:p w14:paraId="4C22382E" w14:textId="77777777" w:rsidR="00BC0607" w:rsidRPr="00402705" w:rsidRDefault="00BC0607" w:rsidP="009B61CF">
                  <w:pPr>
                    <w:pStyle w:val="TableBodyText"/>
                    <w:ind w:left="62" w:right="57"/>
                  </w:pPr>
                </w:p>
              </w:tc>
            </w:tr>
            <w:tr w:rsidR="00BC0607" w14:paraId="11274DED" w14:textId="77777777" w:rsidTr="009C7D7F">
              <w:tc>
                <w:tcPr>
                  <w:tcW w:w="1666" w:type="pct"/>
                </w:tcPr>
                <w:p w14:paraId="30CF1B5F" w14:textId="77777777" w:rsidR="00BC0607" w:rsidRDefault="00BC0607" w:rsidP="00BC0607">
                  <w:pPr>
                    <w:pStyle w:val="TableBodyText"/>
                    <w:tabs>
                      <w:tab w:val="left" w:pos="280"/>
                    </w:tabs>
                    <w:jc w:val="left"/>
                  </w:pPr>
                  <w:r>
                    <w:tab/>
                    <w:t>Agriculture</w:t>
                  </w:r>
                </w:p>
              </w:tc>
              <w:tc>
                <w:tcPr>
                  <w:tcW w:w="1666" w:type="pct"/>
                  <w:vAlign w:val="center"/>
                </w:tcPr>
                <w:p w14:paraId="1459D971" w14:textId="5342045E" w:rsidR="00BC0607" w:rsidRPr="004E55AC" w:rsidRDefault="00BC0607" w:rsidP="009C7D7F">
                  <w:pPr>
                    <w:pStyle w:val="TableBodyText"/>
                    <w:ind w:right="57"/>
                    <w:rPr>
                      <w:i/>
                    </w:rPr>
                  </w:pPr>
                  <w:r w:rsidRPr="00317B64">
                    <w:t>1.83 – 3.11</w:t>
                  </w:r>
                </w:p>
              </w:tc>
              <w:tc>
                <w:tcPr>
                  <w:tcW w:w="1667" w:type="pct"/>
                  <w:vAlign w:val="center"/>
                </w:tcPr>
                <w:p w14:paraId="55F773EE" w14:textId="09BD83EA" w:rsidR="00BC0607" w:rsidRPr="00402705" w:rsidRDefault="00BC0607" w:rsidP="009B61CF">
                  <w:pPr>
                    <w:pStyle w:val="TableBodyText"/>
                    <w:ind w:left="62" w:right="57"/>
                  </w:pPr>
                  <w:r w:rsidRPr="00CA3F0B">
                    <w:t>2.16 – 3.09</w:t>
                  </w:r>
                </w:p>
              </w:tc>
            </w:tr>
            <w:tr w:rsidR="00BC0607" w14:paraId="20D2357A" w14:textId="77777777" w:rsidTr="00BC0607">
              <w:tc>
                <w:tcPr>
                  <w:tcW w:w="1666" w:type="pct"/>
                  <w:tcBorders>
                    <w:bottom w:val="single" w:sz="6" w:space="0" w:color="auto"/>
                  </w:tcBorders>
                  <w:shd w:val="clear" w:color="auto" w:fill="auto"/>
                </w:tcPr>
                <w:p w14:paraId="2BE5361F" w14:textId="6147DC5E" w:rsidR="00BC0607" w:rsidRDefault="00BC0607" w:rsidP="00BC0607">
                  <w:pPr>
                    <w:pStyle w:val="TableBodyText"/>
                    <w:tabs>
                      <w:tab w:val="left" w:pos="280"/>
                    </w:tabs>
                    <w:jc w:val="left"/>
                  </w:pPr>
                  <w:r>
                    <w:tab/>
                    <w:t>Mining</w:t>
                  </w:r>
                  <w:r>
                    <w:rPr>
                      <w:rStyle w:val="NoteLabel"/>
                    </w:rPr>
                    <w:t>a</w:t>
                  </w:r>
                </w:p>
              </w:tc>
              <w:tc>
                <w:tcPr>
                  <w:tcW w:w="1666" w:type="pct"/>
                  <w:tcBorders>
                    <w:bottom w:val="single" w:sz="6" w:space="0" w:color="auto"/>
                  </w:tcBorders>
                  <w:vAlign w:val="center"/>
                </w:tcPr>
                <w:p w14:paraId="1359FF82" w14:textId="1CDDFFCE" w:rsidR="00BC0607" w:rsidRPr="004E55AC" w:rsidRDefault="00BC0607" w:rsidP="009C7D7F">
                  <w:pPr>
                    <w:pStyle w:val="TableBodyText"/>
                    <w:ind w:right="57"/>
                    <w:rPr>
                      <w:i/>
                    </w:rPr>
                  </w:pPr>
                  <w:r w:rsidRPr="00317B64">
                    <w:t>4.62 – 5.16</w:t>
                  </w:r>
                </w:p>
              </w:tc>
              <w:tc>
                <w:tcPr>
                  <w:tcW w:w="1667" w:type="pct"/>
                  <w:tcBorders>
                    <w:bottom w:val="single" w:sz="6" w:space="0" w:color="auto"/>
                  </w:tcBorders>
                  <w:vAlign w:val="center"/>
                </w:tcPr>
                <w:p w14:paraId="7EABD333" w14:textId="45ACC741" w:rsidR="00BC0607" w:rsidRPr="00402705" w:rsidRDefault="00BC0607" w:rsidP="009B61CF">
                  <w:pPr>
                    <w:pStyle w:val="TableBodyText"/>
                    <w:ind w:left="62" w:right="57"/>
                  </w:pPr>
                  <w:r w:rsidRPr="00CA3F0B">
                    <w:t>5.13 – 5.69</w:t>
                  </w:r>
                </w:p>
              </w:tc>
            </w:tr>
          </w:tbl>
          <w:p w14:paraId="3B5A5D04" w14:textId="32A39677" w:rsidR="006832F8" w:rsidRDefault="00BC0607" w:rsidP="00083E90">
            <w:pPr>
              <w:pStyle w:val="Note"/>
            </w:pPr>
            <w:r>
              <w:rPr>
                <w:rStyle w:val="NoteLabel"/>
              </w:rPr>
              <w:t>a</w:t>
            </w:r>
            <w:r w:rsidRPr="00083E90">
              <w:t xml:space="preserve"> </w:t>
            </w:r>
            <w:r w:rsidRPr="00552C7C">
              <w:t>Mining accounts for only 0.64 </w:t>
            </w:r>
            <w:proofErr w:type="spellStart"/>
            <w:r w:rsidRPr="00552C7C">
              <w:t>percent</w:t>
            </w:r>
            <w:proofErr w:type="spellEnd"/>
            <w:r w:rsidRPr="00552C7C">
              <w:t xml:space="preserve"> of New Zealand exports. Thus even a relatively large percentage change in mining production contributes only small changes to New Zealand output. In contrast, mining accounts for more than 21</w:t>
            </w:r>
            <w:r w:rsidR="000B7550">
              <w:t> </w:t>
            </w:r>
            <w:proofErr w:type="spellStart"/>
            <w:r w:rsidRPr="00552C7C">
              <w:t>percent</w:t>
            </w:r>
            <w:proofErr w:type="spellEnd"/>
            <w:r w:rsidRPr="00552C7C">
              <w:t xml:space="preserve"> of Australian exports, and contributes significantly to Australian output.</w:t>
            </w:r>
          </w:p>
        </w:tc>
      </w:tr>
      <w:tr w:rsidR="006832F8" w14:paraId="34C282C6" w14:textId="77777777" w:rsidTr="006832F8">
        <w:trPr>
          <w:cantSplit/>
        </w:trPr>
        <w:tc>
          <w:tcPr>
            <w:tcW w:w="8771" w:type="dxa"/>
            <w:tcBorders>
              <w:top w:val="nil"/>
              <w:left w:val="nil"/>
              <w:bottom w:val="nil"/>
              <w:right w:val="nil"/>
            </w:tcBorders>
            <w:shd w:val="clear" w:color="auto" w:fill="D9EAF0"/>
          </w:tcPr>
          <w:p w14:paraId="210AC208" w14:textId="77777777" w:rsidR="006832F8" w:rsidRDefault="006832F8" w:rsidP="00235BF9">
            <w:pPr>
              <w:pStyle w:val="BoxSource"/>
            </w:pPr>
            <w:r>
              <w:rPr>
                <w:i/>
              </w:rPr>
              <w:t>Source</w:t>
            </w:r>
            <w:r w:rsidRPr="00167F06">
              <w:t xml:space="preserve">: </w:t>
            </w:r>
            <w:r w:rsidR="00E273B2">
              <w:t>Australian Commission estimates</w:t>
            </w:r>
            <w:r w:rsidR="00D04A27">
              <w:t>.</w:t>
            </w:r>
          </w:p>
        </w:tc>
      </w:tr>
      <w:tr w:rsidR="006832F8" w14:paraId="4EF86FA2" w14:textId="77777777" w:rsidTr="006832F8">
        <w:trPr>
          <w:cantSplit/>
        </w:trPr>
        <w:tc>
          <w:tcPr>
            <w:tcW w:w="8771" w:type="dxa"/>
            <w:tcBorders>
              <w:top w:val="nil"/>
              <w:left w:val="nil"/>
              <w:bottom w:val="nil"/>
              <w:right w:val="nil"/>
            </w:tcBorders>
            <w:shd w:val="clear" w:color="auto" w:fill="D9EAF0"/>
          </w:tcPr>
          <w:p w14:paraId="251FC5EA" w14:textId="77777777" w:rsidR="006832F8" w:rsidRDefault="006832F8">
            <w:pPr>
              <w:pStyle w:val="Box"/>
              <w:spacing w:before="0" w:line="120" w:lineRule="exact"/>
            </w:pPr>
          </w:p>
        </w:tc>
      </w:tr>
      <w:tr w:rsidR="006832F8" w:rsidRPr="009B61CF" w14:paraId="376E9313" w14:textId="77777777" w:rsidTr="006832F8">
        <w:tc>
          <w:tcPr>
            <w:tcW w:w="8771" w:type="dxa"/>
            <w:tcBorders>
              <w:top w:val="nil"/>
              <w:left w:val="nil"/>
              <w:bottom w:val="nil"/>
              <w:right w:val="nil"/>
            </w:tcBorders>
          </w:tcPr>
          <w:p w14:paraId="2BDF7A96" w14:textId="77777777" w:rsidR="006832F8" w:rsidRPr="009B61CF" w:rsidRDefault="006832F8">
            <w:pPr>
              <w:pStyle w:val="Box"/>
              <w:keepNext w:val="0"/>
              <w:spacing w:before="60" w:after="60" w:line="80" w:lineRule="exact"/>
              <w:rPr>
                <w:b/>
                <w:color w:val="auto"/>
                <w:sz w:val="14"/>
              </w:rPr>
            </w:pPr>
          </w:p>
        </w:tc>
      </w:tr>
    </w:tbl>
    <w:p w14:paraId="2C3E1743" w14:textId="77777777" w:rsidR="00B5147A" w:rsidRDefault="00F57183" w:rsidP="009B61CF">
      <w:pPr>
        <w:pStyle w:val="BodyText"/>
        <w:keepNext/>
        <w:keepLines/>
      </w:pPr>
      <w:proofErr w:type="spellStart"/>
      <w:r>
        <w:lastRenderedPageBreak/>
        <w:t>CER</w:t>
      </w:r>
      <w:proofErr w:type="spellEnd"/>
      <w:r>
        <w:t xml:space="preserve"> also has the potential to be a model for reduc</w:t>
      </w:r>
      <w:r w:rsidR="00E273B2">
        <w:t>ing integration</w:t>
      </w:r>
      <w:r>
        <w:t xml:space="preserve"> barriers in the Asia-Pacific region. </w:t>
      </w:r>
      <w:r w:rsidR="00B5147A">
        <w:t xml:space="preserve">That said, there are aspects of </w:t>
      </w:r>
      <w:proofErr w:type="spellStart"/>
      <w:r w:rsidR="00B5147A">
        <w:t>CER</w:t>
      </w:r>
      <w:proofErr w:type="spellEnd"/>
      <w:r w:rsidR="00B5147A">
        <w:t xml:space="preserve"> that are unlikely to be able to be extended to countries that do not share </w:t>
      </w:r>
      <w:r w:rsidR="00251925">
        <w:t xml:space="preserve">the two countries’ </w:t>
      </w:r>
      <w:r w:rsidR="00B5147A">
        <w:t>institutional similarities.</w:t>
      </w:r>
      <w:r w:rsidR="00647E85">
        <w:t xml:space="preserve"> For example, mutual recognition of occupational licencing would not be likely to work well between countries with very different licencing requirements.</w:t>
      </w:r>
    </w:p>
    <w:p w14:paraId="650F32BD" w14:textId="77777777" w:rsidR="00F57183" w:rsidRDefault="00F57183" w:rsidP="00F57183">
      <w:pPr>
        <w:pStyle w:val="BodyText"/>
      </w:pPr>
      <w:r>
        <w:t xml:space="preserve">Finally, an integrated Australasian economic area with similar </w:t>
      </w:r>
      <w:r w:rsidR="00251925">
        <w:t>(</w:t>
      </w:r>
      <w:r>
        <w:t>high-quality</w:t>
      </w:r>
      <w:r w:rsidR="00251925">
        <w:t>)</w:t>
      </w:r>
      <w:r>
        <w:t xml:space="preserve"> regulatory approaches, greater critical mass in high-value competencies and </w:t>
      </w:r>
      <w:r w:rsidR="00251925">
        <w:t xml:space="preserve">relatively </w:t>
      </w:r>
      <w:r>
        <w:t xml:space="preserve">seamless internal interactions can </w:t>
      </w:r>
      <w:r w:rsidR="00251925">
        <w:t>position</w:t>
      </w:r>
      <w:r>
        <w:t xml:space="preserve"> itself as a more attractive economic region in the eyes of Asian businesses and consumers.</w:t>
      </w:r>
    </w:p>
    <w:p w14:paraId="131A6EDB" w14:textId="77777777" w:rsidR="00F57183" w:rsidRDefault="00F57183" w:rsidP="00F57183">
      <w:pPr>
        <w:pStyle w:val="Heading3"/>
      </w:pPr>
      <w:r>
        <w:t>The focus has shifted towards the services sector</w:t>
      </w:r>
    </w:p>
    <w:p w14:paraId="781B7423" w14:textId="07A4B2F6" w:rsidR="00F57183" w:rsidRPr="00D21EF1" w:rsidRDefault="00F57183" w:rsidP="00F57183">
      <w:pPr>
        <w:pStyle w:val="BodyText"/>
      </w:pPr>
      <w:proofErr w:type="spellStart"/>
      <w:r w:rsidRPr="00D21EF1">
        <w:t>CER</w:t>
      </w:r>
      <w:proofErr w:type="spellEnd"/>
      <w:r w:rsidRPr="00D21EF1">
        <w:t xml:space="preserve"> began as a trade agreement, and gradually evolved </w:t>
      </w:r>
      <w:r w:rsidR="00FB0850">
        <w:t xml:space="preserve">to have a </w:t>
      </w:r>
      <w:r w:rsidRPr="00D21EF1">
        <w:t xml:space="preserve">broader coverage. This is consistent with the evolving composition of the Australian and New Zealand economies. In common with other developed countries, both economies are oriented towards services, which </w:t>
      </w:r>
      <w:r w:rsidR="00FB0850">
        <w:t xml:space="preserve">in aggregate </w:t>
      </w:r>
      <w:r w:rsidRPr="00D21EF1">
        <w:t>account for around 80</w:t>
      </w:r>
      <w:r w:rsidR="000B7550">
        <w:t> </w:t>
      </w:r>
      <w:proofErr w:type="spellStart"/>
      <w:r w:rsidR="000469FA">
        <w:t>percent</w:t>
      </w:r>
      <w:proofErr w:type="spellEnd"/>
      <w:r>
        <w:t xml:space="preserve"> of </w:t>
      </w:r>
      <w:r w:rsidR="00FB0850">
        <w:t>each</w:t>
      </w:r>
      <w:r>
        <w:t xml:space="preserve"> countr</w:t>
      </w:r>
      <w:r w:rsidR="00F460BC">
        <w:t>y’</w:t>
      </w:r>
      <w:r>
        <w:t>s GDP</w:t>
      </w:r>
      <w:r w:rsidR="00CB7B6C">
        <w:t xml:space="preserve"> </w:t>
      </w:r>
      <w:r w:rsidR="00DD0D0F">
        <w:t xml:space="preserve">(gross domestic product) </w:t>
      </w:r>
      <w:r w:rsidR="00CB7B6C">
        <w:t>(</w:t>
      </w:r>
      <w:r w:rsidR="00B81C10">
        <w:t>chapter</w:t>
      </w:r>
      <w:r w:rsidR="000B7550">
        <w:t> </w:t>
      </w:r>
      <w:r w:rsidR="00B81C10">
        <w:t>1</w:t>
      </w:r>
      <w:r w:rsidR="00CB7B6C">
        <w:t>)</w:t>
      </w:r>
      <w:r>
        <w:t>.</w:t>
      </w:r>
      <w:r w:rsidRPr="00D21EF1">
        <w:t xml:space="preserve"> Moreover, there has been a</w:t>
      </w:r>
      <w:r w:rsidRPr="00D21EF1">
        <w:rPr>
          <w:lang w:val="en-GB"/>
        </w:rPr>
        <w:t xml:space="preserve"> </w:t>
      </w:r>
      <w:r w:rsidR="00883C8B">
        <w:rPr>
          <w:lang w:val="en-GB"/>
        </w:rPr>
        <w:t>significant</w:t>
      </w:r>
      <w:r w:rsidRPr="00D21EF1">
        <w:rPr>
          <w:lang w:val="en-GB"/>
        </w:rPr>
        <w:t xml:space="preserve"> increase in the share of services in global trade, particularly </w:t>
      </w:r>
      <w:r w:rsidR="00B81C10">
        <w:rPr>
          <w:lang w:val="en-GB"/>
        </w:rPr>
        <w:t>with</w:t>
      </w:r>
      <w:r w:rsidRPr="00D21EF1">
        <w:rPr>
          <w:lang w:val="en-GB"/>
        </w:rPr>
        <w:t xml:space="preserve"> developed countrie</w:t>
      </w:r>
      <w:r w:rsidR="002A0E8E">
        <w:rPr>
          <w:lang w:val="en-GB"/>
        </w:rPr>
        <w:t>s.</w:t>
      </w:r>
    </w:p>
    <w:p w14:paraId="504365D7" w14:textId="77777777" w:rsidR="00F57183" w:rsidRDefault="00F57183" w:rsidP="00F57183">
      <w:pPr>
        <w:pStyle w:val="BodyText"/>
      </w:pPr>
      <w:r w:rsidRPr="00266339">
        <w:t xml:space="preserve">While manufacturing was more important at the inception of </w:t>
      </w:r>
      <w:proofErr w:type="spellStart"/>
      <w:r w:rsidRPr="00266339">
        <w:t>CER</w:t>
      </w:r>
      <w:proofErr w:type="spellEnd"/>
      <w:r w:rsidRPr="00266339">
        <w:t xml:space="preserve"> </w:t>
      </w:r>
      <w:r w:rsidR="004B3C30">
        <w:t>—</w:t>
      </w:r>
      <w:r w:rsidRPr="00266339">
        <w:t xml:space="preserve"> which is one reason why trade in manufactures was the focus of the initial agreement </w:t>
      </w:r>
      <w:r w:rsidR="004B3C30">
        <w:t>—</w:t>
      </w:r>
      <w:r w:rsidRPr="00266339">
        <w:t xml:space="preserve"> it remains significant in both economies</w:t>
      </w:r>
      <w:r>
        <w:t>.</w:t>
      </w:r>
      <w:r w:rsidRPr="00266339">
        <w:t xml:space="preserve"> That said, with the services sector dominating and with barriers to trade of manufactures having been substantially reduced under </w:t>
      </w:r>
      <w:proofErr w:type="spellStart"/>
      <w:r w:rsidRPr="00266339">
        <w:t>CER</w:t>
      </w:r>
      <w:proofErr w:type="spellEnd"/>
      <w:r w:rsidRPr="00266339">
        <w:t xml:space="preserve">, initiatives that affect services </w:t>
      </w:r>
      <w:r w:rsidR="004B3C30">
        <w:t>trade and investment</w:t>
      </w:r>
      <w:r w:rsidRPr="00266339">
        <w:t xml:space="preserve"> </w:t>
      </w:r>
      <w:r w:rsidR="00B81C10">
        <w:t>c</w:t>
      </w:r>
      <w:r w:rsidR="00647E85">
        <w:t xml:space="preserve">ould </w:t>
      </w:r>
      <w:r w:rsidR="00B81C10">
        <w:t xml:space="preserve">be expected to </w:t>
      </w:r>
      <w:r w:rsidRPr="00266339">
        <w:t>absorb a</w:t>
      </w:r>
      <w:r w:rsidR="00647E85">
        <w:t>n increasing share</w:t>
      </w:r>
      <w:r w:rsidRPr="00266339">
        <w:t xml:space="preserve"> of future policy effort</w:t>
      </w:r>
      <w:r w:rsidR="00EF3F81">
        <w:t>.</w:t>
      </w:r>
    </w:p>
    <w:p w14:paraId="44A6BE00" w14:textId="77777777" w:rsidR="00EF3F81" w:rsidRDefault="00EF3F81" w:rsidP="00EF3F81">
      <w:pPr>
        <w:pStyle w:val="Heading3"/>
      </w:pPr>
      <w:r>
        <w:t>Scale remains an issue</w:t>
      </w:r>
    </w:p>
    <w:p w14:paraId="4BD3D81F" w14:textId="6472CEC0" w:rsidR="004B7159" w:rsidRDefault="00C5433E" w:rsidP="004B7159">
      <w:pPr>
        <w:pStyle w:val="BodyText"/>
      </w:pPr>
      <w:r>
        <w:t>A driver</w:t>
      </w:r>
      <w:r w:rsidR="004B7159">
        <w:t xml:space="preserve"> for </w:t>
      </w:r>
      <w:proofErr w:type="spellStart"/>
      <w:r w:rsidR="004B7159">
        <w:t>CER</w:t>
      </w:r>
      <w:proofErr w:type="spellEnd"/>
      <w:r w:rsidR="004B7159">
        <w:t xml:space="preserve"> was the expectation that improved access to trans</w:t>
      </w:r>
      <w:r w:rsidR="004B3C30">
        <w:noBreakHyphen/>
      </w:r>
      <w:r w:rsidR="004B7159">
        <w:t>Tasman markets, in an environment where access was being denied to Europe, would enable firms in both countries to specialise and achieve economies o</w:t>
      </w:r>
      <w:r w:rsidR="002A0E8E">
        <w:t>f scale.</w:t>
      </w:r>
    </w:p>
    <w:p w14:paraId="1916FA1A" w14:textId="3D7A40E1" w:rsidR="004B7159" w:rsidRDefault="004B7159" w:rsidP="004B7159">
      <w:pPr>
        <w:pStyle w:val="BodyText"/>
      </w:pPr>
      <w:r>
        <w:t>Thirty years on, the small scale of domestic markets remains an issue, particularly for New Zealand. Australia and New Zealand rank 1</w:t>
      </w:r>
      <w:r w:rsidR="00005D76">
        <w:t>3</w:t>
      </w:r>
      <w:r>
        <w:t xml:space="preserve">th and </w:t>
      </w:r>
      <w:r w:rsidR="00005D76">
        <w:t>55</w:t>
      </w:r>
      <w:r>
        <w:t xml:space="preserve">th respectively amongst </w:t>
      </w:r>
      <w:r w:rsidR="00005D76">
        <w:t>world</w:t>
      </w:r>
      <w:r>
        <w:t xml:space="preserve"> economies whe</w:t>
      </w:r>
      <w:r w:rsidR="00552C7C">
        <w:t>n</w:t>
      </w:r>
      <w:r>
        <w:t xml:space="preserve"> size is measured by </w:t>
      </w:r>
      <w:r w:rsidR="00C5433E">
        <w:t>GDP</w:t>
      </w:r>
      <w:r w:rsidR="004A20CF">
        <w:t xml:space="preserve"> </w:t>
      </w:r>
      <w:r w:rsidR="00005D76">
        <w:t>(</w:t>
      </w:r>
      <w:r w:rsidR="00544FE8">
        <w:t>IMF</w:t>
      </w:r>
      <w:r w:rsidR="000B7550">
        <w:t> </w:t>
      </w:r>
      <w:r w:rsidR="00005D76">
        <w:t>2012)</w:t>
      </w:r>
      <w:r>
        <w:t>. Australia</w:t>
      </w:r>
      <w:r w:rsidR="005429BC">
        <w:t>’s</w:t>
      </w:r>
      <w:r>
        <w:t xml:space="preserve"> population and labour force are each approximately five times the size of New Zealand’s and its GDP is </w:t>
      </w:r>
      <w:r w:rsidR="008E789C">
        <w:t>over</w:t>
      </w:r>
      <w:r>
        <w:t xml:space="preserve"> </w:t>
      </w:r>
      <w:r w:rsidR="00B8428D">
        <w:t xml:space="preserve">seven </w:t>
      </w:r>
      <w:r>
        <w:t>times as large</w:t>
      </w:r>
      <w:r w:rsidR="00B8428D">
        <w:t xml:space="preserve"> (on a purchasing power parity basis)</w:t>
      </w:r>
      <w:r>
        <w:t xml:space="preserve">. </w:t>
      </w:r>
      <w:r w:rsidR="004B3C30">
        <w:t>I</w:t>
      </w:r>
      <w:r>
        <w:t xml:space="preserve">n terms of population, New Zealand is about the same size as </w:t>
      </w:r>
      <w:r w:rsidR="005429BC">
        <w:t>Queensland</w:t>
      </w:r>
      <w:r>
        <w:t xml:space="preserve">, Australia’s </w:t>
      </w:r>
      <w:r w:rsidR="005429BC">
        <w:t>third</w:t>
      </w:r>
      <w:r>
        <w:t xml:space="preserve"> largest state. These size differences have increased </w:t>
      </w:r>
      <w:r>
        <w:lastRenderedPageBreak/>
        <w:t xml:space="preserve">over time because of Australia’s higher trend rate of growth in both population and GDP per </w:t>
      </w:r>
      <w:r w:rsidR="00857617">
        <w:t>person</w:t>
      </w:r>
      <w:r>
        <w:t>.</w:t>
      </w:r>
    </w:p>
    <w:p w14:paraId="21856CF2" w14:textId="2E4FD70E" w:rsidR="004B7159" w:rsidRDefault="004B7159" w:rsidP="004B7159">
      <w:pPr>
        <w:pStyle w:val="BodyText"/>
      </w:pPr>
      <w:r>
        <w:t>The difference in size of the two economies carries over to individual industries and sectors. For example, the Australian telecommunications market has between four and five times as many customers as New Zealand</w:t>
      </w:r>
      <w:r w:rsidR="00F460BC">
        <w:t>’s</w:t>
      </w:r>
      <w:r>
        <w:t xml:space="preserve"> across fixed line, mobile and internet services. Industries with large fixed costs such as telecommunications and transport infrastructure suffer higher unit costs in small markets and are forced to pass these on to customers. Small markets also limit the scope for competition to drive efficiency and innovation (Berry</w:t>
      </w:r>
      <w:r w:rsidR="000B7550">
        <w:t> </w:t>
      </w:r>
      <w:r>
        <w:t>2011).</w:t>
      </w:r>
    </w:p>
    <w:p w14:paraId="16B14DEB" w14:textId="05BB442A" w:rsidR="004B7159" w:rsidRDefault="004B7159" w:rsidP="004B7159">
      <w:pPr>
        <w:pStyle w:val="BodyText"/>
      </w:pPr>
      <w:r>
        <w:t>Both countries also face the challenge of their distant location from major markets and from places that are prime sources of creativity and innovation.</w:t>
      </w:r>
      <w:r w:rsidR="000B07E8">
        <w:t xml:space="preserve"> </w:t>
      </w:r>
      <w:r>
        <w:t>According to empirical estimates in one study (</w:t>
      </w:r>
      <w:proofErr w:type="spellStart"/>
      <w:r>
        <w:t>Boulhol</w:t>
      </w:r>
      <w:proofErr w:type="spellEnd"/>
      <w:r>
        <w:t xml:space="preserve"> </w:t>
      </w:r>
      <w:r w:rsidR="00561A4F">
        <w:t xml:space="preserve">and de </w:t>
      </w:r>
      <w:proofErr w:type="spellStart"/>
      <w:r w:rsidR="00561A4F">
        <w:t>Serres</w:t>
      </w:r>
      <w:proofErr w:type="spellEnd"/>
      <w:r w:rsidR="000B7550">
        <w:t> </w:t>
      </w:r>
      <w:r>
        <w:t>20</w:t>
      </w:r>
      <w:r w:rsidR="00561A4F">
        <w:t>10</w:t>
      </w:r>
      <w:r>
        <w:t xml:space="preserve">), the GDP per </w:t>
      </w:r>
      <w:r w:rsidR="00857617">
        <w:t xml:space="preserve">person </w:t>
      </w:r>
      <w:r>
        <w:t xml:space="preserve">of both countries is around 10 </w:t>
      </w:r>
      <w:proofErr w:type="spellStart"/>
      <w:r w:rsidR="000469FA">
        <w:t>percent</w:t>
      </w:r>
      <w:proofErr w:type="spellEnd"/>
      <w:r>
        <w:t xml:space="preserve"> less than it would be if </w:t>
      </w:r>
      <w:r w:rsidR="00635233">
        <w:t>their</w:t>
      </w:r>
      <w:r>
        <w:t xml:space="preserve"> distance from world economic activity</w:t>
      </w:r>
      <w:r w:rsidR="00635233">
        <w:t xml:space="preserve"> was around the average for OECD countries</w:t>
      </w:r>
      <w:r>
        <w:t>.</w:t>
      </w:r>
    </w:p>
    <w:p w14:paraId="2B06E738" w14:textId="1617CE0F" w:rsidR="004B7159" w:rsidRDefault="00635233" w:rsidP="004B7159">
      <w:pPr>
        <w:pStyle w:val="BodyText"/>
      </w:pPr>
      <w:r>
        <w:t>The challenges of s</w:t>
      </w:r>
      <w:r w:rsidR="00857617">
        <w:t>ize</w:t>
      </w:r>
      <w:r w:rsidR="004B7159">
        <w:t xml:space="preserve"> and distance highlight how important it is that </w:t>
      </w:r>
      <w:proofErr w:type="spellStart"/>
      <w:r w:rsidR="004B7159">
        <w:t>CER</w:t>
      </w:r>
      <w:proofErr w:type="spellEnd"/>
      <w:r w:rsidR="004B7159">
        <w:t xml:space="preserve"> remains outward</w:t>
      </w:r>
      <w:r w:rsidR="00F95ED7">
        <w:t xml:space="preserve"> </w:t>
      </w:r>
      <w:r w:rsidR="004B7159">
        <w:t xml:space="preserve">oriented. </w:t>
      </w:r>
      <w:r w:rsidR="004B7159" w:rsidRPr="004B7159">
        <w:rPr>
          <w:iCs/>
        </w:rPr>
        <w:t>They also explain why New Zealand firms place such importance on having access</w:t>
      </w:r>
      <w:r w:rsidR="004B7159">
        <w:t xml:space="preserve"> to the Australian market. Services delivered by commercial presence</w:t>
      </w:r>
      <w:r>
        <w:t>,</w:t>
      </w:r>
      <w:r w:rsidR="004B7159">
        <w:t xml:space="preserve"> as well as government services and regulatory functions</w:t>
      </w:r>
      <w:r>
        <w:t>,</w:t>
      </w:r>
      <w:r w:rsidR="004B7159">
        <w:t xml:space="preserve"> have better opportunities to reap economies of scale and scope in an integrated trans-Tasman market.</w:t>
      </w:r>
    </w:p>
    <w:p w14:paraId="42E127AF" w14:textId="2A48D284" w:rsidR="004B7159" w:rsidRDefault="004B7159" w:rsidP="004B7159">
      <w:pPr>
        <w:pStyle w:val="BodyText"/>
      </w:pPr>
      <w:r>
        <w:t xml:space="preserve">The combined GDP </w:t>
      </w:r>
      <w:r w:rsidR="00542522">
        <w:t>of Australia and New Zealand would rank as the 12</w:t>
      </w:r>
      <w:r w:rsidR="00542522" w:rsidRPr="00542522">
        <w:t>th</w:t>
      </w:r>
      <w:r w:rsidR="00542522">
        <w:t xml:space="preserve"> largest world</w:t>
      </w:r>
      <w:r>
        <w:t xml:space="preserve"> econom</w:t>
      </w:r>
      <w:r w:rsidR="00542522">
        <w:t>y</w:t>
      </w:r>
      <w:r w:rsidR="00635233">
        <w:t>. This is</w:t>
      </w:r>
      <w:r w:rsidR="00542522">
        <w:t xml:space="preserve"> only one place higher than </w:t>
      </w:r>
      <w:r>
        <w:t xml:space="preserve">Australia on its own, </w:t>
      </w:r>
      <w:r w:rsidR="00635233">
        <w:t>but</w:t>
      </w:r>
      <w:r>
        <w:t xml:space="preserve"> obviously </w:t>
      </w:r>
      <w:r w:rsidR="00635233">
        <w:t xml:space="preserve">represents </w:t>
      </w:r>
      <w:r>
        <w:t xml:space="preserve">a significant increase in ranking for New Zealand. </w:t>
      </w:r>
      <w:r w:rsidR="00635233">
        <w:t xml:space="preserve">It follows that </w:t>
      </w:r>
      <w:r>
        <w:t xml:space="preserve">closer integration </w:t>
      </w:r>
      <w:r w:rsidR="00635233">
        <w:t>is</w:t>
      </w:r>
      <w:r>
        <w:t xml:space="preserve"> likely to be particularly attractive to New Zealand. It is through the twin track of a larger ‘domestic’ market and greater international integration that </w:t>
      </w:r>
      <w:proofErr w:type="spellStart"/>
      <w:r>
        <w:t>CER</w:t>
      </w:r>
      <w:proofErr w:type="spellEnd"/>
      <w:r>
        <w:t xml:space="preserve"> can contribute most effectively to overcoming the pr</w:t>
      </w:r>
      <w:r w:rsidR="002A0E8E">
        <w:t>oblems of scale.</w:t>
      </w:r>
    </w:p>
    <w:p w14:paraId="52BC4455" w14:textId="77777777" w:rsidR="00EF3F81" w:rsidRDefault="00EF3F81" w:rsidP="00EF3F81">
      <w:pPr>
        <w:pStyle w:val="Heading3"/>
      </w:pPr>
      <w:r>
        <w:t>People mobility is beneficial</w:t>
      </w:r>
      <w:r w:rsidR="00C32D3E">
        <w:t>,</w:t>
      </w:r>
      <w:r>
        <w:t xml:space="preserve"> but brings with it some complex issues</w:t>
      </w:r>
    </w:p>
    <w:p w14:paraId="14D5C38F" w14:textId="77777777" w:rsidR="00E75D20" w:rsidRDefault="00C5433E" w:rsidP="00D11748">
      <w:pPr>
        <w:pStyle w:val="BodyText"/>
      </w:pPr>
      <w:r>
        <w:t>L</w:t>
      </w:r>
      <w:r w:rsidR="00D11748" w:rsidRPr="00D11748">
        <w:t>arge numbers of people on both sides of the Tasman have taken advantage of opportunities to move between the two countries, for both short and long</w:t>
      </w:r>
      <w:r w:rsidR="00633B11">
        <w:noBreakHyphen/>
      </w:r>
      <w:r w:rsidR="00D11748" w:rsidRPr="00D11748">
        <w:t>term visits (or permanent migration)</w:t>
      </w:r>
      <w:r w:rsidR="007F54F8">
        <w:t>.</w:t>
      </w:r>
      <w:r w:rsidR="00D11748" w:rsidRPr="00D11748">
        <w:t xml:space="preserve"> This has brought gains, </w:t>
      </w:r>
      <w:r w:rsidR="00C32D3E">
        <w:t xml:space="preserve">particularly for those involved, </w:t>
      </w:r>
      <w:r w:rsidR="00D11748" w:rsidRPr="00D11748">
        <w:t>but some complex issues have arisen.</w:t>
      </w:r>
    </w:p>
    <w:p w14:paraId="1B964FF7" w14:textId="425ED820" w:rsidR="00053DC3" w:rsidRDefault="00C32D3E" w:rsidP="009B61CF">
      <w:pPr>
        <w:pStyle w:val="BodyText"/>
        <w:keepNext/>
      </w:pPr>
      <w:r>
        <w:lastRenderedPageBreak/>
        <w:t>In particular</w:t>
      </w:r>
      <w:r w:rsidR="00D11748" w:rsidRPr="00D11748">
        <w:t>, there are concerns about</w:t>
      </w:r>
      <w:r w:rsidR="00053DC3">
        <w:t>:</w:t>
      </w:r>
    </w:p>
    <w:p w14:paraId="70867D76" w14:textId="7C32A2D8" w:rsidR="00053DC3" w:rsidRPr="00083E90" w:rsidRDefault="00A64F2F" w:rsidP="009B61CF">
      <w:pPr>
        <w:pStyle w:val="ListBullet"/>
        <w:keepNext/>
      </w:pPr>
      <w:r w:rsidRPr="00083E90">
        <w:t>adjustment costs,</w:t>
      </w:r>
      <w:r w:rsidR="006F256F" w:rsidRPr="00083E90">
        <w:t xml:space="preserve"> including </w:t>
      </w:r>
      <w:r w:rsidR="0046211F" w:rsidRPr="00083E90">
        <w:t xml:space="preserve">possible </w:t>
      </w:r>
      <w:r w:rsidR="00053DC3" w:rsidRPr="00083E90">
        <w:t xml:space="preserve">‘hollowing out’ of the </w:t>
      </w:r>
      <w:r w:rsidR="00D11748" w:rsidRPr="00083E90">
        <w:t>New Zealand economy</w:t>
      </w:r>
      <w:r w:rsidR="00C5433E">
        <w:t xml:space="preserve"> (chapter</w:t>
      </w:r>
      <w:r w:rsidR="000B7550">
        <w:t> </w:t>
      </w:r>
      <w:r w:rsidR="00C5433E">
        <w:t>2)</w:t>
      </w:r>
    </w:p>
    <w:p w14:paraId="728803B0" w14:textId="77777777" w:rsidR="00B30DC2" w:rsidRPr="00083E90" w:rsidRDefault="00B30DC2" w:rsidP="00083E90">
      <w:pPr>
        <w:pStyle w:val="ListBullet"/>
      </w:pPr>
      <w:r w:rsidRPr="00083E90">
        <w:t>whether New Zealanders who have lived and worked in Australia for an extended period have appropriate access to</w:t>
      </w:r>
      <w:r w:rsidR="00D11748" w:rsidRPr="00083E90">
        <w:t xml:space="preserve"> social security entitlements and </w:t>
      </w:r>
      <w:r w:rsidRPr="00083E90">
        <w:t xml:space="preserve">pathways to </w:t>
      </w:r>
      <w:r w:rsidR="00D11748" w:rsidRPr="00083E90">
        <w:t>citizenship</w:t>
      </w:r>
    </w:p>
    <w:p w14:paraId="67025F76" w14:textId="248757EF" w:rsidR="00D11748" w:rsidRPr="00083E90" w:rsidRDefault="0046211F" w:rsidP="00083E90">
      <w:pPr>
        <w:pStyle w:val="ListBullet"/>
      </w:pPr>
      <w:r w:rsidRPr="00083E90">
        <w:t xml:space="preserve">potential future costs to </w:t>
      </w:r>
      <w:r w:rsidR="00272962" w:rsidRPr="00083E90">
        <w:t>the New Zealand G</w:t>
      </w:r>
      <w:r w:rsidRPr="00083E90">
        <w:t xml:space="preserve">overnment </w:t>
      </w:r>
      <w:r w:rsidR="00272962" w:rsidRPr="00083E90">
        <w:t>from</w:t>
      </w:r>
      <w:r w:rsidRPr="00083E90">
        <w:t xml:space="preserve"> </w:t>
      </w:r>
      <w:r w:rsidR="00272962" w:rsidRPr="00083E90">
        <w:t xml:space="preserve">New Zealand </w:t>
      </w:r>
      <w:r w:rsidRPr="00083E90">
        <w:t xml:space="preserve">citizens returning after an extended absence and then accessing the </w:t>
      </w:r>
      <w:r w:rsidR="0047352D">
        <w:t xml:space="preserve">age </w:t>
      </w:r>
      <w:r w:rsidRPr="00083E90">
        <w:t>pension</w:t>
      </w:r>
      <w:r w:rsidR="00D11748" w:rsidRPr="00083E90">
        <w:t>.</w:t>
      </w:r>
    </w:p>
    <w:p w14:paraId="61151AB1" w14:textId="77777777" w:rsidR="00F57183" w:rsidRDefault="00F57183" w:rsidP="00F57183">
      <w:pPr>
        <w:pStyle w:val="Heading3"/>
      </w:pPr>
      <w:proofErr w:type="spellStart"/>
      <w:r>
        <w:t>CER</w:t>
      </w:r>
      <w:proofErr w:type="spellEnd"/>
      <w:r>
        <w:t xml:space="preserve"> should continue to </w:t>
      </w:r>
      <w:r w:rsidR="00A2091F">
        <w:t>complement</w:t>
      </w:r>
      <w:r>
        <w:t xml:space="preserve"> domestic reform</w:t>
      </w:r>
    </w:p>
    <w:p w14:paraId="01ADD691" w14:textId="70AE42F9" w:rsidR="00F57183" w:rsidRDefault="00F57183" w:rsidP="00F57183">
      <w:pPr>
        <w:pStyle w:val="BodyText"/>
      </w:pPr>
      <w:r w:rsidRPr="007044D9">
        <w:t xml:space="preserve">Domestic </w:t>
      </w:r>
      <w:r w:rsidR="00C32D3E">
        <w:t>i</w:t>
      </w:r>
      <w:r w:rsidRPr="007044D9">
        <w:t>mperatives in each country</w:t>
      </w:r>
      <w:r w:rsidR="004B3C30">
        <w:t>,</w:t>
      </w:r>
      <w:r w:rsidRPr="007044D9">
        <w:t xml:space="preserve"> rather than </w:t>
      </w:r>
      <w:proofErr w:type="spellStart"/>
      <w:r w:rsidRPr="007044D9">
        <w:t>CER</w:t>
      </w:r>
      <w:proofErr w:type="spellEnd"/>
      <w:r w:rsidR="004B3C30">
        <w:t>,</w:t>
      </w:r>
      <w:r w:rsidRPr="007044D9">
        <w:t xml:space="preserve"> were the primary drivers of the market-based reforms that commenc</w:t>
      </w:r>
      <w:r>
        <w:t xml:space="preserve">ed in the </w:t>
      </w:r>
      <w:proofErr w:type="spellStart"/>
      <w:r>
        <w:t>1980s</w:t>
      </w:r>
      <w:proofErr w:type="spellEnd"/>
      <w:r>
        <w:t xml:space="preserve">. Yet, as </w:t>
      </w:r>
      <w:r w:rsidR="002A484B">
        <w:t>b</w:t>
      </w:r>
      <w:r>
        <w:t>ox</w:t>
      </w:r>
      <w:r w:rsidR="002A484B">
        <w:t> </w:t>
      </w:r>
      <w:r>
        <w:t>3.</w:t>
      </w:r>
      <w:r w:rsidR="0098390A">
        <w:t>2</w:t>
      </w:r>
      <w:r>
        <w:t xml:space="preserve"> show</w:t>
      </w:r>
      <w:r w:rsidR="0098390A">
        <w:t>s</w:t>
      </w:r>
      <w:r w:rsidRPr="007044D9">
        <w:t xml:space="preserve">, there have been marked similarities in the policy approaches taken in the two countries, with Australia leading in some cases (such as in the removal of capital controls and floating the exchange rate) and New Zealand leading in others (such as central bank independence and the goods and services tax). While </w:t>
      </w:r>
      <w:r w:rsidR="00C32D3E">
        <w:t>the</w:t>
      </w:r>
      <w:r w:rsidRPr="007044D9">
        <w:t xml:space="preserve"> countries have taken their own approaches to economic policy, cooperation </w:t>
      </w:r>
      <w:r w:rsidR="00C32D3E">
        <w:t xml:space="preserve">with </w:t>
      </w:r>
      <w:r w:rsidRPr="007044D9">
        <w:t xml:space="preserve">and learning from the other have also been </w:t>
      </w:r>
      <w:r w:rsidR="00C32D3E">
        <w:t xml:space="preserve">a </w:t>
      </w:r>
      <w:r w:rsidR="00C5433E">
        <w:t>feature</w:t>
      </w:r>
      <w:r w:rsidRPr="007044D9">
        <w:t>.</w:t>
      </w:r>
    </w:p>
    <w:p w14:paraId="050D1920" w14:textId="725939F5" w:rsidR="00F57183" w:rsidRDefault="00F57183" w:rsidP="00F57183">
      <w:pPr>
        <w:pStyle w:val="BodyText"/>
      </w:pPr>
      <w:r>
        <w:t xml:space="preserve">A further important implication is the need to strike the right balance between domestic reform, trans-Tasman </w:t>
      </w:r>
      <w:r w:rsidRPr="00BB5DA1">
        <w:t>reform</w:t>
      </w:r>
      <w:r>
        <w:t xml:space="preserve"> and other regional and multilateral reforms. </w:t>
      </w:r>
      <w:r w:rsidR="00C32D3E">
        <w:t>Developing and implementing</w:t>
      </w:r>
      <w:r>
        <w:t xml:space="preserve"> policy absorbs </w:t>
      </w:r>
      <w:r w:rsidR="00C32D3E">
        <w:t xml:space="preserve">resources and the </w:t>
      </w:r>
      <w:r>
        <w:t xml:space="preserve">scarce time </w:t>
      </w:r>
      <w:r w:rsidR="00C32D3E">
        <w:t>of</w:t>
      </w:r>
      <w:r>
        <w:t xml:space="preserve"> </w:t>
      </w:r>
      <w:r w:rsidR="004B3C30">
        <w:t>m</w:t>
      </w:r>
      <w:r>
        <w:t xml:space="preserve">inisters, parliamentarians, officials, and private-sector players. </w:t>
      </w:r>
      <w:r w:rsidR="004B3C30">
        <w:t>The</w:t>
      </w:r>
      <w:r>
        <w:t xml:space="preserve"> wrong balance can have large </w:t>
      </w:r>
      <w:r w:rsidR="00C32D3E">
        <w:t xml:space="preserve">opportunity </w:t>
      </w:r>
      <w:r>
        <w:t>costs. Consideration of trans</w:t>
      </w:r>
      <w:r w:rsidR="00C32D3E">
        <w:noBreakHyphen/>
      </w:r>
      <w:r>
        <w:t>Tasman integration</w:t>
      </w:r>
      <w:bookmarkStart w:id="7" w:name="_GoBack"/>
      <w:bookmarkEnd w:id="7"/>
      <w:r>
        <w:t xml:space="preserve"> initiatives must take this into account, particularly </w:t>
      </w:r>
      <w:r w:rsidR="00C32D3E">
        <w:t xml:space="preserve">given </w:t>
      </w:r>
      <w:r>
        <w:t>the ongoing importance of domestic reform for productivity growth.</w:t>
      </w:r>
    </w:p>
    <w:p w14:paraId="628986B0" w14:textId="77777777" w:rsidR="00F57183" w:rsidRDefault="00F57183" w:rsidP="00F57183">
      <w:pPr>
        <w:pStyle w:val="Heading3"/>
      </w:pPr>
      <w:r>
        <w:t xml:space="preserve">Pragmatism </w:t>
      </w:r>
      <w:r w:rsidR="00272962">
        <w:t>can be</w:t>
      </w:r>
      <w:r>
        <w:t xml:space="preserve"> a virtue</w:t>
      </w:r>
    </w:p>
    <w:p w14:paraId="51010944" w14:textId="3D9E4363" w:rsidR="00F57183" w:rsidRDefault="00F57183" w:rsidP="00F57183">
      <w:pPr>
        <w:pStyle w:val="BodyText"/>
      </w:pPr>
      <w:proofErr w:type="spellStart"/>
      <w:r>
        <w:t>CER</w:t>
      </w:r>
      <w:proofErr w:type="spellEnd"/>
      <w:r>
        <w:t xml:space="preserve"> has </w:t>
      </w:r>
      <w:r w:rsidR="00480074">
        <w:t>benefited</w:t>
      </w:r>
      <w:r>
        <w:t xml:space="preserve"> from the pragmatic approach taken by governments and bureaucracies</w:t>
      </w:r>
      <w:r w:rsidR="00C32D3E">
        <w:t xml:space="preserve"> over the years</w:t>
      </w:r>
      <w:r>
        <w:t>. In general</w:t>
      </w:r>
      <w:r w:rsidR="00857617">
        <w:t>,</w:t>
      </w:r>
      <w:r>
        <w:t xml:space="preserve"> effort has been focused on areas identified as being important to business and consumers, and for which practical and politically feasible solutions could be anticipated (</w:t>
      </w:r>
      <w:proofErr w:type="spellStart"/>
      <w:r>
        <w:t>Scollay</w:t>
      </w:r>
      <w:proofErr w:type="spellEnd"/>
      <w:r>
        <w:t>, Findlay and Kaufmann</w:t>
      </w:r>
      <w:r w:rsidR="000B7550">
        <w:t> </w:t>
      </w:r>
      <w:r>
        <w:t xml:space="preserve">2011). </w:t>
      </w:r>
      <w:r w:rsidR="00C5433E">
        <w:t>I</w:t>
      </w:r>
      <w:r>
        <w:t xml:space="preserve">nstitutional arrangements for managing the integration agenda have been kept simple </w:t>
      </w:r>
      <w:r w:rsidR="00C32D3E">
        <w:t>and light</w:t>
      </w:r>
      <w:r w:rsidR="00C32D3E">
        <w:noBreakHyphen/>
        <w:t>handed</w:t>
      </w:r>
      <w:r>
        <w:t xml:space="preserve">. Some joint institutions have been established, but supranational </w:t>
      </w:r>
      <w:r w:rsidR="002A0E8E">
        <w:t>institutions have been avoided.</w:t>
      </w:r>
    </w:p>
    <w:p w14:paraId="2FCD4727" w14:textId="5DCBCE01" w:rsidR="001A6964" w:rsidRDefault="00C32D3E" w:rsidP="00F57183">
      <w:pPr>
        <w:pStyle w:val="BodyText"/>
      </w:pPr>
      <w:r>
        <w:lastRenderedPageBreak/>
        <w:t>A</w:t>
      </w:r>
      <w:r w:rsidR="00F57183">
        <w:t xml:space="preserve"> pragmatic approach has </w:t>
      </w:r>
      <w:r>
        <w:t xml:space="preserve">also </w:t>
      </w:r>
      <w:r w:rsidR="00F57183">
        <w:t xml:space="preserve">been useful </w:t>
      </w:r>
      <w:r>
        <w:t>in relation</w:t>
      </w:r>
      <w:r w:rsidR="00F57183">
        <w:t xml:space="preserve"> to the unequal nature of the trans-Tasman relationship. </w:t>
      </w:r>
      <w:r w:rsidR="003733E5">
        <w:t xml:space="preserve">As noted, </w:t>
      </w:r>
      <w:r w:rsidR="00F57183">
        <w:t xml:space="preserve">Australia has a much larger economy and this means that trans-Tasman integration is a ‘higher stakes game’ for New Zealand. In the main, both </w:t>
      </w:r>
      <w:r w:rsidR="00DF7D2C">
        <w:t>G</w:t>
      </w:r>
      <w:r w:rsidR="00F57183">
        <w:t xml:space="preserve">overnments have understood this imbalance and worked constructively with </w:t>
      </w:r>
      <w:r w:rsidR="00C5433E">
        <w:t xml:space="preserve">its </w:t>
      </w:r>
      <w:r w:rsidR="00F57183">
        <w:t>consequences. On the Australian side this has meant appreciating that integration brings larger adjustment pressures for New Zealand which need to be managed. On the New Zealand side</w:t>
      </w:r>
      <w:r w:rsidR="00857617">
        <w:t>,</w:t>
      </w:r>
      <w:r w:rsidR="00F57183">
        <w:t xml:space="preserve"> it has meant understanding that integration is </w:t>
      </w:r>
      <w:r>
        <w:t>a lesser</w:t>
      </w:r>
      <w:r w:rsidR="00F57183">
        <w:t xml:space="preserve"> priority for Australia, and that progress needs to be made when opportunities arise.</w:t>
      </w:r>
      <w:r w:rsidR="00480074">
        <w:t xml:space="preserve"> In some cases, </w:t>
      </w:r>
      <w:r w:rsidR="00713817">
        <w:t xml:space="preserve">the best option </w:t>
      </w:r>
      <w:r w:rsidR="00F95ED7">
        <w:t>for</w:t>
      </w:r>
      <w:r w:rsidR="00713817">
        <w:t xml:space="preserve"> </w:t>
      </w:r>
      <w:r w:rsidR="00480074">
        <w:t xml:space="preserve">New Zealand </w:t>
      </w:r>
      <w:r w:rsidR="00E60A76">
        <w:t xml:space="preserve">may be </w:t>
      </w:r>
      <w:r w:rsidR="00713817">
        <w:t xml:space="preserve">to </w:t>
      </w:r>
      <w:r w:rsidR="00611A0C">
        <w:t>simply</w:t>
      </w:r>
      <w:r w:rsidR="00480074">
        <w:t xml:space="preserve"> adopt Australia</w:t>
      </w:r>
      <w:r w:rsidR="00675948">
        <w:t>’s regulatory approach.</w:t>
      </w:r>
    </w:p>
    <w:p w14:paraId="712F67A6" w14:textId="7B8BFDA9" w:rsidR="00F57183" w:rsidRDefault="00373690" w:rsidP="00F57183">
      <w:pPr>
        <w:pStyle w:val="BodyText"/>
      </w:pPr>
      <w:r>
        <w:t>T</w:t>
      </w:r>
      <w:r w:rsidR="00C5433E">
        <w:t>he future</w:t>
      </w:r>
      <w:r w:rsidR="001A6964">
        <w:t xml:space="preserve"> </w:t>
      </w:r>
      <w:proofErr w:type="spellStart"/>
      <w:r w:rsidR="001A6964">
        <w:t>CER</w:t>
      </w:r>
      <w:proofErr w:type="spellEnd"/>
      <w:r w:rsidR="001A6964">
        <w:t xml:space="preserve"> agenda should retain </w:t>
      </w:r>
      <w:r w:rsidR="00611A0C">
        <w:t>this</w:t>
      </w:r>
      <w:r w:rsidR="001A6964">
        <w:t xml:space="preserve"> pragmatic approach, </w:t>
      </w:r>
      <w:r w:rsidR="00611A0C">
        <w:t>within</w:t>
      </w:r>
      <w:r w:rsidR="001A6964">
        <w:t xml:space="preserve"> the </w:t>
      </w:r>
      <w:r w:rsidR="008A018F">
        <w:t>conceptual framework developed</w:t>
      </w:r>
      <w:r w:rsidR="001A6964">
        <w:t xml:space="preserve"> in chapter</w:t>
      </w:r>
      <w:r w:rsidR="000B7550">
        <w:t> </w:t>
      </w:r>
      <w:r w:rsidR="001A6964">
        <w:t>2</w:t>
      </w:r>
      <w:r w:rsidR="00675948">
        <w:t>.</w:t>
      </w:r>
    </w:p>
    <w:p w14:paraId="42A84C42" w14:textId="77777777" w:rsidR="00F57183" w:rsidRDefault="00F57183" w:rsidP="00F57183">
      <w:pPr>
        <w:pStyle w:val="Heading3"/>
      </w:pPr>
      <w:r w:rsidRPr="002622E8">
        <w:t xml:space="preserve">Harmonisation </w:t>
      </w:r>
      <w:r w:rsidR="00E60A76">
        <w:t>is</w:t>
      </w:r>
      <w:r>
        <w:t xml:space="preserve"> challenging</w:t>
      </w:r>
    </w:p>
    <w:p w14:paraId="4D824AAE" w14:textId="7C2163BC" w:rsidR="00E36CAF" w:rsidRDefault="00C5433E" w:rsidP="00F57183">
      <w:pPr>
        <w:pStyle w:val="BodyText"/>
      </w:pPr>
      <w:r>
        <w:t>Implementing a reduction in tariffs</w:t>
      </w:r>
      <w:r w:rsidR="00F57183">
        <w:t xml:space="preserve"> is generally straightforward. By contrast, decisions to pursue regulatory harmonisation or other me</w:t>
      </w:r>
      <w:r w:rsidR="006B6008">
        <w:t xml:space="preserve">chanisms </w:t>
      </w:r>
      <w:r w:rsidR="00F57183">
        <w:t>to reduce behind</w:t>
      </w:r>
      <w:r w:rsidR="00F57183">
        <w:noBreakHyphen/>
        <w:t>the</w:t>
      </w:r>
      <w:r w:rsidR="00F57183">
        <w:noBreakHyphen/>
        <w:t xml:space="preserve">border barriers are usually </w:t>
      </w:r>
      <w:r w:rsidR="00636D40">
        <w:t>more challenging</w:t>
      </w:r>
      <w:r w:rsidR="00F57183">
        <w:t>. Agreement must be reached on the extent to which regulatory differences should be removed</w:t>
      </w:r>
      <w:r w:rsidR="00794ADE">
        <w:t xml:space="preserve"> and whether institutional changes should be made (such as moving</w:t>
      </w:r>
      <w:r w:rsidR="00F57183">
        <w:t xml:space="preserve"> </w:t>
      </w:r>
      <w:r w:rsidR="00794ADE">
        <w:t xml:space="preserve">to a joint regulator). </w:t>
      </w:r>
      <w:r w:rsidR="008B26D1">
        <w:t>Implementation</w:t>
      </w:r>
      <w:r w:rsidR="00F57183">
        <w:t xml:space="preserve"> may require extensive changes to legislation, administrative procedures and regulatory institutions.</w:t>
      </w:r>
      <w:r w:rsidR="00130D4C">
        <w:t xml:space="preserve"> For example, consideration needs to be given to how laws relating to privacy, Ombudsman oversight and </w:t>
      </w:r>
      <w:r w:rsidR="00373690">
        <w:t xml:space="preserve">the </w:t>
      </w:r>
      <w:r w:rsidR="00130D4C">
        <w:t>review of decisions should apply to joint regulators (Office of the Australian Information Commissioner, sub. </w:t>
      </w:r>
      <w:proofErr w:type="spellStart"/>
      <w:r w:rsidR="00130D4C">
        <w:t>DR74</w:t>
      </w:r>
      <w:proofErr w:type="spellEnd"/>
      <w:r w:rsidR="00130D4C">
        <w:t>).</w:t>
      </w:r>
    </w:p>
    <w:p w14:paraId="1A77D2B9" w14:textId="0DDF6334" w:rsidR="00312CA0" w:rsidRDefault="00F57183" w:rsidP="00F57183">
      <w:pPr>
        <w:pStyle w:val="BodyText"/>
      </w:pPr>
      <w:r>
        <w:t xml:space="preserve">The experience with regulation of </w:t>
      </w:r>
      <w:r w:rsidR="00312CA0">
        <w:t xml:space="preserve">food safety and </w:t>
      </w:r>
      <w:r w:rsidR="00E36CAF">
        <w:t>therapeutic goods</w:t>
      </w:r>
      <w:r>
        <w:t xml:space="preserve"> demonstrates the challenges of harmonisation (box</w:t>
      </w:r>
      <w:r w:rsidR="00312CA0">
        <w:t>es</w:t>
      </w:r>
      <w:r>
        <w:t> </w:t>
      </w:r>
      <w:r w:rsidR="00312CA0">
        <w:t xml:space="preserve">3.3 and </w:t>
      </w:r>
      <w:r w:rsidR="009E102F">
        <w:t>3.4</w:t>
      </w:r>
      <w:r>
        <w:t>)</w:t>
      </w:r>
      <w:r w:rsidR="00E36CAF">
        <w:t>.</w:t>
      </w:r>
      <w:r w:rsidR="00312CA0">
        <w:t xml:space="preserve"> </w:t>
      </w:r>
      <w:r w:rsidR="00312CA0" w:rsidRPr="00312CA0">
        <w:t xml:space="preserve">The </w:t>
      </w:r>
      <w:r w:rsidR="00312CA0">
        <w:t xml:space="preserve">success of </w:t>
      </w:r>
      <w:proofErr w:type="spellStart"/>
      <w:r w:rsidR="00312CA0" w:rsidRPr="00312CA0">
        <w:t>FSANZ</w:t>
      </w:r>
      <w:proofErr w:type="spellEnd"/>
      <w:r w:rsidR="00312CA0">
        <w:t xml:space="preserve"> </w:t>
      </w:r>
      <w:r w:rsidR="00312CA0" w:rsidRPr="00312CA0">
        <w:t xml:space="preserve">suggests that some level of flexibility for countries to respond to domestic issues and preferences within a harmonised regime can help to reduce the costs associated with the loss of national autonomy. </w:t>
      </w:r>
      <w:r w:rsidR="00312CA0">
        <w:t xml:space="preserve">The perceived lack of such flexibility in the </w:t>
      </w:r>
      <w:r w:rsidR="005F3038">
        <w:t xml:space="preserve">original </w:t>
      </w:r>
      <w:r w:rsidR="00312CA0">
        <w:t xml:space="preserve">arrangements proposed for therapeutic products </w:t>
      </w:r>
      <w:r w:rsidR="005F3038">
        <w:t xml:space="preserve">appears to have </w:t>
      </w:r>
      <w:r w:rsidR="008B26D1">
        <w:t>contributed</w:t>
      </w:r>
      <w:r w:rsidR="005F3038">
        <w:t xml:space="preserve"> to delaying the introduction of the </w:t>
      </w:r>
      <w:proofErr w:type="spellStart"/>
      <w:r w:rsidR="005F3038">
        <w:t>ANZTPA</w:t>
      </w:r>
      <w:proofErr w:type="spellEnd"/>
      <w:r w:rsidR="005F3038">
        <w:t xml:space="preserve">. </w:t>
      </w:r>
      <w:r w:rsidR="00312CA0" w:rsidRPr="00312CA0">
        <w:t xml:space="preserve">Further, the case of </w:t>
      </w:r>
      <w:proofErr w:type="spellStart"/>
      <w:r w:rsidR="00312CA0" w:rsidRPr="00312CA0">
        <w:t>FSANZ</w:t>
      </w:r>
      <w:proofErr w:type="spellEnd"/>
      <w:r w:rsidR="00312CA0" w:rsidRPr="00312CA0">
        <w:t xml:space="preserve"> illustrates the point that harmonisation across the Tasman has a higher probability of success if it builds on reform and alignment that has already occurred across Australian jurisdictions.</w:t>
      </w:r>
    </w:p>
    <w:p w14:paraId="01DBD110" w14:textId="77777777" w:rsidR="005F3038" w:rsidRDefault="006337E5" w:rsidP="00F57183">
      <w:pPr>
        <w:pStyle w:val="BodyText"/>
      </w:pPr>
      <w:r>
        <w:t xml:space="preserve">The scope of </w:t>
      </w:r>
      <w:proofErr w:type="spellStart"/>
      <w:r w:rsidR="005F3038">
        <w:t>ANZTPA</w:t>
      </w:r>
      <w:r>
        <w:t>’s</w:t>
      </w:r>
      <w:proofErr w:type="spellEnd"/>
      <w:r>
        <w:t xml:space="preserve"> activities is to include the enforcement of regulations, while </w:t>
      </w:r>
      <w:proofErr w:type="spellStart"/>
      <w:r>
        <w:t>FSANZ</w:t>
      </w:r>
      <w:proofErr w:type="spellEnd"/>
      <w:r>
        <w:t xml:space="preserve"> does not perform this function. Accordingly, </w:t>
      </w:r>
      <w:proofErr w:type="spellStart"/>
      <w:r>
        <w:t>ANZTPA</w:t>
      </w:r>
      <w:proofErr w:type="spellEnd"/>
      <w:r>
        <w:t xml:space="preserve"> represents a more far-reaching model for </w:t>
      </w:r>
      <w:r w:rsidR="005E0077">
        <w:t>harmonisation</w:t>
      </w:r>
      <w:r w:rsidR="00F62B2D">
        <w:t xml:space="preserve">, and this has </w:t>
      </w:r>
      <w:r w:rsidR="005E0077">
        <w:t xml:space="preserve">also </w:t>
      </w:r>
      <w:r w:rsidR="00F62B2D">
        <w:t xml:space="preserve">contributed to the </w:t>
      </w:r>
      <w:r w:rsidR="00F62B2D">
        <w:lastRenderedPageBreak/>
        <w:t>delays and costs of its introduction. The lesson here is that more comple</w:t>
      </w:r>
      <w:r w:rsidR="005E0077">
        <w:t>x</w:t>
      </w:r>
      <w:r w:rsidR="00F62B2D">
        <w:t xml:space="preserve"> forms of </w:t>
      </w:r>
      <w:r w:rsidR="005E0077">
        <w:t>harmonisation</w:t>
      </w:r>
      <w:r w:rsidR="00F62B2D">
        <w:t xml:space="preserve"> generally bring added costs and so should only be embarked on where </w:t>
      </w:r>
      <w:r w:rsidR="00945E61">
        <w:t xml:space="preserve">the net benefits can be substantiated </w:t>
      </w:r>
      <w:r w:rsidR="006B6008">
        <w:t>as</w:t>
      </w:r>
      <w:r w:rsidR="00945E61">
        <w:t xml:space="preserve"> larger than for alternative options</w:t>
      </w:r>
      <w:r w:rsidR="00F62B2D">
        <w:t>.</w:t>
      </w:r>
    </w:p>
    <w:p w14:paraId="68EFFBB9" w14:textId="448F2E49" w:rsidR="000553BF" w:rsidRDefault="000553BF" w:rsidP="000553BF">
      <w:pPr>
        <w:pStyle w:val="BodyText"/>
      </w:pPr>
      <w:r>
        <w:t xml:space="preserve">More broadly, harmonisation efforts </w:t>
      </w:r>
      <w:r w:rsidR="00AF2A59">
        <w:t xml:space="preserve">should </w:t>
      </w:r>
      <w:r>
        <w:t xml:space="preserve">draw on the best regulatory approaches in both countries. </w:t>
      </w:r>
      <w:r w:rsidR="00AF2A59">
        <w:t>Aligning regulatory arrangements changes the magnitude and incidence of regulatory costs</w:t>
      </w:r>
      <w:r w:rsidR="00AF2A59" w:rsidRPr="00AF2A59">
        <w:t xml:space="preserve"> </w:t>
      </w:r>
      <w:r w:rsidR="00AF2A59">
        <w:t xml:space="preserve">(compliance costs for businesses and broader efficiency costs). These effects should be considered when evaluating harmonisation proposals, as </w:t>
      </w:r>
      <w:r>
        <w:t>noted by some industry participants (box</w:t>
      </w:r>
      <w:r w:rsidR="000B7550">
        <w:t> </w:t>
      </w:r>
      <w:r>
        <w:t>3.1</w:t>
      </w:r>
      <w:r w:rsidR="00B10E35">
        <w:t>3</w:t>
      </w:r>
      <w:r>
        <w:t>).</w:t>
      </w:r>
    </w:p>
    <w:p w14:paraId="5998C8CA" w14:textId="77777777" w:rsidR="000553BF" w:rsidRDefault="000553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53BF" w14:paraId="412F76C1" w14:textId="77777777" w:rsidTr="000553BF">
        <w:tc>
          <w:tcPr>
            <w:tcW w:w="8771" w:type="dxa"/>
            <w:tcBorders>
              <w:top w:val="nil"/>
              <w:left w:val="nil"/>
              <w:bottom w:val="nil"/>
              <w:right w:val="nil"/>
            </w:tcBorders>
            <w:shd w:val="clear" w:color="auto" w:fill="D9EAF0"/>
          </w:tcPr>
          <w:p w14:paraId="555BE365" w14:textId="77777777" w:rsidR="000553BF" w:rsidRDefault="000553BF" w:rsidP="000553BF">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256BE">
              <w:rPr>
                <w:b w:val="0"/>
              </w:rPr>
              <w:t>3.</w:t>
            </w:r>
            <w:r>
              <w:rPr>
                <w:b w:val="0"/>
              </w:rPr>
              <w:fldChar w:fldCharType="end"/>
            </w:r>
            <w:r>
              <w:rPr>
                <w:b w:val="0"/>
              </w:rPr>
              <w:fldChar w:fldCharType="begin"/>
            </w:r>
            <w:r>
              <w:rPr>
                <w:b w:val="0"/>
              </w:rPr>
              <w:instrText xml:space="preserve"> SEQ Box \* ARABIC </w:instrText>
            </w:r>
            <w:r>
              <w:rPr>
                <w:b w:val="0"/>
              </w:rPr>
              <w:fldChar w:fldCharType="separate"/>
            </w:r>
            <w:r w:rsidR="00EE0939">
              <w:rPr>
                <w:b w:val="0"/>
                <w:noProof/>
              </w:rPr>
              <w:t>13</w:t>
            </w:r>
            <w:r>
              <w:rPr>
                <w:b w:val="0"/>
              </w:rPr>
              <w:fldChar w:fldCharType="end"/>
            </w:r>
            <w:r>
              <w:tab/>
              <w:t>Benefits and risks of harmonisation — industry perspectives</w:t>
            </w:r>
          </w:p>
        </w:tc>
      </w:tr>
      <w:tr w:rsidR="000553BF" w14:paraId="5C1B6353" w14:textId="77777777" w:rsidTr="000553BF">
        <w:trPr>
          <w:cantSplit/>
        </w:trPr>
        <w:tc>
          <w:tcPr>
            <w:tcW w:w="8771" w:type="dxa"/>
            <w:tcBorders>
              <w:top w:val="nil"/>
              <w:left w:val="nil"/>
              <w:bottom w:val="nil"/>
              <w:right w:val="nil"/>
            </w:tcBorders>
            <w:shd w:val="clear" w:color="auto" w:fill="D9EAF0"/>
          </w:tcPr>
          <w:p w14:paraId="54EB9484" w14:textId="64855724" w:rsidR="000553BF" w:rsidRDefault="008B26D1" w:rsidP="000553BF">
            <w:pPr>
              <w:pStyle w:val="Box"/>
            </w:pPr>
            <w:r>
              <w:t>Many</w:t>
            </w:r>
            <w:r w:rsidR="000553BF">
              <w:t xml:space="preserve"> submissions called for greater alignment of regulatory arrangements between Australia and New Zealand. For example, the Pharmaceutical</w:t>
            </w:r>
            <w:r w:rsidR="001847B3">
              <w:t>s</w:t>
            </w:r>
            <w:r w:rsidR="000553BF">
              <w:t xml:space="preserve"> Industry Council made the case for harmonising the rules and regulations for conducting clinical trials for new pharmaceutical products:</w:t>
            </w:r>
          </w:p>
          <w:p w14:paraId="6CAD73F4" w14:textId="77777777" w:rsidR="000553BF" w:rsidRDefault="000553BF" w:rsidP="000553BF">
            <w:pPr>
              <w:pStyle w:val="BoxQuote"/>
            </w:pPr>
            <w:r>
              <w:t>Harmonising … would allow faster, easier and ultimately cheaper access to research sites across the two jurisdictions. This would not only give researchers the ability to recruit more patients into clinical trials, but also give patients in both jurisdictions faster access to new healthcare technologies. (</w:t>
            </w:r>
            <w:r w:rsidR="003716EA">
              <w:t>sub. </w:t>
            </w:r>
            <w:r>
              <w:t>43, p. 3)</w:t>
            </w:r>
          </w:p>
          <w:p w14:paraId="554635F9" w14:textId="6A6CE5C1" w:rsidR="000553BF" w:rsidRDefault="000553BF" w:rsidP="000553BF">
            <w:pPr>
              <w:pStyle w:val="Box"/>
            </w:pPr>
            <w:r>
              <w:t xml:space="preserve">However, it noted </w:t>
            </w:r>
            <w:r w:rsidR="008B26D1">
              <w:t xml:space="preserve">a </w:t>
            </w:r>
            <w:r>
              <w:t>risk of harmonisation:</w:t>
            </w:r>
          </w:p>
          <w:p w14:paraId="019185AD" w14:textId="77777777" w:rsidR="000553BF" w:rsidRDefault="000553BF" w:rsidP="000553BF">
            <w:pPr>
              <w:pStyle w:val="BoxQuote"/>
            </w:pPr>
            <w:r>
              <w:t>… Australia and New Zealand must ensure that a more harmonised system builds on existing strengths of each jurisdiction and does not impose one’s weaknesses on the other. (</w:t>
            </w:r>
            <w:r w:rsidR="003716EA">
              <w:t>sub. </w:t>
            </w:r>
            <w:r>
              <w:t>43, p. 3)</w:t>
            </w:r>
          </w:p>
          <w:p w14:paraId="46C1E6C2" w14:textId="77777777" w:rsidR="000553BF" w:rsidRDefault="000553BF" w:rsidP="000553BF">
            <w:pPr>
              <w:pStyle w:val="Box"/>
            </w:pPr>
            <w:r>
              <w:t>In a similar vein, Accord Australasia noted that closer alignment of Australia’s chemical regulations with those of New Zealand could significantly reduce industry costs while maintaining good health and safety outcomes. However it also cautioned:</w:t>
            </w:r>
          </w:p>
          <w:p w14:paraId="17BE8110" w14:textId="77777777" w:rsidR="000553BF" w:rsidRDefault="000553BF" w:rsidP="000553BF">
            <w:pPr>
              <w:pStyle w:val="BoxQuote"/>
            </w:pPr>
            <w:r>
              <w:t>… we also do not believe that the regulatory requirements in either country should be increased to achieve this end — outcomes should optimise net trans-Tasman benefit. (</w:t>
            </w:r>
            <w:r w:rsidR="003716EA">
              <w:t>sub. </w:t>
            </w:r>
            <w:r>
              <w:t>54, p. 10)</w:t>
            </w:r>
          </w:p>
          <w:p w14:paraId="026A06ED" w14:textId="6EB7099B" w:rsidR="000553BF" w:rsidRDefault="000553BF" w:rsidP="000553BF">
            <w:pPr>
              <w:pStyle w:val="Box"/>
            </w:pPr>
            <w:r>
              <w:t>Fonterra referred to an instance where it believed harmonisation was desirable. It also emphasised the importance of selecting the right model for harmonisation:</w:t>
            </w:r>
          </w:p>
          <w:p w14:paraId="389869D8" w14:textId="77777777" w:rsidR="000553BF" w:rsidRDefault="000553BF" w:rsidP="000553BF">
            <w:pPr>
              <w:pStyle w:val="BoxQuote"/>
            </w:pPr>
            <w:r w:rsidRPr="0061458C">
              <w:t>Laws relating to criminalisation of cartels should be harmonised, but not by adopting the Australian model. There is no sound policy basis for criminalising cartels, in particular no evidence that criminalisation increases compliance where there are already significant sanctions for breaches of the relevant laws.</w:t>
            </w:r>
            <w:r>
              <w:t xml:space="preserve"> (</w:t>
            </w:r>
            <w:r w:rsidR="003716EA">
              <w:t>sub. </w:t>
            </w:r>
            <w:r>
              <w:t>14, p. 3)</w:t>
            </w:r>
          </w:p>
          <w:p w14:paraId="4A2162B4" w14:textId="7EF8801B" w:rsidR="000553BF" w:rsidRDefault="000553BF" w:rsidP="000553BF">
            <w:pPr>
              <w:pStyle w:val="Box"/>
            </w:pPr>
            <w:r>
              <w:t xml:space="preserve">Standards Australia noted the challenges associated with harmonisation, specifically in the context of standards, but observed that </w:t>
            </w:r>
            <w:r w:rsidR="00857617">
              <w:t xml:space="preserve">there were </w:t>
            </w:r>
            <w:r>
              <w:t>opportunities:</w:t>
            </w:r>
          </w:p>
          <w:p w14:paraId="7DD47F0F" w14:textId="77777777" w:rsidR="000553BF" w:rsidRDefault="000553BF" w:rsidP="001847B3">
            <w:pPr>
              <w:pStyle w:val="BoxQuote"/>
            </w:pPr>
            <w:r w:rsidRPr="005F7EB9">
              <w:t>Where economic imperatives differ between countries, the harmonisation of standards can often prove challenging and avoiding a ‘race to the bottom’ is critical. However, the aforementioned high rate of adoption of international standards both regionally and internationally is an excellent opportunity to achieve harmonisation. (</w:t>
            </w:r>
            <w:r w:rsidR="003716EA">
              <w:t>sub. </w:t>
            </w:r>
            <w:r>
              <w:t>4</w:t>
            </w:r>
            <w:r w:rsidR="001847B3">
              <w:t>4</w:t>
            </w:r>
            <w:r>
              <w:t>, </w:t>
            </w:r>
            <w:r w:rsidRPr="005F7EB9">
              <w:t>p.</w:t>
            </w:r>
            <w:r>
              <w:t> </w:t>
            </w:r>
            <w:r w:rsidRPr="005F7EB9">
              <w:t>2)</w:t>
            </w:r>
          </w:p>
        </w:tc>
      </w:tr>
      <w:tr w:rsidR="000553BF" w14:paraId="1D3D0603" w14:textId="77777777" w:rsidTr="000553BF">
        <w:trPr>
          <w:cantSplit/>
        </w:trPr>
        <w:tc>
          <w:tcPr>
            <w:tcW w:w="8771" w:type="dxa"/>
            <w:tcBorders>
              <w:top w:val="nil"/>
              <w:left w:val="nil"/>
              <w:bottom w:val="nil"/>
              <w:right w:val="nil"/>
            </w:tcBorders>
            <w:shd w:val="clear" w:color="auto" w:fill="D9EAF0"/>
          </w:tcPr>
          <w:p w14:paraId="21BE512E" w14:textId="77777777" w:rsidR="000553BF" w:rsidRDefault="000553BF">
            <w:pPr>
              <w:pStyle w:val="Box"/>
              <w:spacing w:before="0" w:line="120" w:lineRule="exact"/>
            </w:pPr>
          </w:p>
        </w:tc>
      </w:tr>
      <w:tr w:rsidR="000553BF" w:rsidRPr="00083E90" w14:paraId="63689C5B" w14:textId="77777777" w:rsidTr="000553BF">
        <w:tc>
          <w:tcPr>
            <w:tcW w:w="8771" w:type="dxa"/>
            <w:tcBorders>
              <w:top w:val="nil"/>
              <w:left w:val="nil"/>
              <w:bottom w:val="nil"/>
              <w:right w:val="nil"/>
            </w:tcBorders>
          </w:tcPr>
          <w:p w14:paraId="491C72B0" w14:textId="77777777" w:rsidR="000553BF" w:rsidRPr="00083E90" w:rsidRDefault="000553BF">
            <w:pPr>
              <w:pStyle w:val="Box"/>
              <w:keepNext w:val="0"/>
              <w:spacing w:before="60" w:after="60" w:line="80" w:lineRule="exact"/>
              <w:rPr>
                <w:b/>
                <w:color w:val="auto"/>
                <w:sz w:val="14"/>
              </w:rPr>
            </w:pPr>
          </w:p>
        </w:tc>
      </w:tr>
    </w:tbl>
    <w:p w14:paraId="3F4347C5" w14:textId="24EC816A" w:rsidR="004B1773" w:rsidRDefault="004B1773" w:rsidP="004B1773">
      <w:pPr>
        <w:pStyle w:val="BodyText"/>
      </w:pPr>
      <w:r>
        <w:lastRenderedPageBreak/>
        <w:t xml:space="preserve">The immediate benefits of harmonisation generally accrue to firms and individuals who </w:t>
      </w:r>
      <w:r w:rsidR="008B26D1">
        <w:t xml:space="preserve">already </w:t>
      </w:r>
      <w:r>
        <w:t>operate across or move between different jurisdictions. Harmonisation may also induce some firms and individuals to extend their activities from one to both countries. However, for those who continue to operate entirely within one jurisdiction</w:t>
      </w:r>
      <w:r w:rsidR="00F95ED7">
        <w:t>,</w:t>
      </w:r>
      <w:r>
        <w:t xml:space="preserve"> harmonisation can be a negative. There may be one-off costs from the need to change systems to suit new rules and ongoing costs if the new regulations are more onerous. Accordingly, it is important to consider the costs and benefits of harmonisation on a case-by-case basis.</w:t>
      </w:r>
    </w:p>
    <w:p w14:paraId="13251BF3" w14:textId="10DBF972" w:rsidR="00E611D5" w:rsidRDefault="008B26D1" w:rsidP="00E611D5">
      <w:pPr>
        <w:pStyle w:val="BodyText"/>
      </w:pPr>
      <w:r>
        <w:t>There</w:t>
      </w:r>
      <w:r w:rsidR="00E611D5">
        <w:t xml:space="preserve"> are many areas of regulation where harmonisation even across Australia’s own jurisdictions has not been achieved. Where this is the case, the prospect of </w:t>
      </w:r>
      <w:r w:rsidR="00F95ED7">
        <w:t>—</w:t>
      </w:r>
      <w:r w:rsidR="00E611D5">
        <w:t xml:space="preserve">and potential benefits from </w:t>
      </w:r>
      <w:r w:rsidR="00F95ED7">
        <w:t xml:space="preserve">— </w:t>
      </w:r>
      <w:r w:rsidR="00E611D5">
        <w:t>harmonising across the Tasman can be much reduced. In these and other cases, mutual recognition provides a worthwhile alternative</w:t>
      </w:r>
      <w:r w:rsidR="00AF2A59">
        <w:t xml:space="preserve"> </w:t>
      </w:r>
      <w:r w:rsidR="00E611D5">
        <w:t xml:space="preserve">as demonstrated by the </w:t>
      </w:r>
      <w:proofErr w:type="spellStart"/>
      <w:r w:rsidR="00B62618">
        <w:t>TTMRA</w:t>
      </w:r>
      <w:proofErr w:type="spellEnd"/>
      <w:r w:rsidR="00E611D5">
        <w:t>.</w:t>
      </w:r>
      <w:r w:rsidR="00AF2A59">
        <w:t xml:space="preserve"> Mutual recognition can also act as an effective precursor to harmonisation.</w:t>
      </w:r>
    </w:p>
    <w:p w14:paraId="11ADE26B" w14:textId="77777777" w:rsidR="00272962" w:rsidRDefault="00272962" w:rsidP="00272962">
      <w:pPr>
        <w:pStyle w:val="Heading3"/>
      </w:pPr>
      <w:r>
        <w:t>Political leadership is important</w:t>
      </w:r>
    </w:p>
    <w:p w14:paraId="56D3CBA2" w14:textId="67837870" w:rsidR="00272962" w:rsidRDefault="00272962" w:rsidP="00272962">
      <w:pPr>
        <w:pStyle w:val="BodyText"/>
      </w:pPr>
      <w:r>
        <w:t xml:space="preserve">Trans-Tasman integration initially had little active support from the business community in Australia </w:t>
      </w:r>
      <w:r w:rsidR="00F95ED7">
        <w:t>and</w:t>
      </w:r>
      <w:r>
        <w:t xml:space="preserve"> New Zealand, and strong vested interests opposed it. The steps </w:t>
      </w:r>
      <w:r w:rsidR="00F95ED7">
        <w:t>taken</w:t>
      </w:r>
      <w:r>
        <w:t xml:space="preserve"> during the </w:t>
      </w:r>
      <w:r w:rsidRPr="00F52FD7">
        <w:t xml:space="preserve">New Zealand Australia Free Trade Agreement era and the early years of </w:t>
      </w:r>
      <w:proofErr w:type="spellStart"/>
      <w:r w:rsidRPr="00F52FD7">
        <w:t>CER</w:t>
      </w:r>
      <w:proofErr w:type="spellEnd"/>
      <w:r w:rsidRPr="00F52FD7">
        <w:t xml:space="preserve"> </w:t>
      </w:r>
      <w:r>
        <w:t>depended on advocacy by individual politicians</w:t>
      </w:r>
      <w:r w:rsidR="008B26D1">
        <w:t xml:space="preserve">, </w:t>
      </w:r>
      <w:r w:rsidR="00F35F1B">
        <w:t>al</w:t>
      </w:r>
      <w:r w:rsidR="008B26D1">
        <w:t>though</w:t>
      </w:r>
      <w:r>
        <w:t xml:space="preserve"> key business leaders, academics and </w:t>
      </w:r>
      <w:r w:rsidR="006B6008">
        <w:t>government officials</w:t>
      </w:r>
      <w:r>
        <w:t xml:space="preserve"> also played an important role. Although many of these </w:t>
      </w:r>
      <w:r w:rsidR="008B26D1">
        <w:t xml:space="preserve">steps </w:t>
      </w:r>
      <w:r>
        <w:t xml:space="preserve">were small, they were important in building a constituency for change. Political leadership was instrumental in achieving the breakthrough reforms arising from the 1988 </w:t>
      </w:r>
      <w:r w:rsidR="008A018F">
        <w:t>r</w:t>
      </w:r>
      <w:r>
        <w:t xml:space="preserve">eview. At various times political support has been important in regaining momentum for further integration. </w:t>
      </w:r>
    </w:p>
    <w:p w14:paraId="1637D880" w14:textId="22346AE4" w:rsidR="00272962" w:rsidRDefault="00272962" w:rsidP="00272962">
      <w:pPr>
        <w:pStyle w:val="BodyText"/>
      </w:pPr>
      <w:r>
        <w:t xml:space="preserve">Public opinion surveys suggest that there is support in both </w:t>
      </w:r>
      <w:r w:rsidR="006B6008">
        <w:t>Australia and New Zealand</w:t>
      </w:r>
      <w:r>
        <w:t xml:space="preserve"> for at least the current extent of integration</w:t>
      </w:r>
      <w:r w:rsidR="006B6008">
        <w:t>,</w:t>
      </w:r>
      <w:r>
        <w:t xml:space="preserve"> although the recent problems in Europe may </w:t>
      </w:r>
      <w:r w:rsidR="008B26D1">
        <w:t>create</w:t>
      </w:r>
      <w:r>
        <w:t xml:space="preserve"> public scepticism about further trans</w:t>
      </w:r>
      <w:r w:rsidR="008A018F">
        <w:noBreakHyphen/>
      </w:r>
      <w:r>
        <w:t xml:space="preserve">Tasman integration initiatives. </w:t>
      </w:r>
      <w:r w:rsidR="008B26D1">
        <w:t>H</w:t>
      </w:r>
      <w:r>
        <w:t>istory</w:t>
      </w:r>
      <w:r w:rsidR="008B26D1">
        <w:t xml:space="preserve"> </w:t>
      </w:r>
      <w:r>
        <w:t xml:space="preserve">suggests that political leadership is likely to </w:t>
      </w:r>
      <w:r w:rsidR="006B6008">
        <w:t xml:space="preserve">continue to </w:t>
      </w:r>
      <w:r w:rsidR="008B26D1">
        <w:t xml:space="preserve">play </w:t>
      </w:r>
      <w:r>
        <w:t>an important</w:t>
      </w:r>
      <w:r w:rsidR="008B26D1">
        <w:t xml:space="preserve"> role</w:t>
      </w:r>
      <w:r>
        <w:t xml:space="preserve"> in carrying forward the </w:t>
      </w:r>
      <w:proofErr w:type="spellStart"/>
      <w:r w:rsidR="006B6008">
        <w:t>CER</w:t>
      </w:r>
      <w:proofErr w:type="spellEnd"/>
      <w:r w:rsidR="006B6008">
        <w:t xml:space="preserve"> </w:t>
      </w:r>
      <w:r>
        <w:t>agenda.</w:t>
      </w:r>
    </w:p>
    <w:sectPr w:rsidR="00272962" w:rsidSect="0050287E">
      <w:headerReference w:type="even" r:id="rId17"/>
      <w:headerReference w:type="default" r:id="rId18"/>
      <w:footerReference w:type="even" r:id="rId19"/>
      <w:footerReference w:type="default" r:id="rId20"/>
      <w:pgSz w:w="11907" w:h="16840" w:code="9"/>
      <w:pgMar w:top="1985" w:right="1304" w:bottom="1418" w:left="1814" w:header="1701" w:footer="567" w:gutter="0"/>
      <w:pgNumType w:start="5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C2CDF" w14:textId="77777777" w:rsidR="002911F2" w:rsidRDefault="002911F2">
      <w:r>
        <w:separator/>
      </w:r>
    </w:p>
  </w:endnote>
  <w:endnote w:type="continuationSeparator" w:id="0">
    <w:p w14:paraId="0A397982" w14:textId="77777777" w:rsidR="002911F2" w:rsidRDefault="002911F2">
      <w:r>
        <w:continuationSeparator/>
      </w:r>
    </w:p>
  </w:endnote>
  <w:endnote w:type="continuationNotice" w:id="1">
    <w:p w14:paraId="29BBDDDB" w14:textId="77777777" w:rsidR="002911F2" w:rsidRDefault="002911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2911F2" w:rsidRPr="00135D87" w14:paraId="76BF82AE" w14:textId="77777777" w:rsidTr="00E971AD">
      <w:trPr>
        <w:trHeight w:hRule="exact" w:val="740"/>
      </w:trPr>
      <w:tc>
        <w:tcPr>
          <w:tcW w:w="510" w:type="dxa"/>
        </w:tcPr>
        <w:p w14:paraId="2D46C3EE" w14:textId="77777777" w:rsidR="002911F2" w:rsidRPr="00135D87" w:rsidRDefault="002911F2" w:rsidP="005256BE">
          <w:pPr>
            <w:pStyle w:val="Footer"/>
            <w:tabs>
              <w:tab w:val="left" w:pos="0"/>
            </w:tabs>
            <w:ind w:right="0"/>
            <w:rPr>
              <w:rStyle w:val="PageNumber"/>
              <w:rFonts w:cs="Arial"/>
            </w:rPr>
          </w:pPr>
          <w:r>
            <w:rPr>
              <w:rStyle w:val="PageNumber"/>
              <w:rFonts w:cs="Arial"/>
            </w:rPr>
            <w:fldChar w:fldCharType="begin"/>
          </w:r>
          <w:r>
            <w:rPr>
              <w:rStyle w:val="PageNumber"/>
              <w:rFonts w:cs="Arial"/>
            </w:rPr>
            <w:instrText xml:space="preserve"> PAGE  \* MERGEFORMAT </w:instrText>
          </w:r>
          <w:r>
            <w:rPr>
              <w:rStyle w:val="PageNumber"/>
              <w:rFonts w:cs="Arial"/>
            </w:rPr>
            <w:fldChar w:fldCharType="separate"/>
          </w:r>
          <w:r w:rsidR="00EE0939">
            <w:rPr>
              <w:rStyle w:val="PageNumber"/>
              <w:rFonts w:cs="Arial"/>
              <w:noProof/>
            </w:rPr>
            <w:t>94</w:t>
          </w:r>
          <w:r>
            <w:rPr>
              <w:rStyle w:val="PageNumber"/>
              <w:rFonts w:cs="Arial"/>
            </w:rPr>
            <w:fldChar w:fldCharType="end"/>
          </w:r>
        </w:p>
      </w:tc>
      <w:tc>
        <w:tcPr>
          <w:tcW w:w="8278" w:type="dxa"/>
        </w:tcPr>
        <w:p w14:paraId="0ED75AB5" w14:textId="336D179D" w:rsidR="002911F2" w:rsidRPr="00135D87" w:rsidRDefault="002911F2" w:rsidP="003614C5">
          <w:pPr>
            <w:pStyle w:val="Footer"/>
            <w:rPr>
              <w:rFonts w:cs="Arial"/>
            </w:rPr>
          </w:pPr>
          <w:r>
            <w:rPr>
              <w:rFonts w:cs="Arial"/>
              <w:caps w:val="0"/>
            </w:rPr>
            <w:t>Strengthening trans-Tasman economic relations</w:t>
          </w:r>
        </w:p>
      </w:tc>
    </w:tr>
  </w:tbl>
  <w:p w14:paraId="2C053E81" w14:textId="77777777" w:rsidR="002911F2" w:rsidRDefault="002911F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2911F2" w:rsidRPr="00135D87" w14:paraId="5E06BDE1" w14:textId="77777777" w:rsidTr="00E971AD">
      <w:trPr>
        <w:trHeight w:hRule="exact" w:val="740"/>
      </w:trPr>
      <w:tc>
        <w:tcPr>
          <w:tcW w:w="8278" w:type="dxa"/>
        </w:tcPr>
        <w:p w14:paraId="6B7F46DB" w14:textId="631F5F1B" w:rsidR="002911F2" w:rsidRPr="00135D87" w:rsidRDefault="002911F2" w:rsidP="00403949">
          <w:pPr>
            <w:pStyle w:val="Footer"/>
            <w:jc w:val="right"/>
            <w:rPr>
              <w:rFonts w:cs="Arial"/>
            </w:rPr>
          </w:pPr>
          <w:r w:rsidRPr="00F1504C">
            <w:rPr>
              <w:rFonts w:cs="Arial"/>
              <w:caps w:val="0"/>
            </w:rPr>
            <w:fldChar w:fldCharType="begin"/>
          </w:r>
          <w:r w:rsidRPr="00F1504C">
            <w:rPr>
              <w:rFonts w:cs="Arial"/>
              <w:caps w:val="0"/>
            </w:rPr>
            <w:instrText xml:space="preserve"> TITLE  \* MERGEFORMAT </w:instrText>
          </w:r>
          <w:r w:rsidRPr="00F1504C">
            <w:rPr>
              <w:rFonts w:cs="Arial"/>
              <w:caps w:val="0"/>
            </w:rPr>
            <w:fldChar w:fldCharType="separate"/>
          </w:r>
          <w:proofErr w:type="spellStart"/>
          <w:r w:rsidR="00EE0939">
            <w:rPr>
              <w:rFonts w:cs="Arial"/>
              <w:caps w:val="0"/>
            </w:rPr>
            <w:t>CER</w:t>
          </w:r>
          <w:proofErr w:type="spellEnd"/>
          <w:r w:rsidR="00EE0939">
            <w:rPr>
              <w:rFonts w:cs="Arial"/>
              <w:caps w:val="0"/>
            </w:rPr>
            <w:t xml:space="preserve"> achievements and implications</w:t>
          </w:r>
          <w:r w:rsidRPr="00F1504C">
            <w:rPr>
              <w:rFonts w:cs="Arial"/>
              <w:caps w:val="0"/>
            </w:rPr>
            <w:fldChar w:fldCharType="end"/>
          </w:r>
        </w:p>
      </w:tc>
      <w:tc>
        <w:tcPr>
          <w:tcW w:w="510" w:type="dxa"/>
        </w:tcPr>
        <w:p w14:paraId="0CCE3653" w14:textId="77777777" w:rsidR="002911F2" w:rsidRPr="00135D87" w:rsidRDefault="002911F2"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EE0939">
            <w:rPr>
              <w:rStyle w:val="PageNumber"/>
              <w:rFonts w:cs="Arial"/>
              <w:noProof/>
            </w:rPr>
            <w:t>95</w:t>
          </w:r>
          <w:r w:rsidRPr="00135D87">
            <w:rPr>
              <w:rStyle w:val="PageNumber"/>
              <w:rFonts w:cs="Arial"/>
            </w:rPr>
            <w:fldChar w:fldCharType="end"/>
          </w:r>
        </w:p>
      </w:tc>
    </w:tr>
  </w:tbl>
  <w:p w14:paraId="43AF55A0" w14:textId="77777777" w:rsidR="002911F2" w:rsidRPr="009A6431" w:rsidRDefault="002911F2" w:rsidP="001B53C3">
    <w:pPr>
      <w:pStyle w:val="FooterEnd"/>
    </w:pPr>
  </w:p>
  <w:p w14:paraId="3874C2C0" w14:textId="77777777" w:rsidR="002911F2" w:rsidRDefault="002911F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C5061" w14:textId="77777777" w:rsidR="002911F2" w:rsidRDefault="002911F2">
      <w:r>
        <w:separator/>
      </w:r>
    </w:p>
  </w:footnote>
  <w:footnote w:type="continuationSeparator" w:id="0">
    <w:p w14:paraId="60E2B81F" w14:textId="77777777" w:rsidR="002911F2" w:rsidRDefault="002911F2">
      <w:r>
        <w:continuationSeparator/>
      </w:r>
    </w:p>
  </w:footnote>
  <w:footnote w:type="continuationNotice" w:id="1">
    <w:p w14:paraId="6A79552E" w14:textId="77777777" w:rsidR="002911F2" w:rsidRDefault="002911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911F2" w14:paraId="073AB89F" w14:textId="77777777" w:rsidTr="00582C63">
      <w:tc>
        <w:tcPr>
          <w:tcW w:w="2155" w:type="dxa"/>
          <w:tcBorders>
            <w:top w:val="single" w:sz="24" w:space="0" w:color="86A20B"/>
          </w:tcBorders>
        </w:tcPr>
        <w:p w14:paraId="7CCD24AC" w14:textId="77777777" w:rsidR="002911F2" w:rsidRDefault="002911F2" w:rsidP="007A1ADB">
          <w:pPr>
            <w:pStyle w:val="HeaderEven"/>
          </w:pPr>
        </w:p>
      </w:tc>
      <w:tc>
        <w:tcPr>
          <w:tcW w:w="6634" w:type="dxa"/>
          <w:tcBorders>
            <w:top w:val="dotted" w:sz="18" w:space="0" w:color="B2B2B2"/>
          </w:tcBorders>
        </w:tcPr>
        <w:p w14:paraId="6504E10E" w14:textId="6871CB06" w:rsidR="002911F2" w:rsidRDefault="002911F2" w:rsidP="00A01CB2">
          <w:pPr>
            <w:pStyle w:val="HeaderEven"/>
          </w:pPr>
        </w:p>
      </w:tc>
    </w:tr>
  </w:tbl>
  <w:p w14:paraId="72C959C4" w14:textId="77777777" w:rsidR="002911F2" w:rsidRDefault="002911F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911F2" w14:paraId="24959A74" w14:textId="77777777" w:rsidTr="00582C63">
      <w:tc>
        <w:tcPr>
          <w:tcW w:w="6634" w:type="dxa"/>
          <w:tcBorders>
            <w:top w:val="dotted" w:sz="18" w:space="0" w:color="B2B2B2"/>
          </w:tcBorders>
        </w:tcPr>
        <w:p w14:paraId="6EAF2AD3" w14:textId="095A5FBA" w:rsidR="002911F2" w:rsidRDefault="002911F2" w:rsidP="007A1ADB">
          <w:pPr>
            <w:pStyle w:val="HeaderOdd"/>
          </w:pPr>
        </w:p>
      </w:tc>
      <w:tc>
        <w:tcPr>
          <w:tcW w:w="2155" w:type="dxa"/>
          <w:tcBorders>
            <w:top w:val="single" w:sz="24" w:space="0" w:color="86A20B"/>
          </w:tcBorders>
        </w:tcPr>
        <w:p w14:paraId="510AC0DC" w14:textId="77777777" w:rsidR="002911F2" w:rsidRDefault="002911F2" w:rsidP="007A1ADB">
          <w:pPr>
            <w:pStyle w:val="HeaderOdd"/>
          </w:pPr>
        </w:p>
      </w:tc>
    </w:tr>
  </w:tbl>
  <w:p w14:paraId="1A532883" w14:textId="77777777" w:rsidR="002911F2" w:rsidRDefault="002911F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E614470C"/>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326D48A5"/>
    <w:multiLevelType w:val="hybridMultilevel"/>
    <w:tmpl w:val="1C8438B6"/>
    <w:lvl w:ilvl="0" w:tplc="AD0C49E4">
      <w:start w:val="3"/>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7"/>
  </w:num>
  <w:num w:numId="2">
    <w:abstractNumId w:val="2"/>
  </w:num>
  <w:num w:numId="3">
    <w:abstractNumId w:val="13"/>
  </w:num>
  <w:num w:numId="4">
    <w:abstractNumId w:val="0"/>
  </w:num>
  <w:num w:numId="5">
    <w:abstractNumId w:val="9"/>
  </w:num>
  <w:num w:numId="6">
    <w:abstractNumId w:val="1"/>
  </w:num>
  <w:num w:numId="7">
    <w:abstractNumId w:val="12"/>
  </w:num>
  <w:num w:numId="8">
    <w:abstractNumId w:val="11"/>
  </w:num>
  <w:num w:numId="9">
    <w:abstractNumId w:val="14"/>
  </w:num>
  <w:num w:numId="10">
    <w:abstractNumId w:val="5"/>
  </w:num>
  <w:num w:numId="11">
    <w:abstractNumId w:val="10"/>
  </w:num>
  <w:num w:numId="12">
    <w:abstractNumId w:val="4"/>
  </w:num>
  <w:num w:numId="13">
    <w:abstractNumId w:val="3"/>
  </w:num>
  <w:num w:numId="14">
    <w:abstractNumId w:val="6"/>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ER achievements and implications"/>
    <w:docVar w:name="ShortReportTitle" w:val="Strengthening Trans-Tasman Economic Relations"/>
  </w:docVars>
  <w:rsids>
    <w:rsidRoot w:val="00DD0ACE"/>
    <w:rsid w:val="00004A62"/>
    <w:rsid w:val="00005D76"/>
    <w:rsid w:val="0001095C"/>
    <w:rsid w:val="00011E67"/>
    <w:rsid w:val="00012E3D"/>
    <w:rsid w:val="00022AC0"/>
    <w:rsid w:val="000245AA"/>
    <w:rsid w:val="00025005"/>
    <w:rsid w:val="00025CD5"/>
    <w:rsid w:val="00025E04"/>
    <w:rsid w:val="00026239"/>
    <w:rsid w:val="000307D8"/>
    <w:rsid w:val="000322C1"/>
    <w:rsid w:val="000329A7"/>
    <w:rsid w:val="000339E7"/>
    <w:rsid w:val="00033DC5"/>
    <w:rsid w:val="00034C6B"/>
    <w:rsid w:val="0003664B"/>
    <w:rsid w:val="00037D27"/>
    <w:rsid w:val="000401D7"/>
    <w:rsid w:val="0004111F"/>
    <w:rsid w:val="00041329"/>
    <w:rsid w:val="000443CB"/>
    <w:rsid w:val="00044CC6"/>
    <w:rsid w:val="00044D11"/>
    <w:rsid w:val="00045EBB"/>
    <w:rsid w:val="000469DA"/>
    <w:rsid w:val="000469FA"/>
    <w:rsid w:val="00046C5C"/>
    <w:rsid w:val="0005152B"/>
    <w:rsid w:val="00051CA9"/>
    <w:rsid w:val="00052CAA"/>
    <w:rsid w:val="00053DC3"/>
    <w:rsid w:val="000553BF"/>
    <w:rsid w:val="00055B7F"/>
    <w:rsid w:val="000565B3"/>
    <w:rsid w:val="00063C52"/>
    <w:rsid w:val="0007150B"/>
    <w:rsid w:val="00071949"/>
    <w:rsid w:val="00071C3A"/>
    <w:rsid w:val="0007380A"/>
    <w:rsid w:val="00075206"/>
    <w:rsid w:val="000775DC"/>
    <w:rsid w:val="000803C1"/>
    <w:rsid w:val="0008052B"/>
    <w:rsid w:val="000805B9"/>
    <w:rsid w:val="00081FA7"/>
    <w:rsid w:val="00082D9F"/>
    <w:rsid w:val="00083E90"/>
    <w:rsid w:val="00083F1F"/>
    <w:rsid w:val="0008507F"/>
    <w:rsid w:val="00087BBA"/>
    <w:rsid w:val="00090EDA"/>
    <w:rsid w:val="000938F5"/>
    <w:rsid w:val="000959CD"/>
    <w:rsid w:val="000964BA"/>
    <w:rsid w:val="000972E4"/>
    <w:rsid w:val="00097375"/>
    <w:rsid w:val="000A095C"/>
    <w:rsid w:val="000A0DEE"/>
    <w:rsid w:val="000A2F63"/>
    <w:rsid w:val="000A4AEA"/>
    <w:rsid w:val="000A7761"/>
    <w:rsid w:val="000B07E8"/>
    <w:rsid w:val="000B2161"/>
    <w:rsid w:val="000B54A6"/>
    <w:rsid w:val="000B5B20"/>
    <w:rsid w:val="000B601B"/>
    <w:rsid w:val="000B6F7A"/>
    <w:rsid w:val="000B74FE"/>
    <w:rsid w:val="000B7550"/>
    <w:rsid w:val="000C207E"/>
    <w:rsid w:val="000C3DBA"/>
    <w:rsid w:val="000C414A"/>
    <w:rsid w:val="000C59E5"/>
    <w:rsid w:val="000C645D"/>
    <w:rsid w:val="000C65D6"/>
    <w:rsid w:val="000D03C1"/>
    <w:rsid w:val="000D3DF4"/>
    <w:rsid w:val="000D748E"/>
    <w:rsid w:val="000E3E47"/>
    <w:rsid w:val="000E4F45"/>
    <w:rsid w:val="000E777D"/>
    <w:rsid w:val="000F4DBC"/>
    <w:rsid w:val="000F53FA"/>
    <w:rsid w:val="0010070C"/>
    <w:rsid w:val="00101F25"/>
    <w:rsid w:val="00102313"/>
    <w:rsid w:val="00103EDD"/>
    <w:rsid w:val="00105A12"/>
    <w:rsid w:val="00107DBA"/>
    <w:rsid w:val="00110116"/>
    <w:rsid w:val="001106B8"/>
    <w:rsid w:val="00110FD6"/>
    <w:rsid w:val="0011127A"/>
    <w:rsid w:val="001123B2"/>
    <w:rsid w:val="001137CB"/>
    <w:rsid w:val="00117216"/>
    <w:rsid w:val="00117DC4"/>
    <w:rsid w:val="00121343"/>
    <w:rsid w:val="00125967"/>
    <w:rsid w:val="00126919"/>
    <w:rsid w:val="00126EB8"/>
    <w:rsid w:val="001274D4"/>
    <w:rsid w:val="00130D4C"/>
    <w:rsid w:val="00132713"/>
    <w:rsid w:val="001363AA"/>
    <w:rsid w:val="001401DF"/>
    <w:rsid w:val="0014773F"/>
    <w:rsid w:val="00147CF6"/>
    <w:rsid w:val="00147DE6"/>
    <w:rsid w:val="00155D93"/>
    <w:rsid w:val="00160255"/>
    <w:rsid w:val="00162D77"/>
    <w:rsid w:val="00164EEA"/>
    <w:rsid w:val="0017013D"/>
    <w:rsid w:val="00170169"/>
    <w:rsid w:val="00172500"/>
    <w:rsid w:val="00174CBF"/>
    <w:rsid w:val="00175F00"/>
    <w:rsid w:val="00176DF5"/>
    <w:rsid w:val="00181522"/>
    <w:rsid w:val="00182A2E"/>
    <w:rsid w:val="00183E82"/>
    <w:rsid w:val="001847B3"/>
    <w:rsid w:val="001848D9"/>
    <w:rsid w:val="0018598C"/>
    <w:rsid w:val="001865A8"/>
    <w:rsid w:val="001872C1"/>
    <w:rsid w:val="001909DE"/>
    <w:rsid w:val="00191AE0"/>
    <w:rsid w:val="00192303"/>
    <w:rsid w:val="0019293B"/>
    <w:rsid w:val="001934E9"/>
    <w:rsid w:val="00195648"/>
    <w:rsid w:val="001975DD"/>
    <w:rsid w:val="00197B20"/>
    <w:rsid w:val="001A1241"/>
    <w:rsid w:val="001A1FE0"/>
    <w:rsid w:val="001A35EA"/>
    <w:rsid w:val="001A5B3C"/>
    <w:rsid w:val="001A6964"/>
    <w:rsid w:val="001A6F09"/>
    <w:rsid w:val="001A7405"/>
    <w:rsid w:val="001B0467"/>
    <w:rsid w:val="001B1511"/>
    <w:rsid w:val="001B53C3"/>
    <w:rsid w:val="001B57CC"/>
    <w:rsid w:val="001B637B"/>
    <w:rsid w:val="001B7269"/>
    <w:rsid w:val="001C0865"/>
    <w:rsid w:val="001C29B6"/>
    <w:rsid w:val="001C2A74"/>
    <w:rsid w:val="001C3ABA"/>
    <w:rsid w:val="001D2BC9"/>
    <w:rsid w:val="001D419A"/>
    <w:rsid w:val="001D5033"/>
    <w:rsid w:val="001E089C"/>
    <w:rsid w:val="001E4AF4"/>
    <w:rsid w:val="001E545C"/>
    <w:rsid w:val="001E7BE8"/>
    <w:rsid w:val="001F0248"/>
    <w:rsid w:val="001F1343"/>
    <w:rsid w:val="001F2E4F"/>
    <w:rsid w:val="001F3880"/>
    <w:rsid w:val="001F3EB3"/>
    <w:rsid w:val="001F40E3"/>
    <w:rsid w:val="00202C2C"/>
    <w:rsid w:val="00202CD8"/>
    <w:rsid w:val="00205DB6"/>
    <w:rsid w:val="00210D3E"/>
    <w:rsid w:val="002120D3"/>
    <w:rsid w:val="00212CFD"/>
    <w:rsid w:val="00215810"/>
    <w:rsid w:val="00215C62"/>
    <w:rsid w:val="002161B8"/>
    <w:rsid w:val="0021686E"/>
    <w:rsid w:val="00216F6E"/>
    <w:rsid w:val="0022091A"/>
    <w:rsid w:val="00222635"/>
    <w:rsid w:val="002246E5"/>
    <w:rsid w:val="00230BCB"/>
    <w:rsid w:val="00235BF9"/>
    <w:rsid w:val="0024028E"/>
    <w:rsid w:val="002411EB"/>
    <w:rsid w:val="0024170E"/>
    <w:rsid w:val="00242279"/>
    <w:rsid w:val="002425F7"/>
    <w:rsid w:val="00243156"/>
    <w:rsid w:val="00243645"/>
    <w:rsid w:val="0024407D"/>
    <w:rsid w:val="002446DF"/>
    <w:rsid w:val="00245594"/>
    <w:rsid w:val="00245C82"/>
    <w:rsid w:val="002460B5"/>
    <w:rsid w:val="0024644D"/>
    <w:rsid w:val="00246BEB"/>
    <w:rsid w:val="00247314"/>
    <w:rsid w:val="00247530"/>
    <w:rsid w:val="00250FAA"/>
    <w:rsid w:val="00251925"/>
    <w:rsid w:val="0025406D"/>
    <w:rsid w:val="002543FA"/>
    <w:rsid w:val="00254B99"/>
    <w:rsid w:val="002551AB"/>
    <w:rsid w:val="00255789"/>
    <w:rsid w:val="00256256"/>
    <w:rsid w:val="00256876"/>
    <w:rsid w:val="00256988"/>
    <w:rsid w:val="00256C42"/>
    <w:rsid w:val="00257628"/>
    <w:rsid w:val="002622E8"/>
    <w:rsid w:val="002648D1"/>
    <w:rsid w:val="00264907"/>
    <w:rsid w:val="00272962"/>
    <w:rsid w:val="00273060"/>
    <w:rsid w:val="00273BF3"/>
    <w:rsid w:val="002765F8"/>
    <w:rsid w:val="00276AAC"/>
    <w:rsid w:val="002812A8"/>
    <w:rsid w:val="00282BFF"/>
    <w:rsid w:val="002840B8"/>
    <w:rsid w:val="002855AB"/>
    <w:rsid w:val="002859CF"/>
    <w:rsid w:val="00285D51"/>
    <w:rsid w:val="002865E9"/>
    <w:rsid w:val="002873B9"/>
    <w:rsid w:val="002911F2"/>
    <w:rsid w:val="002915A6"/>
    <w:rsid w:val="002916BF"/>
    <w:rsid w:val="00291B40"/>
    <w:rsid w:val="00291CB8"/>
    <w:rsid w:val="00294A83"/>
    <w:rsid w:val="00296A49"/>
    <w:rsid w:val="002A015C"/>
    <w:rsid w:val="002A0E8E"/>
    <w:rsid w:val="002A3739"/>
    <w:rsid w:val="002A484B"/>
    <w:rsid w:val="002A7B34"/>
    <w:rsid w:val="002B4008"/>
    <w:rsid w:val="002B499B"/>
    <w:rsid w:val="002B6178"/>
    <w:rsid w:val="002B71E6"/>
    <w:rsid w:val="002B7FA6"/>
    <w:rsid w:val="002C1737"/>
    <w:rsid w:val="002C5D8A"/>
    <w:rsid w:val="002C5E6D"/>
    <w:rsid w:val="002C6C70"/>
    <w:rsid w:val="002D00EB"/>
    <w:rsid w:val="002D0E8E"/>
    <w:rsid w:val="002D2C14"/>
    <w:rsid w:val="002D55C3"/>
    <w:rsid w:val="002D7363"/>
    <w:rsid w:val="002D73B7"/>
    <w:rsid w:val="002E050B"/>
    <w:rsid w:val="002E2E1F"/>
    <w:rsid w:val="002E4CE4"/>
    <w:rsid w:val="002F2914"/>
    <w:rsid w:val="002F2B3D"/>
    <w:rsid w:val="002F322E"/>
    <w:rsid w:val="002F368D"/>
    <w:rsid w:val="002F7587"/>
    <w:rsid w:val="00301189"/>
    <w:rsid w:val="0030209D"/>
    <w:rsid w:val="00302FBB"/>
    <w:rsid w:val="003042E3"/>
    <w:rsid w:val="00311448"/>
    <w:rsid w:val="00312819"/>
    <w:rsid w:val="00312CA0"/>
    <w:rsid w:val="003155CC"/>
    <w:rsid w:val="00316CBE"/>
    <w:rsid w:val="0031732C"/>
    <w:rsid w:val="003217B1"/>
    <w:rsid w:val="003236D3"/>
    <w:rsid w:val="00323C43"/>
    <w:rsid w:val="00323E09"/>
    <w:rsid w:val="003246EE"/>
    <w:rsid w:val="003263FC"/>
    <w:rsid w:val="003268C3"/>
    <w:rsid w:val="00332E06"/>
    <w:rsid w:val="00333932"/>
    <w:rsid w:val="00341F1A"/>
    <w:rsid w:val="003443E0"/>
    <w:rsid w:val="003462CF"/>
    <w:rsid w:val="00346372"/>
    <w:rsid w:val="003472A8"/>
    <w:rsid w:val="003518AA"/>
    <w:rsid w:val="00352165"/>
    <w:rsid w:val="00353182"/>
    <w:rsid w:val="003565D9"/>
    <w:rsid w:val="00357E99"/>
    <w:rsid w:val="003602E1"/>
    <w:rsid w:val="00360B9A"/>
    <w:rsid w:val="003614C5"/>
    <w:rsid w:val="00361828"/>
    <w:rsid w:val="00362BF5"/>
    <w:rsid w:val="00364791"/>
    <w:rsid w:val="00364FC2"/>
    <w:rsid w:val="0036553D"/>
    <w:rsid w:val="00367100"/>
    <w:rsid w:val="00367CA4"/>
    <w:rsid w:val="00367F6C"/>
    <w:rsid w:val="0037026F"/>
    <w:rsid w:val="00371240"/>
    <w:rsid w:val="003716EA"/>
    <w:rsid w:val="00372AD6"/>
    <w:rsid w:val="0037317A"/>
    <w:rsid w:val="003733E5"/>
    <w:rsid w:val="003734FD"/>
    <w:rsid w:val="00373690"/>
    <w:rsid w:val="00374731"/>
    <w:rsid w:val="00380EC9"/>
    <w:rsid w:val="00386A6D"/>
    <w:rsid w:val="00390AFB"/>
    <w:rsid w:val="003919F9"/>
    <w:rsid w:val="003A2E07"/>
    <w:rsid w:val="003A6185"/>
    <w:rsid w:val="003B00C1"/>
    <w:rsid w:val="003B1280"/>
    <w:rsid w:val="003B155C"/>
    <w:rsid w:val="003B1DF9"/>
    <w:rsid w:val="003B2FAC"/>
    <w:rsid w:val="003B38C6"/>
    <w:rsid w:val="003B3EE1"/>
    <w:rsid w:val="003B60C7"/>
    <w:rsid w:val="003B6FCA"/>
    <w:rsid w:val="003C0EDE"/>
    <w:rsid w:val="003C2277"/>
    <w:rsid w:val="003C38B5"/>
    <w:rsid w:val="003C559B"/>
    <w:rsid w:val="003C5D99"/>
    <w:rsid w:val="003C622C"/>
    <w:rsid w:val="003C6DD3"/>
    <w:rsid w:val="003D1361"/>
    <w:rsid w:val="003D18F5"/>
    <w:rsid w:val="003D38A4"/>
    <w:rsid w:val="003D48DD"/>
    <w:rsid w:val="003D743D"/>
    <w:rsid w:val="003E0D56"/>
    <w:rsid w:val="003E2F59"/>
    <w:rsid w:val="003E5E26"/>
    <w:rsid w:val="003E66A1"/>
    <w:rsid w:val="003E7437"/>
    <w:rsid w:val="003F0789"/>
    <w:rsid w:val="003F17ED"/>
    <w:rsid w:val="003F72F2"/>
    <w:rsid w:val="0040030B"/>
    <w:rsid w:val="00401882"/>
    <w:rsid w:val="00402B38"/>
    <w:rsid w:val="004032D5"/>
    <w:rsid w:val="00403949"/>
    <w:rsid w:val="00405E12"/>
    <w:rsid w:val="00406CFE"/>
    <w:rsid w:val="004100C8"/>
    <w:rsid w:val="00411DBD"/>
    <w:rsid w:val="00412ACE"/>
    <w:rsid w:val="00415D36"/>
    <w:rsid w:val="004167E1"/>
    <w:rsid w:val="00416EF8"/>
    <w:rsid w:val="00421A46"/>
    <w:rsid w:val="00422B7E"/>
    <w:rsid w:val="00426219"/>
    <w:rsid w:val="004267F6"/>
    <w:rsid w:val="00431249"/>
    <w:rsid w:val="00431410"/>
    <w:rsid w:val="00434C19"/>
    <w:rsid w:val="00435882"/>
    <w:rsid w:val="00445798"/>
    <w:rsid w:val="00450810"/>
    <w:rsid w:val="00450890"/>
    <w:rsid w:val="004532BB"/>
    <w:rsid w:val="00455C5C"/>
    <w:rsid w:val="00455E84"/>
    <w:rsid w:val="00456526"/>
    <w:rsid w:val="00461E83"/>
    <w:rsid w:val="0046211F"/>
    <w:rsid w:val="00462454"/>
    <w:rsid w:val="00462499"/>
    <w:rsid w:val="00462CC0"/>
    <w:rsid w:val="00464738"/>
    <w:rsid w:val="0046678A"/>
    <w:rsid w:val="0047352D"/>
    <w:rsid w:val="00473617"/>
    <w:rsid w:val="004744EC"/>
    <w:rsid w:val="00477144"/>
    <w:rsid w:val="00480074"/>
    <w:rsid w:val="00480E09"/>
    <w:rsid w:val="00480E3A"/>
    <w:rsid w:val="00480FE4"/>
    <w:rsid w:val="004814EC"/>
    <w:rsid w:val="0048372B"/>
    <w:rsid w:val="00483F04"/>
    <w:rsid w:val="0048675F"/>
    <w:rsid w:val="0049459F"/>
    <w:rsid w:val="0049653F"/>
    <w:rsid w:val="004A0BBA"/>
    <w:rsid w:val="004A20CF"/>
    <w:rsid w:val="004A38DD"/>
    <w:rsid w:val="004A47CD"/>
    <w:rsid w:val="004A56FD"/>
    <w:rsid w:val="004B0230"/>
    <w:rsid w:val="004B1773"/>
    <w:rsid w:val="004B3C30"/>
    <w:rsid w:val="004B43AE"/>
    <w:rsid w:val="004B5BB5"/>
    <w:rsid w:val="004B7159"/>
    <w:rsid w:val="004B72FC"/>
    <w:rsid w:val="004C0959"/>
    <w:rsid w:val="004C192E"/>
    <w:rsid w:val="004C30ED"/>
    <w:rsid w:val="004C39E8"/>
    <w:rsid w:val="004C7602"/>
    <w:rsid w:val="004C7BE8"/>
    <w:rsid w:val="004D1459"/>
    <w:rsid w:val="004D28C3"/>
    <w:rsid w:val="004D5675"/>
    <w:rsid w:val="004D5B78"/>
    <w:rsid w:val="004E19FC"/>
    <w:rsid w:val="004E2F73"/>
    <w:rsid w:val="004E4CF6"/>
    <w:rsid w:val="004E4DAF"/>
    <w:rsid w:val="004E4FB7"/>
    <w:rsid w:val="004E643C"/>
    <w:rsid w:val="004E73BC"/>
    <w:rsid w:val="004E76AD"/>
    <w:rsid w:val="004E76C7"/>
    <w:rsid w:val="004E789E"/>
    <w:rsid w:val="004F5C1B"/>
    <w:rsid w:val="004F68B5"/>
    <w:rsid w:val="004F6DCB"/>
    <w:rsid w:val="004F71B8"/>
    <w:rsid w:val="004F73F3"/>
    <w:rsid w:val="0050287E"/>
    <w:rsid w:val="005030DB"/>
    <w:rsid w:val="00503432"/>
    <w:rsid w:val="005034C8"/>
    <w:rsid w:val="005043B5"/>
    <w:rsid w:val="00504BE9"/>
    <w:rsid w:val="00505027"/>
    <w:rsid w:val="00513E15"/>
    <w:rsid w:val="00515020"/>
    <w:rsid w:val="00515050"/>
    <w:rsid w:val="00515BB4"/>
    <w:rsid w:val="00515F3F"/>
    <w:rsid w:val="00522159"/>
    <w:rsid w:val="00523639"/>
    <w:rsid w:val="00523FEA"/>
    <w:rsid w:val="005247AD"/>
    <w:rsid w:val="005248B8"/>
    <w:rsid w:val="005256BE"/>
    <w:rsid w:val="0052583A"/>
    <w:rsid w:val="00527724"/>
    <w:rsid w:val="00531DE9"/>
    <w:rsid w:val="0053326B"/>
    <w:rsid w:val="005334AF"/>
    <w:rsid w:val="0053419E"/>
    <w:rsid w:val="00535EAA"/>
    <w:rsid w:val="00540B12"/>
    <w:rsid w:val="00542522"/>
    <w:rsid w:val="005429BC"/>
    <w:rsid w:val="005433F4"/>
    <w:rsid w:val="00544FE8"/>
    <w:rsid w:val="00545DC0"/>
    <w:rsid w:val="00551045"/>
    <w:rsid w:val="00552C7C"/>
    <w:rsid w:val="00553C72"/>
    <w:rsid w:val="00561A4F"/>
    <w:rsid w:val="00570155"/>
    <w:rsid w:val="0057319E"/>
    <w:rsid w:val="00573EBE"/>
    <w:rsid w:val="00582C63"/>
    <w:rsid w:val="00583C39"/>
    <w:rsid w:val="005852D3"/>
    <w:rsid w:val="005853BE"/>
    <w:rsid w:val="00585EFA"/>
    <w:rsid w:val="00587EAB"/>
    <w:rsid w:val="005909CF"/>
    <w:rsid w:val="00590AAA"/>
    <w:rsid w:val="005912FE"/>
    <w:rsid w:val="00591E71"/>
    <w:rsid w:val="0059291E"/>
    <w:rsid w:val="005960D9"/>
    <w:rsid w:val="0059664F"/>
    <w:rsid w:val="00597C14"/>
    <w:rsid w:val="005A0D41"/>
    <w:rsid w:val="005A16EA"/>
    <w:rsid w:val="005A184D"/>
    <w:rsid w:val="005A1BC0"/>
    <w:rsid w:val="005A3412"/>
    <w:rsid w:val="005B088E"/>
    <w:rsid w:val="005B1388"/>
    <w:rsid w:val="005B154C"/>
    <w:rsid w:val="005B3D92"/>
    <w:rsid w:val="005B5790"/>
    <w:rsid w:val="005B7B49"/>
    <w:rsid w:val="005C14FB"/>
    <w:rsid w:val="005C1B4B"/>
    <w:rsid w:val="005C2C21"/>
    <w:rsid w:val="005C40E7"/>
    <w:rsid w:val="005C4995"/>
    <w:rsid w:val="005C4B85"/>
    <w:rsid w:val="005C782E"/>
    <w:rsid w:val="005D2013"/>
    <w:rsid w:val="005D21CB"/>
    <w:rsid w:val="005D303E"/>
    <w:rsid w:val="005D51BD"/>
    <w:rsid w:val="005D51E6"/>
    <w:rsid w:val="005D5623"/>
    <w:rsid w:val="005E0077"/>
    <w:rsid w:val="005E05EA"/>
    <w:rsid w:val="005E5C10"/>
    <w:rsid w:val="005F2580"/>
    <w:rsid w:val="005F2FDA"/>
    <w:rsid w:val="005F3038"/>
    <w:rsid w:val="005F33BE"/>
    <w:rsid w:val="005F4E5A"/>
    <w:rsid w:val="00603927"/>
    <w:rsid w:val="00607BF1"/>
    <w:rsid w:val="00611A0C"/>
    <w:rsid w:val="00613656"/>
    <w:rsid w:val="00614DAB"/>
    <w:rsid w:val="006202DC"/>
    <w:rsid w:val="0062070C"/>
    <w:rsid w:val="00622B24"/>
    <w:rsid w:val="006230BB"/>
    <w:rsid w:val="006235DF"/>
    <w:rsid w:val="00624E3C"/>
    <w:rsid w:val="00624F64"/>
    <w:rsid w:val="00626934"/>
    <w:rsid w:val="00630379"/>
    <w:rsid w:val="00630D4D"/>
    <w:rsid w:val="00632A74"/>
    <w:rsid w:val="006337E5"/>
    <w:rsid w:val="00633B11"/>
    <w:rsid w:val="00635233"/>
    <w:rsid w:val="006364CD"/>
    <w:rsid w:val="00636D40"/>
    <w:rsid w:val="00641269"/>
    <w:rsid w:val="00646829"/>
    <w:rsid w:val="006469E7"/>
    <w:rsid w:val="00646E54"/>
    <w:rsid w:val="00647E85"/>
    <w:rsid w:val="0065111E"/>
    <w:rsid w:val="006545E5"/>
    <w:rsid w:val="00654A2C"/>
    <w:rsid w:val="0065526F"/>
    <w:rsid w:val="00661D90"/>
    <w:rsid w:val="006628F9"/>
    <w:rsid w:val="006638FC"/>
    <w:rsid w:val="00667181"/>
    <w:rsid w:val="00671AB1"/>
    <w:rsid w:val="00672C68"/>
    <w:rsid w:val="00674A5E"/>
    <w:rsid w:val="00675948"/>
    <w:rsid w:val="00675A05"/>
    <w:rsid w:val="00676852"/>
    <w:rsid w:val="00677E22"/>
    <w:rsid w:val="006832F8"/>
    <w:rsid w:val="00686AB8"/>
    <w:rsid w:val="00687245"/>
    <w:rsid w:val="00692775"/>
    <w:rsid w:val="00693402"/>
    <w:rsid w:val="00696CBE"/>
    <w:rsid w:val="006A2AAC"/>
    <w:rsid w:val="006A3E08"/>
    <w:rsid w:val="006A42B0"/>
    <w:rsid w:val="006A4570"/>
    <w:rsid w:val="006A4655"/>
    <w:rsid w:val="006A481C"/>
    <w:rsid w:val="006A49A3"/>
    <w:rsid w:val="006A6B94"/>
    <w:rsid w:val="006B198F"/>
    <w:rsid w:val="006B208F"/>
    <w:rsid w:val="006B2B3C"/>
    <w:rsid w:val="006B2E27"/>
    <w:rsid w:val="006B36B7"/>
    <w:rsid w:val="006B4043"/>
    <w:rsid w:val="006B43C5"/>
    <w:rsid w:val="006B5E9A"/>
    <w:rsid w:val="006B6008"/>
    <w:rsid w:val="006B7C44"/>
    <w:rsid w:val="006C02C0"/>
    <w:rsid w:val="006C1D81"/>
    <w:rsid w:val="006C7038"/>
    <w:rsid w:val="006C7287"/>
    <w:rsid w:val="006D0741"/>
    <w:rsid w:val="006D4905"/>
    <w:rsid w:val="006D64FE"/>
    <w:rsid w:val="006D6F46"/>
    <w:rsid w:val="006E3A5D"/>
    <w:rsid w:val="006E3D78"/>
    <w:rsid w:val="006E73EF"/>
    <w:rsid w:val="006F256F"/>
    <w:rsid w:val="006F52A5"/>
    <w:rsid w:val="006F7F03"/>
    <w:rsid w:val="00705627"/>
    <w:rsid w:val="00705FC5"/>
    <w:rsid w:val="007077E9"/>
    <w:rsid w:val="0070787E"/>
    <w:rsid w:val="00712269"/>
    <w:rsid w:val="00712945"/>
    <w:rsid w:val="00713817"/>
    <w:rsid w:val="00713D75"/>
    <w:rsid w:val="0071411B"/>
    <w:rsid w:val="00714D4D"/>
    <w:rsid w:val="007171CB"/>
    <w:rsid w:val="00717829"/>
    <w:rsid w:val="00717F21"/>
    <w:rsid w:val="007203B4"/>
    <w:rsid w:val="007207DD"/>
    <w:rsid w:val="00721766"/>
    <w:rsid w:val="00725064"/>
    <w:rsid w:val="00727F60"/>
    <w:rsid w:val="00731706"/>
    <w:rsid w:val="00731D17"/>
    <w:rsid w:val="00732390"/>
    <w:rsid w:val="00732D12"/>
    <w:rsid w:val="007343A8"/>
    <w:rsid w:val="00735B27"/>
    <w:rsid w:val="007364C8"/>
    <w:rsid w:val="00737500"/>
    <w:rsid w:val="00737DF1"/>
    <w:rsid w:val="00743030"/>
    <w:rsid w:val="00744C31"/>
    <w:rsid w:val="00746A2A"/>
    <w:rsid w:val="00750B56"/>
    <w:rsid w:val="0075145C"/>
    <w:rsid w:val="0075325E"/>
    <w:rsid w:val="007576FE"/>
    <w:rsid w:val="007604BB"/>
    <w:rsid w:val="00760B34"/>
    <w:rsid w:val="007617F1"/>
    <w:rsid w:val="0076438F"/>
    <w:rsid w:val="00770A6A"/>
    <w:rsid w:val="00772FFA"/>
    <w:rsid w:val="00773651"/>
    <w:rsid w:val="00773994"/>
    <w:rsid w:val="00774BE0"/>
    <w:rsid w:val="00775FB0"/>
    <w:rsid w:val="00780E55"/>
    <w:rsid w:val="0078286B"/>
    <w:rsid w:val="00785232"/>
    <w:rsid w:val="00785B9E"/>
    <w:rsid w:val="007861F9"/>
    <w:rsid w:val="0079281C"/>
    <w:rsid w:val="00794ADE"/>
    <w:rsid w:val="00795388"/>
    <w:rsid w:val="00796850"/>
    <w:rsid w:val="007974EC"/>
    <w:rsid w:val="007A1ADB"/>
    <w:rsid w:val="007A21EB"/>
    <w:rsid w:val="007A2461"/>
    <w:rsid w:val="007A25D3"/>
    <w:rsid w:val="007A683C"/>
    <w:rsid w:val="007B2D58"/>
    <w:rsid w:val="007B3BF3"/>
    <w:rsid w:val="007B3EB8"/>
    <w:rsid w:val="007B55B4"/>
    <w:rsid w:val="007C1951"/>
    <w:rsid w:val="007C1C05"/>
    <w:rsid w:val="007C36C9"/>
    <w:rsid w:val="007C7444"/>
    <w:rsid w:val="007D10E0"/>
    <w:rsid w:val="007D126D"/>
    <w:rsid w:val="007D2D4D"/>
    <w:rsid w:val="007D5FDC"/>
    <w:rsid w:val="007D6401"/>
    <w:rsid w:val="007E01E4"/>
    <w:rsid w:val="007E06FF"/>
    <w:rsid w:val="007E1A0E"/>
    <w:rsid w:val="007E4061"/>
    <w:rsid w:val="007E5048"/>
    <w:rsid w:val="007E51AE"/>
    <w:rsid w:val="007F15B1"/>
    <w:rsid w:val="007F20F6"/>
    <w:rsid w:val="007F45C1"/>
    <w:rsid w:val="007F54F8"/>
    <w:rsid w:val="007F7107"/>
    <w:rsid w:val="00800198"/>
    <w:rsid w:val="00803DD8"/>
    <w:rsid w:val="008051D0"/>
    <w:rsid w:val="00805F09"/>
    <w:rsid w:val="0081017B"/>
    <w:rsid w:val="0081030F"/>
    <w:rsid w:val="0081425C"/>
    <w:rsid w:val="008143BA"/>
    <w:rsid w:val="008161F2"/>
    <w:rsid w:val="00816B26"/>
    <w:rsid w:val="0082087D"/>
    <w:rsid w:val="00823303"/>
    <w:rsid w:val="0082372A"/>
    <w:rsid w:val="00824958"/>
    <w:rsid w:val="0082505D"/>
    <w:rsid w:val="008256D3"/>
    <w:rsid w:val="00831C4A"/>
    <w:rsid w:val="00834D93"/>
    <w:rsid w:val="00835890"/>
    <w:rsid w:val="00837009"/>
    <w:rsid w:val="00842237"/>
    <w:rsid w:val="00842933"/>
    <w:rsid w:val="008433E7"/>
    <w:rsid w:val="00847E62"/>
    <w:rsid w:val="0085233E"/>
    <w:rsid w:val="00854173"/>
    <w:rsid w:val="00854A35"/>
    <w:rsid w:val="00855A59"/>
    <w:rsid w:val="00857617"/>
    <w:rsid w:val="0086082C"/>
    <w:rsid w:val="00860F68"/>
    <w:rsid w:val="0086197C"/>
    <w:rsid w:val="008634EA"/>
    <w:rsid w:val="00863913"/>
    <w:rsid w:val="0086467E"/>
    <w:rsid w:val="00864ADC"/>
    <w:rsid w:val="0086680A"/>
    <w:rsid w:val="008719AF"/>
    <w:rsid w:val="00871D18"/>
    <w:rsid w:val="008737AE"/>
    <w:rsid w:val="00875E47"/>
    <w:rsid w:val="00880153"/>
    <w:rsid w:val="00880F97"/>
    <w:rsid w:val="0088133A"/>
    <w:rsid w:val="00881FB5"/>
    <w:rsid w:val="0088386A"/>
    <w:rsid w:val="00883C8B"/>
    <w:rsid w:val="008862C2"/>
    <w:rsid w:val="0088647D"/>
    <w:rsid w:val="00890350"/>
    <w:rsid w:val="0089285E"/>
    <w:rsid w:val="0089436C"/>
    <w:rsid w:val="008943AA"/>
    <w:rsid w:val="0089637F"/>
    <w:rsid w:val="008A018F"/>
    <w:rsid w:val="008A1283"/>
    <w:rsid w:val="008A2934"/>
    <w:rsid w:val="008A2F0F"/>
    <w:rsid w:val="008A466B"/>
    <w:rsid w:val="008A4FE9"/>
    <w:rsid w:val="008B097E"/>
    <w:rsid w:val="008B0C78"/>
    <w:rsid w:val="008B1386"/>
    <w:rsid w:val="008B26D1"/>
    <w:rsid w:val="008B6CD9"/>
    <w:rsid w:val="008C2ECA"/>
    <w:rsid w:val="008C4CDF"/>
    <w:rsid w:val="008C789A"/>
    <w:rsid w:val="008D1311"/>
    <w:rsid w:val="008D2F78"/>
    <w:rsid w:val="008D32CD"/>
    <w:rsid w:val="008D365C"/>
    <w:rsid w:val="008D3889"/>
    <w:rsid w:val="008D3C33"/>
    <w:rsid w:val="008D4E64"/>
    <w:rsid w:val="008D505D"/>
    <w:rsid w:val="008D60A3"/>
    <w:rsid w:val="008D66ED"/>
    <w:rsid w:val="008D7683"/>
    <w:rsid w:val="008E0369"/>
    <w:rsid w:val="008E159B"/>
    <w:rsid w:val="008E3C45"/>
    <w:rsid w:val="008E4A52"/>
    <w:rsid w:val="008E6F04"/>
    <w:rsid w:val="008E789C"/>
    <w:rsid w:val="008F4117"/>
    <w:rsid w:val="008F4310"/>
    <w:rsid w:val="008F47D1"/>
    <w:rsid w:val="008F4CF4"/>
    <w:rsid w:val="008F5E77"/>
    <w:rsid w:val="008F6719"/>
    <w:rsid w:val="009024C5"/>
    <w:rsid w:val="00903092"/>
    <w:rsid w:val="009030BF"/>
    <w:rsid w:val="00903DF4"/>
    <w:rsid w:val="009055F4"/>
    <w:rsid w:val="009075FB"/>
    <w:rsid w:val="009077CB"/>
    <w:rsid w:val="00910893"/>
    <w:rsid w:val="009115EF"/>
    <w:rsid w:val="00911BE7"/>
    <w:rsid w:val="00912CEB"/>
    <w:rsid w:val="00914368"/>
    <w:rsid w:val="00914858"/>
    <w:rsid w:val="009156EB"/>
    <w:rsid w:val="00916938"/>
    <w:rsid w:val="009171AA"/>
    <w:rsid w:val="00922A0B"/>
    <w:rsid w:val="00926B9B"/>
    <w:rsid w:val="00930247"/>
    <w:rsid w:val="00930F14"/>
    <w:rsid w:val="00931002"/>
    <w:rsid w:val="00931076"/>
    <w:rsid w:val="00932506"/>
    <w:rsid w:val="009345D9"/>
    <w:rsid w:val="00934B15"/>
    <w:rsid w:val="00936C78"/>
    <w:rsid w:val="009422FC"/>
    <w:rsid w:val="00942B62"/>
    <w:rsid w:val="00945E61"/>
    <w:rsid w:val="009474B1"/>
    <w:rsid w:val="0095303D"/>
    <w:rsid w:val="00953080"/>
    <w:rsid w:val="0095538D"/>
    <w:rsid w:val="00956A0C"/>
    <w:rsid w:val="00956BD9"/>
    <w:rsid w:val="00956F69"/>
    <w:rsid w:val="009604AA"/>
    <w:rsid w:val="00962489"/>
    <w:rsid w:val="009625B4"/>
    <w:rsid w:val="009630C2"/>
    <w:rsid w:val="009665A9"/>
    <w:rsid w:val="00971014"/>
    <w:rsid w:val="009711ED"/>
    <w:rsid w:val="0097200D"/>
    <w:rsid w:val="0097309E"/>
    <w:rsid w:val="009734F1"/>
    <w:rsid w:val="00980505"/>
    <w:rsid w:val="0098390A"/>
    <w:rsid w:val="0098405C"/>
    <w:rsid w:val="00984431"/>
    <w:rsid w:val="00984FC7"/>
    <w:rsid w:val="00985101"/>
    <w:rsid w:val="00985400"/>
    <w:rsid w:val="00986D80"/>
    <w:rsid w:val="00990C2C"/>
    <w:rsid w:val="009927B3"/>
    <w:rsid w:val="00997F1D"/>
    <w:rsid w:val="009A30AF"/>
    <w:rsid w:val="009B0DCD"/>
    <w:rsid w:val="009B3A23"/>
    <w:rsid w:val="009B61CF"/>
    <w:rsid w:val="009C2BB3"/>
    <w:rsid w:val="009C5ACE"/>
    <w:rsid w:val="009C6577"/>
    <w:rsid w:val="009C69FF"/>
    <w:rsid w:val="009C7D7F"/>
    <w:rsid w:val="009D1B39"/>
    <w:rsid w:val="009D2BA3"/>
    <w:rsid w:val="009D3A2E"/>
    <w:rsid w:val="009D49DE"/>
    <w:rsid w:val="009D502D"/>
    <w:rsid w:val="009E0437"/>
    <w:rsid w:val="009E102F"/>
    <w:rsid w:val="009E1136"/>
    <w:rsid w:val="009E2B8A"/>
    <w:rsid w:val="009E7456"/>
    <w:rsid w:val="009F14C7"/>
    <w:rsid w:val="009F2248"/>
    <w:rsid w:val="009F2E20"/>
    <w:rsid w:val="009F390B"/>
    <w:rsid w:val="009F4EAD"/>
    <w:rsid w:val="009F5BBD"/>
    <w:rsid w:val="009F696D"/>
    <w:rsid w:val="009F6BC6"/>
    <w:rsid w:val="009F7DC0"/>
    <w:rsid w:val="00A01A13"/>
    <w:rsid w:val="00A01CB2"/>
    <w:rsid w:val="00A026A2"/>
    <w:rsid w:val="00A05412"/>
    <w:rsid w:val="00A056CA"/>
    <w:rsid w:val="00A06C53"/>
    <w:rsid w:val="00A10223"/>
    <w:rsid w:val="00A11678"/>
    <w:rsid w:val="00A12608"/>
    <w:rsid w:val="00A17328"/>
    <w:rsid w:val="00A1792B"/>
    <w:rsid w:val="00A201DF"/>
    <w:rsid w:val="00A2091F"/>
    <w:rsid w:val="00A23A20"/>
    <w:rsid w:val="00A2451D"/>
    <w:rsid w:val="00A268B9"/>
    <w:rsid w:val="00A2703A"/>
    <w:rsid w:val="00A27F45"/>
    <w:rsid w:val="00A3076E"/>
    <w:rsid w:val="00A307AA"/>
    <w:rsid w:val="00A31721"/>
    <w:rsid w:val="00A31EEC"/>
    <w:rsid w:val="00A33DFF"/>
    <w:rsid w:val="00A35115"/>
    <w:rsid w:val="00A3647B"/>
    <w:rsid w:val="00A4213F"/>
    <w:rsid w:val="00A46366"/>
    <w:rsid w:val="00A46ADA"/>
    <w:rsid w:val="00A51731"/>
    <w:rsid w:val="00A523F2"/>
    <w:rsid w:val="00A554AB"/>
    <w:rsid w:val="00A55BCE"/>
    <w:rsid w:val="00A61907"/>
    <w:rsid w:val="00A61AF9"/>
    <w:rsid w:val="00A63FA8"/>
    <w:rsid w:val="00A64C18"/>
    <w:rsid w:val="00A64F2F"/>
    <w:rsid w:val="00A6567B"/>
    <w:rsid w:val="00A65F82"/>
    <w:rsid w:val="00A67127"/>
    <w:rsid w:val="00A70F92"/>
    <w:rsid w:val="00A738B4"/>
    <w:rsid w:val="00A77183"/>
    <w:rsid w:val="00A77CAB"/>
    <w:rsid w:val="00A83A95"/>
    <w:rsid w:val="00A909F8"/>
    <w:rsid w:val="00A920C6"/>
    <w:rsid w:val="00A92B2C"/>
    <w:rsid w:val="00A92B53"/>
    <w:rsid w:val="00A92DD0"/>
    <w:rsid w:val="00A94FA6"/>
    <w:rsid w:val="00A95046"/>
    <w:rsid w:val="00AA00DC"/>
    <w:rsid w:val="00AA2FE8"/>
    <w:rsid w:val="00AA49A0"/>
    <w:rsid w:val="00AA4FB2"/>
    <w:rsid w:val="00AA6210"/>
    <w:rsid w:val="00AA6710"/>
    <w:rsid w:val="00AB0681"/>
    <w:rsid w:val="00AB0BFD"/>
    <w:rsid w:val="00AB10DD"/>
    <w:rsid w:val="00AB3AB6"/>
    <w:rsid w:val="00AB3F9D"/>
    <w:rsid w:val="00AB668E"/>
    <w:rsid w:val="00AB69D7"/>
    <w:rsid w:val="00AC21C9"/>
    <w:rsid w:val="00AC2F64"/>
    <w:rsid w:val="00AC77C7"/>
    <w:rsid w:val="00AC7BF9"/>
    <w:rsid w:val="00AD20E2"/>
    <w:rsid w:val="00AD45AD"/>
    <w:rsid w:val="00AD4D7C"/>
    <w:rsid w:val="00AD520B"/>
    <w:rsid w:val="00AD643F"/>
    <w:rsid w:val="00AD6B15"/>
    <w:rsid w:val="00AE520D"/>
    <w:rsid w:val="00AE55D6"/>
    <w:rsid w:val="00AE66A5"/>
    <w:rsid w:val="00AF0F97"/>
    <w:rsid w:val="00AF2A59"/>
    <w:rsid w:val="00AF2B36"/>
    <w:rsid w:val="00AF3E86"/>
    <w:rsid w:val="00AF4E73"/>
    <w:rsid w:val="00AF61D5"/>
    <w:rsid w:val="00B0474C"/>
    <w:rsid w:val="00B05384"/>
    <w:rsid w:val="00B05FF7"/>
    <w:rsid w:val="00B07BA7"/>
    <w:rsid w:val="00B10E35"/>
    <w:rsid w:val="00B13C2A"/>
    <w:rsid w:val="00B151A4"/>
    <w:rsid w:val="00B152A0"/>
    <w:rsid w:val="00B15E3E"/>
    <w:rsid w:val="00B30DC2"/>
    <w:rsid w:val="00B31089"/>
    <w:rsid w:val="00B312A3"/>
    <w:rsid w:val="00B313CA"/>
    <w:rsid w:val="00B32AF0"/>
    <w:rsid w:val="00B33BC4"/>
    <w:rsid w:val="00B34C5B"/>
    <w:rsid w:val="00B36E47"/>
    <w:rsid w:val="00B37B84"/>
    <w:rsid w:val="00B440AD"/>
    <w:rsid w:val="00B45129"/>
    <w:rsid w:val="00B46D0D"/>
    <w:rsid w:val="00B50940"/>
    <w:rsid w:val="00B5147A"/>
    <w:rsid w:val="00B51516"/>
    <w:rsid w:val="00B51F36"/>
    <w:rsid w:val="00B52183"/>
    <w:rsid w:val="00B52B40"/>
    <w:rsid w:val="00B53E7E"/>
    <w:rsid w:val="00B603BF"/>
    <w:rsid w:val="00B6180F"/>
    <w:rsid w:val="00B61C5F"/>
    <w:rsid w:val="00B62618"/>
    <w:rsid w:val="00B62B7B"/>
    <w:rsid w:val="00B6342E"/>
    <w:rsid w:val="00B64F34"/>
    <w:rsid w:val="00B65943"/>
    <w:rsid w:val="00B70AFA"/>
    <w:rsid w:val="00B7113F"/>
    <w:rsid w:val="00B731F1"/>
    <w:rsid w:val="00B73B6F"/>
    <w:rsid w:val="00B752FC"/>
    <w:rsid w:val="00B81C10"/>
    <w:rsid w:val="00B8357E"/>
    <w:rsid w:val="00B8394F"/>
    <w:rsid w:val="00B8428D"/>
    <w:rsid w:val="00B8621E"/>
    <w:rsid w:val="00B866D6"/>
    <w:rsid w:val="00B87E0D"/>
    <w:rsid w:val="00B908E1"/>
    <w:rsid w:val="00B920EC"/>
    <w:rsid w:val="00B9299F"/>
    <w:rsid w:val="00B92E23"/>
    <w:rsid w:val="00B94070"/>
    <w:rsid w:val="00B94ED5"/>
    <w:rsid w:val="00B975BC"/>
    <w:rsid w:val="00BA017C"/>
    <w:rsid w:val="00BA445F"/>
    <w:rsid w:val="00BA5159"/>
    <w:rsid w:val="00BA602E"/>
    <w:rsid w:val="00BA73B6"/>
    <w:rsid w:val="00BB0CFB"/>
    <w:rsid w:val="00BB12E2"/>
    <w:rsid w:val="00BB13B5"/>
    <w:rsid w:val="00BB22E9"/>
    <w:rsid w:val="00BB2603"/>
    <w:rsid w:val="00BB4FCD"/>
    <w:rsid w:val="00BB5DA1"/>
    <w:rsid w:val="00BB629E"/>
    <w:rsid w:val="00BC0607"/>
    <w:rsid w:val="00BC0E24"/>
    <w:rsid w:val="00BC3069"/>
    <w:rsid w:val="00BC3691"/>
    <w:rsid w:val="00BC599E"/>
    <w:rsid w:val="00BC6C55"/>
    <w:rsid w:val="00BD036A"/>
    <w:rsid w:val="00BD13EA"/>
    <w:rsid w:val="00BD181E"/>
    <w:rsid w:val="00BD23A5"/>
    <w:rsid w:val="00BD415A"/>
    <w:rsid w:val="00BD4331"/>
    <w:rsid w:val="00BD4F9A"/>
    <w:rsid w:val="00BD50F9"/>
    <w:rsid w:val="00BD5316"/>
    <w:rsid w:val="00BD7AAE"/>
    <w:rsid w:val="00BE0183"/>
    <w:rsid w:val="00BE095F"/>
    <w:rsid w:val="00BE221E"/>
    <w:rsid w:val="00BE3808"/>
    <w:rsid w:val="00BE4D92"/>
    <w:rsid w:val="00BE7198"/>
    <w:rsid w:val="00BF2334"/>
    <w:rsid w:val="00BF5327"/>
    <w:rsid w:val="00C03A3D"/>
    <w:rsid w:val="00C03F07"/>
    <w:rsid w:val="00C062E9"/>
    <w:rsid w:val="00C07325"/>
    <w:rsid w:val="00C07B64"/>
    <w:rsid w:val="00C1136E"/>
    <w:rsid w:val="00C11972"/>
    <w:rsid w:val="00C13721"/>
    <w:rsid w:val="00C15CAD"/>
    <w:rsid w:val="00C164E0"/>
    <w:rsid w:val="00C16EC7"/>
    <w:rsid w:val="00C243BB"/>
    <w:rsid w:val="00C24821"/>
    <w:rsid w:val="00C3066D"/>
    <w:rsid w:val="00C311C9"/>
    <w:rsid w:val="00C31793"/>
    <w:rsid w:val="00C32D3E"/>
    <w:rsid w:val="00C40301"/>
    <w:rsid w:val="00C4065A"/>
    <w:rsid w:val="00C41154"/>
    <w:rsid w:val="00C4355F"/>
    <w:rsid w:val="00C45580"/>
    <w:rsid w:val="00C50AE8"/>
    <w:rsid w:val="00C52E2B"/>
    <w:rsid w:val="00C5304E"/>
    <w:rsid w:val="00C5433E"/>
    <w:rsid w:val="00C543F4"/>
    <w:rsid w:val="00C566B3"/>
    <w:rsid w:val="00C56E40"/>
    <w:rsid w:val="00C60885"/>
    <w:rsid w:val="00C6199C"/>
    <w:rsid w:val="00C6291C"/>
    <w:rsid w:val="00C633CB"/>
    <w:rsid w:val="00C67770"/>
    <w:rsid w:val="00C714CC"/>
    <w:rsid w:val="00C7310D"/>
    <w:rsid w:val="00C73E20"/>
    <w:rsid w:val="00C745A1"/>
    <w:rsid w:val="00C81576"/>
    <w:rsid w:val="00C8344B"/>
    <w:rsid w:val="00C86629"/>
    <w:rsid w:val="00C8762C"/>
    <w:rsid w:val="00C90D57"/>
    <w:rsid w:val="00C91F8B"/>
    <w:rsid w:val="00C923EF"/>
    <w:rsid w:val="00C94B4A"/>
    <w:rsid w:val="00C958BA"/>
    <w:rsid w:val="00C964E7"/>
    <w:rsid w:val="00CA00F9"/>
    <w:rsid w:val="00CA094A"/>
    <w:rsid w:val="00CA13BE"/>
    <w:rsid w:val="00CA2961"/>
    <w:rsid w:val="00CA465F"/>
    <w:rsid w:val="00CA5DA6"/>
    <w:rsid w:val="00CA676D"/>
    <w:rsid w:val="00CB2597"/>
    <w:rsid w:val="00CB50D7"/>
    <w:rsid w:val="00CB5D1F"/>
    <w:rsid w:val="00CB6CF3"/>
    <w:rsid w:val="00CB7177"/>
    <w:rsid w:val="00CB77F9"/>
    <w:rsid w:val="00CB7B6C"/>
    <w:rsid w:val="00CC1998"/>
    <w:rsid w:val="00CC1F4E"/>
    <w:rsid w:val="00CC4832"/>
    <w:rsid w:val="00CC4946"/>
    <w:rsid w:val="00CC6881"/>
    <w:rsid w:val="00CD0CE5"/>
    <w:rsid w:val="00CD601A"/>
    <w:rsid w:val="00CD6909"/>
    <w:rsid w:val="00CD6A74"/>
    <w:rsid w:val="00CD7AF5"/>
    <w:rsid w:val="00CE34D1"/>
    <w:rsid w:val="00CE4E75"/>
    <w:rsid w:val="00CF0023"/>
    <w:rsid w:val="00CF6BBD"/>
    <w:rsid w:val="00CF6D20"/>
    <w:rsid w:val="00CF77A3"/>
    <w:rsid w:val="00D01487"/>
    <w:rsid w:val="00D0222F"/>
    <w:rsid w:val="00D0296C"/>
    <w:rsid w:val="00D03C39"/>
    <w:rsid w:val="00D04A27"/>
    <w:rsid w:val="00D115D3"/>
    <w:rsid w:val="00D11748"/>
    <w:rsid w:val="00D1477B"/>
    <w:rsid w:val="00D20679"/>
    <w:rsid w:val="00D22028"/>
    <w:rsid w:val="00D22F65"/>
    <w:rsid w:val="00D259A6"/>
    <w:rsid w:val="00D270A4"/>
    <w:rsid w:val="00D2765C"/>
    <w:rsid w:val="00D27DC5"/>
    <w:rsid w:val="00D27FFD"/>
    <w:rsid w:val="00D31744"/>
    <w:rsid w:val="00D31FE9"/>
    <w:rsid w:val="00D326A6"/>
    <w:rsid w:val="00D34E1B"/>
    <w:rsid w:val="00D360F6"/>
    <w:rsid w:val="00D376BA"/>
    <w:rsid w:val="00D40B2B"/>
    <w:rsid w:val="00D41A7C"/>
    <w:rsid w:val="00D42E12"/>
    <w:rsid w:val="00D450D3"/>
    <w:rsid w:val="00D4530B"/>
    <w:rsid w:val="00D45E6D"/>
    <w:rsid w:val="00D468C5"/>
    <w:rsid w:val="00D50008"/>
    <w:rsid w:val="00D510B8"/>
    <w:rsid w:val="00D52149"/>
    <w:rsid w:val="00D52B6A"/>
    <w:rsid w:val="00D52F29"/>
    <w:rsid w:val="00D5568A"/>
    <w:rsid w:val="00D564F7"/>
    <w:rsid w:val="00D60796"/>
    <w:rsid w:val="00D61372"/>
    <w:rsid w:val="00D61D21"/>
    <w:rsid w:val="00D63D73"/>
    <w:rsid w:val="00D66E1E"/>
    <w:rsid w:val="00D70299"/>
    <w:rsid w:val="00D72497"/>
    <w:rsid w:val="00D75722"/>
    <w:rsid w:val="00D76C9E"/>
    <w:rsid w:val="00D87333"/>
    <w:rsid w:val="00D87B80"/>
    <w:rsid w:val="00D917A7"/>
    <w:rsid w:val="00D91B8C"/>
    <w:rsid w:val="00D91D25"/>
    <w:rsid w:val="00D93438"/>
    <w:rsid w:val="00D94D0F"/>
    <w:rsid w:val="00D95CCB"/>
    <w:rsid w:val="00D96C76"/>
    <w:rsid w:val="00DA2D74"/>
    <w:rsid w:val="00DA312E"/>
    <w:rsid w:val="00DA4718"/>
    <w:rsid w:val="00DA5BBA"/>
    <w:rsid w:val="00DA5F0B"/>
    <w:rsid w:val="00DB17C7"/>
    <w:rsid w:val="00DB1AF1"/>
    <w:rsid w:val="00DB4D88"/>
    <w:rsid w:val="00DB67C9"/>
    <w:rsid w:val="00DB7BFA"/>
    <w:rsid w:val="00DC0175"/>
    <w:rsid w:val="00DC05ED"/>
    <w:rsid w:val="00DC0788"/>
    <w:rsid w:val="00DC0C95"/>
    <w:rsid w:val="00DC1981"/>
    <w:rsid w:val="00DC2A62"/>
    <w:rsid w:val="00DC3C35"/>
    <w:rsid w:val="00DC4B9B"/>
    <w:rsid w:val="00DC69BF"/>
    <w:rsid w:val="00DC6A7F"/>
    <w:rsid w:val="00DD0ACE"/>
    <w:rsid w:val="00DD0D0F"/>
    <w:rsid w:val="00DD1262"/>
    <w:rsid w:val="00DD24E4"/>
    <w:rsid w:val="00DD29DC"/>
    <w:rsid w:val="00DD6580"/>
    <w:rsid w:val="00DE27AA"/>
    <w:rsid w:val="00DE4110"/>
    <w:rsid w:val="00DE572E"/>
    <w:rsid w:val="00DE5DEB"/>
    <w:rsid w:val="00DE68A5"/>
    <w:rsid w:val="00DE692B"/>
    <w:rsid w:val="00DF0939"/>
    <w:rsid w:val="00DF2DC3"/>
    <w:rsid w:val="00DF5E72"/>
    <w:rsid w:val="00DF67D1"/>
    <w:rsid w:val="00DF7D2C"/>
    <w:rsid w:val="00E002E6"/>
    <w:rsid w:val="00E049C8"/>
    <w:rsid w:val="00E05CD4"/>
    <w:rsid w:val="00E10901"/>
    <w:rsid w:val="00E1350F"/>
    <w:rsid w:val="00E17C72"/>
    <w:rsid w:val="00E21541"/>
    <w:rsid w:val="00E21FC6"/>
    <w:rsid w:val="00E239AE"/>
    <w:rsid w:val="00E2401C"/>
    <w:rsid w:val="00E25FF3"/>
    <w:rsid w:val="00E273B2"/>
    <w:rsid w:val="00E36CAF"/>
    <w:rsid w:val="00E411B1"/>
    <w:rsid w:val="00E412B5"/>
    <w:rsid w:val="00E4310C"/>
    <w:rsid w:val="00E431A9"/>
    <w:rsid w:val="00E43755"/>
    <w:rsid w:val="00E440CB"/>
    <w:rsid w:val="00E47C1C"/>
    <w:rsid w:val="00E54B61"/>
    <w:rsid w:val="00E5533F"/>
    <w:rsid w:val="00E60A76"/>
    <w:rsid w:val="00E610ED"/>
    <w:rsid w:val="00E611D5"/>
    <w:rsid w:val="00E61662"/>
    <w:rsid w:val="00E62208"/>
    <w:rsid w:val="00E630EF"/>
    <w:rsid w:val="00E638A7"/>
    <w:rsid w:val="00E6578C"/>
    <w:rsid w:val="00E669E2"/>
    <w:rsid w:val="00E716E9"/>
    <w:rsid w:val="00E7419A"/>
    <w:rsid w:val="00E74C36"/>
    <w:rsid w:val="00E75581"/>
    <w:rsid w:val="00E75D20"/>
    <w:rsid w:val="00E76135"/>
    <w:rsid w:val="00E83630"/>
    <w:rsid w:val="00E92C69"/>
    <w:rsid w:val="00E94C31"/>
    <w:rsid w:val="00E9504E"/>
    <w:rsid w:val="00E95E4A"/>
    <w:rsid w:val="00E971AD"/>
    <w:rsid w:val="00EA4EB3"/>
    <w:rsid w:val="00EA50E3"/>
    <w:rsid w:val="00EA59B4"/>
    <w:rsid w:val="00EA69E0"/>
    <w:rsid w:val="00EA6BBA"/>
    <w:rsid w:val="00EA6C95"/>
    <w:rsid w:val="00EA7135"/>
    <w:rsid w:val="00EA7BD9"/>
    <w:rsid w:val="00EB2FC5"/>
    <w:rsid w:val="00EB3E1C"/>
    <w:rsid w:val="00EB45EB"/>
    <w:rsid w:val="00EB4F7D"/>
    <w:rsid w:val="00EB53EB"/>
    <w:rsid w:val="00EC025F"/>
    <w:rsid w:val="00EC0F7E"/>
    <w:rsid w:val="00EC2844"/>
    <w:rsid w:val="00EC57FB"/>
    <w:rsid w:val="00EC72CF"/>
    <w:rsid w:val="00EC7409"/>
    <w:rsid w:val="00ED0564"/>
    <w:rsid w:val="00ED310F"/>
    <w:rsid w:val="00ED3B5E"/>
    <w:rsid w:val="00ED4385"/>
    <w:rsid w:val="00ED6136"/>
    <w:rsid w:val="00ED659F"/>
    <w:rsid w:val="00ED745C"/>
    <w:rsid w:val="00EE014D"/>
    <w:rsid w:val="00EE0939"/>
    <w:rsid w:val="00EE11E1"/>
    <w:rsid w:val="00EE20DC"/>
    <w:rsid w:val="00EE357D"/>
    <w:rsid w:val="00EE39B3"/>
    <w:rsid w:val="00EE7B49"/>
    <w:rsid w:val="00EF1EBC"/>
    <w:rsid w:val="00EF3F81"/>
    <w:rsid w:val="00EF45F4"/>
    <w:rsid w:val="00EF4A3A"/>
    <w:rsid w:val="00EF6C6C"/>
    <w:rsid w:val="00F01CAC"/>
    <w:rsid w:val="00F02E71"/>
    <w:rsid w:val="00F056FC"/>
    <w:rsid w:val="00F06668"/>
    <w:rsid w:val="00F0673B"/>
    <w:rsid w:val="00F10476"/>
    <w:rsid w:val="00F10F2C"/>
    <w:rsid w:val="00F111F9"/>
    <w:rsid w:val="00F11246"/>
    <w:rsid w:val="00F114C8"/>
    <w:rsid w:val="00F1174B"/>
    <w:rsid w:val="00F135D8"/>
    <w:rsid w:val="00F16025"/>
    <w:rsid w:val="00F162DC"/>
    <w:rsid w:val="00F24868"/>
    <w:rsid w:val="00F266BA"/>
    <w:rsid w:val="00F31299"/>
    <w:rsid w:val="00F345A6"/>
    <w:rsid w:val="00F3534A"/>
    <w:rsid w:val="00F35F1B"/>
    <w:rsid w:val="00F405F0"/>
    <w:rsid w:val="00F42963"/>
    <w:rsid w:val="00F42D09"/>
    <w:rsid w:val="00F44962"/>
    <w:rsid w:val="00F45E1B"/>
    <w:rsid w:val="00F460BC"/>
    <w:rsid w:val="00F46337"/>
    <w:rsid w:val="00F5132F"/>
    <w:rsid w:val="00F52FD7"/>
    <w:rsid w:val="00F56E30"/>
    <w:rsid w:val="00F57183"/>
    <w:rsid w:val="00F6000B"/>
    <w:rsid w:val="00F60F1E"/>
    <w:rsid w:val="00F6169B"/>
    <w:rsid w:val="00F62B2D"/>
    <w:rsid w:val="00F62CEA"/>
    <w:rsid w:val="00F66BD2"/>
    <w:rsid w:val="00F67B91"/>
    <w:rsid w:val="00F67FCB"/>
    <w:rsid w:val="00F7154A"/>
    <w:rsid w:val="00F71E6B"/>
    <w:rsid w:val="00F72BDC"/>
    <w:rsid w:val="00F76E5A"/>
    <w:rsid w:val="00F77837"/>
    <w:rsid w:val="00F807D6"/>
    <w:rsid w:val="00F85325"/>
    <w:rsid w:val="00F86360"/>
    <w:rsid w:val="00F877F7"/>
    <w:rsid w:val="00F90139"/>
    <w:rsid w:val="00F90719"/>
    <w:rsid w:val="00F93F60"/>
    <w:rsid w:val="00F940D2"/>
    <w:rsid w:val="00F94E4B"/>
    <w:rsid w:val="00F95452"/>
    <w:rsid w:val="00F95ED7"/>
    <w:rsid w:val="00F97217"/>
    <w:rsid w:val="00FA1BE3"/>
    <w:rsid w:val="00FA41A3"/>
    <w:rsid w:val="00FA4769"/>
    <w:rsid w:val="00FA48F9"/>
    <w:rsid w:val="00FA4BB0"/>
    <w:rsid w:val="00FA619F"/>
    <w:rsid w:val="00FB0850"/>
    <w:rsid w:val="00FB21F1"/>
    <w:rsid w:val="00FB32A7"/>
    <w:rsid w:val="00FB358B"/>
    <w:rsid w:val="00FB3CB0"/>
    <w:rsid w:val="00FB5A2B"/>
    <w:rsid w:val="00FC0F2B"/>
    <w:rsid w:val="00FC19FC"/>
    <w:rsid w:val="00FC1CBF"/>
    <w:rsid w:val="00FC366A"/>
    <w:rsid w:val="00FC4FDA"/>
    <w:rsid w:val="00FC6466"/>
    <w:rsid w:val="00FC7867"/>
    <w:rsid w:val="00FD22B1"/>
    <w:rsid w:val="00FD2EE8"/>
    <w:rsid w:val="00FD3402"/>
    <w:rsid w:val="00FD5FFC"/>
    <w:rsid w:val="00FE167E"/>
    <w:rsid w:val="00FE3C6B"/>
    <w:rsid w:val="00FE4C4C"/>
    <w:rsid w:val="00FE5C47"/>
    <w:rsid w:val="00FF1BAC"/>
    <w:rsid w:val="00FF24EE"/>
    <w:rsid w:val="00FF2CFB"/>
    <w:rsid w:val="00FF67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B3AB6"/>
    <w:rPr>
      <w:sz w:val="26"/>
      <w:szCs w:val="24"/>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3"/>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Heading2Char">
    <w:name w:val="Heading 2 Char"/>
    <w:basedOn w:val="DefaultParagraphFont"/>
    <w:link w:val="Heading2"/>
    <w:rsid w:val="00667181"/>
    <w:rPr>
      <w:rFonts w:ascii="Arial" w:hAnsi="Arial"/>
      <w:b/>
      <w:color w:val="4298B5"/>
      <w:sz w:val="40"/>
    </w:rPr>
  </w:style>
  <w:style w:type="character" w:customStyle="1" w:styleId="BodyTextChar">
    <w:name w:val="Body Text Char"/>
    <w:basedOn w:val="DefaultParagraphFont"/>
    <w:link w:val="BodyText"/>
    <w:rsid w:val="00667181"/>
    <w:rPr>
      <w:rFonts w:ascii="Arial" w:hAnsi="Arial"/>
      <w:color w:val="1C1C1C"/>
      <w:sz w:val="24"/>
    </w:rPr>
  </w:style>
  <w:style w:type="character" w:customStyle="1" w:styleId="Heading3Char">
    <w:name w:val="Heading 3 Char"/>
    <w:basedOn w:val="DefaultParagraphFont"/>
    <w:link w:val="Heading3"/>
    <w:rsid w:val="001D5033"/>
    <w:rPr>
      <w:rFonts w:ascii="Arial" w:hAnsi="Arial"/>
      <w:b/>
      <w:sz w:val="32"/>
    </w:rPr>
  </w:style>
  <w:style w:type="paragraph" w:customStyle="1" w:styleId="meredith">
    <w:name w:val="meredith"/>
    <w:basedOn w:val="BoxListBullet2"/>
    <w:rsid w:val="00630379"/>
  </w:style>
  <w:style w:type="character" w:customStyle="1" w:styleId="QuoteChar">
    <w:name w:val="Quote Char"/>
    <w:basedOn w:val="DefaultParagraphFont"/>
    <w:link w:val="Quote"/>
    <w:rsid w:val="0088386A"/>
    <w:rPr>
      <w:rFonts w:ascii="Arial" w:hAnsi="Arial"/>
      <w:color w:val="1C1C1C"/>
      <w:sz w:val="24"/>
    </w:rPr>
  </w:style>
  <w:style w:type="character" w:styleId="Hyperlink">
    <w:name w:val="Hyperlink"/>
    <w:basedOn w:val="DefaultParagraphFont"/>
    <w:uiPriority w:val="99"/>
    <w:rsid w:val="003268C3"/>
    <w:rPr>
      <w:color w:val="0000FF" w:themeColor="hyperlink"/>
      <w:u w:val="single"/>
    </w:rPr>
  </w:style>
  <w:style w:type="paragraph" w:customStyle="1" w:styleId="OZNZBox">
    <w:name w:val="OZNZ Box"/>
    <w:basedOn w:val="Normal"/>
    <w:uiPriority w:val="99"/>
    <w:qFormat/>
    <w:rsid w:val="002873B9"/>
    <w:pPr>
      <w:keepNext/>
      <w:spacing w:before="120" w:line="280" w:lineRule="atLeast"/>
      <w:jc w:val="both"/>
    </w:pPr>
    <w:rPr>
      <w:rFonts w:ascii="Arial" w:hAnsi="Arial"/>
      <w:sz w:val="22"/>
      <w:szCs w:val="20"/>
    </w:rPr>
  </w:style>
  <w:style w:type="character" w:customStyle="1" w:styleId="level31">
    <w:name w:val="level31"/>
    <w:basedOn w:val="DefaultParagraphFont"/>
    <w:rsid w:val="00DA5F0B"/>
    <w:rPr>
      <w:sz w:val="18"/>
      <w:szCs w:val="18"/>
    </w:rPr>
  </w:style>
  <w:style w:type="character" w:customStyle="1" w:styleId="CommentTextChar">
    <w:name w:val="Comment Text Char"/>
    <w:basedOn w:val="DefaultParagraphFont"/>
    <w:link w:val="CommentText"/>
    <w:semiHidden/>
    <w:rsid w:val="00EF3F81"/>
    <w:rPr>
      <w:szCs w:val="24"/>
    </w:rPr>
  </w:style>
  <w:style w:type="paragraph" w:customStyle="1" w:styleId="DN">
    <w:name w:val="DN"/>
    <w:basedOn w:val="Heading1"/>
    <w:rsid w:val="00D04A27"/>
    <w:pPr>
      <w:spacing w:before="0" w:after="1080"/>
    </w:pPr>
  </w:style>
  <w:style w:type="paragraph" w:customStyle="1" w:styleId="OZNZReference">
    <w:name w:val="OZNZ Reference"/>
    <w:basedOn w:val="Reference"/>
    <w:uiPriority w:val="99"/>
    <w:qFormat/>
    <w:rsid w:val="008B0C78"/>
    <w:rPr>
      <w:rFonts w:cs="Arial"/>
      <w:color w:val="auto"/>
      <w:szCs w:val="24"/>
    </w:rPr>
  </w:style>
  <w:style w:type="paragraph" w:styleId="CommentSubject">
    <w:name w:val="annotation subject"/>
    <w:basedOn w:val="CommentText"/>
    <w:next w:val="CommentText"/>
    <w:link w:val="CommentSubjectChar"/>
    <w:rsid w:val="0082372A"/>
    <w:pPr>
      <w:spacing w:before="0" w:line="240" w:lineRule="auto"/>
      <w:ind w:left="0" w:firstLine="0"/>
    </w:pPr>
    <w:rPr>
      <w:b/>
      <w:bCs/>
      <w:szCs w:val="20"/>
    </w:rPr>
  </w:style>
  <w:style w:type="character" w:customStyle="1" w:styleId="CommentSubjectChar">
    <w:name w:val="Comment Subject Char"/>
    <w:basedOn w:val="CommentTextChar"/>
    <w:link w:val="CommentSubject"/>
    <w:rsid w:val="0082372A"/>
    <w:rPr>
      <w:b/>
      <w:bCs/>
      <w:szCs w:val="24"/>
    </w:rPr>
  </w:style>
  <w:style w:type="character" w:customStyle="1" w:styleId="Heading4Char">
    <w:name w:val="Heading 4 Char"/>
    <w:basedOn w:val="DefaultParagraphFont"/>
    <w:link w:val="Heading4"/>
    <w:rsid w:val="002859CF"/>
    <w:rPr>
      <w:rFonts w:ascii="Arial" w:hAnsi="Arial"/>
      <w:i/>
      <w:sz w:val="28"/>
    </w:rPr>
  </w:style>
  <w:style w:type="table" w:styleId="TableGrid">
    <w:name w:val="Table Grid"/>
    <w:basedOn w:val="TableNormal"/>
    <w:rsid w:val="009B6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B3AB6"/>
    <w:rPr>
      <w:sz w:val="26"/>
      <w:szCs w:val="24"/>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3"/>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Heading2Char">
    <w:name w:val="Heading 2 Char"/>
    <w:basedOn w:val="DefaultParagraphFont"/>
    <w:link w:val="Heading2"/>
    <w:rsid w:val="00667181"/>
    <w:rPr>
      <w:rFonts w:ascii="Arial" w:hAnsi="Arial"/>
      <w:b/>
      <w:color w:val="4298B5"/>
      <w:sz w:val="40"/>
    </w:rPr>
  </w:style>
  <w:style w:type="character" w:customStyle="1" w:styleId="BodyTextChar">
    <w:name w:val="Body Text Char"/>
    <w:basedOn w:val="DefaultParagraphFont"/>
    <w:link w:val="BodyText"/>
    <w:rsid w:val="00667181"/>
    <w:rPr>
      <w:rFonts w:ascii="Arial" w:hAnsi="Arial"/>
      <w:color w:val="1C1C1C"/>
      <w:sz w:val="24"/>
    </w:rPr>
  </w:style>
  <w:style w:type="character" w:customStyle="1" w:styleId="Heading3Char">
    <w:name w:val="Heading 3 Char"/>
    <w:basedOn w:val="DefaultParagraphFont"/>
    <w:link w:val="Heading3"/>
    <w:rsid w:val="001D5033"/>
    <w:rPr>
      <w:rFonts w:ascii="Arial" w:hAnsi="Arial"/>
      <w:b/>
      <w:sz w:val="32"/>
    </w:rPr>
  </w:style>
  <w:style w:type="paragraph" w:customStyle="1" w:styleId="meredith">
    <w:name w:val="meredith"/>
    <w:basedOn w:val="BoxListBullet2"/>
    <w:rsid w:val="00630379"/>
  </w:style>
  <w:style w:type="character" w:customStyle="1" w:styleId="QuoteChar">
    <w:name w:val="Quote Char"/>
    <w:basedOn w:val="DefaultParagraphFont"/>
    <w:link w:val="Quote"/>
    <w:rsid w:val="0088386A"/>
    <w:rPr>
      <w:rFonts w:ascii="Arial" w:hAnsi="Arial"/>
      <w:color w:val="1C1C1C"/>
      <w:sz w:val="24"/>
    </w:rPr>
  </w:style>
  <w:style w:type="character" w:styleId="Hyperlink">
    <w:name w:val="Hyperlink"/>
    <w:basedOn w:val="DefaultParagraphFont"/>
    <w:uiPriority w:val="99"/>
    <w:rsid w:val="003268C3"/>
    <w:rPr>
      <w:color w:val="0000FF" w:themeColor="hyperlink"/>
      <w:u w:val="single"/>
    </w:rPr>
  </w:style>
  <w:style w:type="paragraph" w:customStyle="1" w:styleId="OZNZBox">
    <w:name w:val="OZNZ Box"/>
    <w:basedOn w:val="Normal"/>
    <w:uiPriority w:val="99"/>
    <w:qFormat/>
    <w:rsid w:val="002873B9"/>
    <w:pPr>
      <w:keepNext/>
      <w:spacing w:before="120" w:line="280" w:lineRule="atLeast"/>
      <w:jc w:val="both"/>
    </w:pPr>
    <w:rPr>
      <w:rFonts w:ascii="Arial" w:hAnsi="Arial"/>
      <w:sz w:val="22"/>
      <w:szCs w:val="20"/>
    </w:rPr>
  </w:style>
  <w:style w:type="character" w:customStyle="1" w:styleId="level31">
    <w:name w:val="level31"/>
    <w:basedOn w:val="DefaultParagraphFont"/>
    <w:rsid w:val="00DA5F0B"/>
    <w:rPr>
      <w:sz w:val="18"/>
      <w:szCs w:val="18"/>
    </w:rPr>
  </w:style>
  <w:style w:type="character" w:customStyle="1" w:styleId="CommentTextChar">
    <w:name w:val="Comment Text Char"/>
    <w:basedOn w:val="DefaultParagraphFont"/>
    <w:link w:val="CommentText"/>
    <w:semiHidden/>
    <w:rsid w:val="00EF3F81"/>
    <w:rPr>
      <w:szCs w:val="24"/>
    </w:rPr>
  </w:style>
  <w:style w:type="paragraph" w:customStyle="1" w:styleId="DN">
    <w:name w:val="DN"/>
    <w:basedOn w:val="Heading1"/>
    <w:rsid w:val="00D04A27"/>
    <w:pPr>
      <w:spacing w:before="0" w:after="1080"/>
    </w:pPr>
  </w:style>
  <w:style w:type="paragraph" w:customStyle="1" w:styleId="OZNZReference">
    <w:name w:val="OZNZ Reference"/>
    <w:basedOn w:val="Reference"/>
    <w:uiPriority w:val="99"/>
    <w:qFormat/>
    <w:rsid w:val="008B0C78"/>
    <w:rPr>
      <w:rFonts w:cs="Arial"/>
      <w:color w:val="auto"/>
      <w:szCs w:val="24"/>
    </w:rPr>
  </w:style>
  <w:style w:type="paragraph" w:styleId="CommentSubject">
    <w:name w:val="annotation subject"/>
    <w:basedOn w:val="CommentText"/>
    <w:next w:val="CommentText"/>
    <w:link w:val="CommentSubjectChar"/>
    <w:rsid w:val="0082372A"/>
    <w:pPr>
      <w:spacing w:before="0" w:line="240" w:lineRule="auto"/>
      <w:ind w:left="0" w:firstLine="0"/>
    </w:pPr>
    <w:rPr>
      <w:b/>
      <w:bCs/>
      <w:szCs w:val="20"/>
    </w:rPr>
  </w:style>
  <w:style w:type="character" w:customStyle="1" w:styleId="CommentSubjectChar">
    <w:name w:val="Comment Subject Char"/>
    <w:basedOn w:val="CommentTextChar"/>
    <w:link w:val="CommentSubject"/>
    <w:rsid w:val="0082372A"/>
    <w:rPr>
      <w:b/>
      <w:bCs/>
      <w:szCs w:val="24"/>
    </w:rPr>
  </w:style>
  <w:style w:type="character" w:customStyle="1" w:styleId="Heading4Char">
    <w:name w:val="Heading 4 Char"/>
    <w:basedOn w:val="DefaultParagraphFont"/>
    <w:link w:val="Heading4"/>
    <w:rsid w:val="002859CF"/>
    <w:rPr>
      <w:rFonts w:ascii="Arial" w:hAnsi="Arial"/>
      <w:i/>
      <w:sz w:val="28"/>
    </w:rPr>
  </w:style>
  <w:style w:type="table" w:styleId="TableGrid">
    <w:name w:val="Table Grid"/>
    <w:basedOn w:val="TableNormal"/>
    <w:rsid w:val="009B6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86346">
      <w:bodyDiv w:val="1"/>
      <w:marLeft w:val="0"/>
      <w:marRight w:val="0"/>
      <w:marTop w:val="0"/>
      <w:marBottom w:val="0"/>
      <w:divBdr>
        <w:top w:val="none" w:sz="0" w:space="0" w:color="auto"/>
        <w:left w:val="none" w:sz="0" w:space="0" w:color="auto"/>
        <w:bottom w:val="none" w:sz="0" w:space="0" w:color="auto"/>
        <w:right w:val="none" w:sz="0" w:space="0" w:color="auto"/>
      </w:divBdr>
    </w:div>
    <w:div w:id="99573953">
      <w:bodyDiv w:val="1"/>
      <w:marLeft w:val="0"/>
      <w:marRight w:val="0"/>
      <w:marTop w:val="0"/>
      <w:marBottom w:val="0"/>
      <w:divBdr>
        <w:top w:val="none" w:sz="0" w:space="0" w:color="auto"/>
        <w:left w:val="none" w:sz="0" w:space="0" w:color="auto"/>
        <w:bottom w:val="none" w:sz="0" w:space="0" w:color="auto"/>
        <w:right w:val="none" w:sz="0" w:space="0" w:color="auto"/>
      </w:divBdr>
    </w:div>
    <w:div w:id="249584753">
      <w:bodyDiv w:val="1"/>
      <w:marLeft w:val="0"/>
      <w:marRight w:val="0"/>
      <w:marTop w:val="0"/>
      <w:marBottom w:val="0"/>
      <w:divBdr>
        <w:top w:val="none" w:sz="0" w:space="0" w:color="auto"/>
        <w:left w:val="none" w:sz="0" w:space="0" w:color="auto"/>
        <w:bottom w:val="none" w:sz="0" w:space="0" w:color="auto"/>
        <w:right w:val="none" w:sz="0" w:space="0" w:color="auto"/>
      </w:divBdr>
    </w:div>
    <w:div w:id="280964917">
      <w:bodyDiv w:val="1"/>
      <w:marLeft w:val="0"/>
      <w:marRight w:val="0"/>
      <w:marTop w:val="0"/>
      <w:marBottom w:val="0"/>
      <w:divBdr>
        <w:top w:val="none" w:sz="0" w:space="0" w:color="auto"/>
        <w:left w:val="none" w:sz="0" w:space="0" w:color="auto"/>
        <w:bottom w:val="none" w:sz="0" w:space="0" w:color="auto"/>
        <w:right w:val="none" w:sz="0" w:space="0" w:color="auto"/>
      </w:divBdr>
    </w:div>
    <w:div w:id="337774905">
      <w:bodyDiv w:val="1"/>
      <w:marLeft w:val="0"/>
      <w:marRight w:val="0"/>
      <w:marTop w:val="0"/>
      <w:marBottom w:val="0"/>
      <w:divBdr>
        <w:top w:val="none" w:sz="0" w:space="0" w:color="auto"/>
        <w:left w:val="none" w:sz="0" w:space="0" w:color="auto"/>
        <w:bottom w:val="none" w:sz="0" w:space="0" w:color="auto"/>
        <w:right w:val="none" w:sz="0" w:space="0" w:color="auto"/>
      </w:divBdr>
    </w:div>
    <w:div w:id="351301599">
      <w:bodyDiv w:val="1"/>
      <w:marLeft w:val="0"/>
      <w:marRight w:val="0"/>
      <w:marTop w:val="0"/>
      <w:marBottom w:val="0"/>
      <w:divBdr>
        <w:top w:val="none" w:sz="0" w:space="0" w:color="auto"/>
        <w:left w:val="none" w:sz="0" w:space="0" w:color="auto"/>
        <w:bottom w:val="none" w:sz="0" w:space="0" w:color="auto"/>
        <w:right w:val="none" w:sz="0" w:space="0" w:color="auto"/>
      </w:divBdr>
      <w:divsChild>
        <w:div w:id="558445132">
          <w:marLeft w:val="0"/>
          <w:marRight w:val="0"/>
          <w:marTop w:val="0"/>
          <w:marBottom w:val="225"/>
          <w:divBdr>
            <w:top w:val="none" w:sz="0" w:space="0" w:color="auto"/>
            <w:left w:val="none" w:sz="0" w:space="0" w:color="auto"/>
            <w:bottom w:val="none" w:sz="0" w:space="0" w:color="auto"/>
            <w:right w:val="none" w:sz="0" w:space="0" w:color="auto"/>
          </w:divBdr>
          <w:divsChild>
            <w:div w:id="1188329288">
              <w:marLeft w:val="0"/>
              <w:marRight w:val="0"/>
              <w:marTop w:val="0"/>
              <w:marBottom w:val="0"/>
              <w:divBdr>
                <w:top w:val="none" w:sz="0" w:space="0" w:color="auto"/>
                <w:left w:val="none" w:sz="0" w:space="0" w:color="auto"/>
                <w:bottom w:val="none" w:sz="0" w:space="0" w:color="auto"/>
                <w:right w:val="none" w:sz="0" w:space="0" w:color="auto"/>
              </w:divBdr>
              <w:divsChild>
                <w:div w:id="23451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268517">
      <w:bodyDiv w:val="1"/>
      <w:marLeft w:val="0"/>
      <w:marRight w:val="0"/>
      <w:marTop w:val="0"/>
      <w:marBottom w:val="0"/>
      <w:divBdr>
        <w:top w:val="none" w:sz="0" w:space="0" w:color="auto"/>
        <w:left w:val="none" w:sz="0" w:space="0" w:color="auto"/>
        <w:bottom w:val="none" w:sz="0" w:space="0" w:color="auto"/>
        <w:right w:val="none" w:sz="0" w:space="0" w:color="auto"/>
      </w:divBdr>
    </w:div>
    <w:div w:id="835262670">
      <w:bodyDiv w:val="1"/>
      <w:marLeft w:val="0"/>
      <w:marRight w:val="0"/>
      <w:marTop w:val="0"/>
      <w:marBottom w:val="0"/>
      <w:divBdr>
        <w:top w:val="none" w:sz="0" w:space="0" w:color="auto"/>
        <w:left w:val="none" w:sz="0" w:space="0" w:color="auto"/>
        <w:bottom w:val="none" w:sz="0" w:space="0" w:color="auto"/>
        <w:right w:val="none" w:sz="0" w:space="0" w:color="auto"/>
      </w:divBdr>
    </w:div>
    <w:div w:id="1059207591">
      <w:bodyDiv w:val="1"/>
      <w:marLeft w:val="0"/>
      <w:marRight w:val="0"/>
      <w:marTop w:val="0"/>
      <w:marBottom w:val="0"/>
      <w:divBdr>
        <w:top w:val="none" w:sz="0" w:space="0" w:color="auto"/>
        <w:left w:val="none" w:sz="0" w:space="0" w:color="auto"/>
        <w:bottom w:val="none" w:sz="0" w:space="0" w:color="auto"/>
        <w:right w:val="none" w:sz="0" w:space="0" w:color="auto"/>
      </w:divBdr>
    </w:div>
    <w:div w:id="1274750100">
      <w:bodyDiv w:val="1"/>
      <w:marLeft w:val="0"/>
      <w:marRight w:val="0"/>
      <w:marTop w:val="0"/>
      <w:marBottom w:val="0"/>
      <w:divBdr>
        <w:top w:val="none" w:sz="0" w:space="0" w:color="auto"/>
        <w:left w:val="none" w:sz="0" w:space="0" w:color="auto"/>
        <w:bottom w:val="none" w:sz="0" w:space="0" w:color="auto"/>
        <w:right w:val="none" w:sz="0" w:space="0" w:color="auto"/>
      </w:divBdr>
    </w:div>
    <w:div w:id="1408305573">
      <w:bodyDiv w:val="1"/>
      <w:marLeft w:val="0"/>
      <w:marRight w:val="0"/>
      <w:marTop w:val="0"/>
      <w:marBottom w:val="0"/>
      <w:divBdr>
        <w:top w:val="none" w:sz="0" w:space="0" w:color="auto"/>
        <w:left w:val="none" w:sz="0" w:space="0" w:color="auto"/>
        <w:bottom w:val="none" w:sz="0" w:space="0" w:color="auto"/>
        <w:right w:val="none" w:sz="0" w:space="0" w:color="auto"/>
      </w:divBdr>
    </w:div>
    <w:div w:id="175107490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89556696">
      <w:bodyDiv w:val="1"/>
      <w:marLeft w:val="0"/>
      <w:marRight w:val="0"/>
      <w:marTop w:val="0"/>
      <w:marBottom w:val="0"/>
      <w:divBdr>
        <w:top w:val="none" w:sz="0" w:space="0" w:color="auto"/>
        <w:left w:val="none" w:sz="0" w:space="0" w:color="auto"/>
        <w:bottom w:val="none" w:sz="0" w:space="0" w:color="auto"/>
        <w:right w:val="none" w:sz="0" w:space="0" w:color="auto"/>
      </w:divBdr>
    </w:div>
    <w:div w:id="2034186129">
      <w:bodyDiv w:val="1"/>
      <w:marLeft w:val="0"/>
      <w:marRight w:val="0"/>
      <w:marTop w:val="0"/>
      <w:marBottom w:val="0"/>
      <w:divBdr>
        <w:top w:val="none" w:sz="0" w:space="0" w:color="auto"/>
        <w:left w:val="none" w:sz="0" w:space="0" w:color="auto"/>
        <w:bottom w:val="none" w:sz="0" w:space="0" w:color="auto"/>
        <w:right w:val="none" w:sz="0" w:space="0" w:color="auto"/>
      </w:divBdr>
    </w:div>
    <w:div w:id="20801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ANZ.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nch1\groups\Aus-NZ%20Integration%20study\Final%20Report\Figures%20and%20data\Chapter%203\Figure%203.4.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'Figure 3.4 (with data)'!$B$26</c:f>
              <c:strCache>
                <c:ptCount val="1"/>
                <c:pt idx="0">
                  <c:v>Aus exports to NZ</c:v>
                </c:pt>
              </c:strCache>
            </c:strRef>
          </c:tx>
          <c:spPr>
            <a:ln>
              <a:solidFill>
                <a:srgbClr val="8EC1D3"/>
              </a:solidFill>
            </a:ln>
          </c:spPr>
          <c:marker>
            <c:symbol val="none"/>
          </c:marker>
          <c:cat>
            <c:numRef>
              <c:f>'Figure 3.4 (with data)'!$C$25:$M$25</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'Figure 3.4 (with data)'!$C$26:$M$26</c:f>
              <c:numCache>
                <c:formatCode>_-* #,##0_-;\-* #,##0_-;_-* "-"??_-;_-@_-</c:formatCode>
                <c:ptCount val="11"/>
                <c:pt idx="0">
                  <c:v>3615</c:v>
                </c:pt>
                <c:pt idx="1">
                  <c:v>3486</c:v>
                </c:pt>
                <c:pt idx="2">
                  <c:v>3364</c:v>
                </c:pt>
                <c:pt idx="3">
                  <c:v>3399</c:v>
                </c:pt>
                <c:pt idx="4">
                  <c:v>3602</c:v>
                </c:pt>
                <c:pt idx="5">
                  <c:v>3670</c:v>
                </c:pt>
                <c:pt idx="6">
                  <c:v>3506</c:v>
                </c:pt>
                <c:pt idx="7">
                  <c:v>3812</c:v>
                </c:pt>
                <c:pt idx="8">
                  <c:v>3695</c:v>
                </c:pt>
                <c:pt idx="9">
                  <c:v>3305</c:v>
                </c:pt>
                <c:pt idx="10">
                  <c:v>3343</c:v>
                </c:pt>
              </c:numCache>
            </c:numRef>
          </c:val>
          <c:smooth val="0"/>
        </c:ser>
        <c:ser>
          <c:idx val="1"/>
          <c:order val="1"/>
          <c:tx>
            <c:strRef>
              <c:f>'Figure 3.4 (with data)'!$B$27</c:f>
              <c:strCache>
                <c:ptCount val="1"/>
                <c:pt idx="0">
                  <c:v>NZ exports to Aus</c:v>
                </c:pt>
              </c:strCache>
            </c:strRef>
          </c:tx>
          <c:spPr>
            <a:ln w="28575">
              <a:solidFill>
                <a:srgbClr val="86A20B"/>
              </a:solidFill>
              <a:prstDash val="solid"/>
            </a:ln>
          </c:spPr>
          <c:marker>
            <c:symbol val="none"/>
          </c:marker>
          <c:cat>
            <c:numRef>
              <c:f>'Figure 3.4 (with data)'!$C$25:$M$25</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'Figure 3.4 (with data)'!$C$27:$M$27</c:f>
              <c:numCache>
                <c:formatCode>_-* #,##0_-;\-* #,##0_-;_-* "-"??_-;_-@_-</c:formatCode>
                <c:ptCount val="11"/>
                <c:pt idx="0">
                  <c:v>2127</c:v>
                </c:pt>
                <c:pt idx="1">
                  <c:v>2235</c:v>
                </c:pt>
                <c:pt idx="2">
                  <c:v>2167</c:v>
                </c:pt>
                <c:pt idx="3">
                  <c:v>2317</c:v>
                </c:pt>
                <c:pt idx="4">
                  <c:v>2397</c:v>
                </c:pt>
                <c:pt idx="5">
                  <c:v>2329</c:v>
                </c:pt>
                <c:pt idx="6">
                  <c:v>2426</c:v>
                </c:pt>
                <c:pt idx="7">
                  <c:v>2647</c:v>
                </c:pt>
                <c:pt idx="8">
                  <c:v>2939</c:v>
                </c:pt>
                <c:pt idx="9">
                  <c:v>2958</c:v>
                </c:pt>
                <c:pt idx="10">
                  <c:v>2739</c:v>
                </c:pt>
              </c:numCache>
            </c:numRef>
          </c:val>
          <c:smooth val="0"/>
        </c:ser>
        <c:dLbls>
          <c:showLegendKey val="0"/>
          <c:showVal val="0"/>
          <c:showCatName val="0"/>
          <c:showSerName val="0"/>
          <c:showPercent val="0"/>
          <c:showBubbleSize val="0"/>
        </c:dLbls>
        <c:marker val="1"/>
        <c:smooth val="0"/>
        <c:axId val="187574912"/>
        <c:axId val="187609472"/>
      </c:lineChart>
      <c:catAx>
        <c:axId val="187574912"/>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87609472"/>
        <c:crosses val="autoZero"/>
        <c:auto val="1"/>
        <c:lblAlgn val="ctr"/>
        <c:lblOffset val="100"/>
        <c:noMultiLvlLbl val="0"/>
      </c:catAx>
      <c:valAx>
        <c:axId val="187609472"/>
        <c:scaling>
          <c:orientation val="minMax"/>
          <c:min val="2000"/>
        </c:scaling>
        <c:delete val="0"/>
        <c:axPos val="l"/>
        <c:majorGridlines>
          <c:spPr>
            <a:ln>
              <a:noFill/>
            </a:ln>
          </c:spPr>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$A billions</a:t>
                </a:r>
              </a:p>
            </c:rich>
          </c:tx>
          <c:layout>
            <c:manualLayout>
              <c:xMode val="edge"/>
              <c:yMode val="edge"/>
              <c:x val="1.3888888888888888E-2"/>
              <c:y val="0.26812007874015747"/>
            </c:manualLayout>
          </c:layout>
          <c:overlay val="0"/>
        </c:title>
        <c:numFmt formatCode="#,##0.0" sourceLinked="0"/>
        <c:majorTickMark val="out"/>
        <c:minorTickMark val="none"/>
        <c:tickLblPos val="nextTo"/>
        <c:crossAx val="187574912"/>
        <c:crosses val="autoZero"/>
        <c:crossBetween val="between"/>
        <c:dispUnits>
          <c:builtInUnit val="thousands"/>
        </c:dispUnits>
      </c:valAx>
    </c:plotArea>
    <c:legend>
      <c:legendPos val="b"/>
      <c:layout>
        <c:manualLayout>
          <c:xMode val="edge"/>
          <c:yMode val="edge"/>
          <c:x val="4.2069335083114612E-2"/>
          <c:y val="0.89745868055555555"/>
          <c:w val="0.93252777777777773"/>
          <c:h val="0.10254131944444445"/>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7B8AE-BA35-4F5D-8BA5-C34470F90974}">
  <ds:schemaRefs>
    <ds:schemaRef ds:uri="http://schemas.openxmlformats.org/officeDocument/2006/bibliography"/>
  </ds:schemaRefs>
</ds:datastoreItem>
</file>

<file path=customXml/itemProps2.xml><?xml version="1.0" encoding="utf-8"?>
<ds:datastoreItem xmlns:ds="http://schemas.openxmlformats.org/officeDocument/2006/customXml" ds:itemID="{D8DA3210-6AEA-4DD8-B53E-A9E092887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chapterANZ.dotm</Template>
  <TotalTime>2446</TotalTime>
  <Pages>41</Pages>
  <Words>14463</Words>
  <Characters>83750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CER achievements and implications</vt:lpstr>
    </vt:vector>
  </TitlesOfParts>
  <Company>Productivity Commission</Company>
  <LinksUpToDate>false</LinksUpToDate>
  <CharactersWithSpaces>98017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 achievements and implications</dc:title>
  <dc:subject>Strengthening Trans-Tasman Economic Relations</dc:subject>
  <dc:creator>Australian and New Zealand Productivity Commissions</dc:creator>
  <dc:description>3.</dc:description>
  <cp:lastModifiedBy>Cross, Michelle</cp:lastModifiedBy>
  <cp:revision>69</cp:revision>
  <cp:lastPrinted>2012-12-04T05:56:00Z</cp:lastPrinted>
  <dcterms:created xsi:type="dcterms:W3CDTF">2012-10-11T02:36:00Z</dcterms:created>
  <dcterms:modified xsi:type="dcterms:W3CDTF">2012-12-04T05:56:00Z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752824374</vt:i4>
  </property>
  <property fmtid="{D5CDD505-2E9C-101B-9397-08002B2CF9AE}" pid="3" name="_NewReviewCycle">
    <vt:lpwstr/>
  </property>
  <property fmtid="{D5CDD505-2E9C-101B-9397-08002B2CF9AE}" pid="4" name="_EmailSubject">
    <vt:lpwstr>Web files for the OZ-NZ final report</vt:lpwstr>
  </property>
  <property fmtid="{D5CDD505-2E9C-101B-9397-08002B2CF9AE}" pid="5" name="_AuthorEmail">
    <vt:lpwstr>Louise.Jordan@pc.gov.au</vt:lpwstr>
  </property>
  <property fmtid="{D5CDD505-2E9C-101B-9397-08002B2CF9AE}" pid="6" name="_AuthorEmailDisplayName">
    <vt:lpwstr>Jordan, Louise</vt:lpwstr>
  </property>
</Properties>
</file>