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995B5" w14:textId="77777777" w:rsidR="00A33DFF" w:rsidRDefault="00D24D40" w:rsidP="00D24D40">
      <w:pPr>
        <w:pStyle w:val="Heading1"/>
        <w:spacing w:before="0"/>
      </w:pPr>
      <w:bookmarkStart w:id="0" w:name="ChapterNumber"/>
      <w:bookmarkStart w:id="1" w:name="_GoBack"/>
      <w:bookmarkEnd w:id="1"/>
      <w:r>
        <w:t>5</w:t>
      </w:r>
      <w:bookmarkEnd w:id="0"/>
      <w:r>
        <w:tab/>
      </w:r>
      <w:bookmarkStart w:id="2" w:name="ChapterTitle"/>
      <w:r>
        <w:t>Making it happen</w:t>
      </w:r>
      <w:bookmarkEnd w:id="2"/>
    </w:p>
    <w:p w14:paraId="228995B6" w14:textId="77777777" w:rsidR="00D24D40" w:rsidRDefault="00D24D40">
      <w:pPr>
        <w:pStyle w:val="BoxSpace"/>
      </w:pPr>
      <w:bookmarkStart w:id="3" w:name="Begin"/>
      <w:bookmarkEnd w:id="3"/>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D24D40" w14:paraId="228995B8" w14:textId="77777777" w:rsidTr="002F7E76">
        <w:tc>
          <w:tcPr>
            <w:tcW w:w="8771" w:type="dxa"/>
            <w:shd w:val="clear" w:color="auto" w:fill="E7ECCE"/>
          </w:tcPr>
          <w:p w14:paraId="228995B7" w14:textId="77777777" w:rsidR="00D24D40" w:rsidRPr="0005152B" w:rsidRDefault="00D24D40" w:rsidP="002F7E76">
            <w:pPr>
              <w:pStyle w:val="BoxTitle"/>
            </w:pPr>
            <w:r>
              <w:t>Key points</w:t>
            </w:r>
          </w:p>
        </w:tc>
      </w:tr>
      <w:tr w:rsidR="00D24D40" w14:paraId="228995C1" w14:textId="77777777" w:rsidTr="002F7E76">
        <w:trPr>
          <w:cantSplit/>
        </w:trPr>
        <w:tc>
          <w:tcPr>
            <w:tcW w:w="8771" w:type="dxa"/>
            <w:shd w:val="clear" w:color="auto" w:fill="E7ECCE"/>
          </w:tcPr>
          <w:p w14:paraId="4FF8EF55" w14:textId="1C025D5C" w:rsidR="00E2449A" w:rsidRDefault="00D24D40" w:rsidP="00D24D40">
            <w:pPr>
              <w:pStyle w:val="BoxListBullet"/>
            </w:pPr>
            <w:r>
              <w:t xml:space="preserve">The Commissions have identified a </w:t>
            </w:r>
            <w:r w:rsidR="00E2449A">
              <w:t xml:space="preserve">wide </w:t>
            </w:r>
            <w:r>
              <w:t xml:space="preserve">range of integration initiatives that </w:t>
            </w:r>
            <w:r w:rsidR="002F7E76">
              <w:t>offer</w:t>
            </w:r>
            <w:r>
              <w:t xml:space="preserve"> significant joint net benefits</w:t>
            </w:r>
            <w:r w:rsidR="00E2449A">
              <w:t>.</w:t>
            </w:r>
          </w:p>
          <w:p w14:paraId="228995B9" w14:textId="689BEE2C" w:rsidR="00D24D40" w:rsidRDefault="00E2449A" w:rsidP="00D24D40">
            <w:pPr>
              <w:pStyle w:val="BoxListBullet"/>
            </w:pPr>
            <w:r>
              <w:t>E</w:t>
            </w:r>
            <w:r w:rsidR="00D24D40">
              <w:t xml:space="preserve">conomic integration between Australia and New Zealand is well advanced and some </w:t>
            </w:r>
            <w:r>
              <w:t xml:space="preserve">of these </w:t>
            </w:r>
            <w:r w:rsidR="00D24D40">
              <w:t>new initiatives will be more complex and challenging.</w:t>
            </w:r>
          </w:p>
          <w:p w14:paraId="228995BA" w14:textId="77777777" w:rsidR="00D24D40" w:rsidRDefault="00D24D40" w:rsidP="00D24D40">
            <w:pPr>
              <w:pStyle w:val="BoxListBullet"/>
            </w:pPr>
            <w:r>
              <w:t>Successful implementation requires sound governance arrangements, including the capacity for ongoing evaluation and review.</w:t>
            </w:r>
          </w:p>
          <w:p w14:paraId="228995BB" w14:textId="77777777" w:rsidR="00D24D40" w:rsidRDefault="00D24D40" w:rsidP="00D24D40">
            <w:pPr>
              <w:pStyle w:val="BoxListBullet"/>
            </w:pPr>
            <w:proofErr w:type="spellStart"/>
            <w:r>
              <w:t>CER</w:t>
            </w:r>
            <w:proofErr w:type="spellEnd"/>
            <w:r>
              <w:t xml:space="preserve"> governance arrangements have been light-handed and pragmatic. They have worked reasonably well. </w:t>
            </w:r>
            <w:r w:rsidR="002F7E76">
              <w:t>T</w:t>
            </w:r>
            <w:r>
              <w:t>here is scope to build on them to match the more complex policy challenges that lie ahead and enhance capacity for evidence-based policy.</w:t>
            </w:r>
          </w:p>
          <w:p w14:paraId="228995BC" w14:textId="259F3F28" w:rsidR="00D24D40" w:rsidRDefault="00D218DF" w:rsidP="00D24D40">
            <w:pPr>
              <w:pStyle w:val="BoxListBullet"/>
            </w:pPr>
            <w:r>
              <w:t>Recommendations cover</w:t>
            </w:r>
            <w:r w:rsidR="00D24D40">
              <w:t>:</w:t>
            </w:r>
          </w:p>
          <w:p w14:paraId="228995BD" w14:textId="77777777" w:rsidR="00D24D40" w:rsidRDefault="00D24D40" w:rsidP="00D24D40">
            <w:pPr>
              <w:pStyle w:val="BoxListBullet2"/>
            </w:pPr>
            <w:r>
              <w:t xml:space="preserve">a clearer leadership and oversight role within </w:t>
            </w:r>
            <w:proofErr w:type="spellStart"/>
            <w:r>
              <w:t>CER</w:t>
            </w:r>
            <w:proofErr w:type="spellEnd"/>
          </w:p>
          <w:p w14:paraId="228995BE" w14:textId="0E17C858" w:rsidR="00D24D40" w:rsidRDefault="00D24D40" w:rsidP="00D24D40">
            <w:pPr>
              <w:pStyle w:val="BoxListBullet2"/>
            </w:pPr>
            <w:r>
              <w:t xml:space="preserve">regulatory proposals at the national level </w:t>
            </w:r>
            <w:r w:rsidR="00D218DF">
              <w:t xml:space="preserve">should </w:t>
            </w:r>
            <w:r>
              <w:t xml:space="preserve">consider opportunities </w:t>
            </w:r>
            <w:r w:rsidR="00D07D0F">
              <w:t xml:space="preserve">for trans-Tasman collaboration that would lower costs and deliver benefits </w:t>
            </w:r>
          </w:p>
          <w:p w14:paraId="228995BF" w14:textId="0F4A9A18" w:rsidR="00D24D40" w:rsidRDefault="001F21DE" w:rsidP="00D24D40">
            <w:pPr>
              <w:pStyle w:val="BoxListBullet2"/>
            </w:pPr>
            <w:r>
              <w:t>opportunities for coordinated</w:t>
            </w:r>
            <w:r w:rsidR="00D24D40">
              <w:t xml:space="preserve"> action in regional and multilateral </w:t>
            </w:r>
            <w:proofErr w:type="spellStart"/>
            <w:r w:rsidR="00777371">
              <w:t>f</w:t>
            </w:r>
            <w:r w:rsidR="00D24D40">
              <w:t>ora</w:t>
            </w:r>
            <w:proofErr w:type="spellEnd"/>
          </w:p>
          <w:p w14:paraId="228995C0" w14:textId="77777777" w:rsidR="00D24D40" w:rsidRDefault="00D24D40" w:rsidP="002F7E76">
            <w:pPr>
              <w:pStyle w:val="BoxListBullet2"/>
            </w:pPr>
            <w:r>
              <w:t xml:space="preserve">five-yearly public reviews of </w:t>
            </w:r>
            <w:proofErr w:type="spellStart"/>
            <w:r>
              <w:t>CER’s</w:t>
            </w:r>
            <w:proofErr w:type="spellEnd"/>
            <w:r w:rsidR="002F7E76">
              <w:t xml:space="preserve"> achievements and</w:t>
            </w:r>
            <w:r>
              <w:t xml:space="preserve"> direction.</w:t>
            </w:r>
          </w:p>
        </w:tc>
      </w:tr>
      <w:tr w:rsidR="00D24D40" w14:paraId="228995C3" w14:textId="77777777" w:rsidTr="002F7E76">
        <w:trPr>
          <w:cantSplit/>
        </w:trPr>
        <w:tc>
          <w:tcPr>
            <w:tcW w:w="8771" w:type="dxa"/>
            <w:shd w:val="clear" w:color="auto" w:fill="E7ECCE"/>
          </w:tcPr>
          <w:p w14:paraId="228995C2" w14:textId="77777777" w:rsidR="00D24D40" w:rsidRDefault="00D24D40">
            <w:pPr>
              <w:pStyle w:val="Box"/>
              <w:spacing w:before="0" w:line="120" w:lineRule="exact"/>
            </w:pPr>
          </w:p>
        </w:tc>
      </w:tr>
      <w:tr w:rsidR="00D24D40" w:rsidRPr="00D24D40" w14:paraId="228995C5" w14:textId="77777777" w:rsidTr="002F7E76">
        <w:tc>
          <w:tcPr>
            <w:tcW w:w="8771" w:type="dxa"/>
          </w:tcPr>
          <w:p w14:paraId="228995C4" w14:textId="77777777" w:rsidR="00D24D40" w:rsidRPr="00D24D40" w:rsidRDefault="00D24D40">
            <w:pPr>
              <w:pStyle w:val="Box"/>
              <w:keepNext w:val="0"/>
              <w:spacing w:before="60" w:after="60" w:line="80" w:lineRule="exact"/>
              <w:rPr>
                <w:b/>
                <w:color w:val="auto"/>
                <w:sz w:val="14"/>
              </w:rPr>
            </w:pPr>
          </w:p>
        </w:tc>
      </w:tr>
    </w:tbl>
    <w:p w14:paraId="228995C6" w14:textId="1F80285A" w:rsidR="00F46337" w:rsidRDefault="00D218DF" w:rsidP="007A1ADB">
      <w:pPr>
        <w:pStyle w:val="BodyText"/>
      </w:pPr>
      <w:r>
        <w:t>I</w:t>
      </w:r>
      <w:r w:rsidR="002F7E76">
        <w:t xml:space="preserve">mplementation of a policy can be a formidable challenge, regardless </w:t>
      </w:r>
      <w:r w:rsidR="00D24D40">
        <w:t xml:space="preserve">of how good </w:t>
      </w:r>
      <w:r w:rsidR="002F7E76">
        <w:t>it looked</w:t>
      </w:r>
      <w:r w:rsidR="00D24D40">
        <w:t xml:space="preserve"> on the </w:t>
      </w:r>
      <w:r w:rsidR="009D7710">
        <w:t>‘</w:t>
      </w:r>
      <w:r w:rsidR="00D24D40">
        <w:t>drawing board</w:t>
      </w:r>
      <w:r w:rsidR="009D7710">
        <w:t>’</w:t>
      </w:r>
      <w:r w:rsidR="00D24D40">
        <w:t xml:space="preserve">. Effective implementation requires governance arrangements that are suited to the task. This chapter looks at existing arrangements for the leadership, implementation and management of </w:t>
      </w:r>
      <w:proofErr w:type="spellStart"/>
      <w:r w:rsidR="00D24D40">
        <w:t>CER</w:t>
      </w:r>
      <w:proofErr w:type="spellEnd"/>
      <w:r w:rsidR="00D24D40">
        <w:t xml:space="preserve"> reforms. It considers whether improvements could be made in the light of experience, and to better </w:t>
      </w:r>
      <w:r w:rsidR="002F7E76">
        <w:t xml:space="preserve">match </w:t>
      </w:r>
      <w:r w:rsidR="00D24D40">
        <w:t xml:space="preserve">the requirements of an evolving </w:t>
      </w:r>
      <w:proofErr w:type="spellStart"/>
      <w:r w:rsidR="00D24D40">
        <w:t>CER</w:t>
      </w:r>
      <w:proofErr w:type="spellEnd"/>
      <w:r w:rsidR="00D24D40">
        <w:t xml:space="preserve"> agenda.</w:t>
      </w:r>
    </w:p>
    <w:p w14:paraId="228995C7" w14:textId="77777777" w:rsidR="008E3C45" w:rsidRDefault="00BC59D5" w:rsidP="00D24D40">
      <w:pPr>
        <w:pStyle w:val="Heading2"/>
      </w:pPr>
      <w:r>
        <w:fldChar w:fldCharType="begin"/>
      </w:r>
      <w:r>
        <w:instrText xml:space="preserve"> COMMENTS  \* MERGEFORMAT </w:instrText>
      </w:r>
      <w:r>
        <w:fldChar w:fldCharType="separate"/>
      </w:r>
      <w:r w:rsidR="00D24D40">
        <w:t>5.</w:t>
      </w:r>
      <w:r>
        <w:fldChar w:fldCharType="end"/>
      </w:r>
      <w:r>
        <w:fldChar w:fldCharType="begin"/>
      </w:r>
      <w:r>
        <w:instrText xml:space="preserve"> SEQ Heading2 </w:instrText>
      </w:r>
      <w:r>
        <w:fldChar w:fldCharType="separate"/>
      </w:r>
      <w:r>
        <w:rPr>
          <w:noProof/>
        </w:rPr>
        <w:t>1</w:t>
      </w:r>
      <w:r>
        <w:rPr>
          <w:noProof/>
        </w:rPr>
        <w:fldChar w:fldCharType="end"/>
      </w:r>
      <w:r w:rsidR="00D24D40">
        <w:tab/>
      </w:r>
      <w:r w:rsidR="00D24D40" w:rsidRPr="00D24D40">
        <w:t>The forward agenda</w:t>
      </w:r>
    </w:p>
    <w:p w14:paraId="228995C8" w14:textId="3C064803" w:rsidR="00D24D40" w:rsidRDefault="00B7645D" w:rsidP="00D24D40">
      <w:pPr>
        <w:pStyle w:val="BodyText"/>
      </w:pPr>
      <w:r>
        <w:t>In chapter </w:t>
      </w:r>
      <w:r w:rsidR="00D24D40">
        <w:t xml:space="preserve">4 the Commissions proposed completing some unfinished </w:t>
      </w:r>
      <w:proofErr w:type="spellStart"/>
      <w:r w:rsidR="00D24D40">
        <w:t>CER</w:t>
      </w:r>
      <w:proofErr w:type="spellEnd"/>
      <w:r w:rsidR="00D24D40">
        <w:t xml:space="preserve"> business </w:t>
      </w:r>
      <w:r w:rsidR="00E2449A">
        <w:t xml:space="preserve">and a set of </w:t>
      </w:r>
      <w:r w:rsidR="00D24D40">
        <w:t>new initiatives</w:t>
      </w:r>
      <w:r w:rsidR="00D24D40" w:rsidRPr="00380E59">
        <w:t xml:space="preserve"> </w:t>
      </w:r>
      <w:r w:rsidR="00BF1685">
        <w:t xml:space="preserve">deemed worthwhile </w:t>
      </w:r>
      <w:r w:rsidR="00D24D40">
        <w:t>on the basis of available evidence</w:t>
      </w:r>
      <w:r w:rsidR="0063408C">
        <w:t>.</w:t>
      </w:r>
      <w:r w:rsidR="00D24D40">
        <w:t xml:space="preserve"> The chapter </w:t>
      </w:r>
      <w:r w:rsidR="002F7E76">
        <w:t xml:space="preserve">categorised </w:t>
      </w:r>
      <w:r w:rsidR="00D24D40">
        <w:t>the</w:t>
      </w:r>
      <w:r w:rsidR="002F7E76">
        <w:t xml:space="preserve"> proposed</w:t>
      </w:r>
      <w:r w:rsidR="00D24D40">
        <w:t xml:space="preserve"> initiatives </w:t>
      </w:r>
      <w:r w:rsidR="002F7E76">
        <w:t xml:space="preserve">into </w:t>
      </w:r>
      <w:r w:rsidR="00D24D40">
        <w:t xml:space="preserve">the markets for goods, services, capital </w:t>
      </w:r>
      <w:r w:rsidR="00A2136B">
        <w:t xml:space="preserve">and </w:t>
      </w:r>
      <w:r w:rsidR="00D24D40">
        <w:t xml:space="preserve">labour. </w:t>
      </w:r>
      <w:r w:rsidR="00D218DF">
        <w:t xml:space="preserve">Closer integration </w:t>
      </w:r>
      <w:r w:rsidR="001F21DE">
        <w:t xml:space="preserve">and benchmarking </w:t>
      </w:r>
      <w:r w:rsidR="00D218DF">
        <w:t>of government services w</w:t>
      </w:r>
      <w:r w:rsidR="001F21DE">
        <w:t>ere</w:t>
      </w:r>
      <w:r w:rsidR="00511D8E">
        <w:t xml:space="preserve"> also explored</w:t>
      </w:r>
      <w:r w:rsidR="00D218DF">
        <w:t>.</w:t>
      </w:r>
    </w:p>
    <w:p w14:paraId="228995C9" w14:textId="4ACBDADF" w:rsidR="00D24D40" w:rsidRDefault="00D24D40" w:rsidP="00D24D40">
      <w:pPr>
        <w:pStyle w:val="BodyText"/>
      </w:pPr>
      <w:r>
        <w:lastRenderedPageBreak/>
        <w:t xml:space="preserve">Taken as a whole, </w:t>
      </w:r>
      <w:r w:rsidR="00511D8E">
        <w:t xml:space="preserve">these proposals </w:t>
      </w:r>
      <w:r>
        <w:t xml:space="preserve">amount to a substantial forward agenda for </w:t>
      </w:r>
      <w:proofErr w:type="spellStart"/>
      <w:r>
        <w:t>CER</w:t>
      </w:r>
      <w:proofErr w:type="spellEnd"/>
      <w:r>
        <w:t>, and one that contains ongoing challenges if the two countries are to maximise joint net benefits.</w:t>
      </w:r>
    </w:p>
    <w:p w14:paraId="228995CA" w14:textId="2FF36742" w:rsidR="00D24D40" w:rsidRDefault="00D24D40" w:rsidP="00D24D40">
      <w:pPr>
        <w:pStyle w:val="BodyText"/>
      </w:pPr>
      <w:r>
        <w:t xml:space="preserve">That said, </w:t>
      </w:r>
      <w:proofErr w:type="spellStart"/>
      <w:r>
        <w:t>CER</w:t>
      </w:r>
      <w:proofErr w:type="spellEnd"/>
      <w:r>
        <w:t xml:space="preserve"> initiatives need to take their place alongside domestic reform</w:t>
      </w:r>
      <w:r w:rsidR="00511D8E">
        <w:t>s</w:t>
      </w:r>
      <w:r>
        <w:t xml:space="preserve"> and participation in broader regional or multilateral initiatives. It is outside the scope of this study to compare relative priorities within this wider landscape. The </w:t>
      </w:r>
      <w:r w:rsidR="00511D8E">
        <w:t xml:space="preserve">task </w:t>
      </w:r>
      <w:r>
        <w:t xml:space="preserve">here is </w:t>
      </w:r>
      <w:r w:rsidR="00A21DA1">
        <w:t>to</w:t>
      </w:r>
      <w:r>
        <w:t xml:space="preserve"> </w:t>
      </w:r>
      <w:r w:rsidR="00511D8E">
        <w:t xml:space="preserve">identify </w:t>
      </w:r>
      <w:proofErr w:type="spellStart"/>
      <w:r>
        <w:t>CER</w:t>
      </w:r>
      <w:proofErr w:type="spellEnd"/>
      <w:r>
        <w:t xml:space="preserve"> initiatives that are worth pursuing in their own right.</w:t>
      </w:r>
    </w:p>
    <w:p w14:paraId="228995CB" w14:textId="3C53157E" w:rsidR="00D24D40" w:rsidRDefault="00D24D40" w:rsidP="00D24D40">
      <w:pPr>
        <w:pStyle w:val="BodyText"/>
      </w:pPr>
      <w:r>
        <w:t>Many of the</w:t>
      </w:r>
      <w:r w:rsidR="00511D8E">
        <w:t xml:space="preserve"> proposed</w:t>
      </w:r>
      <w:r>
        <w:t xml:space="preserve"> initiatives </w:t>
      </w:r>
      <w:r w:rsidR="00511D8E">
        <w:t>would reduce</w:t>
      </w:r>
      <w:r>
        <w:t xml:space="preserve"> impediments to trade in services. Compared to conventional border restrictions on merchandise trade, these can pose special challenges for reform. For one thing, the impediments often arise as an unintended by-product of pursuing a domestic policy objective. This may be a social or environmental objective not seen primarily in economic terms, or not publicly accepted as a legitimate subject for international negotiation. The impediments themselves are typically regulatory and can involve multiple </w:t>
      </w:r>
      <w:r w:rsidR="00BC7BFE">
        <w:t xml:space="preserve">interacting </w:t>
      </w:r>
      <w:r>
        <w:t>dimensions.</w:t>
      </w:r>
    </w:p>
    <w:p w14:paraId="228995CC" w14:textId="55981B49" w:rsidR="00D24D40" w:rsidRDefault="00D24D40" w:rsidP="00D24D40">
      <w:pPr>
        <w:pStyle w:val="BodyText"/>
      </w:pPr>
      <w:r>
        <w:t xml:space="preserve">This places a premium on governance arrangements for </w:t>
      </w:r>
      <w:proofErr w:type="spellStart"/>
      <w:r>
        <w:t>CER</w:t>
      </w:r>
      <w:proofErr w:type="spellEnd"/>
      <w:r>
        <w:t xml:space="preserve"> that can play an effective role in marshalling evidence, establishing priorities and monitoring outcomes</w:t>
      </w:r>
      <w:r w:rsidR="00786627">
        <w:t>.</w:t>
      </w:r>
      <w:r>
        <w:t xml:space="preserve"> </w:t>
      </w:r>
      <w:r w:rsidR="00786627">
        <w:t xml:space="preserve">Such arrangements can also help </w:t>
      </w:r>
      <w:r>
        <w:t xml:space="preserve">provide </w:t>
      </w:r>
      <w:r w:rsidR="00BC7BFE">
        <w:t>a coherent</w:t>
      </w:r>
      <w:r>
        <w:t xml:space="preserve"> agenda </w:t>
      </w:r>
      <w:r w:rsidR="00786627">
        <w:t xml:space="preserve">and support its </w:t>
      </w:r>
      <w:r>
        <w:t>communicat</w:t>
      </w:r>
      <w:r w:rsidR="00786627">
        <w:t>ion</w:t>
      </w:r>
      <w:r>
        <w:t xml:space="preserve"> and public accept</w:t>
      </w:r>
      <w:r w:rsidR="00786627">
        <w:t>anc</w:t>
      </w:r>
      <w:r>
        <w:t>e.</w:t>
      </w:r>
    </w:p>
    <w:p w14:paraId="228995CD" w14:textId="3B6E65AC" w:rsidR="00D24D40" w:rsidRDefault="00BC7BFE" w:rsidP="00D24D40">
      <w:pPr>
        <w:pStyle w:val="BodyText"/>
      </w:pPr>
      <w:r>
        <w:t>C</w:t>
      </w:r>
      <w:r w:rsidRPr="004A2B1C">
        <w:t>ohesi</w:t>
      </w:r>
      <w:r>
        <w:t>ve</w:t>
      </w:r>
      <w:r w:rsidRPr="004A2B1C">
        <w:t xml:space="preserve"> </w:t>
      </w:r>
      <w:r w:rsidR="00D24D40" w:rsidRPr="004A2B1C">
        <w:t xml:space="preserve">political leadership </w:t>
      </w:r>
      <w:r w:rsidR="00D24D40">
        <w:t>and effective communication are key</w:t>
      </w:r>
      <w:r w:rsidR="00D24D40" w:rsidRPr="004A2B1C">
        <w:t xml:space="preserve"> to </w:t>
      </w:r>
      <w:r>
        <w:t>the</w:t>
      </w:r>
      <w:r w:rsidR="00D24D40" w:rsidRPr="004A2B1C">
        <w:t xml:space="preserve"> successful </w:t>
      </w:r>
      <w:r w:rsidRPr="004A2B1C">
        <w:t>implement</w:t>
      </w:r>
      <w:r>
        <w:t xml:space="preserve">ation of reforms </w:t>
      </w:r>
      <w:r w:rsidRPr="004A2B1C">
        <w:t>(</w:t>
      </w:r>
      <w:proofErr w:type="spellStart"/>
      <w:r w:rsidRPr="004A2B1C">
        <w:t>Tompson</w:t>
      </w:r>
      <w:proofErr w:type="spellEnd"/>
      <w:r w:rsidRPr="004A2B1C">
        <w:t xml:space="preserve"> </w:t>
      </w:r>
      <w:r>
        <w:t>and Dang</w:t>
      </w:r>
      <w:r w:rsidR="00B7645D">
        <w:t> </w:t>
      </w:r>
      <w:r w:rsidRPr="004A2B1C">
        <w:t>2010)</w:t>
      </w:r>
      <w:r w:rsidR="00D24D40" w:rsidRPr="004A2B1C">
        <w:t xml:space="preserve">. </w:t>
      </w:r>
      <w:r>
        <w:t>T</w:t>
      </w:r>
      <w:r w:rsidRPr="004A2B1C">
        <w:t>h</w:t>
      </w:r>
      <w:r w:rsidR="002A237F">
        <w:t>is</w:t>
      </w:r>
      <w:r w:rsidRPr="004A2B1C">
        <w:t xml:space="preserve"> is likely to be more difficult</w:t>
      </w:r>
      <w:r>
        <w:t xml:space="preserve"> w</w:t>
      </w:r>
      <w:r w:rsidRPr="004A2B1C">
        <w:t xml:space="preserve">here </w:t>
      </w:r>
      <w:r w:rsidR="00D24D40" w:rsidRPr="004A2B1C">
        <w:t xml:space="preserve">two </w:t>
      </w:r>
      <w:r w:rsidR="00FC1044">
        <w:t>G</w:t>
      </w:r>
      <w:r w:rsidR="00D24D40" w:rsidRPr="00FC1044">
        <w:t>overnments</w:t>
      </w:r>
      <w:r w:rsidR="00D24D40" w:rsidRPr="004A2B1C">
        <w:t xml:space="preserve"> are involved. Yet the past </w:t>
      </w:r>
      <w:r w:rsidR="00D24D40">
        <w:t xml:space="preserve">achievements </w:t>
      </w:r>
      <w:r w:rsidR="00D24D40" w:rsidRPr="004A2B1C">
        <w:t xml:space="preserve">of </w:t>
      </w:r>
      <w:proofErr w:type="spellStart"/>
      <w:r w:rsidR="00D24D40" w:rsidRPr="004A2B1C">
        <w:t>CER</w:t>
      </w:r>
      <w:proofErr w:type="spellEnd"/>
      <w:r w:rsidR="00D24D40" w:rsidRPr="004A2B1C">
        <w:t xml:space="preserve"> </w:t>
      </w:r>
      <w:r>
        <w:t>indicate</w:t>
      </w:r>
      <w:r w:rsidR="00D24D40">
        <w:t xml:space="preserve"> the scope to</w:t>
      </w:r>
      <w:r w:rsidR="00D24D40" w:rsidRPr="004A2B1C">
        <w:t xml:space="preserve"> </w:t>
      </w:r>
      <w:r w:rsidR="00D24D40">
        <w:t>implement the</w:t>
      </w:r>
      <w:r w:rsidR="00D24D40" w:rsidRPr="004A2B1C">
        <w:t xml:space="preserve"> forward agenda </w:t>
      </w:r>
      <w:r w:rsidR="00D24D40">
        <w:t>successfully</w:t>
      </w:r>
      <w:r w:rsidR="00D24D40" w:rsidRPr="004A2B1C">
        <w:t>.</w:t>
      </w:r>
    </w:p>
    <w:p w14:paraId="228995CE" w14:textId="77777777" w:rsidR="00D24D40" w:rsidRPr="00213E31" w:rsidRDefault="00D24D40" w:rsidP="00D24D40">
      <w:pPr>
        <w:pStyle w:val="BodyText"/>
      </w:pPr>
      <w:r>
        <w:t>G</w:t>
      </w:r>
      <w:r w:rsidRPr="00213E31">
        <w:t xml:space="preserve">ood processes are </w:t>
      </w:r>
      <w:r>
        <w:t xml:space="preserve">a </w:t>
      </w:r>
      <w:r w:rsidRPr="00213E31">
        <w:t>necessary</w:t>
      </w:r>
      <w:r>
        <w:t>,</w:t>
      </w:r>
      <w:r w:rsidRPr="00213E31">
        <w:t xml:space="preserve"> </w:t>
      </w:r>
      <w:r>
        <w:t xml:space="preserve">if not sufficient, condition </w:t>
      </w:r>
      <w:r w:rsidRPr="00213E31">
        <w:t xml:space="preserve">for good outcomes. </w:t>
      </w:r>
      <w:proofErr w:type="spellStart"/>
      <w:r w:rsidRPr="00213E31">
        <w:t>Acharya</w:t>
      </w:r>
      <w:proofErr w:type="spellEnd"/>
      <w:r w:rsidRPr="00213E31">
        <w:t xml:space="preserve"> </w:t>
      </w:r>
      <w:r>
        <w:t>and Johnston (</w:t>
      </w:r>
      <w:r w:rsidRPr="00213E31">
        <w:t xml:space="preserve">2007, </w:t>
      </w:r>
      <w:r>
        <w:t>p. </w:t>
      </w:r>
      <w:r w:rsidRPr="00213E31">
        <w:t xml:space="preserve">264) have examined a number of regional international institutions and found that </w:t>
      </w:r>
      <w:r>
        <w:t xml:space="preserve">their </w:t>
      </w:r>
      <w:r w:rsidRPr="00213E31">
        <w:t xml:space="preserve">design is a deliberate and complex process that reflects </w:t>
      </w:r>
      <w:r>
        <w:t xml:space="preserve">multiple </w:t>
      </w:r>
      <w:r w:rsidRPr="00213E31">
        <w:t>factors</w:t>
      </w:r>
      <w:r>
        <w:t>.</w:t>
      </w:r>
      <w:r w:rsidRPr="00213E31">
        <w:t xml:space="preserve"> </w:t>
      </w:r>
      <w:r>
        <w:t xml:space="preserve">They conclude </w:t>
      </w:r>
      <w:r w:rsidRPr="00213E31">
        <w:t xml:space="preserve">that </w:t>
      </w:r>
      <w:r>
        <w:t>‘</w:t>
      </w:r>
      <w:r w:rsidRPr="00213E31">
        <w:t xml:space="preserve">institutional design does affect the nature of cooperation, especially when it comes to the realization of </w:t>
      </w:r>
      <w:r>
        <w:t xml:space="preserve">their </w:t>
      </w:r>
      <w:r w:rsidRPr="00213E31">
        <w:t>[the parties’] initial goals</w:t>
      </w:r>
      <w:r>
        <w:t>’.</w:t>
      </w:r>
    </w:p>
    <w:p w14:paraId="228995CF" w14:textId="77DA9196" w:rsidR="00D24D40" w:rsidRPr="00D24D40" w:rsidRDefault="00BC7BFE" w:rsidP="00D24D40">
      <w:pPr>
        <w:pStyle w:val="BodyText"/>
      </w:pPr>
      <w:r>
        <w:rPr>
          <w:lang w:val="en-NZ"/>
        </w:rPr>
        <w:t>It</w:t>
      </w:r>
      <w:r w:rsidR="00D24D40" w:rsidRPr="00213E31">
        <w:rPr>
          <w:lang w:val="en-NZ"/>
        </w:rPr>
        <w:t xml:space="preserve"> is </w:t>
      </w:r>
      <w:r w:rsidR="00D24D40">
        <w:rPr>
          <w:lang w:val="en-NZ"/>
        </w:rPr>
        <w:t xml:space="preserve">timely </w:t>
      </w:r>
      <w:r w:rsidR="00D24D40" w:rsidRPr="00213E31">
        <w:rPr>
          <w:lang w:val="en-NZ"/>
        </w:rPr>
        <w:t>to ask whether</w:t>
      </w:r>
      <w:r>
        <w:rPr>
          <w:lang w:val="en-NZ"/>
        </w:rPr>
        <w:t xml:space="preserve"> </w:t>
      </w:r>
      <w:proofErr w:type="spellStart"/>
      <w:r w:rsidR="00D218DF">
        <w:rPr>
          <w:lang w:val="en-NZ"/>
        </w:rPr>
        <w:t>CER’s</w:t>
      </w:r>
      <w:proofErr w:type="spellEnd"/>
      <w:r w:rsidR="00D218DF">
        <w:rPr>
          <w:lang w:val="en-NZ"/>
        </w:rPr>
        <w:t xml:space="preserve"> </w:t>
      </w:r>
      <w:r w:rsidR="00D24D40" w:rsidRPr="00213E31">
        <w:rPr>
          <w:lang w:val="en-NZ"/>
        </w:rPr>
        <w:t xml:space="preserve">governance </w:t>
      </w:r>
      <w:r w:rsidR="00D24D40">
        <w:rPr>
          <w:lang w:val="en-NZ"/>
        </w:rPr>
        <w:t>remain</w:t>
      </w:r>
      <w:r w:rsidR="00D218DF">
        <w:rPr>
          <w:lang w:val="en-NZ"/>
        </w:rPr>
        <w:t>s</w:t>
      </w:r>
      <w:r w:rsidR="00D24D40">
        <w:rPr>
          <w:lang w:val="en-NZ"/>
        </w:rPr>
        <w:t xml:space="preserve"> fit for purpose,</w:t>
      </w:r>
      <w:r w:rsidR="00D24D40" w:rsidRPr="00213E31">
        <w:rPr>
          <w:lang w:val="en-NZ"/>
        </w:rPr>
        <w:t xml:space="preserve"> given the</w:t>
      </w:r>
      <w:r>
        <w:rPr>
          <w:lang w:val="en-NZ"/>
        </w:rPr>
        <w:t xml:space="preserve"> </w:t>
      </w:r>
      <w:r w:rsidR="00A2136B">
        <w:rPr>
          <w:lang w:val="en-NZ"/>
        </w:rPr>
        <w:t>30</w:t>
      </w:r>
      <w:r w:rsidR="00F25563">
        <w:rPr>
          <w:lang w:val="en-NZ"/>
        </w:rPr>
        <w:noBreakHyphen/>
      </w:r>
      <w:r>
        <w:rPr>
          <w:lang w:val="en-NZ"/>
        </w:rPr>
        <w:t>year</w:t>
      </w:r>
      <w:r w:rsidR="00D24D40" w:rsidRPr="00213E31">
        <w:rPr>
          <w:lang w:val="en-NZ"/>
        </w:rPr>
        <w:t xml:space="preserve"> evolution of </w:t>
      </w:r>
      <w:proofErr w:type="spellStart"/>
      <w:r w:rsidR="00D24D40" w:rsidRPr="00213E31">
        <w:rPr>
          <w:lang w:val="en-NZ"/>
        </w:rPr>
        <w:t>CER</w:t>
      </w:r>
      <w:proofErr w:type="spellEnd"/>
      <w:r w:rsidR="00D24D40" w:rsidRPr="00213E31">
        <w:rPr>
          <w:lang w:val="en-NZ"/>
        </w:rPr>
        <w:t xml:space="preserve">, changes in external circumstances and </w:t>
      </w:r>
      <w:r w:rsidR="00D24D40">
        <w:rPr>
          <w:lang w:val="en-NZ"/>
        </w:rPr>
        <w:t xml:space="preserve">the types of </w:t>
      </w:r>
      <w:r>
        <w:rPr>
          <w:lang w:val="en-NZ"/>
        </w:rPr>
        <w:t>initiatives in the forward agenda.</w:t>
      </w:r>
    </w:p>
    <w:p w14:paraId="228995D0" w14:textId="77777777" w:rsidR="0007380A" w:rsidRDefault="00BC59D5" w:rsidP="00D24D40">
      <w:pPr>
        <w:pStyle w:val="Heading2"/>
      </w:pPr>
      <w:r>
        <w:lastRenderedPageBreak/>
        <w:fldChar w:fldCharType="begin"/>
      </w:r>
      <w:r>
        <w:instrText xml:space="preserve"> COMMENTS  \* MERGEFORM</w:instrText>
      </w:r>
      <w:r>
        <w:instrText xml:space="preserve">AT </w:instrText>
      </w:r>
      <w:r>
        <w:fldChar w:fldCharType="separate"/>
      </w:r>
      <w:r w:rsidR="00D24D40">
        <w:t>5.</w:t>
      </w:r>
      <w:r>
        <w:fldChar w:fldCharType="end"/>
      </w:r>
      <w:r>
        <w:fldChar w:fldCharType="begin"/>
      </w:r>
      <w:r>
        <w:instrText xml:space="preserve"> SEQ Heading2 </w:instrText>
      </w:r>
      <w:r>
        <w:fldChar w:fldCharType="separate"/>
      </w:r>
      <w:r>
        <w:rPr>
          <w:noProof/>
        </w:rPr>
        <w:t>2</w:t>
      </w:r>
      <w:r>
        <w:rPr>
          <w:noProof/>
        </w:rPr>
        <w:fldChar w:fldCharType="end"/>
      </w:r>
      <w:r w:rsidR="00D24D40">
        <w:tab/>
      </w:r>
      <w:r w:rsidR="00D24D40" w:rsidRPr="00D24D40">
        <w:t xml:space="preserve">Past and current governance of </w:t>
      </w:r>
      <w:proofErr w:type="spellStart"/>
      <w:r w:rsidR="00D24D40" w:rsidRPr="00D24D40">
        <w:t>CER</w:t>
      </w:r>
      <w:proofErr w:type="spellEnd"/>
    </w:p>
    <w:p w14:paraId="228995D1" w14:textId="07A53B98" w:rsidR="00D24D40" w:rsidRPr="00153DAB" w:rsidRDefault="00D24D40" w:rsidP="00D24D40">
      <w:pPr>
        <w:pStyle w:val="BodyText"/>
        <w:rPr>
          <w:lang w:val="en-NZ"/>
        </w:rPr>
      </w:pPr>
      <w:proofErr w:type="spellStart"/>
      <w:r w:rsidRPr="00153DAB">
        <w:rPr>
          <w:lang w:val="en-NZ"/>
        </w:rPr>
        <w:t>CER</w:t>
      </w:r>
      <w:proofErr w:type="spellEnd"/>
      <w:r w:rsidRPr="00153DAB">
        <w:rPr>
          <w:lang w:val="en-NZ"/>
        </w:rPr>
        <w:t xml:space="preserve"> governance </w:t>
      </w:r>
      <w:r>
        <w:rPr>
          <w:lang w:val="en-NZ"/>
        </w:rPr>
        <w:t>can be characterised as</w:t>
      </w:r>
      <w:r w:rsidRPr="00153DAB">
        <w:rPr>
          <w:lang w:val="en-NZ"/>
        </w:rPr>
        <w:t xml:space="preserve"> light-handed and pragmatic. </w:t>
      </w:r>
      <w:r>
        <w:rPr>
          <w:lang w:val="en-NZ"/>
        </w:rPr>
        <w:t xml:space="preserve">It </w:t>
      </w:r>
      <w:r w:rsidRPr="004A2B1C">
        <w:t>has</w:t>
      </w:r>
      <w:r>
        <w:t xml:space="preserve"> </w:t>
      </w:r>
      <w:r w:rsidRPr="004A2B1C">
        <w:t xml:space="preserve">been held up as a workable alternative to EU-style integration with its grander visions and </w:t>
      </w:r>
      <w:r>
        <w:t xml:space="preserve">powerful </w:t>
      </w:r>
      <w:r w:rsidRPr="004A2B1C">
        <w:t xml:space="preserve">supra-national institutions (Leslie </w:t>
      </w:r>
      <w:r>
        <w:t>and Elijah</w:t>
      </w:r>
      <w:r w:rsidR="00B7645D">
        <w:t> </w:t>
      </w:r>
      <w:r w:rsidR="00832687">
        <w:t>forthcoming</w:t>
      </w:r>
      <w:r w:rsidRPr="004A2B1C">
        <w:t>).</w:t>
      </w:r>
    </w:p>
    <w:p w14:paraId="228995D2" w14:textId="4E5101CC" w:rsidR="00D24D40" w:rsidRPr="00153DAB" w:rsidRDefault="00D24D40" w:rsidP="00D24D40">
      <w:pPr>
        <w:pStyle w:val="BodyText"/>
        <w:rPr>
          <w:lang w:val="en-NZ"/>
        </w:rPr>
      </w:pPr>
      <w:r w:rsidRPr="00153DAB">
        <w:rPr>
          <w:lang w:val="en-NZ"/>
        </w:rPr>
        <w:t xml:space="preserve">The key </w:t>
      </w:r>
      <w:proofErr w:type="spellStart"/>
      <w:r w:rsidRPr="00153DAB">
        <w:rPr>
          <w:lang w:val="en-NZ"/>
        </w:rPr>
        <w:t>CER</w:t>
      </w:r>
      <w:proofErr w:type="spellEnd"/>
      <w:r w:rsidRPr="00153DAB">
        <w:rPr>
          <w:lang w:val="en-NZ"/>
        </w:rPr>
        <w:t xml:space="preserve"> decision-making processe</w:t>
      </w:r>
      <w:r w:rsidR="00FC1044">
        <w:rPr>
          <w:lang w:val="en-NZ"/>
        </w:rPr>
        <w:t>s remain within the respective G</w:t>
      </w:r>
      <w:r w:rsidRPr="00153DAB">
        <w:rPr>
          <w:lang w:val="en-NZ"/>
        </w:rPr>
        <w:t xml:space="preserve">overnments of Australia and New Zealand. While no Ministers have formal responsibility for the trans-Tasman relationship, the two Prime Ministers hold de facto ministerial responsibility for </w:t>
      </w:r>
      <w:proofErr w:type="spellStart"/>
      <w:r w:rsidRPr="00153DAB">
        <w:rPr>
          <w:lang w:val="en-NZ"/>
        </w:rPr>
        <w:t>CER</w:t>
      </w:r>
      <w:proofErr w:type="spellEnd"/>
      <w:r w:rsidRPr="00153DAB">
        <w:rPr>
          <w:lang w:val="en-NZ"/>
        </w:rPr>
        <w:t xml:space="preserve"> and meet</w:t>
      </w:r>
      <w:r>
        <w:rPr>
          <w:lang w:val="en-NZ"/>
        </w:rPr>
        <w:t xml:space="preserve"> periodically</w:t>
      </w:r>
      <w:r w:rsidRPr="00153DAB">
        <w:rPr>
          <w:lang w:val="en-NZ"/>
        </w:rPr>
        <w:t>. There are also regular trans-Tasman meetings at ministerial and departmental levels</w:t>
      </w:r>
      <w:r w:rsidR="00D218DF">
        <w:rPr>
          <w:lang w:val="en-NZ"/>
        </w:rPr>
        <w:t>,</w:t>
      </w:r>
      <w:r w:rsidRPr="00153DAB">
        <w:rPr>
          <w:lang w:val="en-NZ"/>
        </w:rPr>
        <w:t xml:space="preserve"> which drive efforts to coordinate and integrate</w:t>
      </w:r>
      <w:r>
        <w:rPr>
          <w:lang w:val="en-NZ"/>
        </w:rPr>
        <w:t>.</w:t>
      </w:r>
    </w:p>
    <w:p w14:paraId="228995D3" w14:textId="356EF001" w:rsidR="00D24D40" w:rsidRDefault="00786627" w:rsidP="00D24D40">
      <w:pPr>
        <w:pStyle w:val="BodyText"/>
        <w:rPr>
          <w:lang w:val="en-NZ"/>
        </w:rPr>
      </w:pPr>
      <w:r>
        <w:rPr>
          <w:lang w:val="en-NZ"/>
        </w:rPr>
        <w:t xml:space="preserve">At </w:t>
      </w:r>
      <w:r w:rsidR="009D7710">
        <w:rPr>
          <w:lang w:val="en-NZ"/>
        </w:rPr>
        <w:t xml:space="preserve">the level of government </w:t>
      </w:r>
      <w:r>
        <w:rPr>
          <w:lang w:val="en-NZ"/>
        </w:rPr>
        <w:t>officials, t</w:t>
      </w:r>
      <w:r w:rsidR="00D24D40" w:rsidRPr="00153DAB">
        <w:rPr>
          <w:lang w:val="en-NZ"/>
        </w:rPr>
        <w:t>he Trans-Tasman Outcomes Implementation Group (</w:t>
      </w:r>
      <w:proofErr w:type="spellStart"/>
      <w:r w:rsidR="00D24D40" w:rsidRPr="00153DAB">
        <w:rPr>
          <w:lang w:val="en-NZ"/>
        </w:rPr>
        <w:t>TTOIG</w:t>
      </w:r>
      <w:proofErr w:type="spellEnd"/>
      <w:r w:rsidR="00D24D40" w:rsidRPr="00153DAB">
        <w:rPr>
          <w:lang w:val="en-NZ"/>
        </w:rPr>
        <w:t xml:space="preserve">) has </w:t>
      </w:r>
      <w:r w:rsidR="00D24D40">
        <w:rPr>
          <w:lang w:val="en-NZ"/>
        </w:rPr>
        <w:t>served</w:t>
      </w:r>
      <w:r w:rsidR="00D24D40" w:rsidRPr="00153DAB">
        <w:rPr>
          <w:lang w:val="en-NZ"/>
        </w:rPr>
        <w:t xml:space="preserve"> since 200</w:t>
      </w:r>
      <w:r w:rsidR="000854F1">
        <w:rPr>
          <w:lang w:val="en-NZ"/>
        </w:rPr>
        <w:t>9</w:t>
      </w:r>
      <w:r w:rsidR="00D24D40" w:rsidRPr="00153DAB">
        <w:rPr>
          <w:lang w:val="en-NZ"/>
        </w:rPr>
        <w:t xml:space="preserve"> </w:t>
      </w:r>
      <w:r w:rsidR="00BC7BFE">
        <w:rPr>
          <w:lang w:val="en-NZ"/>
        </w:rPr>
        <w:t>providing</w:t>
      </w:r>
      <w:r w:rsidR="00D24D40" w:rsidRPr="00153DAB">
        <w:rPr>
          <w:lang w:val="en-NZ"/>
        </w:rPr>
        <w:t xml:space="preserve"> oversight</w:t>
      </w:r>
      <w:r w:rsidR="00BC7BFE">
        <w:rPr>
          <w:lang w:val="en-NZ"/>
        </w:rPr>
        <w:t xml:space="preserve"> and</w:t>
      </w:r>
      <w:r w:rsidR="00D24D40" w:rsidRPr="00153DAB">
        <w:rPr>
          <w:lang w:val="en-NZ"/>
        </w:rPr>
        <w:t xml:space="preserve"> coordination </w:t>
      </w:r>
      <w:r w:rsidR="00BC7BFE">
        <w:rPr>
          <w:lang w:val="en-NZ"/>
        </w:rPr>
        <w:t>of</w:t>
      </w:r>
      <w:r w:rsidR="00D24D40" w:rsidRPr="00153DAB">
        <w:rPr>
          <w:lang w:val="en-NZ"/>
        </w:rPr>
        <w:t xml:space="preserve"> a program to integrate </w:t>
      </w:r>
      <w:r w:rsidR="00A2136B">
        <w:rPr>
          <w:lang w:val="en-NZ"/>
        </w:rPr>
        <w:t xml:space="preserve">Australian and New Zealand </w:t>
      </w:r>
      <w:r w:rsidR="00D24D40" w:rsidRPr="00153DAB">
        <w:rPr>
          <w:lang w:val="en-NZ"/>
        </w:rPr>
        <w:t xml:space="preserve">business laws </w:t>
      </w:r>
      <w:r w:rsidR="00A2136B">
        <w:rPr>
          <w:lang w:val="en-NZ"/>
        </w:rPr>
        <w:t>as part of</w:t>
      </w:r>
      <w:r w:rsidR="00A2136B" w:rsidRPr="00153DAB">
        <w:rPr>
          <w:lang w:val="en-NZ"/>
        </w:rPr>
        <w:t xml:space="preserve"> </w:t>
      </w:r>
      <w:r w:rsidR="00D24D40" w:rsidRPr="00153DAB">
        <w:rPr>
          <w:lang w:val="en-NZ"/>
        </w:rPr>
        <w:t xml:space="preserve">the Single Economic Market phase of </w:t>
      </w:r>
      <w:proofErr w:type="spellStart"/>
      <w:r w:rsidR="00D24D40" w:rsidRPr="00153DAB">
        <w:rPr>
          <w:lang w:val="en-NZ"/>
        </w:rPr>
        <w:t>CER</w:t>
      </w:r>
      <w:proofErr w:type="spellEnd"/>
      <w:r w:rsidR="00D24D40" w:rsidRPr="00153DAB">
        <w:rPr>
          <w:lang w:val="en-NZ"/>
        </w:rPr>
        <w:t xml:space="preserve">. </w:t>
      </w:r>
      <w:r w:rsidR="00D24D40">
        <w:rPr>
          <w:lang w:val="en-NZ"/>
        </w:rPr>
        <w:t xml:space="preserve">It </w:t>
      </w:r>
      <w:r w:rsidR="00BC7BFE">
        <w:rPr>
          <w:lang w:val="en-NZ"/>
        </w:rPr>
        <w:t>consists</w:t>
      </w:r>
      <w:r w:rsidR="00D24D40" w:rsidRPr="00153DAB">
        <w:rPr>
          <w:lang w:val="en-NZ"/>
        </w:rPr>
        <w:t xml:space="preserve"> of </w:t>
      </w:r>
      <w:r w:rsidR="00D24D40">
        <w:rPr>
          <w:lang w:val="en-NZ"/>
        </w:rPr>
        <w:t xml:space="preserve">senior </w:t>
      </w:r>
      <w:r w:rsidR="00D24D40" w:rsidRPr="00153DAB">
        <w:rPr>
          <w:lang w:val="en-NZ"/>
        </w:rPr>
        <w:t>officials jointly chaired by the Australian Treasury and the New Zealand Ministry of Business, Innovation and Employment. It oversees and reports six-monthly on progress towards achieving 28 outcomes across nine areas of business law (section 4.</w:t>
      </w:r>
      <w:r w:rsidR="00D24D40">
        <w:rPr>
          <w:lang w:val="en-NZ"/>
        </w:rPr>
        <w:t>1</w:t>
      </w:r>
      <w:r w:rsidR="00D24D40" w:rsidRPr="00153DAB">
        <w:rPr>
          <w:lang w:val="en-NZ"/>
        </w:rPr>
        <w:t xml:space="preserve"> </w:t>
      </w:r>
      <w:r w:rsidR="00D24D40">
        <w:rPr>
          <w:lang w:val="en-NZ"/>
        </w:rPr>
        <w:t>has</w:t>
      </w:r>
      <w:r w:rsidR="00D24D40" w:rsidRPr="00153DAB">
        <w:rPr>
          <w:lang w:val="en-NZ"/>
        </w:rPr>
        <w:t xml:space="preserve"> more detail) and has been largely successful in keeping the program on track.</w:t>
      </w:r>
    </w:p>
    <w:p w14:paraId="228995D4" w14:textId="76E4E44F" w:rsidR="00D24D40" w:rsidRDefault="00D24D40" w:rsidP="00D24D40">
      <w:pPr>
        <w:pStyle w:val="BodyText"/>
        <w:rPr>
          <w:lang w:val="en-NZ"/>
        </w:rPr>
      </w:pPr>
      <w:r w:rsidRPr="00153DAB">
        <w:rPr>
          <w:lang w:val="en-NZ"/>
        </w:rPr>
        <w:t>The Council of Australian Governments (</w:t>
      </w:r>
      <w:proofErr w:type="spellStart"/>
      <w:r w:rsidRPr="00153DAB">
        <w:rPr>
          <w:lang w:val="en-NZ"/>
        </w:rPr>
        <w:t>COAG</w:t>
      </w:r>
      <w:proofErr w:type="spellEnd"/>
      <w:r w:rsidRPr="00153DAB">
        <w:rPr>
          <w:lang w:val="en-NZ"/>
        </w:rPr>
        <w:t xml:space="preserve">) </w:t>
      </w:r>
      <w:r w:rsidR="00BC7BFE">
        <w:rPr>
          <w:lang w:val="en-NZ"/>
        </w:rPr>
        <w:t>is another</w:t>
      </w:r>
      <w:r w:rsidRPr="00153DAB">
        <w:rPr>
          <w:lang w:val="en-NZ"/>
        </w:rPr>
        <w:t xml:space="preserve"> important component of </w:t>
      </w:r>
      <w:proofErr w:type="spellStart"/>
      <w:r w:rsidRPr="00153DAB">
        <w:rPr>
          <w:lang w:val="en-NZ"/>
        </w:rPr>
        <w:t>CER</w:t>
      </w:r>
      <w:proofErr w:type="spellEnd"/>
      <w:r w:rsidRPr="00153DAB">
        <w:rPr>
          <w:lang w:val="en-NZ"/>
        </w:rPr>
        <w:t xml:space="preserve"> governance arrangements (</w:t>
      </w:r>
      <w:r w:rsidR="00B7645D">
        <w:rPr>
          <w:lang w:val="en-NZ"/>
        </w:rPr>
        <w:t>box </w:t>
      </w:r>
      <w:r>
        <w:rPr>
          <w:lang w:val="en-NZ"/>
        </w:rPr>
        <w:t>5.1</w:t>
      </w:r>
      <w:r w:rsidRPr="00153DAB">
        <w:rPr>
          <w:lang w:val="en-NZ"/>
        </w:rPr>
        <w:t xml:space="preserve">). In some areas, </w:t>
      </w:r>
      <w:proofErr w:type="spellStart"/>
      <w:r w:rsidRPr="00153DAB">
        <w:rPr>
          <w:lang w:val="en-NZ"/>
        </w:rPr>
        <w:t>CER</w:t>
      </w:r>
      <w:proofErr w:type="spellEnd"/>
      <w:r w:rsidRPr="00153DAB">
        <w:rPr>
          <w:lang w:val="en-NZ"/>
        </w:rPr>
        <w:t xml:space="preserve"> reform has taken its cue from </w:t>
      </w:r>
      <w:r>
        <w:rPr>
          <w:lang w:val="en-NZ"/>
        </w:rPr>
        <w:t xml:space="preserve">the </w:t>
      </w:r>
      <w:r w:rsidRPr="00153DAB">
        <w:rPr>
          <w:lang w:val="en-NZ"/>
        </w:rPr>
        <w:t xml:space="preserve">efforts of </w:t>
      </w:r>
      <w:proofErr w:type="spellStart"/>
      <w:r w:rsidRPr="00153DAB">
        <w:rPr>
          <w:lang w:val="en-NZ"/>
        </w:rPr>
        <w:t>COAG</w:t>
      </w:r>
      <w:proofErr w:type="spellEnd"/>
      <w:r w:rsidRPr="00153DAB">
        <w:rPr>
          <w:lang w:val="en-NZ"/>
        </w:rPr>
        <w:t xml:space="preserve"> to remove barriers to create a ‘seamless national economy’ within Australia. One example is </w:t>
      </w:r>
      <w:proofErr w:type="spellStart"/>
      <w:r w:rsidR="00BC7BFE" w:rsidRPr="00153DAB">
        <w:rPr>
          <w:lang w:val="en-NZ"/>
        </w:rPr>
        <w:t>FSANZ</w:t>
      </w:r>
      <w:proofErr w:type="spellEnd"/>
      <w:r w:rsidR="00BC7BFE" w:rsidRPr="00153DAB">
        <w:rPr>
          <w:lang w:val="en-NZ"/>
        </w:rPr>
        <w:t>,</w:t>
      </w:r>
      <w:r w:rsidR="00BC7BFE">
        <w:rPr>
          <w:lang w:val="en-NZ"/>
        </w:rPr>
        <w:t xml:space="preserve"> </w:t>
      </w:r>
      <w:r w:rsidRPr="00153DAB">
        <w:rPr>
          <w:lang w:val="en-NZ"/>
        </w:rPr>
        <w:t xml:space="preserve">the trans-Tasman joint agency for food standards, which grew </w:t>
      </w:r>
      <w:r w:rsidR="00BC7BFE">
        <w:rPr>
          <w:lang w:val="en-NZ"/>
        </w:rPr>
        <w:t>from</w:t>
      </w:r>
      <w:r w:rsidRPr="00153DAB">
        <w:rPr>
          <w:lang w:val="en-NZ"/>
        </w:rPr>
        <w:t xml:space="preserve"> the Australian national food st</w:t>
      </w:r>
      <w:r>
        <w:rPr>
          <w:lang w:val="en-NZ"/>
        </w:rPr>
        <w:t xml:space="preserve">andards developed through </w:t>
      </w:r>
      <w:proofErr w:type="spellStart"/>
      <w:r>
        <w:rPr>
          <w:lang w:val="en-NZ"/>
        </w:rPr>
        <w:t>COAG</w:t>
      </w:r>
      <w:proofErr w:type="spellEnd"/>
      <w:r>
        <w:rPr>
          <w:lang w:val="en-NZ"/>
        </w:rPr>
        <w:t>.</w:t>
      </w:r>
    </w:p>
    <w:p w14:paraId="2DA2FE9B" w14:textId="6307BC79" w:rsidR="00155DCC" w:rsidRDefault="00155DCC" w:rsidP="00D24D40">
      <w:pPr>
        <w:pStyle w:val="BodyText"/>
        <w:rPr>
          <w:lang w:val="en-NZ"/>
        </w:rPr>
      </w:pPr>
      <w:r>
        <w:rPr>
          <w:lang w:val="en-NZ"/>
        </w:rPr>
        <w:t xml:space="preserve">Ministers from both </w:t>
      </w:r>
      <w:r w:rsidR="00FC1044">
        <w:rPr>
          <w:lang w:val="en-NZ"/>
        </w:rPr>
        <w:t>G</w:t>
      </w:r>
      <w:r>
        <w:rPr>
          <w:lang w:val="en-NZ"/>
        </w:rPr>
        <w:t xml:space="preserve">overnments attend the </w:t>
      </w:r>
      <w:r w:rsidR="00F354BA">
        <w:rPr>
          <w:lang w:val="en-NZ"/>
        </w:rPr>
        <w:t xml:space="preserve">annual </w:t>
      </w:r>
      <w:r>
        <w:rPr>
          <w:lang w:val="en-NZ"/>
        </w:rPr>
        <w:t>Australia</w:t>
      </w:r>
      <w:r w:rsidR="00F354BA">
        <w:rPr>
          <w:lang w:val="en-NZ"/>
        </w:rPr>
        <w:t xml:space="preserve">-New Zealand Leadership Forum, where business and government leaders come together to focus on </w:t>
      </w:r>
      <w:proofErr w:type="spellStart"/>
      <w:r w:rsidR="00F354BA">
        <w:rPr>
          <w:lang w:val="en-NZ"/>
        </w:rPr>
        <w:t>CER</w:t>
      </w:r>
      <w:proofErr w:type="spellEnd"/>
      <w:r w:rsidR="00F354BA">
        <w:rPr>
          <w:lang w:val="en-NZ"/>
        </w:rPr>
        <w:t>.</w:t>
      </w:r>
    </w:p>
    <w:p w14:paraId="228995D5" w14:textId="77777777" w:rsidR="00D24D40" w:rsidRDefault="00D24D4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D40" w14:paraId="228995D7" w14:textId="77777777" w:rsidTr="002F7E76">
        <w:tc>
          <w:tcPr>
            <w:tcW w:w="8771" w:type="dxa"/>
            <w:tcBorders>
              <w:top w:val="nil"/>
              <w:left w:val="nil"/>
              <w:bottom w:val="nil"/>
              <w:right w:val="nil"/>
            </w:tcBorders>
            <w:shd w:val="clear" w:color="auto" w:fill="D9EAF0"/>
          </w:tcPr>
          <w:p w14:paraId="228995D6" w14:textId="158C67A5" w:rsidR="00D24D40" w:rsidRDefault="00D24D40" w:rsidP="00BC7BF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5.</w:t>
            </w:r>
            <w:r>
              <w:rPr>
                <w:b w:val="0"/>
              </w:rPr>
              <w:fldChar w:fldCharType="end"/>
            </w:r>
            <w:r>
              <w:rPr>
                <w:b w:val="0"/>
              </w:rPr>
              <w:fldChar w:fldCharType="begin"/>
            </w:r>
            <w:r>
              <w:rPr>
                <w:b w:val="0"/>
              </w:rPr>
              <w:instrText xml:space="preserve"> SEQ Box \* ARABIC </w:instrText>
            </w:r>
            <w:r>
              <w:rPr>
                <w:b w:val="0"/>
              </w:rPr>
              <w:fldChar w:fldCharType="separate"/>
            </w:r>
            <w:r w:rsidR="00BC59D5">
              <w:rPr>
                <w:b w:val="0"/>
                <w:noProof/>
              </w:rPr>
              <w:t>1</w:t>
            </w:r>
            <w:r>
              <w:rPr>
                <w:b w:val="0"/>
              </w:rPr>
              <w:fldChar w:fldCharType="end"/>
            </w:r>
            <w:r>
              <w:tab/>
            </w:r>
            <w:r w:rsidRPr="00D24D40">
              <w:t>New Zealand’s participation in the Council of Au</w:t>
            </w:r>
            <w:r w:rsidR="00D37EF3">
              <w:t>stralian Governments</w:t>
            </w:r>
          </w:p>
        </w:tc>
      </w:tr>
      <w:tr w:rsidR="00D24D40" w14:paraId="2289960D" w14:textId="77777777" w:rsidTr="002F7E76">
        <w:trPr>
          <w:cantSplit/>
        </w:trPr>
        <w:tc>
          <w:tcPr>
            <w:tcW w:w="8771" w:type="dxa"/>
            <w:tcBorders>
              <w:top w:val="nil"/>
              <w:left w:val="nil"/>
              <w:bottom w:val="nil"/>
              <w:right w:val="nil"/>
            </w:tcBorders>
            <w:shd w:val="clear" w:color="auto" w:fill="D9EAF0"/>
          </w:tcPr>
          <w:p w14:paraId="228995D8" w14:textId="642C88DF" w:rsidR="00D24D40" w:rsidRDefault="00D24D40" w:rsidP="00B74F7E">
            <w:pPr>
              <w:pStyle w:val="Box"/>
              <w:spacing w:after="120"/>
            </w:pPr>
            <w:r w:rsidRPr="00D24D40">
              <w:t xml:space="preserve">New Zealand Ministers have had observer status at relevant </w:t>
            </w:r>
            <w:proofErr w:type="spellStart"/>
            <w:r w:rsidRPr="00D24D40">
              <w:t>COAG</w:t>
            </w:r>
            <w:proofErr w:type="spellEnd"/>
            <w:r w:rsidRPr="00D24D40">
              <w:t xml:space="preserve"> Ministerial Councils for nearly two decades. </w:t>
            </w:r>
            <w:r w:rsidR="00BC7BFE">
              <w:t>Full membership was recommended in a</w:t>
            </w:r>
            <w:r w:rsidR="00BC7BFE" w:rsidRPr="00D24D40">
              <w:t xml:space="preserve"> </w:t>
            </w:r>
            <w:r w:rsidRPr="00D24D40">
              <w:t xml:space="preserve">2008 report by the Australian House of Representatives Standing Committee on Legal and Constitutional Affairs. The Australian Government accepted this recommendation in relation to Ministerial Councils that consider matters </w:t>
            </w:r>
            <w:r w:rsidR="000B4B49">
              <w:t>where</w:t>
            </w:r>
            <w:r w:rsidRPr="00D24D40">
              <w:t xml:space="preserve"> New Zealand has an interest. When the new </w:t>
            </w:r>
            <w:proofErr w:type="spellStart"/>
            <w:r w:rsidRPr="00D24D40">
              <w:t>COAG</w:t>
            </w:r>
            <w:proofErr w:type="spellEnd"/>
            <w:r w:rsidRPr="00D24D40">
              <w:t xml:space="preserve"> structure was put in place in 2011 New Zealand was invited to </w:t>
            </w:r>
            <w:r w:rsidR="007A386B">
              <w:t>(</w:t>
            </w:r>
            <w:r w:rsidRPr="00D24D40">
              <w:t>and opted to</w:t>
            </w:r>
            <w:r w:rsidR="007A386B">
              <w:t>)</w:t>
            </w:r>
            <w:r w:rsidRPr="00D24D40">
              <w:t xml:space="preserve"> join the Ministerial C</w:t>
            </w:r>
            <w:r>
              <w:t xml:space="preserve">ouncils and </w:t>
            </w:r>
            <w:proofErr w:type="spellStart"/>
            <w:r>
              <w:t>Fora</w:t>
            </w:r>
            <w:proofErr w:type="spellEnd"/>
            <w:r>
              <w:t xml:space="preserve"> detailed below.</w:t>
            </w:r>
          </w:p>
          <w:tbl>
            <w:tblPr>
              <w:tblW w:w="9648" w:type="dxa"/>
              <w:tblLayout w:type="fixed"/>
              <w:tblCellMar>
                <w:left w:w="0" w:type="dxa"/>
                <w:right w:w="0" w:type="dxa"/>
              </w:tblCellMar>
              <w:tblLook w:val="0000" w:firstRow="0" w:lastRow="0" w:firstColumn="0" w:lastColumn="0" w:noHBand="0" w:noVBand="0"/>
            </w:tblPr>
            <w:tblGrid>
              <w:gridCol w:w="3522"/>
              <w:gridCol w:w="3118"/>
              <w:gridCol w:w="3008"/>
            </w:tblGrid>
            <w:tr w:rsidR="00B74F7E" w14:paraId="228995DD" w14:textId="77777777" w:rsidTr="000B4B49">
              <w:trPr>
                <w:trHeight w:val="452"/>
              </w:trPr>
              <w:tc>
                <w:tcPr>
                  <w:tcW w:w="1825" w:type="pct"/>
                  <w:tcBorders>
                    <w:top w:val="single" w:sz="6" w:space="0" w:color="auto"/>
                    <w:bottom w:val="single" w:sz="4" w:space="0" w:color="auto"/>
                  </w:tcBorders>
                  <w:shd w:val="clear" w:color="auto" w:fill="auto"/>
                </w:tcPr>
                <w:p w14:paraId="228995D9" w14:textId="77777777" w:rsidR="00B74F7E" w:rsidRDefault="00B74F7E" w:rsidP="002F7E76">
                  <w:pPr>
                    <w:pStyle w:val="TableColumnHeading"/>
                    <w:tabs>
                      <w:tab w:val="left" w:pos="280"/>
                    </w:tabs>
                    <w:spacing w:line="276" w:lineRule="auto"/>
                    <w:jc w:val="left"/>
                  </w:pPr>
                  <w:r w:rsidRPr="00B74F7E">
                    <w:t>Standing Councils</w:t>
                  </w:r>
                </w:p>
              </w:tc>
              <w:tc>
                <w:tcPr>
                  <w:tcW w:w="1616" w:type="pct"/>
                  <w:tcBorders>
                    <w:top w:val="single" w:sz="6" w:space="0" w:color="auto"/>
                    <w:bottom w:val="single" w:sz="6" w:space="0" w:color="auto"/>
                  </w:tcBorders>
                </w:tcPr>
                <w:p w14:paraId="228995DA" w14:textId="77777777" w:rsidR="00B74F7E" w:rsidRPr="00D32A82" w:rsidRDefault="00B74F7E" w:rsidP="000B4B49">
                  <w:pPr>
                    <w:pStyle w:val="TableColumnHeading"/>
                    <w:spacing w:line="276" w:lineRule="auto"/>
                    <w:ind w:right="-142"/>
                    <w:jc w:val="left"/>
                  </w:pPr>
                  <w:r w:rsidRPr="00B74F7E">
                    <w:t>Select Councils</w:t>
                  </w:r>
                </w:p>
              </w:tc>
              <w:tc>
                <w:tcPr>
                  <w:tcW w:w="1559" w:type="pct"/>
                  <w:tcBorders>
                    <w:top w:val="single" w:sz="6" w:space="0" w:color="auto"/>
                    <w:bottom w:val="single" w:sz="6" w:space="0" w:color="auto"/>
                  </w:tcBorders>
                </w:tcPr>
                <w:p w14:paraId="228995DC" w14:textId="4B6A5950" w:rsidR="00B74F7E" w:rsidRDefault="00B74F7E" w:rsidP="00D37EF3">
                  <w:pPr>
                    <w:pStyle w:val="TableColumnHeading"/>
                    <w:spacing w:after="0" w:line="276" w:lineRule="auto"/>
                    <w:ind w:right="28"/>
                    <w:jc w:val="left"/>
                  </w:pPr>
                  <w:r w:rsidRPr="00462FD8">
                    <w:t xml:space="preserve">Legislative and </w:t>
                  </w:r>
                  <w:r w:rsidR="00D37EF3">
                    <w:br/>
                  </w:r>
                  <w:r w:rsidRPr="00462FD8">
                    <w:t xml:space="preserve">Governance </w:t>
                  </w:r>
                  <w:proofErr w:type="spellStart"/>
                  <w:r w:rsidRPr="00462FD8">
                    <w:t>Fora</w:t>
                  </w:r>
                  <w:proofErr w:type="spellEnd"/>
                </w:p>
              </w:tc>
            </w:tr>
            <w:tr w:rsidR="00B74F7E" w14:paraId="228995E1" w14:textId="77777777" w:rsidTr="000B4B49">
              <w:tc>
                <w:tcPr>
                  <w:tcW w:w="1825" w:type="pct"/>
                  <w:tcBorders>
                    <w:top w:val="single" w:sz="4" w:space="0" w:color="auto"/>
                  </w:tcBorders>
                  <w:shd w:val="clear" w:color="auto" w:fill="auto"/>
                </w:tcPr>
                <w:p w14:paraId="228995DE" w14:textId="77777777" w:rsidR="00B74F7E" w:rsidRPr="00B7645D" w:rsidRDefault="00B74F7E" w:rsidP="00360122">
                  <w:pPr>
                    <w:pStyle w:val="TableBodyText"/>
                    <w:spacing w:before="80"/>
                    <w:jc w:val="left"/>
                  </w:pPr>
                  <w:r w:rsidRPr="00B7645D">
                    <w:t>Community and Disability Services</w:t>
                  </w:r>
                </w:p>
              </w:tc>
              <w:tc>
                <w:tcPr>
                  <w:tcW w:w="1616" w:type="pct"/>
                </w:tcPr>
                <w:p w14:paraId="228995DF" w14:textId="77777777" w:rsidR="00B74F7E" w:rsidRPr="00B7645D" w:rsidRDefault="00B74F7E" w:rsidP="00360122">
                  <w:pPr>
                    <w:pStyle w:val="TableBodyText"/>
                    <w:spacing w:before="80"/>
                    <w:jc w:val="left"/>
                    <w:rPr>
                      <w:i/>
                    </w:rPr>
                  </w:pPr>
                  <w:r w:rsidRPr="00B7645D">
                    <w:t>Climate Change</w:t>
                  </w:r>
                </w:p>
              </w:tc>
              <w:tc>
                <w:tcPr>
                  <w:tcW w:w="1559" w:type="pct"/>
                </w:tcPr>
                <w:p w14:paraId="228995E0" w14:textId="77777777" w:rsidR="00B74F7E" w:rsidRPr="00B7645D" w:rsidRDefault="00B74F7E" w:rsidP="00360122">
                  <w:pPr>
                    <w:pStyle w:val="TableBodyText"/>
                    <w:spacing w:before="80"/>
                    <w:jc w:val="left"/>
                    <w:rPr>
                      <w:i/>
                    </w:rPr>
                  </w:pPr>
                  <w:r w:rsidRPr="00B7645D">
                    <w:t>Consumer Affairs</w:t>
                  </w:r>
                </w:p>
              </w:tc>
            </w:tr>
            <w:tr w:rsidR="00B74F7E" w14:paraId="228995E5" w14:textId="77777777" w:rsidTr="000B4B49">
              <w:tc>
                <w:tcPr>
                  <w:tcW w:w="1825" w:type="pct"/>
                  <w:shd w:val="clear" w:color="auto" w:fill="auto"/>
                </w:tcPr>
                <w:p w14:paraId="228995E2" w14:textId="77777777" w:rsidR="00B74F7E" w:rsidRPr="00360122" w:rsidRDefault="00B74F7E" w:rsidP="00360122">
                  <w:pPr>
                    <w:pStyle w:val="TableBodyText"/>
                    <w:spacing w:before="20"/>
                    <w:jc w:val="left"/>
                  </w:pPr>
                  <w:r w:rsidRPr="00006A87">
                    <w:t>Energy and Resources</w:t>
                  </w:r>
                </w:p>
              </w:tc>
              <w:tc>
                <w:tcPr>
                  <w:tcW w:w="1616" w:type="pct"/>
                </w:tcPr>
                <w:p w14:paraId="228995E3" w14:textId="77777777" w:rsidR="00B74F7E" w:rsidRPr="00360122" w:rsidRDefault="00B74F7E" w:rsidP="00360122">
                  <w:pPr>
                    <w:pStyle w:val="TableBodyText"/>
                    <w:spacing w:before="20"/>
                    <w:jc w:val="left"/>
                  </w:pPr>
                  <w:r w:rsidRPr="00006A87">
                    <w:t>Housing and Homelessness</w:t>
                  </w:r>
                </w:p>
              </w:tc>
              <w:tc>
                <w:tcPr>
                  <w:tcW w:w="1559" w:type="pct"/>
                </w:tcPr>
                <w:p w14:paraId="228995E4" w14:textId="77777777" w:rsidR="00B74F7E" w:rsidRPr="00360122" w:rsidRDefault="00B74F7E" w:rsidP="00360122">
                  <w:pPr>
                    <w:pStyle w:val="TableBodyText"/>
                    <w:spacing w:before="20"/>
                    <w:jc w:val="left"/>
                  </w:pPr>
                  <w:r w:rsidRPr="00006A87">
                    <w:t>Food Regulation</w:t>
                  </w:r>
                </w:p>
              </w:tc>
            </w:tr>
            <w:tr w:rsidR="00B74F7E" w14:paraId="228995E9" w14:textId="77777777" w:rsidTr="000B4B49">
              <w:tc>
                <w:tcPr>
                  <w:tcW w:w="1825" w:type="pct"/>
                  <w:shd w:val="clear" w:color="auto" w:fill="auto"/>
                </w:tcPr>
                <w:p w14:paraId="228995E6" w14:textId="77777777" w:rsidR="00B74F7E" w:rsidRPr="00360122" w:rsidRDefault="00B74F7E" w:rsidP="00360122">
                  <w:pPr>
                    <w:pStyle w:val="TableBodyText"/>
                    <w:spacing w:before="20"/>
                    <w:jc w:val="left"/>
                  </w:pPr>
                  <w:r w:rsidRPr="00006A87">
                    <w:t>Environment and Water</w:t>
                  </w:r>
                </w:p>
              </w:tc>
              <w:tc>
                <w:tcPr>
                  <w:tcW w:w="1616" w:type="pct"/>
                </w:tcPr>
                <w:p w14:paraId="228995E7" w14:textId="77777777" w:rsidR="00B74F7E" w:rsidRPr="00360122" w:rsidRDefault="00B74F7E" w:rsidP="00360122">
                  <w:pPr>
                    <w:pStyle w:val="TableBodyText"/>
                    <w:spacing w:before="20"/>
                    <w:jc w:val="left"/>
                  </w:pPr>
                  <w:r w:rsidRPr="00006A87">
                    <w:t>Immigration and Settlement</w:t>
                  </w:r>
                </w:p>
              </w:tc>
              <w:tc>
                <w:tcPr>
                  <w:tcW w:w="1559" w:type="pct"/>
                </w:tcPr>
                <w:p w14:paraId="228995E8" w14:textId="77777777" w:rsidR="00B74F7E" w:rsidRPr="00006A87" w:rsidRDefault="00B74F7E" w:rsidP="00360122">
                  <w:pPr>
                    <w:pStyle w:val="TableBodyText"/>
                    <w:spacing w:before="20"/>
                    <w:jc w:val="left"/>
                  </w:pPr>
                </w:p>
              </w:tc>
            </w:tr>
            <w:tr w:rsidR="00B74F7E" w14:paraId="228995ED" w14:textId="77777777" w:rsidTr="000B4B49">
              <w:tc>
                <w:tcPr>
                  <w:tcW w:w="1825" w:type="pct"/>
                  <w:shd w:val="clear" w:color="auto" w:fill="auto"/>
                </w:tcPr>
                <w:p w14:paraId="228995EA" w14:textId="77777777" w:rsidR="00B74F7E" w:rsidRPr="00360122" w:rsidRDefault="00B74F7E" w:rsidP="00360122">
                  <w:pPr>
                    <w:pStyle w:val="TableBodyText"/>
                    <w:spacing w:before="20"/>
                    <w:jc w:val="left"/>
                  </w:pPr>
                  <w:r w:rsidRPr="00006A87">
                    <w:t>Health</w:t>
                  </w:r>
                </w:p>
              </w:tc>
              <w:tc>
                <w:tcPr>
                  <w:tcW w:w="1616" w:type="pct"/>
                </w:tcPr>
                <w:p w14:paraId="228995EB" w14:textId="77777777" w:rsidR="00B74F7E" w:rsidRPr="00360122" w:rsidRDefault="00B74F7E" w:rsidP="00360122">
                  <w:pPr>
                    <w:pStyle w:val="TableBodyText"/>
                    <w:spacing w:before="20"/>
                    <w:jc w:val="left"/>
                  </w:pPr>
                  <w:r w:rsidRPr="00006A87">
                    <w:t>Women’s Issues</w:t>
                  </w:r>
                </w:p>
              </w:tc>
              <w:tc>
                <w:tcPr>
                  <w:tcW w:w="1559" w:type="pct"/>
                </w:tcPr>
                <w:p w14:paraId="228995EC" w14:textId="77777777" w:rsidR="00B74F7E" w:rsidRPr="00006A87" w:rsidRDefault="00B74F7E" w:rsidP="00360122">
                  <w:pPr>
                    <w:pStyle w:val="TableBodyText"/>
                    <w:spacing w:before="20"/>
                    <w:jc w:val="left"/>
                  </w:pPr>
                </w:p>
              </w:tc>
            </w:tr>
            <w:tr w:rsidR="00B74F7E" w14:paraId="228995F1" w14:textId="77777777" w:rsidTr="000B4B49">
              <w:tc>
                <w:tcPr>
                  <w:tcW w:w="1825" w:type="pct"/>
                  <w:shd w:val="clear" w:color="auto" w:fill="auto"/>
                </w:tcPr>
                <w:p w14:paraId="228995EE" w14:textId="77777777" w:rsidR="00B74F7E" w:rsidRPr="00360122" w:rsidRDefault="00B74F7E" w:rsidP="00360122">
                  <w:pPr>
                    <w:pStyle w:val="TableBodyText"/>
                    <w:spacing w:before="20"/>
                    <w:jc w:val="left"/>
                  </w:pPr>
                  <w:r w:rsidRPr="00006A87">
                    <w:t>Law and Justice</w:t>
                  </w:r>
                </w:p>
              </w:tc>
              <w:tc>
                <w:tcPr>
                  <w:tcW w:w="1616" w:type="pct"/>
                </w:tcPr>
                <w:p w14:paraId="228995EF" w14:textId="77777777" w:rsidR="00B74F7E" w:rsidRPr="00360122" w:rsidRDefault="00B74F7E" w:rsidP="00360122">
                  <w:pPr>
                    <w:pStyle w:val="TableBodyText"/>
                    <w:spacing w:before="20"/>
                    <w:jc w:val="left"/>
                  </w:pPr>
                  <w:r w:rsidRPr="00006A87">
                    <w:t>Workplace Relations</w:t>
                  </w:r>
                </w:p>
              </w:tc>
              <w:tc>
                <w:tcPr>
                  <w:tcW w:w="1559" w:type="pct"/>
                </w:tcPr>
                <w:p w14:paraId="228995F0" w14:textId="77777777" w:rsidR="00B74F7E" w:rsidRPr="00006A87" w:rsidRDefault="00B74F7E" w:rsidP="00360122">
                  <w:pPr>
                    <w:pStyle w:val="TableBodyText"/>
                    <w:spacing w:before="20"/>
                    <w:jc w:val="left"/>
                  </w:pPr>
                </w:p>
              </w:tc>
            </w:tr>
            <w:tr w:rsidR="00B74F7E" w14:paraId="228995F5" w14:textId="77777777" w:rsidTr="000B4B49">
              <w:tc>
                <w:tcPr>
                  <w:tcW w:w="1825" w:type="pct"/>
                  <w:shd w:val="clear" w:color="auto" w:fill="auto"/>
                </w:tcPr>
                <w:p w14:paraId="228995F2" w14:textId="77777777" w:rsidR="00B74F7E" w:rsidRPr="00360122" w:rsidRDefault="00B74F7E" w:rsidP="00360122">
                  <w:pPr>
                    <w:pStyle w:val="TableBodyText"/>
                    <w:spacing w:before="20"/>
                    <w:jc w:val="left"/>
                  </w:pPr>
                  <w:r w:rsidRPr="00006A87">
                    <w:t>Police and Emergency Management</w:t>
                  </w:r>
                </w:p>
              </w:tc>
              <w:tc>
                <w:tcPr>
                  <w:tcW w:w="1616" w:type="pct"/>
                </w:tcPr>
                <w:p w14:paraId="228995F3" w14:textId="77777777" w:rsidR="00B74F7E" w:rsidRPr="00006A87" w:rsidRDefault="00B74F7E" w:rsidP="00360122">
                  <w:pPr>
                    <w:pStyle w:val="TableBodyText"/>
                    <w:spacing w:before="20"/>
                    <w:jc w:val="left"/>
                  </w:pPr>
                </w:p>
              </w:tc>
              <w:tc>
                <w:tcPr>
                  <w:tcW w:w="1559" w:type="pct"/>
                </w:tcPr>
                <w:p w14:paraId="228995F4" w14:textId="77777777" w:rsidR="00B74F7E" w:rsidRPr="00006A87" w:rsidRDefault="00B74F7E" w:rsidP="00360122">
                  <w:pPr>
                    <w:pStyle w:val="TableBodyText"/>
                    <w:spacing w:before="20"/>
                    <w:jc w:val="left"/>
                  </w:pPr>
                </w:p>
              </w:tc>
            </w:tr>
            <w:tr w:rsidR="00B74F7E" w14:paraId="228995F9" w14:textId="77777777" w:rsidTr="000B4B49">
              <w:tc>
                <w:tcPr>
                  <w:tcW w:w="1825" w:type="pct"/>
                  <w:shd w:val="clear" w:color="auto" w:fill="auto"/>
                </w:tcPr>
                <w:p w14:paraId="228995F6" w14:textId="77777777" w:rsidR="00B74F7E" w:rsidRPr="00360122" w:rsidRDefault="00B74F7E" w:rsidP="00360122">
                  <w:pPr>
                    <w:pStyle w:val="TableBodyText"/>
                    <w:spacing w:before="20"/>
                    <w:jc w:val="left"/>
                  </w:pPr>
                  <w:r w:rsidRPr="00006A87">
                    <w:t>Primary Industries</w:t>
                  </w:r>
                </w:p>
              </w:tc>
              <w:tc>
                <w:tcPr>
                  <w:tcW w:w="1616" w:type="pct"/>
                </w:tcPr>
                <w:p w14:paraId="228995F7" w14:textId="77777777" w:rsidR="00B74F7E" w:rsidRPr="00006A87" w:rsidRDefault="00B74F7E" w:rsidP="00360122">
                  <w:pPr>
                    <w:pStyle w:val="TableBodyText"/>
                    <w:spacing w:before="20"/>
                    <w:jc w:val="left"/>
                  </w:pPr>
                </w:p>
              </w:tc>
              <w:tc>
                <w:tcPr>
                  <w:tcW w:w="1559" w:type="pct"/>
                </w:tcPr>
                <w:p w14:paraId="228995F8" w14:textId="77777777" w:rsidR="00B74F7E" w:rsidRPr="00006A87" w:rsidRDefault="00B74F7E" w:rsidP="00360122">
                  <w:pPr>
                    <w:pStyle w:val="TableBodyText"/>
                    <w:spacing w:before="20"/>
                    <w:jc w:val="left"/>
                  </w:pPr>
                </w:p>
              </w:tc>
            </w:tr>
            <w:tr w:rsidR="00B74F7E" w14:paraId="228995FD" w14:textId="77777777" w:rsidTr="000B4B49">
              <w:tc>
                <w:tcPr>
                  <w:tcW w:w="1825" w:type="pct"/>
                  <w:shd w:val="clear" w:color="auto" w:fill="auto"/>
                </w:tcPr>
                <w:p w14:paraId="228995FA" w14:textId="77777777" w:rsidR="00B74F7E" w:rsidRPr="00360122" w:rsidRDefault="00B74F7E" w:rsidP="00360122">
                  <w:pPr>
                    <w:pStyle w:val="TableBodyText"/>
                    <w:spacing w:before="20"/>
                    <w:jc w:val="left"/>
                  </w:pPr>
                  <w:r w:rsidRPr="00006A87">
                    <w:t>Regional Australia</w:t>
                  </w:r>
                </w:p>
              </w:tc>
              <w:tc>
                <w:tcPr>
                  <w:tcW w:w="1616" w:type="pct"/>
                </w:tcPr>
                <w:p w14:paraId="228995FB" w14:textId="77777777" w:rsidR="00B74F7E" w:rsidRPr="00006A87" w:rsidRDefault="00B74F7E" w:rsidP="00360122">
                  <w:pPr>
                    <w:pStyle w:val="TableBodyText"/>
                    <w:spacing w:before="20"/>
                    <w:jc w:val="left"/>
                  </w:pPr>
                </w:p>
              </w:tc>
              <w:tc>
                <w:tcPr>
                  <w:tcW w:w="1559" w:type="pct"/>
                </w:tcPr>
                <w:p w14:paraId="228995FC" w14:textId="77777777" w:rsidR="00B74F7E" w:rsidRPr="00006A87" w:rsidRDefault="00B74F7E" w:rsidP="00360122">
                  <w:pPr>
                    <w:pStyle w:val="TableBodyText"/>
                    <w:spacing w:before="20"/>
                    <w:jc w:val="left"/>
                  </w:pPr>
                </w:p>
              </w:tc>
            </w:tr>
            <w:tr w:rsidR="00B74F7E" w14:paraId="22899601" w14:textId="77777777" w:rsidTr="000B4B49">
              <w:tc>
                <w:tcPr>
                  <w:tcW w:w="1825" w:type="pct"/>
                  <w:shd w:val="clear" w:color="auto" w:fill="auto"/>
                </w:tcPr>
                <w:p w14:paraId="228995FE" w14:textId="77777777" w:rsidR="00B74F7E" w:rsidRPr="00360122" w:rsidRDefault="00B74F7E" w:rsidP="00360122">
                  <w:pPr>
                    <w:pStyle w:val="TableBodyText"/>
                    <w:spacing w:before="20"/>
                    <w:jc w:val="left"/>
                  </w:pPr>
                  <w:r w:rsidRPr="00006A87">
                    <w:t>School Education and Early Childhood</w:t>
                  </w:r>
                </w:p>
              </w:tc>
              <w:tc>
                <w:tcPr>
                  <w:tcW w:w="1616" w:type="pct"/>
                </w:tcPr>
                <w:p w14:paraId="228995FF" w14:textId="77777777" w:rsidR="00B74F7E" w:rsidRPr="00006A87" w:rsidRDefault="00B74F7E" w:rsidP="00360122">
                  <w:pPr>
                    <w:pStyle w:val="TableBodyText"/>
                    <w:spacing w:before="20"/>
                    <w:jc w:val="left"/>
                  </w:pPr>
                </w:p>
              </w:tc>
              <w:tc>
                <w:tcPr>
                  <w:tcW w:w="1559" w:type="pct"/>
                </w:tcPr>
                <w:p w14:paraId="22899600" w14:textId="77777777" w:rsidR="00B74F7E" w:rsidRPr="00006A87" w:rsidRDefault="00B74F7E" w:rsidP="00360122">
                  <w:pPr>
                    <w:pStyle w:val="TableBodyText"/>
                    <w:spacing w:before="20"/>
                    <w:jc w:val="left"/>
                  </w:pPr>
                </w:p>
              </w:tc>
            </w:tr>
            <w:tr w:rsidR="00B74F7E" w14:paraId="22899605" w14:textId="77777777" w:rsidTr="000B4B49">
              <w:tc>
                <w:tcPr>
                  <w:tcW w:w="1825" w:type="pct"/>
                  <w:shd w:val="clear" w:color="auto" w:fill="auto"/>
                </w:tcPr>
                <w:p w14:paraId="22899602" w14:textId="77777777" w:rsidR="00B74F7E" w:rsidRPr="00360122" w:rsidRDefault="00B74F7E" w:rsidP="00360122">
                  <w:pPr>
                    <w:pStyle w:val="TableBodyText"/>
                    <w:spacing w:before="20"/>
                    <w:jc w:val="left"/>
                  </w:pPr>
                  <w:r w:rsidRPr="00006A87">
                    <w:t>Tertiary Education, Skills and Employment</w:t>
                  </w:r>
                </w:p>
              </w:tc>
              <w:tc>
                <w:tcPr>
                  <w:tcW w:w="1616" w:type="pct"/>
                </w:tcPr>
                <w:p w14:paraId="22899603" w14:textId="77777777" w:rsidR="00B74F7E" w:rsidRPr="00006A87" w:rsidRDefault="00B74F7E" w:rsidP="00360122">
                  <w:pPr>
                    <w:pStyle w:val="TableBodyText"/>
                    <w:spacing w:before="20"/>
                    <w:jc w:val="left"/>
                  </w:pPr>
                </w:p>
              </w:tc>
              <w:tc>
                <w:tcPr>
                  <w:tcW w:w="1559" w:type="pct"/>
                </w:tcPr>
                <w:p w14:paraId="22899604" w14:textId="77777777" w:rsidR="00B74F7E" w:rsidRPr="00006A87" w:rsidRDefault="00B74F7E" w:rsidP="00360122">
                  <w:pPr>
                    <w:pStyle w:val="TableBodyText"/>
                    <w:spacing w:before="20"/>
                    <w:jc w:val="left"/>
                  </w:pPr>
                </w:p>
              </w:tc>
            </w:tr>
            <w:tr w:rsidR="00B74F7E" w14:paraId="22899609" w14:textId="77777777" w:rsidTr="000B4B49">
              <w:tc>
                <w:tcPr>
                  <w:tcW w:w="1825" w:type="pct"/>
                  <w:tcBorders>
                    <w:bottom w:val="dotted" w:sz="12" w:space="0" w:color="BFBFBF" w:themeColor="background1" w:themeShade="BF"/>
                  </w:tcBorders>
                  <w:shd w:val="clear" w:color="auto" w:fill="auto"/>
                </w:tcPr>
                <w:p w14:paraId="22899606" w14:textId="77777777" w:rsidR="00B74F7E" w:rsidRPr="00360122" w:rsidRDefault="00B74F7E" w:rsidP="00360122">
                  <w:pPr>
                    <w:pStyle w:val="TableBodyText"/>
                    <w:spacing w:before="20"/>
                    <w:jc w:val="left"/>
                  </w:pPr>
                  <w:r w:rsidRPr="00006A87">
                    <w:t>Transport and Infrastructure</w:t>
                  </w:r>
                </w:p>
              </w:tc>
              <w:tc>
                <w:tcPr>
                  <w:tcW w:w="1616" w:type="pct"/>
                  <w:tcBorders>
                    <w:bottom w:val="dotted" w:sz="12" w:space="0" w:color="BFBFBF" w:themeColor="background1" w:themeShade="BF"/>
                  </w:tcBorders>
                  <w:vAlign w:val="center"/>
                </w:tcPr>
                <w:p w14:paraId="22899607" w14:textId="77777777" w:rsidR="00B74F7E" w:rsidRPr="00006A87" w:rsidRDefault="00B74F7E" w:rsidP="00360122">
                  <w:pPr>
                    <w:pStyle w:val="TableBodyText"/>
                    <w:spacing w:before="20"/>
                    <w:jc w:val="left"/>
                  </w:pPr>
                </w:p>
              </w:tc>
              <w:tc>
                <w:tcPr>
                  <w:tcW w:w="1559" w:type="pct"/>
                  <w:tcBorders>
                    <w:bottom w:val="dotted" w:sz="12" w:space="0" w:color="BFBFBF" w:themeColor="background1" w:themeShade="BF"/>
                  </w:tcBorders>
                  <w:vAlign w:val="center"/>
                </w:tcPr>
                <w:p w14:paraId="22899608" w14:textId="77777777" w:rsidR="00B74F7E" w:rsidRPr="00006A87" w:rsidRDefault="00B74F7E" w:rsidP="00360122">
                  <w:pPr>
                    <w:pStyle w:val="TableBodyText"/>
                    <w:spacing w:before="20"/>
                    <w:jc w:val="left"/>
                  </w:pPr>
                </w:p>
              </w:tc>
            </w:tr>
            <w:tr w:rsidR="00B74F7E" w:rsidRPr="00F96D37" w14:paraId="2289960B" w14:textId="77777777" w:rsidTr="009B1B71">
              <w:tc>
                <w:tcPr>
                  <w:tcW w:w="5000" w:type="pct"/>
                  <w:gridSpan w:val="3"/>
                  <w:tcBorders>
                    <w:top w:val="dotted" w:sz="12" w:space="0" w:color="BFBFBF" w:themeColor="background1" w:themeShade="BF"/>
                    <w:bottom w:val="single" w:sz="6" w:space="0" w:color="auto"/>
                  </w:tcBorders>
                  <w:shd w:val="clear" w:color="auto" w:fill="auto"/>
                </w:tcPr>
                <w:p w14:paraId="2289960A" w14:textId="262A884B" w:rsidR="00B74F7E" w:rsidRPr="00360122" w:rsidRDefault="00B74F7E" w:rsidP="00360122">
                  <w:pPr>
                    <w:pStyle w:val="TableBodyText"/>
                    <w:spacing w:before="20"/>
                    <w:jc w:val="left"/>
                  </w:pPr>
                  <w:r w:rsidRPr="00006A87">
                    <w:t xml:space="preserve">New Zealand does not participate in the Select Councils on Disability Reform and Gambling </w:t>
                  </w:r>
                  <w:r w:rsidR="00006A87">
                    <w:br/>
                  </w:r>
                  <w:r w:rsidRPr="00006A87">
                    <w:t xml:space="preserve">Reform or in the </w:t>
                  </w:r>
                  <w:proofErr w:type="spellStart"/>
                  <w:r w:rsidR="00F54224" w:rsidRPr="00006A87">
                    <w:t>F</w:t>
                  </w:r>
                  <w:r w:rsidRPr="00006A87">
                    <w:t>ora</w:t>
                  </w:r>
                  <w:proofErr w:type="spellEnd"/>
                  <w:r w:rsidRPr="00006A87">
                    <w:t xml:space="preserve"> on Corporations, Gene Technology and the Murray-Darling Basin.</w:t>
                  </w:r>
                </w:p>
              </w:tc>
            </w:tr>
          </w:tbl>
          <w:p w14:paraId="2289960C" w14:textId="77777777" w:rsidR="00D24D40" w:rsidRDefault="00D24D40">
            <w:pPr>
              <w:pStyle w:val="Box"/>
            </w:pPr>
          </w:p>
        </w:tc>
      </w:tr>
      <w:tr w:rsidR="00D24D40" w14:paraId="2289960F" w14:textId="77777777" w:rsidTr="002F7E76">
        <w:trPr>
          <w:cantSplit/>
        </w:trPr>
        <w:tc>
          <w:tcPr>
            <w:tcW w:w="8771" w:type="dxa"/>
            <w:tcBorders>
              <w:top w:val="nil"/>
              <w:left w:val="nil"/>
              <w:bottom w:val="nil"/>
              <w:right w:val="nil"/>
            </w:tcBorders>
            <w:shd w:val="clear" w:color="auto" w:fill="D9EAF0"/>
          </w:tcPr>
          <w:p w14:paraId="2289960E" w14:textId="2195679F" w:rsidR="00D24D40" w:rsidRDefault="00D24D40" w:rsidP="00953D80">
            <w:pPr>
              <w:pStyle w:val="BoxSource"/>
            </w:pPr>
            <w:r>
              <w:rPr>
                <w:i/>
              </w:rPr>
              <w:t>Source</w:t>
            </w:r>
            <w:r w:rsidR="00D37EF3">
              <w:rPr>
                <w:i/>
              </w:rPr>
              <w:t>s</w:t>
            </w:r>
            <w:r w:rsidRPr="00167F06">
              <w:t xml:space="preserve">: </w:t>
            </w:r>
            <w:r w:rsidR="00B30A96">
              <w:t xml:space="preserve">NZ PC and </w:t>
            </w:r>
            <w:r w:rsidRPr="00361086">
              <w:t>Ministry of Foreign Affairs and Trade</w:t>
            </w:r>
            <w:r>
              <w:t>.</w:t>
            </w:r>
          </w:p>
        </w:tc>
      </w:tr>
      <w:tr w:rsidR="00D24D40" w14:paraId="22899611" w14:textId="77777777" w:rsidTr="002F7E76">
        <w:trPr>
          <w:cantSplit/>
        </w:trPr>
        <w:tc>
          <w:tcPr>
            <w:tcW w:w="8771" w:type="dxa"/>
            <w:tcBorders>
              <w:top w:val="nil"/>
              <w:left w:val="nil"/>
              <w:bottom w:val="nil"/>
              <w:right w:val="nil"/>
            </w:tcBorders>
            <w:shd w:val="clear" w:color="auto" w:fill="D9EAF0"/>
          </w:tcPr>
          <w:p w14:paraId="22899610" w14:textId="77777777" w:rsidR="00D24D40" w:rsidRDefault="00D24D40">
            <w:pPr>
              <w:pStyle w:val="Box"/>
              <w:spacing w:before="0" w:line="120" w:lineRule="exact"/>
            </w:pPr>
          </w:p>
        </w:tc>
      </w:tr>
      <w:tr w:rsidR="00B74F7E" w:rsidRPr="00B74F7E" w14:paraId="22899613" w14:textId="77777777" w:rsidTr="002F7E76">
        <w:tc>
          <w:tcPr>
            <w:tcW w:w="8771" w:type="dxa"/>
            <w:tcBorders>
              <w:top w:val="nil"/>
              <w:left w:val="nil"/>
              <w:bottom w:val="nil"/>
              <w:right w:val="nil"/>
            </w:tcBorders>
          </w:tcPr>
          <w:p w14:paraId="22899612" w14:textId="77777777" w:rsidR="00D24D40" w:rsidRPr="00B74F7E" w:rsidRDefault="00D24D40">
            <w:pPr>
              <w:pStyle w:val="Box"/>
              <w:keepNext w:val="0"/>
              <w:spacing w:before="60" w:after="60" w:line="80" w:lineRule="exact"/>
              <w:rPr>
                <w:b/>
                <w:color w:val="auto"/>
                <w:sz w:val="14"/>
              </w:rPr>
            </w:pPr>
          </w:p>
        </w:tc>
      </w:tr>
    </w:tbl>
    <w:p w14:paraId="22899614" w14:textId="77777777" w:rsidR="00D24D40" w:rsidRDefault="00B74F7E" w:rsidP="002706F7">
      <w:pPr>
        <w:pStyle w:val="Heading3"/>
        <w:keepNext w:val="0"/>
        <w:spacing w:before="480"/>
      </w:pPr>
      <w:r w:rsidRPr="00B74F7E">
        <w:t xml:space="preserve">Benefits of light-handed </w:t>
      </w:r>
      <w:proofErr w:type="spellStart"/>
      <w:r w:rsidRPr="00B74F7E">
        <w:t>CER</w:t>
      </w:r>
      <w:proofErr w:type="spellEnd"/>
      <w:r w:rsidRPr="00B74F7E">
        <w:t xml:space="preserve"> governance</w:t>
      </w:r>
    </w:p>
    <w:p w14:paraId="22899615" w14:textId="55EEC6E1" w:rsidR="00B74F7E" w:rsidRPr="00B74F7E" w:rsidRDefault="00F96D37" w:rsidP="00B74F7E">
      <w:pPr>
        <w:pStyle w:val="BodyText"/>
      </w:pPr>
      <w:r>
        <w:t>As described in chapter </w:t>
      </w:r>
      <w:r w:rsidR="00B74F7E" w:rsidRPr="00B74F7E">
        <w:t xml:space="preserve">3, </w:t>
      </w:r>
      <w:r w:rsidR="000B4B49">
        <w:t>progress on</w:t>
      </w:r>
      <w:r w:rsidR="00B74F7E" w:rsidRPr="00B74F7E">
        <w:t xml:space="preserve"> </w:t>
      </w:r>
      <w:proofErr w:type="spellStart"/>
      <w:r w:rsidR="00B74F7E" w:rsidRPr="00B74F7E">
        <w:t>CER</w:t>
      </w:r>
      <w:proofErr w:type="spellEnd"/>
      <w:r w:rsidR="00B74F7E" w:rsidRPr="00B74F7E">
        <w:t xml:space="preserve"> has been incremental and pragmatic. This style has generally worked well, in that it has:</w:t>
      </w:r>
    </w:p>
    <w:p w14:paraId="22899616" w14:textId="77777777" w:rsidR="00B74F7E" w:rsidRPr="00B74F7E" w:rsidRDefault="00B74F7E" w:rsidP="00B74F7E">
      <w:pPr>
        <w:pStyle w:val="ListBullet"/>
      </w:pPr>
      <w:r w:rsidRPr="00B74F7E">
        <w:t>delivered significant integration with broad public support in both countries</w:t>
      </w:r>
    </w:p>
    <w:p w14:paraId="22899617" w14:textId="77777777" w:rsidR="00B74F7E" w:rsidRPr="00B74F7E" w:rsidRDefault="00B74F7E" w:rsidP="00B74F7E">
      <w:pPr>
        <w:pStyle w:val="ListBullet"/>
      </w:pPr>
      <w:r w:rsidRPr="00B74F7E">
        <w:t>taken into account political, cultural and social preferences</w:t>
      </w:r>
    </w:p>
    <w:p w14:paraId="22899618" w14:textId="77777777" w:rsidR="00B74F7E" w:rsidRPr="00B74F7E" w:rsidRDefault="00B74F7E" w:rsidP="00B74F7E">
      <w:pPr>
        <w:pStyle w:val="ListBullet"/>
      </w:pPr>
      <w:r w:rsidRPr="00B74F7E">
        <w:t>had relatively low transition and administrative costs.</w:t>
      </w:r>
    </w:p>
    <w:p w14:paraId="1B8BB625" w14:textId="61FC7BCF" w:rsidR="007A386B" w:rsidRDefault="00B74F7E" w:rsidP="009B1B71">
      <w:pPr>
        <w:pStyle w:val="BodyText"/>
      </w:pPr>
      <w:r w:rsidRPr="00B74F7E">
        <w:t>An early examination of t</w:t>
      </w:r>
      <w:r w:rsidR="00F96D37">
        <w:t>rans-Tasman integration (Holmes </w:t>
      </w:r>
      <w:r w:rsidRPr="00B74F7E">
        <w:t>1995) noted its low administrative costs and a relative absence of bureaucracy:</w:t>
      </w:r>
    </w:p>
    <w:p w14:paraId="7E10746D" w14:textId="180168DC" w:rsidR="007A386B" w:rsidRPr="00360122" w:rsidRDefault="00B74F7E" w:rsidP="00360122">
      <w:pPr>
        <w:pStyle w:val="Quote"/>
        <w:rPr>
          <w:sz w:val="22"/>
          <w:szCs w:val="22"/>
        </w:rPr>
      </w:pPr>
      <w:r w:rsidRPr="00360122">
        <w:rPr>
          <w:sz w:val="22"/>
          <w:szCs w:val="22"/>
        </w:rPr>
        <w:t>There has been no need for the creation of a regional bureaucracy like the European Union’s, or to devote large amounts of official time to managing the operation.</w:t>
      </w:r>
      <w:r w:rsidR="007A386B" w:rsidRPr="00360122">
        <w:rPr>
          <w:sz w:val="22"/>
          <w:szCs w:val="22"/>
        </w:rPr>
        <w:t xml:space="preserve"> (p. 47)</w:t>
      </w:r>
    </w:p>
    <w:p w14:paraId="22899619" w14:textId="7CF44AE3" w:rsidR="009B1B71" w:rsidRDefault="00B74F7E" w:rsidP="009B1B71">
      <w:pPr>
        <w:pStyle w:val="BodyText"/>
      </w:pPr>
      <w:r w:rsidRPr="00B74F7E">
        <w:lastRenderedPageBreak/>
        <w:t xml:space="preserve">In its review of Mutual Recognition Schemes, the Australian Commission commended </w:t>
      </w:r>
      <w:proofErr w:type="spellStart"/>
      <w:r w:rsidRPr="00B74F7E">
        <w:t>TTMRA</w:t>
      </w:r>
      <w:proofErr w:type="spellEnd"/>
      <w:r w:rsidRPr="00B74F7E">
        <w:t xml:space="preserve"> as a ‘low maintenance’ system that does not establish a new bureaucracy o</w:t>
      </w:r>
      <w:r w:rsidR="00F96D37">
        <w:t>r require repeated updating (PC </w:t>
      </w:r>
      <w:proofErr w:type="spellStart"/>
      <w:r w:rsidRPr="00B74F7E">
        <w:t>2009</w:t>
      </w:r>
      <w:r w:rsidR="0020420A">
        <w:t>b</w:t>
      </w:r>
      <w:proofErr w:type="spellEnd"/>
      <w:r w:rsidRPr="00B74F7E">
        <w:t>).</w:t>
      </w:r>
    </w:p>
    <w:p w14:paraId="2289961A" w14:textId="003E2AD0" w:rsidR="00B74F7E" w:rsidRDefault="009B1B71" w:rsidP="00B74F7E">
      <w:pPr>
        <w:pStyle w:val="BodyText"/>
      </w:pPr>
      <w:r>
        <w:t>T</w:t>
      </w:r>
      <w:r w:rsidRPr="00B74F7E">
        <w:t xml:space="preserve">rans-Tasman governance differs markedly from arrangements in the EU, where member states have delegated monitoring </w:t>
      </w:r>
      <w:r>
        <w:t xml:space="preserve">and </w:t>
      </w:r>
      <w:r w:rsidRPr="00B74F7E">
        <w:t>some rule-making functions to supranational institutions</w:t>
      </w:r>
      <w:r>
        <w:t>,</w:t>
      </w:r>
      <w:r w:rsidRPr="00B74F7E">
        <w:t xml:space="preserve"> notably the European Commission and the European Court of Justice</w:t>
      </w:r>
      <w:r w:rsidR="00F96D37">
        <w:t xml:space="preserve"> (box </w:t>
      </w:r>
      <w:r>
        <w:t>5.2)</w:t>
      </w:r>
      <w:r w:rsidRPr="00B74F7E">
        <w:t xml:space="preserve">. </w:t>
      </w:r>
      <w:proofErr w:type="spellStart"/>
      <w:r w:rsidRPr="00B74F7E">
        <w:t>CER</w:t>
      </w:r>
      <w:proofErr w:type="spellEnd"/>
      <w:r w:rsidRPr="00B74F7E">
        <w:t xml:space="preserve"> also differs from the North American Free Trade Agreement, which has several administrative bodies, and other regional trading arrange</w:t>
      </w:r>
      <w:r w:rsidR="00F96D37">
        <w:t>ments (Lloyd </w:t>
      </w:r>
      <w:r w:rsidRPr="00B74F7E">
        <w:t>1996). A closer comparator is the arrangemen</w:t>
      </w:r>
      <w:r w:rsidR="00F96D37">
        <w:t>ts of the Nordic countries (box </w:t>
      </w:r>
      <w:r w:rsidRPr="00B74F7E">
        <w:t>5.2).</w:t>
      </w:r>
    </w:p>
    <w:p w14:paraId="2CA0F694" w14:textId="50FBF360" w:rsidR="00C27FDF" w:rsidRDefault="00C27FDF" w:rsidP="00C27FD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27FDF" w14:paraId="10630576" w14:textId="77777777" w:rsidTr="00C27FDF">
        <w:tc>
          <w:tcPr>
            <w:tcW w:w="8771" w:type="dxa"/>
            <w:tcBorders>
              <w:top w:val="nil"/>
              <w:left w:val="nil"/>
              <w:bottom w:val="nil"/>
              <w:right w:val="nil"/>
            </w:tcBorders>
            <w:shd w:val="clear" w:color="auto" w:fill="D9EAF0"/>
          </w:tcPr>
          <w:p w14:paraId="36204E27" w14:textId="291726D7" w:rsidR="00C27FDF" w:rsidRDefault="00C27FDF" w:rsidP="00C27FDF">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5.</w:t>
            </w:r>
            <w:r>
              <w:rPr>
                <w:b w:val="0"/>
              </w:rPr>
              <w:fldChar w:fldCharType="end"/>
            </w:r>
            <w:r>
              <w:rPr>
                <w:b w:val="0"/>
              </w:rPr>
              <w:fldChar w:fldCharType="begin"/>
            </w:r>
            <w:r>
              <w:rPr>
                <w:b w:val="0"/>
              </w:rPr>
              <w:instrText xml:space="preserve"> SEQ Box \* ARABIC </w:instrText>
            </w:r>
            <w:r>
              <w:rPr>
                <w:b w:val="0"/>
              </w:rPr>
              <w:fldChar w:fldCharType="separate"/>
            </w:r>
            <w:r w:rsidR="00BC59D5">
              <w:rPr>
                <w:b w:val="0"/>
                <w:noProof/>
              </w:rPr>
              <w:t>2</w:t>
            </w:r>
            <w:r>
              <w:rPr>
                <w:b w:val="0"/>
              </w:rPr>
              <w:fldChar w:fldCharType="end"/>
            </w:r>
            <w:r>
              <w:tab/>
            </w:r>
            <w:r w:rsidRPr="00B74F7E">
              <w:t>Differing styles of governance</w:t>
            </w:r>
            <w:r>
              <w:t xml:space="preserve"> of economic integration</w:t>
            </w:r>
          </w:p>
        </w:tc>
      </w:tr>
      <w:tr w:rsidR="00C27FDF" w14:paraId="2EA3402A" w14:textId="77777777" w:rsidTr="00C27FDF">
        <w:trPr>
          <w:cantSplit/>
        </w:trPr>
        <w:tc>
          <w:tcPr>
            <w:tcW w:w="8771" w:type="dxa"/>
            <w:tcBorders>
              <w:top w:val="nil"/>
              <w:left w:val="nil"/>
              <w:bottom w:val="nil"/>
              <w:right w:val="nil"/>
            </w:tcBorders>
            <w:shd w:val="clear" w:color="auto" w:fill="D9EAF0"/>
          </w:tcPr>
          <w:p w14:paraId="6B3F125F" w14:textId="77777777" w:rsidR="00C27FDF" w:rsidRDefault="00C27FDF" w:rsidP="00C27FDF">
            <w:pPr>
              <w:pStyle w:val="Box"/>
            </w:pPr>
            <w:r w:rsidRPr="00B74F7E">
              <w:rPr>
                <w:b/>
              </w:rPr>
              <w:t>The European Union</w:t>
            </w:r>
            <w:r>
              <w:t xml:space="preserve"> (EU) stands out for the breadth and depth of its economic integration. Trans-Tasman integration bears both similarities to and important differences from European integration. Both regions aim to achieve a single market for goods, services, labour and capital. In both, the principle of mutual recognition by member states of each other’s national regulations, standards and qualifications has been important in furthering integration. In the EU this has proven relatively easy for goods, but more difficult for services.</w:t>
            </w:r>
          </w:p>
          <w:p w14:paraId="6DB0B81A" w14:textId="77777777" w:rsidR="00C27FDF" w:rsidRDefault="00C27FDF" w:rsidP="00C27FDF">
            <w:pPr>
              <w:pStyle w:val="Box"/>
            </w:pPr>
            <w:r>
              <w:t>The designers of the EU created supranational institutions — the European Commission, the European Parliament and the European Court of Justice. These function alongside the inter-governmental European Council. Member states have ceded some decision-making powers to these supranational institutions, which have wide authority and can create policies and laws that have ‘direct effect’ in the member states.</w:t>
            </w:r>
          </w:p>
          <w:p w14:paraId="2F93A55F" w14:textId="77777777" w:rsidR="00C27FDF" w:rsidRDefault="00C27FDF" w:rsidP="00C27FDF">
            <w:pPr>
              <w:pStyle w:val="Box"/>
            </w:pPr>
            <w:r>
              <w:t>Australia and New Zealand have created some joint institutions — the Joint Accreditation System of Australia and New Zealand (JAS-</w:t>
            </w:r>
            <w:proofErr w:type="spellStart"/>
            <w:r>
              <w:t>ANZ</w:t>
            </w:r>
            <w:proofErr w:type="spellEnd"/>
            <w:r>
              <w:t>); Food Standards Australia New Zealand (</w:t>
            </w:r>
            <w:proofErr w:type="spellStart"/>
            <w:r>
              <w:t>FSANZ</w:t>
            </w:r>
            <w:proofErr w:type="spellEnd"/>
            <w:r>
              <w:t>); and the planned Australia New Zealand Therapeutic Products Agency (</w:t>
            </w:r>
            <w:proofErr w:type="spellStart"/>
            <w:r>
              <w:t>ANZTPA</w:t>
            </w:r>
            <w:proofErr w:type="spellEnd"/>
            <w:r>
              <w:t>) — but their authority is limited to specific issue areas. The two Governments also maintain some (ministerial) control over these institutions.</w:t>
            </w:r>
          </w:p>
          <w:p w14:paraId="0D0DF87B" w14:textId="77777777" w:rsidR="00C27FDF" w:rsidRDefault="00C27FDF" w:rsidP="00C27FDF">
            <w:pPr>
              <w:pStyle w:val="Box"/>
            </w:pPr>
            <w:r w:rsidRPr="00B74F7E">
              <w:rPr>
                <w:b/>
              </w:rPr>
              <w:t>The Nordic countries</w:t>
            </w:r>
            <w:r>
              <w:t xml:space="preserve"> — Denmark, Finland, Iceland, Norway and Sweden — share a long history of cooperation and cultural and linguistic similarities. This smaller group of similar countries has more in common with </w:t>
            </w:r>
            <w:proofErr w:type="spellStart"/>
            <w:r>
              <w:t>CER</w:t>
            </w:r>
            <w:proofErr w:type="spellEnd"/>
            <w:r>
              <w:t>, in contrast to the greater size and diversity of the EU (27 member states).</w:t>
            </w:r>
          </w:p>
          <w:p w14:paraId="41D54ACC" w14:textId="2C2D8C30" w:rsidR="002706F7" w:rsidRDefault="002706F7" w:rsidP="00C27FDF">
            <w:pPr>
              <w:pStyle w:val="Box"/>
            </w:pPr>
            <w:r>
              <w:t>The Nordic Council of Ministers is the inter-governmental body of Nordic cooperation. It brings together Ministers from national governments with a focus on policy cooperation in areas such as culture, leisure and media; economy, business and working life; education and research; and environment and nature.</w:t>
            </w:r>
          </w:p>
        </w:tc>
      </w:tr>
      <w:tr w:rsidR="00C27FDF" w14:paraId="294A0BC9" w14:textId="77777777" w:rsidTr="00C27FDF">
        <w:trPr>
          <w:cantSplit/>
        </w:trPr>
        <w:tc>
          <w:tcPr>
            <w:tcW w:w="8771" w:type="dxa"/>
            <w:tcBorders>
              <w:top w:val="nil"/>
              <w:left w:val="nil"/>
              <w:bottom w:val="nil"/>
              <w:right w:val="nil"/>
            </w:tcBorders>
            <w:shd w:val="clear" w:color="auto" w:fill="D9EAF0"/>
          </w:tcPr>
          <w:p w14:paraId="47E14CBF" w14:textId="0A6A3AD9" w:rsidR="00C27FDF" w:rsidRDefault="00C27FDF" w:rsidP="00C27FDF">
            <w:pPr>
              <w:pStyle w:val="Continued"/>
            </w:pPr>
            <w:r>
              <w:t>(Continued next page)</w:t>
            </w:r>
          </w:p>
        </w:tc>
      </w:tr>
      <w:tr w:rsidR="00C27FDF" w14:paraId="2448EB31" w14:textId="77777777" w:rsidTr="00C27FDF">
        <w:trPr>
          <w:cantSplit/>
        </w:trPr>
        <w:tc>
          <w:tcPr>
            <w:tcW w:w="8771" w:type="dxa"/>
            <w:tcBorders>
              <w:top w:val="nil"/>
              <w:left w:val="nil"/>
              <w:bottom w:val="nil"/>
              <w:right w:val="nil"/>
            </w:tcBorders>
            <w:shd w:val="clear" w:color="auto" w:fill="D9EAF0"/>
          </w:tcPr>
          <w:p w14:paraId="18B2F40A" w14:textId="77777777" w:rsidR="00C27FDF" w:rsidRDefault="00C27FDF" w:rsidP="00C27FDF">
            <w:pPr>
              <w:pStyle w:val="Box"/>
              <w:spacing w:before="0" w:line="120" w:lineRule="exact"/>
            </w:pPr>
          </w:p>
        </w:tc>
      </w:tr>
      <w:tr w:rsidR="00C27FDF" w:rsidRPr="00C27FDF" w14:paraId="156FF88F" w14:textId="77777777" w:rsidTr="00C27FDF">
        <w:tc>
          <w:tcPr>
            <w:tcW w:w="8771" w:type="dxa"/>
            <w:tcBorders>
              <w:top w:val="nil"/>
              <w:left w:val="nil"/>
              <w:bottom w:val="nil"/>
              <w:right w:val="nil"/>
            </w:tcBorders>
          </w:tcPr>
          <w:p w14:paraId="1C737C30" w14:textId="77777777" w:rsidR="00C27FDF" w:rsidRPr="00C27FDF" w:rsidRDefault="00C27FDF" w:rsidP="00C27FDF">
            <w:pPr>
              <w:pStyle w:val="Box"/>
              <w:keepNext w:val="0"/>
              <w:spacing w:before="60" w:after="60" w:line="80" w:lineRule="exact"/>
              <w:rPr>
                <w:b/>
                <w:color w:val="auto"/>
                <w:sz w:val="14"/>
              </w:rPr>
            </w:pPr>
          </w:p>
        </w:tc>
      </w:tr>
    </w:tbl>
    <w:p w14:paraId="2289961B" w14:textId="77777777" w:rsidR="00B74F7E" w:rsidRDefault="00B74F7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4F7E" w14:paraId="2289961D" w14:textId="77777777" w:rsidTr="002F7E76">
        <w:tc>
          <w:tcPr>
            <w:tcW w:w="8771" w:type="dxa"/>
            <w:tcBorders>
              <w:top w:val="nil"/>
              <w:left w:val="nil"/>
              <w:bottom w:val="nil"/>
              <w:right w:val="nil"/>
            </w:tcBorders>
            <w:shd w:val="clear" w:color="auto" w:fill="D9EAF0"/>
          </w:tcPr>
          <w:p w14:paraId="2289961C" w14:textId="0651498E" w:rsidR="00B74F7E" w:rsidRDefault="00B74F7E" w:rsidP="00C27FDF">
            <w:pPr>
              <w:pStyle w:val="BoxTitle"/>
            </w:pPr>
            <w:r>
              <w:rPr>
                <w:b w:val="0"/>
              </w:rPr>
              <w:t xml:space="preserve">Box </w:t>
            </w:r>
            <w:r w:rsidR="00C27FDF">
              <w:rPr>
                <w:b w:val="0"/>
              </w:rPr>
              <w:t>5.2</w:t>
            </w:r>
            <w:r>
              <w:tab/>
            </w:r>
            <w:r w:rsidR="00C27FDF" w:rsidRPr="00C27FDF">
              <w:rPr>
                <w:b w:val="0"/>
                <w:sz w:val="18"/>
                <w:szCs w:val="18"/>
              </w:rPr>
              <w:t>(continued)</w:t>
            </w:r>
          </w:p>
        </w:tc>
      </w:tr>
      <w:tr w:rsidR="00B74F7E" w14:paraId="22899624" w14:textId="77777777" w:rsidTr="002F7E76">
        <w:trPr>
          <w:cantSplit/>
        </w:trPr>
        <w:tc>
          <w:tcPr>
            <w:tcW w:w="8771" w:type="dxa"/>
            <w:tcBorders>
              <w:top w:val="nil"/>
              <w:left w:val="nil"/>
              <w:bottom w:val="nil"/>
              <w:right w:val="nil"/>
            </w:tcBorders>
            <w:shd w:val="clear" w:color="auto" w:fill="D9EAF0"/>
          </w:tcPr>
          <w:p w14:paraId="22899623" w14:textId="2332CF27" w:rsidR="00B74F7E" w:rsidRDefault="00B74F7E">
            <w:pPr>
              <w:pStyle w:val="Box"/>
            </w:pPr>
            <w:r>
              <w:t xml:space="preserve">The Nordic Passport Union enables passport-free movement of Nordic citizens and establishes their right to live, work and study with full equality with nationals in other Nordic countries. </w:t>
            </w:r>
            <w:r w:rsidR="009252F4">
              <w:t xml:space="preserve">The </w:t>
            </w:r>
            <w:r>
              <w:t xml:space="preserve">public information service ‘Hello </w:t>
            </w:r>
            <w:proofErr w:type="spellStart"/>
            <w:r>
              <w:t>Norden</w:t>
            </w:r>
            <w:proofErr w:type="spellEnd"/>
            <w:r>
              <w:t>’</w:t>
            </w:r>
            <w:r w:rsidR="003D64F0">
              <w:t xml:space="preserve"> is</w:t>
            </w:r>
            <w:r w:rsidR="009252F4">
              <w:t xml:space="preserve"> a</w:t>
            </w:r>
            <w:r w:rsidR="007B3943">
              <w:t>n</w:t>
            </w:r>
            <w:r w:rsidR="009252F4">
              <w:t xml:space="preserve"> initiative </w:t>
            </w:r>
            <w:r w:rsidR="003D64F0">
              <w:t xml:space="preserve">that </w:t>
            </w:r>
            <w:r>
              <w:t>provides information to potential migrants about rules relating to living, studying and working in other Nordic countries.</w:t>
            </w:r>
          </w:p>
        </w:tc>
      </w:tr>
      <w:tr w:rsidR="00B74F7E" w14:paraId="22899626" w14:textId="77777777" w:rsidTr="002F7E76">
        <w:trPr>
          <w:cantSplit/>
        </w:trPr>
        <w:tc>
          <w:tcPr>
            <w:tcW w:w="8771" w:type="dxa"/>
            <w:tcBorders>
              <w:top w:val="nil"/>
              <w:left w:val="nil"/>
              <w:bottom w:val="nil"/>
              <w:right w:val="nil"/>
            </w:tcBorders>
            <w:shd w:val="clear" w:color="auto" w:fill="D9EAF0"/>
          </w:tcPr>
          <w:p w14:paraId="22899625" w14:textId="77777777" w:rsidR="00B74F7E" w:rsidRDefault="00B74F7E">
            <w:pPr>
              <w:pStyle w:val="Box"/>
              <w:spacing w:before="0" w:line="120" w:lineRule="exact"/>
            </w:pPr>
          </w:p>
        </w:tc>
      </w:tr>
      <w:tr w:rsidR="00B74F7E" w:rsidRPr="00B74F7E" w14:paraId="22899628" w14:textId="77777777" w:rsidTr="002F7E76">
        <w:tc>
          <w:tcPr>
            <w:tcW w:w="8771" w:type="dxa"/>
            <w:tcBorders>
              <w:top w:val="nil"/>
              <w:left w:val="nil"/>
              <w:bottom w:val="nil"/>
              <w:right w:val="nil"/>
            </w:tcBorders>
          </w:tcPr>
          <w:p w14:paraId="22899627" w14:textId="77777777" w:rsidR="00B74F7E" w:rsidRPr="00B74F7E" w:rsidRDefault="00B74F7E">
            <w:pPr>
              <w:pStyle w:val="Box"/>
              <w:keepNext w:val="0"/>
              <w:spacing w:before="60" w:after="60" w:line="80" w:lineRule="exact"/>
              <w:rPr>
                <w:b/>
                <w:color w:val="auto"/>
                <w:sz w:val="14"/>
              </w:rPr>
            </w:pPr>
          </w:p>
        </w:tc>
      </w:tr>
    </w:tbl>
    <w:p w14:paraId="22899629" w14:textId="77777777" w:rsidR="00B74F7E" w:rsidRPr="002706F7" w:rsidRDefault="00B74F7E" w:rsidP="002706F7">
      <w:pPr>
        <w:pStyle w:val="Heading3"/>
      </w:pPr>
      <w:r w:rsidRPr="002706F7">
        <w:t>Too light-handed?</w:t>
      </w:r>
    </w:p>
    <w:p w14:paraId="2289962A" w14:textId="77777777" w:rsidR="00B74F7E" w:rsidRPr="00B74F7E" w:rsidRDefault="00B74F7E" w:rsidP="002706F7">
      <w:pPr>
        <w:pStyle w:val="BodyText"/>
        <w:spacing w:before="200"/>
      </w:pPr>
      <w:r w:rsidRPr="00B74F7E">
        <w:t xml:space="preserve">‘Kiwi-Aussie pragmatism’ (as a roundtable participant described it) in </w:t>
      </w:r>
      <w:proofErr w:type="spellStart"/>
      <w:r w:rsidRPr="00B74F7E">
        <w:t>CER</w:t>
      </w:r>
      <w:proofErr w:type="spellEnd"/>
      <w:r w:rsidRPr="00B74F7E">
        <w:t xml:space="preserve"> governance appears to have served the two countries well thus far</w:t>
      </w:r>
      <w:r w:rsidR="009252F4">
        <w:t xml:space="preserve">. However it has had </w:t>
      </w:r>
      <w:r w:rsidRPr="00B74F7E">
        <w:t>some downsides.</w:t>
      </w:r>
    </w:p>
    <w:p w14:paraId="2289962B" w14:textId="076DBD8B" w:rsidR="00B74F7E" w:rsidRPr="00B74F7E" w:rsidRDefault="00B74F7E" w:rsidP="002706F7">
      <w:pPr>
        <w:pStyle w:val="BodyText"/>
        <w:spacing w:before="200"/>
      </w:pPr>
      <w:r w:rsidRPr="00B74F7E">
        <w:t xml:space="preserve">A number of commentators and reviews have expressed concerns about the fragmented and ad hoc character that </w:t>
      </w:r>
      <w:proofErr w:type="spellStart"/>
      <w:r w:rsidRPr="00B74F7E">
        <w:t>CER</w:t>
      </w:r>
      <w:proofErr w:type="spellEnd"/>
      <w:r w:rsidRPr="00B74F7E">
        <w:t xml:space="preserve"> has </w:t>
      </w:r>
      <w:r w:rsidR="009252F4">
        <w:t xml:space="preserve">sometimes </w:t>
      </w:r>
      <w:r w:rsidRPr="00B74F7E">
        <w:t>displayed. They point to the absence of an oversight role, lack of cohesion, and cycli</w:t>
      </w:r>
      <w:r w:rsidR="00F96D37">
        <w:t>cal variations in activity (box </w:t>
      </w:r>
      <w:r w:rsidRPr="00B74F7E">
        <w:t>5.3).</w:t>
      </w:r>
    </w:p>
    <w:p w14:paraId="2289962C" w14:textId="77777777" w:rsidR="00B74F7E" w:rsidRDefault="00B74F7E" w:rsidP="002706F7">
      <w:pPr>
        <w:pStyle w:val="BoxSpace"/>
        <w:keepNext w:val="0"/>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4F7E" w14:paraId="2289962E" w14:textId="77777777" w:rsidTr="002F7E76">
        <w:tc>
          <w:tcPr>
            <w:tcW w:w="8771" w:type="dxa"/>
            <w:tcBorders>
              <w:top w:val="nil"/>
              <w:left w:val="nil"/>
              <w:bottom w:val="nil"/>
              <w:right w:val="nil"/>
            </w:tcBorders>
            <w:shd w:val="clear" w:color="auto" w:fill="D9EAF0"/>
          </w:tcPr>
          <w:p w14:paraId="2289962D" w14:textId="47C4C751" w:rsidR="00B74F7E" w:rsidRDefault="00B74F7E" w:rsidP="002706F7">
            <w:pPr>
              <w:pStyle w:val="BoxTitle"/>
              <w:keepNext w:val="0"/>
              <w:keepLines w:val="0"/>
              <w:widowControl w:val="0"/>
            </w:pPr>
            <w:r>
              <w:rPr>
                <w:b w:val="0"/>
              </w:rPr>
              <w:t xml:space="preserve">Box </w:t>
            </w:r>
            <w:r>
              <w:rPr>
                <w:b w:val="0"/>
              </w:rPr>
              <w:fldChar w:fldCharType="begin"/>
            </w:r>
            <w:r>
              <w:rPr>
                <w:b w:val="0"/>
              </w:rPr>
              <w:instrText xml:space="preserve"> COMMENTS  \* MERGEFORMAT </w:instrText>
            </w:r>
            <w:r>
              <w:rPr>
                <w:b w:val="0"/>
              </w:rPr>
              <w:fldChar w:fldCharType="separate"/>
            </w:r>
            <w:r>
              <w:rPr>
                <w:b w:val="0"/>
              </w:rPr>
              <w:t>5.</w:t>
            </w:r>
            <w:r>
              <w:rPr>
                <w:b w:val="0"/>
              </w:rPr>
              <w:fldChar w:fldCharType="end"/>
            </w:r>
            <w:r>
              <w:rPr>
                <w:b w:val="0"/>
              </w:rPr>
              <w:fldChar w:fldCharType="begin"/>
            </w:r>
            <w:r>
              <w:rPr>
                <w:b w:val="0"/>
              </w:rPr>
              <w:instrText xml:space="preserve"> SEQ Box \* ARABIC </w:instrText>
            </w:r>
            <w:r>
              <w:rPr>
                <w:b w:val="0"/>
              </w:rPr>
              <w:fldChar w:fldCharType="separate"/>
            </w:r>
            <w:r w:rsidR="00BC59D5">
              <w:rPr>
                <w:b w:val="0"/>
                <w:noProof/>
              </w:rPr>
              <w:t>3</w:t>
            </w:r>
            <w:r>
              <w:rPr>
                <w:b w:val="0"/>
              </w:rPr>
              <w:fldChar w:fldCharType="end"/>
            </w:r>
            <w:r>
              <w:tab/>
            </w:r>
            <w:r w:rsidR="00E21091">
              <w:t>P</w:t>
            </w:r>
            <w:r w:rsidRPr="00B74F7E">
              <w:t xml:space="preserve">erspectives on </w:t>
            </w:r>
            <w:proofErr w:type="spellStart"/>
            <w:r w:rsidRPr="00B74F7E">
              <w:t>CER</w:t>
            </w:r>
            <w:proofErr w:type="spellEnd"/>
            <w:r w:rsidRPr="00B74F7E">
              <w:t xml:space="preserve"> governance</w:t>
            </w:r>
          </w:p>
        </w:tc>
      </w:tr>
      <w:tr w:rsidR="00B74F7E" w14:paraId="22899633" w14:textId="77777777" w:rsidTr="002F7E76">
        <w:trPr>
          <w:cantSplit/>
        </w:trPr>
        <w:tc>
          <w:tcPr>
            <w:tcW w:w="8771" w:type="dxa"/>
            <w:tcBorders>
              <w:top w:val="nil"/>
              <w:left w:val="nil"/>
              <w:bottom w:val="nil"/>
              <w:right w:val="nil"/>
            </w:tcBorders>
            <w:shd w:val="clear" w:color="auto" w:fill="D9EAF0"/>
          </w:tcPr>
          <w:p w14:paraId="346B184E" w14:textId="0275A695" w:rsidR="009E6531" w:rsidRDefault="009E6531" w:rsidP="002706F7">
            <w:pPr>
              <w:pStyle w:val="Box"/>
              <w:keepNext w:val="0"/>
              <w:widowControl w:val="0"/>
            </w:pPr>
            <w:r>
              <w:t xml:space="preserve">A number of participants in the study, as well as commentators and reviews, have expressed </w:t>
            </w:r>
            <w:r w:rsidR="007B3943">
              <w:t xml:space="preserve">concerns about </w:t>
            </w:r>
            <w:proofErr w:type="spellStart"/>
            <w:r>
              <w:t>CER</w:t>
            </w:r>
            <w:proofErr w:type="spellEnd"/>
            <w:r>
              <w:t xml:space="preserve"> governance:</w:t>
            </w:r>
          </w:p>
          <w:p w14:paraId="2289962F" w14:textId="77777777" w:rsidR="00B74F7E" w:rsidRPr="00B74F7E" w:rsidRDefault="00B74F7E" w:rsidP="002706F7">
            <w:pPr>
              <w:pStyle w:val="BoxQuote"/>
              <w:keepNext w:val="0"/>
              <w:widowControl w:val="0"/>
            </w:pPr>
            <w:r w:rsidRPr="00B74F7E">
              <w:t>… the absence of a single goal statement is a problem for making progress… At the moment there is a list of outstanding issues that are being addressed in various ways, but no real sense of impetus. (</w:t>
            </w:r>
            <w:proofErr w:type="spellStart"/>
            <w:r w:rsidRPr="00B74F7E">
              <w:t>Nicklin</w:t>
            </w:r>
            <w:proofErr w:type="spellEnd"/>
            <w:r w:rsidRPr="00B74F7E">
              <w:t>, sub. 11, p. 2–3)</w:t>
            </w:r>
          </w:p>
          <w:p w14:paraId="22899630" w14:textId="3D6D9F55" w:rsidR="00B74F7E" w:rsidRPr="00B74F7E" w:rsidRDefault="00B74F7E" w:rsidP="002706F7">
            <w:pPr>
              <w:pStyle w:val="BoxQuote"/>
              <w:keepNext w:val="0"/>
              <w:widowControl w:val="0"/>
            </w:pPr>
            <w:r w:rsidRPr="00B74F7E">
              <w:t>…</w:t>
            </w:r>
            <w:r w:rsidR="00D37EF3">
              <w:t xml:space="preserve"> </w:t>
            </w:r>
            <w:r w:rsidRPr="00B74F7E">
              <w:t>there have been variations over time in the pace at which the overall integration agenda, and individual issues within that agenda, have been pursued.</w:t>
            </w:r>
            <w:r w:rsidR="00F96D37">
              <w:t xml:space="preserve"> (</w:t>
            </w:r>
            <w:proofErr w:type="spellStart"/>
            <w:r w:rsidR="00F96D37">
              <w:t>Scollay</w:t>
            </w:r>
            <w:proofErr w:type="spellEnd"/>
            <w:r w:rsidR="00F96D37">
              <w:t>, Findlay and Kaufmann </w:t>
            </w:r>
            <w:r w:rsidRPr="00B74F7E">
              <w:t>2011, p. 4)</w:t>
            </w:r>
          </w:p>
          <w:p w14:paraId="22899631" w14:textId="77777777" w:rsidR="00B74F7E" w:rsidRPr="00B74F7E" w:rsidRDefault="00B74F7E" w:rsidP="002706F7">
            <w:pPr>
              <w:pStyle w:val="BoxQuote"/>
              <w:keepNext w:val="0"/>
              <w:widowControl w:val="0"/>
            </w:pPr>
            <w:r w:rsidRPr="00B74F7E">
              <w:t>Certainly ministerial level engagement provides leadership and a semblance of co-ordination. However, it is an open question whether these provide the necessary degree of capacity for change. (</w:t>
            </w:r>
            <w:proofErr w:type="spellStart"/>
            <w:r w:rsidRPr="00B74F7E">
              <w:t>Mahony</w:t>
            </w:r>
            <w:proofErr w:type="spellEnd"/>
            <w:r w:rsidRPr="00B74F7E">
              <w:t xml:space="preserve"> and Sadleir, sub. 28, p. 3)</w:t>
            </w:r>
          </w:p>
          <w:p w14:paraId="5EAD07AB" w14:textId="318664CF" w:rsidR="00B74F7E" w:rsidRDefault="00B74F7E" w:rsidP="002706F7">
            <w:pPr>
              <w:pStyle w:val="BoxQuote"/>
              <w:keepNext w:val="0"/>
              <w:widowControl w:val="0"/>
            </w:pPr>
            <w:r w:rsidRPr="00B74F7E">
              <w:t>…</w:t>
            </w:r>
            <w:r w:rsidR="00D37EF3">
              <w:t xml:space="preserve"> </w:t>
            </w:r>
            <w:r w:rsidRPr="00B74F7E">
              <w:t xml:space="preserve">there does not seem to be one driving force behind the </w:t>
            </w:r>
            <w:r w:rsidR="00F96D37">
              <w:t xml:space="preserve">implementation of </w:t>
            </w:r>
            <w:proofErr w:type="spellStart"/>
            <w:r w:rsidR="00F96D37">
              <w:t>CER</w:t>
            </w:r>
            <w:proofErr w:type="spellEnd"/>
            <w:r w:rsidR="00F96D37">
              <w:t>. (</w:t>
            </w:r>
            <w:proofErr w:type="spellStart"/>
            <w:r w:rsidR="00F96D37">
              <w:t>JSCFADT</w:t>
            </w:r>
            <w:proofErr w:type="spellEnd"/>
            <w:r w:rsidR="00F96D37">
              <w:t> </w:t>
            </w:r>
            <w:r w:rsidRPr="00B74F7E">
              <w:t>2006, p. 20)</w:t>
            </w:r>
          </w:p>
          <w:p w14:paraId="735139A4" w14:textId="0A03F093" w:rsidR="00FF78C6" w:rsidRDefault="00FF78C6" w:rsidP="002706F7">
            <w:pPr>
              <w:pStyle w:val="BoxQuote"/>
              <w:keepNext w:val="0"/>
              <w:widowControl w:val="0"/>
            </w:pPr>
            <w:r>
              <w:t>A key success factor will be ensuring that governance doesn’t focus on a long list of activities, but is instead focused on the achievement of high-level objectives. (</w:t>
            </w:r>
            <w:r w:rsidR="00F96D37">
              <w:t>New Zealand Customs Service, sub. </w:t>
            </w:r>
            <w:proofErr w:type="spellStart"/>
            <w:r w:rsidR="00F96D37">
              <w:t>DR114</w:t>
            </w:r>
            <w:proofErr w:type="spellEnd"/>
            <w:r w:rsidR="00F96D37">
              <w:t>, p. </w:t>
            </w:r>
            <w:r>
              <w:t>3)</w:t>
            </w:r>
          </w:p>
          <w:p w14:paraId="22899632" w14:textId="0BD62661" w:rsidR="00FF78C6" w:rsidRPr="00FF78C6" w:rsidRDefault="005A1F35" w:rsidP="002706F7">
            <w:pPr>
              <w:pStyle w:val="BoxQuote"/>
              <w:keepNext w:val="0"/>
              <w:widowControl w:val="0"/>
              <w:rPr>
                <w:szCs w:val="24"/>
              </w:rPr>
            </w:pPr>
            <w:r>
              <w:t>…</w:t>
            </w:r>
            <w:r w:rsidR="00D37EF3">
              <w:t xml:space="preserve"> </w:t>
            </w:r>
            <w:r w:rsidRPr="005A1F35">
              <w:t xml:space="preserve">we suggest … a trans-Tasman institution to monitor, engage and support </w:t>
            </w:r>
            <w:proofErr w:type="spellStart"/>
            <w:r w:rsidRPr="005A1F35">
              <w:t>ANZCERTA</w:t>
            </w:r>
            <w:proofErr w:type="spellEnd"/>
            <w:r w:rsidRPr="005A1F35">
              <w:t xml:space="preserve"> as a vehicle for deepening the economic and social aspects of this relationship. Such an institution might have the character of a steering committee… </w:t>
            </w:r>
            <w:r>
              <w:t>(</w:t>
            </w:r>
            <w:proofErr w:type="spellStart"/>
            <w:r w:rsidR="00F96D37">
              <w:t>Mahony</w:t>
            </w:r>
            <w:proofErr w:type="spellEnd"/>
            <w:r w:rsidR="00F96D37">
              <w:t xml:space="preserve"> and Sadleir, sub. </w:t>
            </w:r>
            <w:proofErr w:type="spellStart"/>
            <w:r w:rsidRPr="005A1F35">
              <w:t>DR</w:t>
            </w:r>
            <w:r w:rsidR="00F96D37">
              <w:t>95</w:t>
            </w:r>
            <w:proofErr w:type="spellEnd"/>
            <w:r w:rsidR="00F96D37">
              <w:t>, p. </w:t>
            </w:r>
            <w:r w:rsidRPr="005A1F35">
              <w:t>1)</w:t>
            </w:r>
          </w:p>
        </w:tc>
      </w:tr>
      <w:tr w:rsidR="00B74F7E" w14:paraId="22899635" w14:textId="77777777" w:rsidTr="002F7E76">
        <w:trPr>
          <w:cantSplit/>
        </w:trPr>
        <w:tc>
          <w:tcPr>
            <w:tcW w:w="8771" w:type="dxa"/>
            <w:tcBorders>
              <w:top w:val="nil"/>
              <w:left w:val="nil"/>
              <w:bottom w:val="nil"/>
              <w:right w:val="nil"/>
            </w:tcBorders>
            <w:shd w:val="clear" w:color="auto" w:fill="D9EAF0"/>
          </w:tcPr>
          <w:p w14:paraId="22899634" w14:textId="77777777" w:rsidR="00B74F7E" w:rsidRDefault="00B74F7E" w:rsidP="002706F7">
            <w:pPr>
              <w:pStyle w:val="Box"/>
              <w:keepNext w:val="0"/>
              <w:widowControl w:val="0"/>
              <w:spacing w:before="0" w:line="120" w:lineRule="exact"/>
            </w:pPr>
          </w:p>
        </w:tc>
      </w:tr>
      <w:tr w:rsidR="00B74F7E" w:rsidRPr="00B74F7E" w14:paraId="22899637" w14:textId="77777777" w:rsidTr="002F7E76">
        <w:tc>
          <w:tcPr>
            <w:tcW w:w="8771" w:type="dxa"/>
            <w:tcBorders>
              <w:top w:val="nil"/>
              <w:left w:val="nil"/>
              <w:bottom w:val="nil"/>
              <w:right w:val="nil"/>
            </w:tcBorders>
          </w:tcPr>
          <w:p w14:paraId="22899636" w14:textId="77777777" w:rsidR="00B74F7E" w:rsidRPr="00B74F7E" w:rsidRDefault="00B74F7E" w:rsidP="002706F7">
            <w:pPr>
              <w:pStyle w:val="Box"/>
              <w:keepNext w:val="0"/>
              <w:widowControl w:val="0"/>
              <w:spacing w:before="60" w:after="60" w:line="80" w:lineRule="exact"/>
              <w:rPr>
                <w:b/>
                <w:color w:val="auto"/>
                <w:sz w:val="14"/>
              </w:rPr>
            </w:pPr>
          </w:p>
        </w:tc>
      </w:tr>
    </w:tbl>
    <w:p w14:paraId="22899638" w14:textId="3300122B" w:rsidR="00B74F7E" w:rsidRDefault="009252F4" w:rsidP="00B74F7E">
      <w:pPr>
        <w:pStyle w:val="BodyText"/>
      </w:pPr>
      <w:r>
        <w:lastRenderedPageBreak/>
        <w:t>T</w:t>
      </w:r>
      <w:r w:rsidR="00B94E90" w:rsidRPr="00B94E90">
        <w:t>he Commissions have been struck by the number and variety of the different parts of what could loosely be called the ‘</w:t>
      </w:r>
      <w:proofErr w:type="spellStart"/>
      <w:r w:rsidR="00B94E90" w:rsidRPr="00B94E90">
        <w:t>CER</w:t>
      </w:r>
      <w:proofErr w:type="spellEnd"/>
      <w:r w:rsidR="00B94E90" w:rsidRPr="00B94E90">
        <w:t xml:space="preserve"> enterprise’. </w:t>
      </w:r>
      <w:r>
        <w:t>T</w:t>
      </w:r>
      <w:r w:rsidR="00B94E90" w:rsidRPr="00B94E90">
        <w:t>here is no overall design or management</w:t>
      </w:r>
      <w:r w:rsidR="00E21091">
        <w:t>,</w:t>
      </w:r>
      <w:r>
        <w:t xml:space="preserve"> which makes it </w:t>
      </w:r>
      <w:r w:rsidR="00B94E90" w:rsidRPr="00B94E90">
        <w:t>a major task to document the many agencies and players involved and their interactions.</w:t>
      </w:r>
    </w:p>
    <w:p w14:paraId="22899639" w14:textId="4160B32B" w:rsidR="00B94E90" w:rsidRDefault="00BC59D5" w:rsidP="00B94E90">
      <w:pPr>
        <w:pStyle w:val="Heading2"/>
      </w:pPr>
      <w:r>
        <w:fldChar w:fldCharType="begin"/>
      </w:r>
      <w:r>
        <w:instrText xml:space="preserve"> COMMENTS  \* MERGEFORMAT </w:instrText>
      </w:r>
      <w:r>
        <w:fldChar w:fldCharType="separate"/>
      </w:r>
      <w:r w:rsidR="00B94E90">
        <w:t>5.</w:t>
      </w:r>
      <w:r>
        <w:fldChar w:fldCharType="end"/>
      </w:r>
      <w:r>
        <w:fldChar w:fldCharType="begin"/>
      </w:r>
      <w:r>
        <w:instrText xml:space="preserve"> SEQ Heading2 </w:instrText>
      </w:r>
      <w:r>
        <w:fldChar w:fldCharType="separate"/>
      </w:r>
      <w:r>
        <w:rPr>
          <w:noProof/>
        </w:rPr>
        <w:t>3</w:t>
      </w:r>
      <w:r>
        <w:rPr>
          <w:noProof/>
        </w:rPr>
        <w:fldChar w:fldCharType="end"/>
      </w:r>
      <w:r w:rsidR="00B94E90">
        <w:tab/>
      </w:r>
      <w:r w:rsidR="00B94E90" w:rsidRPr="00B94E90">
        <w:t xml:space="preserve">Strengthening </w:t>
      </w:r>
      <w:proofErr w:type="spellStart"/>
      <w:r w:rsidR="00E21091">
        <w:t>CER</w:t>
      </w:r>
      <w:proofErr w:type="spellEnd"/>
      <w:r w:rsidR="00E21091">
        <w:t xml:space="preserve"> </w:t>
      </w:r>
      <w:r w:rsidR="00B94E90" w:rsidRPr="00B94E90">
        <w:t>governance</w:t>
      </w:r>
    </w:p>
    <w:p w14:paraId="2289963A" w14:textId="48E809DA" w:rsidR="00B94E90" w:rsidRDefault="00193CC7" w:rsidP="00B94E90">
      <w:pPr>
        <w:pStyle w:val="BodyText"/>
      </w:pPr>
      <w:r>
        <w:t>Despite</w:t>
      </w:r>
      <w:r w:rsidR="00B94E90">
        <w:t xml:space="preserve"> the largely positive </w:t>
      </w:r>
      <w:r w:rsidR="006B69A7">
        <w:t xml:space="preserve">past </w:t>
      </w:r>
      <w:r w:rsidR="00B94E90">
        <w:t xml:space="preserve">experience, the likely more complex and challenging nature of </w:t>
      </w:r>
      <w:proofErr w:type="spellStart"/>
      <w:r w:rsidR="00B94E90">
        <w:t>CER’s</w:t>
      </w:r>
      <w:proofErr w:type="spellEnd"/>
      <w:r w:rsidR="00B94E90">
        <w:t xml:space="preserve"> future</w:t>
      </w:r>
      <w:r>
        <w:t xml:space="preserve"> suggest that</w:t>
      </w:r>
      <w:r w:rsidR="00B94E90">
        <w:t xml:space="preserve"> improvements </w:t>
      </w:r>
      <w:r w:rsidR="009E6531">
        <w:t xml:space="preserve">could usefully </w:t>
      </w:r>
      <w:r w:rsidR="00B94E90">
        <w:t xml:space="preserve">be made to </w:t>
      </w:r>
      <w:proofErr w:type="spellStart"/>
      <w:r w:rsidR="00B94E90">
        <w:t>CER’s</w:t>
      </w:r>
      <w:proofErr w:type="spellEnd"/>
      <w:r w:rsidR="00B94E90">
        <w:t xml:space="preserve"> governance arrangements. These</w:t>
      </w:r>
      <w:r w:rsidR="009252F4">
        <w:t xml:space="preserve"> improvements</w:t>
      </w:r>
      <w:r w:rsidR="00B94E90">
        <w:t xml:space="preserve"> </w:t>
      </w:r>
      <w:r>
        <w:t>should be</w:t>
      </w:r>
      <w:r w:rsidR="00B94E90">
        <w:t xml:space="preserve"> in </w:t>
      </w:r>
      <w:r w:rsidR="009252F4">
        <w:t xml:space="preserve">keeping </w:t>
      </w:r>
      <w:r w:rsidR="00B94E90">
        <w:t xml:space="preserve">with the past light-handed and flexible approach and build on existing institutional structures. They </w:t>
      </w:r>
      <w:r w:rsidR="00524ACF">
        <w:t xml:space="preserve">should </w:t>
      </w:r>
      <w:r w:rsidR="00B94E90">
        <w:t>strengthen oversight and enhance support for a</w:t>
      </w:r>
      <w:r w:rsidR="006B69A7">
        <w:t>n</w:t>
      </w:r>
      <w:r w:rsidR="00B94E90">
        <w:t xml:space="preserve"> evidence-based approach to policy.</w:t>
      </w:r>
    </w:p>
    <w:p w14:paraId="2289963B" w14:textId="08CEDEDE" w:rsidR="00B94E90" w:rsidRDefault="005E62FE" w:rsidP="00B94E90">
      <w:pPr>
        <w:pStyle w:val="BodyText"/>
      </w:pPr>
      <w:r>
        <w:t>The Commissions consider that k</w:t>
      </w:r>
      <w:r w:rsidR="00B94E90">
        <w:t xml:space="preserve">ey opportunities </w:t>
      </w:r>
      <w:r>
        <w:t xml:space="preserve">for improving </w:t>
      </w:r>
      <w:proofErr w:type="spellStart"/>
      <w:r>
        <w:t>CER</w:t>
      </w:r>
      <w:proofErr w:type="spellEnd"/>
      <w:r>
        <w:t xml:space="preserve"> governance </w:t>
      </w:r>
      <w:r w:rsidR="009252F4">
        <w:t>are</w:t>
      </w:r>
      <w:r w:rsidR="00B94E90">
        <w:t>:</w:t>
      </w:r>
    </w:p>
    <w:p w14:paraId="2289963C" w14:textId="0348A8FE" w:rsidR="00B94E90" w:rsidRPr="00B94E90" w:rsidRDefault="00B94E90" w:rsidP="00B94E90">
      <w:pPr>
        <w:pStyle w:val="ListBullet"/>
      </w:pPr>
      <w:r w:rsidRPr="00B94E90">
        <w:t xml:space="preserve">clearer leadership and oversight </w:t>
      </w:r>
      <w:r w:rsidR="00F354BA">
        <w:t>of</w:t>
      </w:r>
      <w:r w:rsidRPr="00B94E90">
        <w:t xml:space="preserve"> </w:t>
      </w:r>
      <w:proofErr w:type="spellStart"/>
      <w:r w:rsidRPr="00B94E90">
        <w:t>CER</w:t>
      </w:r>
      <w:proofErr w:type="spellEnd"/>
    </w:p>
    <w:p w14:paraId="2289963D" w14:textId="6FECB6CB" w:rsidR="00D07D0F" w:rsidRPr="00B94E90" w:rsidRDefault="00D07D0F" w:rsidP="00D07D0F">
      <w:pPr>
        <w:pStyle w:val="ListBullet"/>
      </w:pPr>
      <w:r>
        <w:t xml:space="preserve">regulatory proposals at the national level </w:t>
      </w:r>
      <w:r w:rsidR="00D17B06">
        <w:t xml:space="preserve">should </w:t>
      </w:r>
      <w:r>
        <w:t xml:space="preserve">consider opportunities for trans-Tasman collaboration that would lower costs and deliver benefits </w:t>
      </w:r>
    </w:p>
    <w:p w14:paraId="2289963E" w14:textId="54BAD6A1" w:rsidR="00B94E90" w:rsidRPr="00B94E90" w:rsidRDefault="00D17B06" w:rsidP="00B94E90">
      <w:pPr>
        <w:pStyle w:val="ListBullet"/>
      </w:pPr>
      <w:r>
        <w:t xml:space="preserve">coordinated </w:t>
      </w:r>
      <w:r w:rsidR="00B94E90" w:rsidRPr="00B94E90">
        <w:t xml:space="preserve">action </w:t>
      </w:r>
      <w:r w:rsidR="00F54224">
        <w:t xml:space="preserve">in the pursuit of </w:t>
      </w:r>
      <w:r w:rsidR="00921133">
        <w:t xml:space="preserve">beneficial </w:t>
      </w:r>
      <w:r w:rsidR="00B94E90" w:rsidRPr="00B94E90">
        <w:t>regional and multilateral integration, and greater leverage in global rule making and standard setting</w:t>
      </w:r>
    </w:p>
    <w:p w14:paraId="2289963F" w14:textId="77777777" w:rsidR="00B94E90" w:rsidRPr="00B94E90" w:rsidRDefault="00B94E90" w:rsidP="00B94E90">
      <w:pPr>
        <w:pStyle w:val="ListBullet"/>
      </w:pPr>
      <w:r w:rsidRPr="00B94E90">
        <w:t xml:space="preserve">five-yearly public reviews of </w:t>
      </w:r>
      <w:proofErr w:type="spellStart"/>
      <w:r w:rsidRPr="00B94E90">
        <w:t>CER’s</w:t>
      </w:r>
      <w:proofErr w:type="spellEnd"/>
      <w:r w:rsidRPr="00B94E90">
        <w:t xml:space="preserve"> direction and achievements.</w:t>
      </w:r>
    </w:p>
    <w:p w14:paraId="22899640" w14:textId="73674627" w:rsidR="00B94E90" w:rsidRPr="00B94E90" w:rsidRDefault="00193CC7" w:rsidP="00B94E90">
      <w:pPr>
        <w:pStyle w:val="Heading3"/>
      </w:pPr>
      <w:r>
        <w:t>C</w:t>
      </w:r>
      <w:r w:rsidR="00B94E90" w:rsidRPr="00B94E90">
        <w:t xml:space="preserve">learer leadership and oversight </w:t>
      </w:r>
      <w:r>
        <w:t>of</w:t>
      </w:r>
      <w:r w:rsidR="00B94E90" w:rsidRPr="00B94E90">
        <w:t xml:space="preserve"> </w:t>
      </w:r>
      <w:proofErr w:type="spellStart"/>
      <w:r w:rsidR="00B94E90" w:rsidRPr="00B94E90">
        <w:t>CER</w:t>
      </w:r>
      <w:proofErr w:type="spellEnd"/>
    </w:p>
    <w:p w14:paraId="22899641" w14:textId="77777777" w:rsidR="00B94E90" w:rsidRPr="00B94E90" w:rsidRDefault="00E9037A" w:rsidP="00B94E90">
      <w:pPr>
        <w:pStyle w:val="BodyText"/>
      </w:pPr>
      <w:r>
        <w:t>The</w:t>
      </w:r>
      <w:r w:rsidR="00B94E90" w:rsidRPr="00B94E90">
        <w:t xml:space="preserve"> current decentralised model of </w:t>
      </w:r>
      <w:proofErr w:type="spellStart"/>
      <w:r w:rsidR="00B94E90" w:rsidRPr="00B94E90">
        <w:t>CER</w:t>
      </w:r>
      <w:proofErr w:type="spellEnd"/>
      <w:r w:rsidR="00B94E90" w:rsidRPr="00B94E90">
        <w:t xml:space="preserve"> governance </w:t>
      </w:r>
      <w:r>
        <w:t>risks</w:t>
      </w:r>
      <w:r w:rsidR="00B94E90" w:rsidRPr="00B94E90">
        <w:t xml:space="preserve"> fragment</w:t>
      </w:r>
      <w:r>
        <w:t>ing</w:t>
      </w:r>
      <w:r w:rsidR="00B94E90" w:rsidRPr="00B94E90">
        <w:t xml:space="preserve"> the integration agenda </w:t>
      </w:r>
      <w:r w:rsidR="00BA55F2">
        <w:t xml:space="preserve">leading to lapses in </w:t>
      </w:r>
      <w:r w:rsidR="00B94E90" w:rsidRPr="00B94E90">
        <w:t>continuity</w:t>
      </w:r>
      <w:r w:rsidR="00BA55F2">
        <w:t xml:space="preserve"> and direction</w:t>
      </w:r>
      <w:r w:rsidR="00B94E90" w:rsidRPr="00B94E90">
        <w:t xml:space="preserve">. </w:t>
      </w:r>
      <w:r>
        <w:t>P</w:t>
      </w:r>
      <w:r w:rsidR="00B94E90" w:rsidRPr="00B94E90">
        <w:t xml:space="preserve">olicy areas and associated governance arrangements are diverse. </w:t>
      </w:r>
      <w:r>
        <w:t>No</w:t>
      </w:r>
      <w:r w:rsidR="00B94E90" w:rsidRPr="00B94E90">
        <w:t xml:space="preserve"> single minister or agency</w:t>
      </w:r>
      <w:r>
        <w:t xml:space="preserve"> is</w:t>
      </w:r>
      <w:r w:rsidR="00B94E90" w:rsidRPr="00B94E90">
        <w:t xml:space="preserve"> responsible for setting the overall agenda, overseeing the relationship</w:t>
      </w:r>
      <w:r>
        <w:t>,</w:t>
      </w:r>
      <w:r w:rsidR="00B94E90" w:rsidRPr="00B94E90">
        <w:t xml:space="preserve"> and monitoring progress and performance.</w:t>
      </w:r>
    </w:p>
    <w:p w14:paraId="22899642" w14:textId="6A67E720" w:rsidR="00B94E90" w:rsidRDefault="00B94E90" w:rsidP="00B94E90">
      <w:pPr>
        <w:pStyle w:val="BodyText"/>
      </w:pPr>
      <w:proofErr w:type="spellStart"/>
      <w:r w:rsidRPr="00B94E90">
        <w:t>TTOIG</w:t>
      </w:r>
      <w:proofErr w:type="spellEnd"/>
      <w:r w:rsidRPr="00B94E90">
        <w:t xml:space="preserve"> comes closest to </w:t>
      </w:r>
      <w:r w:rsidR="00E9037A">
        <w:t>performing</w:t>
      </w:r>
      <w:r w:rsidR="00E9037A" w:rsidRPr="00B94E90">
        <w:t xml:space="preserve"> </w:t>
      </w:r>
      <w:r w:rsidR="00F54224">
        <w:t>an</w:t>
      </w:r>
      <w:r w:rsidRPr="00B94E90">
        <w:t xml:space="preserve"> oversight role. However, </w:t>
      </w:r>
      <w:proofErr w:type="spellStart"/>
      <w:r w:rsidRPr="00B94E90">
        <w:t>TTOIG</w:t>
      </w:r>
      <w:proofErr w:type="spellEnd"/>
      <w:r w:rsidRPr="00B94E90">
        <w:t xml:space="preserve"> focuses on a program of business law reform which is due to be completed in 2014. In addition, </w:t>
      </w:r>
      <w:proofErr w:type="spellStart"/>
      <w:r w:rsidR="00E9037A" w:rsidRPr="00B94E90">
        <w:t>TTOIG</w:t>
      </w:r>
      <w:r w:rsidR="005E62FE">
        <w:t>’s</w:t>
      </w:r>
      <w:proofErr w:type="spellEnd"/>
      <w:r w:rsidR="00E9037A" w:rsidRPr="00B94E90">
        <w:t xml:space="preserve"> co-chairs are senior officials in the departments with direct responsibility for delivery of most of the outcomes (the New Zealand Ministry of Business, Innovation and Employment and the Australian Treasury).</w:t>
      </w:r>
      <w:r w:rsidR="00E9037A">
        <w:t xml:space="preserve"> This has been important in facilitating</w:t>
      </w:r>
      <w:r w:rsidRPr="00B94E90">
        <w:t xml:space="preserve"> good progress </w:t>
      </w:r>
      <w:r w:rsidR="00AB2370">
        <w:t>towards</w:t>
      </w:r>
      <w:r w:rsidRPr="00B94E90">
        <w:t xml:space="preserve"> </w:t>
      </w:r>
      <w:r w:rsidR="00193CC7">
        <w:t xml:space="preserve">these </w:t>
      </w:r>
      <w:r w:rsidRPr="00B94E90">
        <w:t>outcomes</w:t>
      </w:r>
      <w:r w:rsidR="00E9037A">
        <w:t>.</w:t>
      </w:r>
    </w:p>
    <w:p w14:paraId="3043995B" w14:textId="50497E04" w:rsidR="005E62FE" w:rsidRDefault="00102877" w:rsidP="00B94E90">
      <w:pPr>
        <w:pStyle w:val="BodyText"/>
      </w:pPr>
      <w:r>
        <w:lastRenderedPageBreak/>
        <w:t xml:space="preserve">The ACTU and </w:t>
      </w:r>
      <w:proofErr w:type="spellStart"/>
      <w:r>
        <w:t>NZCTU</w:t>
      </w:r>
      <w:proofErr w:type="spellEnd"/>
      <w:r>
        <w:t xml:space="preserve"> </w:t>
      </w:r>
      <w:r w:rsidR="005E62FE">
        <w:t>see merit in</w:t>
      </w:r>
      <w:r>
        <w:t xml:space="preserve"> a more representative </w:t>
      </w:r>
      <w:r w:rsidR="00F96D37">
        <w:t>oversight body (sub. </w:t>
      </w:r>
      <w:proofErr w:type="spellStart"/>
      <w:r w:rsidR="00F96D37">
        <w:t>DR118</w:t>
      </w:r>
      <w:proofErr w:type="spellEnd"/>
      <w:r w:rsidR="002F3395">
        <w:t>)</w:t>
      </w:r>
      <w:r w:rsidR="005E62FE">
        <w:t>:</w:t>
      </w:r>
    </w:p>
    <w:p w14:paraId="71EA1AE4" w14:textId="3C819B83" w:rsidR="00102877" w:rsidRPr="00360122" w:rsidRDefault="00102877" w:rsidP="00360122">
      <w:pPr>
        <w:pStyle w:val="Quote"/>
        <w:rPr>
          <w:sz w:val="22"/>
          <w:szCs w:val="22"/>
        </w:rPr>
      </w:pPr>
      <w:r w:rsidRPr="00360122">
        <w:rPr>
          <w:sz w:val="22"/>
          <w:szCs w:val="22"/>
        </w:rPr>
        <w:t>The Trans-Tasman Outcomes Implementation Group is too narrowly constituted to oversight changes affecting the welfare of citizens of both countries</w:t>
      </w:r>
      <w:r w:rsidR="00861087" w:rsidRPr="00360122">
        <w:rPr>
          <w:sz w:val="22"/>
          <w:szCs w:val="22"/>
        </w:rPr>
        <w:t>.</w:t>
      </w:r>
      <w:r w:rsidRPr="00360122">
        <w:rPr>
          <w:sz w:val="22"/>
          <w:szCs w:val="22"/>
        </w:rPr>
        <w:t xml:space="preserve"> … We call for establishment of a broadly representative oversight body in which unions and non-government organisations are recognised with a place at the table.</w:t>
      </w:r>
      <w:r w:rsidR="005E62FE" w:rsidRPr="00360122">
        <w:rPr>
          <w:sz w:val="22"/>
          <w:szCs w:val="22"/>
        </w:rPr>
        <w:t xml:space="preserve"> (p. 25)</w:t>
      </w:r>
    </w:p>
    <w:p w14:paraId="22899643" w14:textId="1E664F3F" w:rsidR="00B94E90" w:rsidRPr="00B94E90" w:rsidRDefault="00AB2370" w:rsidP="00B94E90">
      <w:pPr>
        <w:pStyle w:val="BodyText"/>
      </w:pPr>
      <w:r>
        <w:t>L</w:t>
      </w:r>
      <w:r w:rsidR="00B94E90" w:rsidRPr="00B94E90">
        <w:t xml:space="preserve">eadership and oversight </w:t>
      </w:r>
      <w:r>
        <w:t xml:space="preserve">of </w:t>
      </w:r>
      <w:r w:rsidR="00B94E90" w:rsidRPr="00B94E90">
        <w:t xml:space="preserve">the </w:t>
      </w:r>
      <w:proofErr w:type="spellStart"/>
      <w:r w:rsidR="00B94E90" w:rsidRPr="00B94E90">
        <w:t>CER</w:t>
      </w:r>
      <w:proofErr w:type="spellEnd"/>
      <w:r w:rsidR="00B94E90" w:rsidRPr="00B94E90">
        <w:t xml:space="preserve"> agenda as a whole could usefully encompass responsibility for setting direction and priorities, communication of key messages, monitoring progress, and holding officials to account. </w:t>
      </w:r>
      <w:r>
        <w:t xml:space="preserve">These </w:t>
      </w:r>
      <w:r w:rsidR="00B94E90" w:rsidRPr="00B94E90">
        <w:t xml:space="preserve">would arguably enhance the profile and momentum of </w:t>
      </w:r>
      <w:proofErr w:type="spellStart"/>
      <w:r w:rsidR="00B94E90" w:rsidRPr="00B94E90">
        <w:t>CER</w:t>
      </w:r>
      <w:proofErr w:type="spellEnd"/>
      <w:r w:rsidR="00FC6E50">
        <w:t>, better guide</w:t>
      </w:r>
      <w:r w:rsidR="00B94E90" w:rsidRPr="00B94E90">
        <w:t xml:space="preserve"> </w:t>
      </w:r>
      <w:r w:rsidR="00FC6E50">
        <w:t xml:space="preserve">its </w:t>
      </w:r>
      <w:r w:rsidR="00943442">
        <w:t>future ‘direction of travel’</w:t>
      </w:r>
      <w:r w:rsidR="006C6B2E">
        <w:t xml:space="preserve"> (see Finding 2.1)</w:t>
      </w:r>
      <w:r w:rsidR="00FC6E50">
        <w:t xml:space="preserve">, and </w:t>
      </w:r>
      <w:r w:rsidR="00FC6E50" w:rsidRPr="00FC6E50">
        <w:t xml:space="preserve">quickly and effectively identify and address </w:t>
      </w:r>
      <w:r w:rsidR="00FC6E50">
        <w:t xml:space="preserve">issues </w:t>
      </w:r>
      <w:r w:rsidR="00FC6E50" w:rsidRPr="00FC6E50">
        <w:t>as they arise</w:t>
      </w:r>
      <w:r w:rsidR="00B94E90" w:rsidRPr="00B94E90">
        <w:t xml:space="preserve">. But </w:t>
      </w:r>
      <w:r>
        <w:t>the</w:t>
      </w:r>
      <w:r w:rsidR="00B94E90" w:rsidRPr="00B94E90">
        <w:t xml:space="preserve"> benefits would need to be weighed against the </w:t>
      </w:r>
      <w:r w:rsidR="00193CC7">
        <w:t xml:space="preserve">costs </w:t>
      </w:r>
      <w:r w:rsidR="00B94E90" w:rsidRPr="00B94E90">
        <w:t>of additional bureaucracy.</w:t>
      </w:r>
    </w:p>
    <w:p w14:paraId="22899644" w14:textId="16F9105C" w:rsidR="00B94E90" w:rsidRDefault="00943442" w:rsidP="00B94E90">
      <w:pPr>
        <w:pStyle w:val="BodyText"/>
      </w:pPr>
      <w:r>
        <w:t>C</w:t>
      </w:r>
      <w:r w:rsidR="005A1F35">
        <w:t xml:space="preserve">hange </w:t>
      </w:r>
      <w:r w:rsidR="00B94E90" w:rsidRPr="00B94E90">
        <w:t xml:space="preserve">could be realised in different ways. </w:t>
      </w:r>
      <w:r w:rsidR="00E9037A">
        <w:t>Possibilities</w:t>
      </w:r>
      <w:r w:rsidR="00E9037A" w:rsidRPr="00B94E90">
        <w:t xml:space="preserve"> </w:t>
      </w:r>
      <w:r w:rsidR="00B94E90" w:rsidRPr="00B94E90">
        <w:t xml:space="preserve">include having a senior Minister in each country with overall responsibility for </w:t>
      </w:r>
      <w:proofErr w:type="spellStart"/>
      <w:r w:rsidR="00B94E90" w:rsidRPr="00B94E90">
        <w:t>CER</w:t>
      </w:r>
      <w:proofErr w:type="spellEnd"/>
      <w:r w:rsidR="00B94E90" w:rsidRPr="00B94E90">
        <w:t xml:space="preserve">, </w:t>
      </w:r>
      <w:r w:rsidR="00935E8F">
        <w:t xml:space="preserve">an enhanced role for the annual </w:t>
      </w:r>
      <w:proofErr w:type="spellStart"/>
      <w:r w:rsidR="00935E8F">
        <w:t>CER</w:t>
      </w:r>
      <w:proofErr w:type="spellEnd"/>
      <w:r w:rsidR="00935E8F">
        <w:t xml:space="preserve"> Ministerial Forum</w:t>
      </w:r>
      <w:r w:rsidR="005A1F35">
        <w:t>, or a partnership between government and non-government organisations.</w:t>
      </w:r>
      <w:r w:rsidR="00935E8F">
        <w:t xml:space="preserve"> </w:t>
      </w:r>
      <w:r w:rsidR="00E9037A">
        <w:t>A</w:t>
      </w:r>
      <w:r w:rsidR="00B94E90" w:rsidRPr="00B94E90">
        <w:t xml:space="preserve"> surer way forward would be to build stronger administrative support for the annual meetings that already take place at the highest political levels — between the two Prime Ministers</w:t>
      </w:r>
      <w:r w:rsidR="00935E8F">
        <w:t>,</w:t>
      </w:r>
      <w:r w:rsidR="00B94E90" w:rsidRPr="00B94E90">
        <w:t xml:space="preserve"> between the Treasurer (Australia) and the Minister of Finance (New Zealand)</w:t>
      </w:r>
      <w:r w:rsidR="00935E8F">
        <w:t xml:space="preserve">, and </w:t>
      </w:r>
      <w:r w:rsidR="00193CC7">
        <w:t xml:space="preserve">at </w:t>
      </w:r>
      <w:r w:rsidR="00935E8F">
        <w:t xml:space="preserve">the </w:t>
      </w:r>
      <w:proofErr w:type="spellStart"/>
      <w:r w:rsidR="00935E8F">
        <w:t>CER</w:t>
      </w:r>
      <w:proofErr w:type="spellEnd"/>
      <w:r w:rsidR="00935E8F">
        <w:t xml:space="preserve"> Ministerial Forum</w:t>
      </w:r>
      <w:r w:rsidR="00B94E90" w:rsidRPr="00B94E90">
        <w:t>.</w:t>
      </w:r>
    </w:p>
    <w:p w14:paraId="22899645" w14:textId="37012E0E" w:rsidR="00B94E90" w:rsidRPr="00B94E90" w:rsidRDefault="00B94E90" w:rsidP="00B94E90">
      <w:pPr>
        <w:pStyle w:val="BodyText"/>
      </w:pPr>
      <w:r w:rsidRPr="00B94E90">
        <w:t xml:space="preserve">For this purpose, a group of </w:t>
      </w:r>
      <w:r w:rsidR="00861087">
        <w:t>senior</w:t>
      </w:r>
      <w:r w:rsidR="00BB4604">
        <w:t>,</w:t>
      </w:r>
      <w:r w:rsidR="00861087">
        <w:t xml:space="preserve"> trans-Tasman </w:t>
      </w:r>
      <w:r w:rsidRPr="00B94E90">
        <w:t xml:space="preserve">officials could be designated </w:t>
      </w:r>
      <w:r w:rsidR="00E9037A">
        <w:t>to</w:t>
      </w:r>
      <w:r w:rsidRPr="00B94E90">
        <w:t>:</w:t>
      </w:r>
    </w:p>
    <w:p w14:paraId="22899646" w14:textId="77777777" w:rsidR="00B94E90" w:rsidRDefault="00B94E90" w:rsidP="00B94E90">
      <w:pPr>
        <w:pStyle w:val="ListBullet"/>
      </w:pPr>
      <w:r>
        <w:t xml:space="preserve">operate along the lines of </w:t>
      </w:r>
      <w:proofErr w:type="spellStart"/>
      <w:r>
        <w:t>TTOIG</w:t>
      </w:r>
      <w:proofErr w:type="spellEnd"/>
      <w:r>
        <w:t xml:space="preserve">, but have coverage of all </w:t>
      </w:r>
      <w:proofErr w:type="spellStart"/>
      <w:r>
        <w:t>CER</w:t>
      </w:r>
      <w:proofErr w:type="spellEnd"/>
      <w:r>
        <w:t xml:space="preserve"> issues</w:t>
      </w:r>
    </w:p>
    <w:p w14:paraId="22899647" w14:textId="77777777" w:rsidR="00B94E90" w:rsidRDefault="00B94E90" w:rsidP="00B94E90">
      <w:pPr>
        <w:pStyle w:val="ListBullet"/>
      </w:pPr>
      <w:r>
        <w:t xml:space="preserve">continue and broaden </w:t>
      </w:r>
      <w:proofErr w:type="spellStart"/>
      <w:r>
        <w:t>TTOIG’s</w:t>
      </w:r>
      <w:proofErr w:type="spellEnd"/>
      <w:r>
        <w:t xml:space="preserve"> existing monitoring function</w:t>
      </w:r>
    </w:p>
    <w:p w14:paraId="30052669" w14:textId="3459457F" w:rsidR="00B77F8C" w:rsidRDefault="00B94E90" w:rsidP="00B94E90">
      <w:pPr>
        <w:pStyle w:val="ListBullet"/>
      </w:pPr>
      <w:r>
        <w:t xml:space="preserve">improve continuity of institutional knowledge about </w:t>
      </w:r>
      <w:proofErr w:type="spellStart"/>
      <w:r>
        <w:t>CER</w:t>
      </w:r>
      <w:proofErr w:type="spellEnd"/>
    </w:p>
    <w:p w14:paraId="2B768CBA" w14:textId="334A9C64" w:rsidR="00F23CE9" w:rsidRDefault="00B77F8C" w:rsidP="00F23CE9">
      <w:pPr>
        <w:pStyle w:val="ListBullet"/>
      </w:pPr>
      <w:r>
        <w:t xml:space="preserve">provide </w:t>
      </w:r>
      <w:r w:rsidR="00B94E90">
        <w:t xml:space="preserve">foresight about </w:t>
      </w:r>
      <w:r w:rsidR="00F54224">
        <w:t xml:space="preserve">future </w:t>
      </w:r>
      <w:r w:rsidR="00B94E90">
        <w:t>opportunities and challenges.</w:t>
      </w:r>
    </w:p>
    <w:p w14:paraId="16257B8B" w14:textId="1B2DA112" w:rsidR="00BB4604" w:rsidRDefault="00BB4604" w:rsidP="005C7BB3">
      <w:pPr>
        <w:pStyle w:val="BodyText"/>
      </w:pPr>
      <w:r>
        <w:t xml:space="preserve">The core membership of the group would likely come from </w:t>
      </w:r>
      <w:r w:rsidR="00445D87">
        <w:t xml:space="preserve">the </w:t>
      </w:r>
      <w:r w:rsidR="00157338">
        <w:t xml:space="preserve">departments of </w:t>
      </w:r>
      <w:r w:rsidR="00445D87">
        <w:t xml:space="preserve">prime minister and cabinet, </w:t>
      </w:r>
      <w:r w:rsidR="00157338">
        <w:t xml:space="preserve">treasury, </w:t>
      </w:r>
      <w:r w:rsidR="00445D87">
        <w:t>foreign affairs and business in each country</w:t>
      </w:r>
      <w:r w:rsidR="00157338">
        <w:t>,</w:t>
      </w:r>
      <w:r w:rsidR="00445D87">
        <w:t xml:space="preserve"> with others </w:t>
      </w:r>
      <w:r w:rsidR="00771ED5">
        <w:t xml:space="preserve">involved </w:t>
      </w:r>
      <w:r w:rsidR="00445D87">
        <w:t>according to agenda priorities</w:t>
      </w:r>
      <w:r w:rsidR="00444781">
        <w:t>,</w:t>
      </w:r>
      <w:r w:rsidR="00445D87">
        <w:t xml:space="preserve"> for example from social welfare or border</w:t>
      </w:r>
      <w:r w:rsidR="00157338">
        <w:t>-</w:t>
      </w:r>
      <w:r w:rsidR="00445D87">
        <w:t>control agencies.</w:t>
      </w:r>
    </w:p>
    <w:p w14:paraId="3FAF5DE4" w14:textId="2C5ECCB8" w:rsidR="00F23CE9" w:rsidRDefault="00F23CE9" w:rsidP="005C7BB3">
      <w:pPr>
        <w:pStyle w:val="BodyText"/>
      </w:pPr>
      <w:r>
        <w:t xml:space="preserve">This group’s responsibilities should include </w:t>
      </w:r>
      <w:r w:rsidR="005C7BB3">
        <w:t xml:space="preserve">monitoring </w:t>
      </w:r>
      <w:r>
        <w:t xml:space="preserve">issues relating to the </w:t>
      </w:r>
      <w:r w:rsidR="00682B10" w:rsidRPr="00E91538">
        <w:t>common</w:t>
      </w:r>
      <w:r w:rsidR="00682B10">
        <w:t xml:space="preserve"> </w:t>
      </w:r>
      <w:r>
        <w:t xml:space="preserve">trans-Tasman </w:t>
      </w:r>
      <w:r w:rsidR="00682B10" w:rsidRPr="00E91538">
        <w:t>labour market and the associated</w:t>
      </w:r>
      <w:r w:rsidR="00682B10">
        <w:t xml:space="preserve"> </w:t>
      </w:r>
      <w:r w:rsidR="00861087">
        <w:t>movement of people</w:t>
      </w:r>
      <w:r w:rsidR="006E2FBB">
        <w:t xml:space="preserve">. </w:t>
      </w:r>
      <w:r w:rsidR="00861087">
        <w:t xml:space="preserve">It is important to </w:t>
      </w:r>
      <w:r w:rsidR="006E2FBB">
        <w:t>promot</w:t>
      </w:r>
      <w:r w:rsidR="00861087">
        <w:t>e</w:t>
      </w:r>
      <w:r w:rsidR="006E2FBB">
        <w:t xml:space="preserve"> </w:t>
      </w:r>
      <w:r w:rsidR="00861087">
        <w:t xml:space="preserve">a </w:t>
      </w:r>
      <w:r w:rsidR="006E2FBB">
        <w:t xml:space="preserve">more integrated </w:t>
      </w:r>
      <w:r w:rsidR="00BB4604">
        <w:t xml:space="preserve">treatment </w:t>
      </w:r>
      <w:r w:rsidR="006E2FBB">
        <w:t xml:space="preserve">of </w:t>
      </w:r>
      <w:r w:rsidR="00BB4604">
        <w:t xml:space="preserve">the </w:t>
      </w:r>
      <w:r w:rsidR="006E2FBB">
        <w:t xml:space="preserve">various </w:t>
      </w:r>
      <w:r w:rsidR="00E91538">
        <w:t xml:space="preserve">problems that can arise with cross-border movement of workers and their families and </w:t>
      </w:r>
      <w:r w:rsidR="00943442">
        <w:t xml:space="preserve">which </w:t>
      </w:r>
      <w:r w:rsidR="00E91538">
        <w:t xml:space="preserve">can </w:t>
      </w:r>
      <w:r w:rsidR="006E2FBB">
        <w:t>impact on efficiency</w:t>
      </w:r>
      <w:r w:rsidR="00BB4604">
        <w:t>,</w:t>
      </w:r>
      <w:r w:rsidR="006E2FBB">
        <w:t xml:space="preserve"> fairness </w:t>
      </w:r>
      <w:r w:rsidR="00BB4604">
        <w:t>and sustainability</w:t>
      </w:r>
      <w:r w:rsidR="00682B10">
        <w:t>.</w:t>
      </w:r>
      <w:r w:rsidR="005C7BB3">
        <w:t xml:space="preserve"> </w:t>
      </w:r>
      <w:r w:rsidR="005C7BB3" w:rsidRPr="005C7BB3">
        <w:t xml:space="preserve">The issues currently include </w:t>
      </w:r>
      <w:r w:rsidR="005C7BB3" w:rsidRPr="005C7BB3">
        <w:lastRenderedPageBreak/>
        <w:t>pathways to citizenship, eligibility for some forms of state support and the interplay of tax obligations and access to benefits (see section 4.5).</w:t>
      </w:r>
    </w:p>
    <w:p w14:paraId="22899649" w14:textId="77777777" w:rsidR="00B94E90" w:rsidRPr="00AE3DEF" w:rsidRDefault="00B94E90" w:rsidP="00823369">
      <w:pPr>
        <w:pStyle w:val="BoxSpace"/>
        <w:keepLines/>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B94E90" w:rsidRPr="00253B80" w14:paraId="2289964E" w14:textId="77777777" w:rsidTr="002F7E76">
        <w:trPr>
          <w:trHeight w:val="64"/>
        </w:trPr>
        <w:tc>
          <w:tcPr>
            <w:tcW w:w="236" w:type="dxa"/>
            <w:shd w:val="clear" w:color="auto" w:fill="ECECEC"/>
          </w:tcPr>
          <w:p w14:paraId="2289964A" w14:textId="77777777" w:rsidR="00B94E90" w:rsidRPr="00253B80" w:rsidRDefault="00B94E90" w:rsidP="00823369">
            <w:pPr>
              <w:pStyle w:val="BodyText"/>
              <w:keepNext/>
              <w:keepLines/>
              <w:spacing w:before="0" w:line="0" w:lineRule="atLeast"/>
              <w:rPr>
                <w:sz w:val="10"/>
                <w:szCs w:val="10"/>
              </w:rPr>
            </w:pPr>
          </w:p>
        </w:tc>
        <w:tc>
          <w:tcPr>
            <w:tcW w:w="1077" w:type="dxa"/>
            <w:shd w:val="clear" w:color="auto" w:fill="ECECEC"/>
          </w:tcPr>
          <w:p w14:paraId="2289964B" w14:textId="77777777" w:rsidR="00B94E90" w:rsidRPr="00253B80" w:rsidRDefault="00B94E90" w:rsidP="00823369">
            <w:pPr>
              <w:pStyle w:val="BodyText"/>
              <w:keepNext/>
              <w:keepLines/>
              <w:spacing w:before="0" w:line="0" w:lineRule="atLeast"/>
              <w:rPr>
                <w:sz w:val="10"/>
                <w:szCs w:val="10"/>
              </w:rPr>
            </w:pPr>
          </w:p>
        </w:tc>
        <w:tc>
          <w:tcPr>
            <w:tcW w:w="236" w:type="dxa"/>
            <w:shd w:val="clear" w:color="auto" w:fill="ECECEC"/>
          </w:tcPr>
          <w:p w14:paraId="2289964C" w14:textId="77777777" w:rsidR="00B94E90" w:rsidRPr="00253B80" w:rsidRDefault="00B94E90" w:rsidP="00823369">
            <w:pPr>
              <w:pStyle w:val="BodyText"/>
              <w:keepNext/>
              <w:keepLines/>
              <w:spacing w:before="0" w:line="0" w:lineRule="atLeast"/>
              <w:rPr>
                <w:sz w:val="10"/>
                <w:szCs w:val="10"/>
              </w:rPr>
            </w:pPr>
          </w:p>
        </w:tc>
        <w:tc>
          <w:tcPr>
            <w:tcW w:w="7184" w:type="dxa"/>
            <w:shd w:val="clear" w:color="auto" w:fill="ECECEC"/>
          </w:tcPr>
          <w:p w14:paraId="2289964D" w14:textId="77777777" w:rsidR="00B94E90" w:rsidRPr="00253B80" w:rsidRDefault="00B94E90" w:rsidP="00823369">
            <w:pPr>
              <w:pStyle w:val="BodyText"/>
              <w:keepNext/>
              <w:keepLines/>
              <w:spacing w:before="0" w:line="0" w:lineRule="atLeast"/>
              <w:rPr>
                <w:sz w:val="10"/>
                <w:szCs w:val="10"/>
              </w:rPr>
            </w:pPr>
          </w:p>
        </w:tc>
      </w:tr>
      <w:tr w:rsidR="00B94E90" w:rsidRPr="00253B80" w14:paraId="22899653" w14:textId="77777777" w:rsidTr="002F7E76">
        <w:tc>
          <w:tcPr>
            <w:tcW w:w="236" w:type="dxa"/>
            <w:shd w:val="clear" w:color="auto" w:fill="ECECEC"/>
          </w:tcPr>
          <w:p w14:paraId="2289964F" w14:textId="77777777" w:rsidR="00B94E90" w:rsidRPr="00253B80" w:rsidRDefault="00B94E90" w:rsidP="00823369">
            <w:pPr>
              <w:pStyle w:val="BodyText"/>
              <w:keepNext/>
              <w:keepLines/>
              <w:rPr>
                <w:sz w:val="10"/>
                <w:szCs w:val="10"/>
              </w:rPr>
            </w:pPr>
          </w:p>
        </w:tc>
        <w:tc>
          <w:tcPr>
            <w:tcW w:w="1077" w:type="dxa"/>
            <w:shd w:val="clear" w:color="auto" w:fill="86A20B"/>
            <w:vAlign w:val="center"/>
          </w:tcPr>
          <w:p w14:paraId="22899650" w14:textId="5FCBE650" w:rsidR="00B94E90" w:rsidRPr="008A3EAA" w:rsidRDefault="00B94E90" w:rsidP="00823369">
            <w:pPr>
              <w:pStyle w:val="Box"/>
              <w:keepLines/>
              <w:spacing w:before="0"/>
              <w:ind w:left="-102" w:firstLine="102"/>
              <w:jc w:val="center"/>
              <w:rPr>
                <w:b/>
                <w:color w:val="FFFFFF" w:themeColor="background1"/>
                <w:sz w:val="28"/>
                <w:szCs w:val="28"/>
              </w:rPr>
            </w:pPr>
            <w:proofErr w:type="spellStart"/>
            <w:r w:rsidRPr="008A3EAA">
              <w:rPr>
                <w:b/>
                <w:color w:val="FFFFFF" w:themeColor="background1"/>
                <w:sz w:val="28"/>
                <w:szCs w:val="28"/>
              </w:rPr>
              <w:t>R</w:t>
            </w:r>
            <w:r w:rsidRPr="008A3EAA">
              <w:rPr>
                <w:b/>
                <w:color w:val="FFFFFF" w:themeColor="background1"/>
                <w:sz w:val="28"/>
                <w:szCs w:val="28"/>
              </w:rPr>
              <w:fldChar w:fldCharType="begin"/>
            </w:r>
            <w:r w:rsidRPr="008A3EAA">
              <w:rPr>
                <w:b/>
                <w:color w:val="FFFFFF" w:themeColor="background1"/>
                <w:sz w:val="28"/>
                <w:szCs w:val="28"/>
              </w:rPr>
              <w:instrText xml:space="preserve"> COMMENTS  \* MERGEFORMAT </w:instrText>
            </w:r>
            <w:r w:rsidRPr="008A3EAA">
              <w:rPr>
                <w:b/>
                <w:color w:val="FFFFFF" w:themeColor="background1"/>
                <w:sz w:val="28"/>
                <w:szCs w:val="28"/>
              </w:rPr>
              <w:fldChar w:fldCharType="separate"/>
            </w:r>
            <w:r w:rsidRPr="008A3EAA">
              <w:rPr>
                <w:b/>
                <w:color w:val="FFFFFF" w:themeColor="background1"/>
                <w:sz w:val="28"/>
                <w:szCs w:val="28"/>
              </w:rPr>
              <w:t>5.</w:t>
            </w:r>
            <w:r w:rsidRPr="008A3EAA">
              <w:rPr>
                <w:b/>
                <w:color w:val="FFFFFF" w:themeColor="background1"/>
                <w:sz w:val="28"/>
                <w:szCs w:val="28"/>
              </w:rPr>
              <w:fldChar w:fldCharType="end"/>
            </w:r>
            <w:r w:rsidRPr="008A3EAA">
              <w:rPr>
                <w:b/>
                <w:color w:val="FFFFFF" w:themeColor="background1"/>
                <w:sz w:val="28"/>
                <w:szCs w:val="28"/>
              </w:rPr>
              <w:fldChar w:fldCharType="begin"/>
            </w:r>
            <w:r w:rsidRPr="008A3EAA">
              <w:rPr>
                <w:b/>
                <w:color w:val="FFFFFF" w:themeColor="background1"/>
                <w:sz w:val="28"/>
                <w:szCs w:val="28"/>
              </w:rPr>
              <w:instrText xml:space="preserve"> SEQ Recommendations \* ARABIC \* MERGEFORMAT </w:instrText>
            </w:r>
            <w:r w:rsidRPr="008A3EAA">
              <w:rPr>
                <w:b/>
                <w:color w:val="FFFFFF" w:themeColor="background1"/>
                <w:sz w:val="28"/>
                <w:szCs w:val="28"/>
              </w:rPr>
              <w:fldChar w:fldCharType="separate"/>
            </w:r>
            <w:r w:rsidR="00BC59D5">
              <w:rPr>
                <w:b/>
                <w:noProof/>
                <w:color w:val="FFFFFF" w:themeColor="background1"/>
                <w:sz w:val="28"/>
                <w:szCs w:val="28"/>
              </w:rPr>
              <w:t>1</w:t>
            </w:r>
            <w:proofErr w:type="spellEnd"/>
            <w:r w:rsidRPr="008A3EAA">
              <w:rPr>
                <w:b/>
                <w:color w:val="FFFFFF" w:themeColor="background1"/>
                <w:sz w:val="28"/>
                <w:szCs w:val="28"/>
              </w:rPr>
              <w:fldChar w:fldCharType="end"/>
            </w:r>
          </w:p>
        </w:tc>
        <w:tc>
          <w:tcPr>
            <w:tcW w:w="236" w:type="dxa"/>
            <w:shd w:val="clear" w:color="auto" w:fill="ECECEC"/>
          </w:tcPr>
          <w:p w14:paraId="22899651" w14:textId="77777777" w:rsidR="00B94E90" w:rsidRPr="00253B80" w:rsidRDefault="00B94E90" w:rsidP="00823369">
            <w:pPr>
              <w:pStyle w:val="BodyText"/>
              <w:keepNext/>
              <w:keepLines/>
              <w:rPr>
                <w:sz w:val="10"/>
                <w:szCs w:val="10"/>
              </w:rPr>
            </w:pPr>
          </w:p>
        </w:tc>
        <w:tc>
          <w:tcPr>
            <w:tcW w:w="7184" w:type="dxa"/>
            <w:vMerge w:val="restart"/>
            <w:shd w:val="clear" w:color="auto" w:fill="ECECEC"/>
          </w:tcPr>
          <w:p w14:paraId="22899652" w14:textId="3FD5D698" w:rsidR="00B94E90" w:rsidRPr="0080565B" w:rsidRDefault="00B94E90" w:rsidP="00823369">
            <w:pPr>
              <w:pStyle w:val="Rec"/>
              <w:keepNext/>
            </w:pPr>
            <w:r w:rsidRPr="00B94E90">
              <w:t xml:space="preserve">The Australian and New Zealand Governments should create clearer leadership and oversight </w:t>
            </w:r>
            <w:r w:rsidR="00B77F8C">
              <w:t xml:space="preserve">of </w:t>
            </w:r>
            <w:proofErr w:type="spellStart"/>
            <w:r w:rsidRPr="00B94E90">
              <w:t>CER</w:t>
            </w:r>
            <w:proofErr w:type="spellEnd"/>
            <w:r w:rsidRPr="00B94E90">
              <w:t xml:space="preserve">, </w:t>
            </w:r>
            <w:r w:rsidR="006E2FBB">
              <w:t xml:space="preserve">including of issues relating to </w:t>
            </w:r>
            <w:r w:rsidR="00443DB0">
              <w:t xml:space="preserve">the trans-Tasman labour market and associated </w:t>
            </w:r>
            <w:r w:rsidR="00445D87">
              <w:t>movement of people</w:t>
            </w:r>
            <w:r w:rsidR="006E2FBB">
              <w:t>. Th</w:t>
            </w:r>
            <w:r w:rsidR="00443DB0">
              <w:t>e enhanced leadership and oversight</w:t>
            </w:r>
            <w:r w:rsidR="00682B10">
              <w:t xml:space="preserve"> </w:t>
            </w:r>
            <w:r w:rsidR="006E2FBB">
              <w:t xml:space="preserve">should </w:t>
            </w:r>
            <w:r w:rsidRPr="00B94E90">
              <w:t>build on existing governance arrangements and the annual meeting</w:t>
            </w:r>
            <w:r w:rsidR="00B77F8C">
              <w:t>s</w:t>
            </w:r>
            <w:r w:rsidRPr="00B94E90">
              <w:t xml:space="preserve"> of Prime Ministers</w:t>
            </w:r>
            <w:r w:rsidR="00B77F8C">
              <w:t xml:space="preserve"> and other Ministers</w:t>
            </w:r>
            <w:r w:rsidRPr="00B94E90">
              <w:t>.</w:t>
            </w:r>
          </w:p>
        </w:tc>
      </w:tr>
      <w:tr w:rsidR="00B94E90" w:rsidRPr="00253B80" w14:paraId="22899658" w14:textId="77777777" w:rsidTr="002F7E76">
        <w:trPr>
          <w:trHeight w:val="64"/>
        </w:trPr>
        <w:tc>
          <w:tcPr>
            <w:tcW w:w="236" w:type="dxa"/>
            <w:shd w:val="clear" w:color="auto" w:fill="ECECEC"/>
          </w:tcPr>
          <w:p w14:paraId="22899654"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55"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56" w14:textId="77777777" w:rsidR="00B94E90" w:rsidRPr="00253B80" w:rsidRDefault="00B94E90" w:rsidP="002F7E76">
            <w:pPr>
              <w:pStyle w:val="BodyText"/>
              <w:spacing w:before="0" w:line="0" w:lineRule="atLeast"/>
              <w:rPr>
                <w:sz w:val="10"/>
                <w:szCs w:val="10"/>
              </w:rPr>
            </w:pPr>
          </w:p>
        </w:tc>
        <w:tc>
          <w:tcPr>
            <w:tcW w:w="7184" w:type="dxa"/>
            <w:vMerge/>
            <w:shd w:val="clear" w:color="auto" w:fill="ECECEC"/>
          </w:tcPr>
          <w:p w14:paraId="22899657" w14:textId="77777777" w:rsidR="00B94E90" w:rsidRPr="00253B80" w:rsidRDefault="00B94E90" w:rsidP="002F7E76">
            <w:pPr>
              <w:pStyle w:val="BodyText"/>
              <w:spacing w:before="0" w:line="0" w:lineRule="atLeast"/>
              <w:rPr>
                <w:sz w:val="10"/>
                <w:szCs w:val="10"/>
              </w:rPr>
            </w:pPr>
          </w:p>
        </w:tc>
      </w:tr>
      <w:tr w:rsidR="00B94E90" w:rsidRPr="00253B80" w14:paraId="2289965D" w14:textId="77777777" w:rsidTr="002F7E76">
        <w:tc>
          <w:tcPr>
            <w:tcW w:w="236" w:type="dxa"/>
            <w:shd w:val="clear" w:color="auto" w:fill="ECECEC"/>
          </w:tcPr>
          <w:p w14:paraId="22899659"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5A"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5B" w14:textId="77777777" w:rsidR="00B94E90" w:rsidRPr="00253B80" w:rsidRDefault="00B94E90" w:rsidP="002F7E76">
            <w:pPr>
              <w:pStyle w:val="BodyText"/>
              <w:spacing w:before="0" w:line="0" w:lineRule="atLeast"/>
              <w:rPr>
                <w:sz w:val="10"/>
                <w:szCs w:val="10"/>
              </w:rPr>
            </w:pPr>
          </w:p>
        </w:tc>
        <w:tc>
          <w:tcPr>
            <w:tcW w:w="7184" w:type="dxa"/>
            <w:shd w:val="clear" w:color="auto" w:fill="ECECEC"/>
          </w:tcPr>
          <w:p w14:paraId="2289965C" w14:textId="77777777" w:rsidR="00B94E90" w:rsidRPr="00253B80" w:rsidRDefault="00B94E90" w:rsidP="002F7E76">
            <w:pPr>
              <w:pStyle w:val="BodyText"/>
              <w:spacing w:before="0" w:line="0" w:lineRule="atLeast"/>
              <w:rPr>
                <w:sz w:val="10"/>
                <w:szCs w:val="10"/>
              </w:rPr>
            </w:pPr>
          </w:p>
        </w:tc>
      </w:tr>
    </w:tbl>
    <w:p w14:paraId="2289965E" w14:textId="77777777" w:rsidR="00B94E90" w:rsidRDefault="00B94E90" w:rsidP="00B94E90">
      <w:pPr>
        <w:pStyle w:val="Heading3"/>
      </w:pPr>
      <w:r>
        <w:t>Regulatory proposals should consider trans-Tasman implications</w:t>
      </w:r>
    </w:p>
    <w:p w14:paraId="2289965F" w14:textId="77777777" w:rsidR="00B94E90" w:rsidRDefault="00164243" w:rsidP="00B94E90">
      <w:pPr>
        <w:pStyle w:val="BodyText"/>
      </w:pPr>
      <w:r>
        <w:t xml:space="preserve">When </w:t>
      </w:r>
      <w:r w:rsidR="00B94E90">
        <w:t xml:space="preserve">either country is introducing new or modified regulations, the opportunity to design the changes in a way that lowers transaction costs for businesses and people operating across the Tasman could be overlooked. </w:t>
      </w:r>
      <w:r>
        <w:t xml:space="preserve">This is another risk of the current fragmented governance arrangements. </w:t>
      </w:r>
      <w:r w:rsidR="00B94E90">
        <w:t>Two examples where regulations differ, but could have been aligned, are internet copyright violations and film censorship classifications.</w:t>
      </w:r>
    </w:p>
    <w:p w14:paraId="22899660" w14:textId="2D48F50B" w:rsidR="00B94E90" w:rsidRDefault="00B94E90" w:rsidP="00B94E90">
      <w:pPr>
        <w:pStyle w:val="BodyText"/>
      </w:pPr>
      <w:r>
        <w:t>New areas of regulation at the national level constantly arise (for example ‘cyber bullying’, privacy laws</w:t>
      </w:r>
      <w:r w:rsidR="00B77F8C">
        <w:t xml:space="preserve"> relating to social media</w:t>
      </w:r>
      <w:r>
        <w:t xml:space="preserve">) and there could be gains from a </w:t>
      </w:r>
      <w:r w:rsidR="006B69A7">
        <w:t xml:space="preserve">more </w:t>
      </w:r>
      <w:r>
        <w:t>collaborative approach across the Tasman.</w:t>
      </w:r>
    </w:p>
    <w:p w14:paraId="22899661" w14:textId="54BDAAC8" w:rsidR="00B94E90" w:rsidRDefault="00B94E90" w:rsidP="00B94E90">
      <w:pPr>
        <w:pStyle w:val="BodyText"/>
      </w:pPr>
      <w:r>
        <w:t>Regulatory impact a</w:t>
      </w:r>
      <w:r w:rsidR="004F01DC">
        <w:t>nalysis</w:t>
      </w:r>
      <w:r>
        <w:t xml:space="preserve"> (</w:t>
      </w:r>
      <w:proofErr w:type="spellStart"/>
      <w:r>
        <w:t>RIA</w:t>
      </w:r>
      <w:proofErr w:type="spellEnd"/>
      <w:r>
        <w:t xml:space="preserve">) processes are well developed in each country and are required for all significant new regulations </w:t>
      </w:r>
      <w:r w:rsidR="00164243">
        <w:t xml:space="preserve">and </w:t>
      </w:r>
      <w:r>
        <w:t xml:space="preserve">modifications of existing ones. The </w:t>
      </w:r>
      <w:proofErr w:type="spellStart"/>
      <w:r>
        <w:t>RIA</w:t>
      </w:r>
      <w:proofErr w:type="spellEnd"/>
      <w:r>
        <w:t xml:space="preserve"> could be an appropriate point for the responsible government agencies to consider whether trans-Tasman</w:t>
      </w:r>
      <w:r w:rsidR="00164243">
        <w:t xml:space="preserve"> collaboration</w:t>
      </w:r>
      <w:r>
        <w:t xml:space="preserve"> </w:t>
      </w:r>
      <w:r w:rsidR="00D07E3E">
        <w:t xml:space="preserve">or alignment </w:t>
      </w:r>
      <w:r>
        <w:t xml:space="preserve">would bring tangible gains. </w:t>
      </w:r>
      <w:r w:rsidR="00164243">
        <w:t>T</w:t>
      </w:r>
      <w:r>
        <w:t>he choice among options would still need to be based on an overall cost-benefit test.</w:t>
      </w:r>
    </w:p>
    <w:p w14:paraId="6EFB9E14" w14:textId="7B5687E1" w:rsidR="00967505" w:rsidRDefault="00E26F01" w:rsidP="00B94E90">
      <w:pPr>
        <w:pStyle w:val="BodyText"/>
      </w:pPr>
      <w:r>
        <w:t>T</w:t>
      </w:r>
      <w:r w:rsidR="007E0903">
        <w:t xml:space="preserve">he </w:t>
      </w:r>
      <w:proofErr w:type="spellStart"/>
      <w:r w:rsidR="007E0903">
        <w:t>COAG</w:t>
      </w:r>
      <w:proofErr w:type="spellEnd"/>
      <w:r w:rsidR="007E0903">
        <w:t xml:space="preserve"> </w:t>
      </w:r>
      <w:r w:rsidR="004F01DC">
        <w:t xml:space="preserve">Best Practice Regulation Guide </w:t>
      </w:r>
      <w:r w:rsidR="00D2410F">
        <w:t xml:space="preserve">requires </w:t>
      </w:r>
      <w:r w:rsidR="004F01DC">
        <w:t xml:space="preserve">officials </w:t>
      </w:r>
      <w:r w:rsidR="007E0903">
        <w:t xml:space="preserve">to </w:t>
      </w:r>
      <w:r w:rsidR="004F01DC">
        <w:t xml:space="preserve">seek </w:t>
      </w:r>
      <w:r>
        <w:t xml:space="preserve">and include comments </w:t>
      </w:r>
      <w:r w:rsidR="004F01DC">
        <w:t xml:space="preserve">from the New Zealand </w:t>
      </w:r>
      <w:r w:rsidR="00524ACF">
        <w:t xml:space="preserve">Treasury’s </w:t>
      </w:r>
      <w:r w:rsidR="004F01DC">
        <w:t xml:space="preserve">Regulatory Impact Analysis Team </w:t>
      </w:r>
      <w:r w:rsidR="00AC5E9C">
        <w:t>(</w:t>
      </w:r>
      <w:proofErr w:type="spellStart"/>
      <w:r w:rsidR="00AC5E9C">
        <w:t>RIAT</w:t>
      </w:r>
      <w:proofErr w:type="spellEnd"/>
      <w:r w:rsidR="00AC5E9C">
        <w:t xml:space="preserve">) </w:t>
      </w:r>
      <w:r w:rsidR="004F01DC">
        <w:t xml:space="preserve">on any trans-Tasman issues. </w:t>
      </w:r>
      <w:r>
        <w:t xml:space="preserve">This </w:t>
      </w:r>
      <w:r w:rsidR="005A1F35">
        <w:t>worthwhile step</w:t>
      </w:r>
      <w:r>
        <w:t xml:space="preserve"> </w:t>
      </w:r>
      <w:r w:rsidR="00A8577F">
        <w:t xml:space="preserve">should include assessment of </w:t>
      </w:r>
      <w:r w:rsidR="007E0903">
        <w:t xml:space="preserve">whether there is scope for </w:t>
      </w:r>
      <w:r w:rsidR="00A8577F">
        <w:t xml:space="preserve">beneficial </w:t>
      </w:r>
      <w:r w:rsidR="007E0903">
        <w:t xml:space="preserve">trans-Tasman regulatory alignment. </w:t>
      </w:r>
      <w:r w:rsidR="00AB05F2">
        <w:t xml:space="preserve">But many national regulatory proposals </w:t>
      </w:r>
      <w:r w:rsidR="00943442">
        <w:t xml:space="preserve">are developed outside of </w:t>
      </w:r>
      <w:proofErr w:type="spellStart"/>
      <w:r w:rsidR="00943442">
        <w:t>COAG</w:t>
      </w:r>
      <w:proofErr w:type="spellEnd"/>
      <w:r w:rsidR="00943442">
        <w:t xml:space="preserve"> </w:t>
      </w:r>
      <w:r w:rsidR="002706F7">
        <w:sym w:font="Symbol" w:char="F0BE"/>
      </w:r>
      <w:r w:rsidR="002706F7">
        <w:t xml:space="preserve"> </w:t>
      </w:r>
      <w:r w:rsidR="00943442">
        <w:t xml:space="preserve">and hence avoid </w:t>
      </w:r>
      <w:proofErr w:type="spellStart"/>
      <w:r w:rsidR="00943442">
        <w:t>COAG’s</w:t>
      </w:r>
      <w:proofErr w:type="spellEnd"/>
      <w:r w:rsidR="00943442">
        <w:t xml:space="preserve"> requirement for trans-Tasman scrutiny </w:t>
      </w:r>
      <w:r w:rsidR="002706F7">
        <w:sym w:font="Symbol" w:char="F0BE"/>
      </w:r>
      <w:r w:rsidR="002706F7">
        <w:t xml:space="preserve"> </w:t>
      </w:r>
      <w:r w:rsidR="00943442">
        <w:t xml:space="preserve">yet </w:t>
      </w:r>
      <w:r w:rsidR="00155DCC">
        <w:t>have potential trans-Tasman dimensions</w:t>
      </w:r>
      <w:r w:rsidR="005C7BB3">
        <w:t>.</w:t>
      </w:r>
    </w:p>
    <w:p w14:paraId="440EFA8A" w14:textId="48130859" w:rsidR="007E0903" w:rsidRDefault="00E26F01" w:rsidP="00B94E90">
      <w:pPr>
        <w:pStyle w:val="BodyText"/>
      </w:pPr>
      <w:r>
        <w:lastRenderedPageBreak/>
        <w:t xml:space="preserve">Some areas </w:t>
      </w:r>
      <w:r w:rsidR="00967505">
        <w:t>already have a co-ordinating body</w:t>
      </w:r>
      <w:r w:rsidR="00943442">
        <w:t>,</w:t>
      </w:r>
      <w:r w:rsidR="00967505">
        <w:t xml:space="preserve"> such as the Trans-Tasman Council on Banking Supervision (banking and prudential regulation) and </w:t>
      </w:r>
      <w:proofErr w:type="spellStart"/>
      <w:r w:rsidR="00967505">
        <w:t>FSANZ</w:t>
      </w:r>
      <w:proofErr w:type="spellEnd"/>
      <w:r w:rsidR="00967505">
        <w:t xml:space="preserve"> (food safety).</w:t>
      </w:r>
      <w:r w:rsidR="00AB05F2">
        <w:t xml:space="preserve"> </w:t>
      </w:r>
      <w:r w:rsidR="00155DCC">
        <w:t>T</w:t>
      </w:r>
      <w:r w:rsidR="00967505">
        <w:t>here could be gaps in other areas</w:t>
      </w:r>
      <w:r w:rsidR="00943442">
        <w:t>,</w:t>
      </w:r>
      <w:r w:rsidR="00967505">
        <w:t xml:space="preserve"> particularly if they do not have a history of collaborati</w:t>
      </w:r>
      <w:r w:rsidR="001F0AD2">
        <w:t>on</w:t>
      </w:r>
      <w:r w:rsidR="00967505">
        <w:t xml:space="preserve">. </w:t>
      </w:r>
      <w:r w:rsidR="000A3B88">
        <w:t>A way t</w:t>
      </w:r>
      <w:r w:rsidR="00AB05F2">
        <w:t>o c</w:t>
      </w:r>
      <w:r w:rsidR="00967505">
        <w:t xml:space="preserve">over these gaps </w:t>
      </w:r>
      <w:r w:rsidR="000A3B88">
        <w:t xml:space="preserve">would be a prompt in the </w:t>
      </w:r>
      <w:proofErr w:type="spellStart"/>
      <w:r w:rsidR="00967505">
        <w:t>RIA</w:t>
      </w:r>
      <w:proofErr w:type="spellEnd"/>
      <w:r w:rsidR="00967505">
        <w:t xml:space="preserve"> </w:t>
      </w:r>
      <w:r w:rsidR="000A3B88">
        <w:t xml:space="preserve">guidance material for Australian and New Zealand </w:t>
      </w:r>
      <w:r w:rsidR="00D2410F">
        <w:t xml:space="preserve">national </w:t>
      </w:r>
      <w:r w:rsidR="00967505">
        <w:t>proposals</w:t>
      </w:r>
      <w:r w:rsidR="000A3B88">
        <w:t xml:space="preserve">. The New Zealand Treasury is intending to include such a prompt in the next edition of its </w:t>
      </w:r>
      <w:proofErr w:type="spellStart"/>
      <w:r w:rsidR="009536A3">
        <w:t>RIA</w:t>
      </w:r>
      <w:proofErr w:type="spellEnd"/>
      <w:r w:rsidR="009536A3">
        <w:t xml:space="preserve"> Handbook.</w:t>
      </w:r>
    </w:p>
    <w:p w14:paraId="1896E3C7" w14:textId="47A5363B" w:rsidR="00D07E3E" w:rsidRDefault="00AC5E9C" w:rsidP="00B94E90">
      <w:pPr>
        <w:pStyle w:val="BodyText"/>
      </w:pPr>
      <w:r>
        <w:t xml:space="preserve">A further and stronger step would be for the Office of Best Practice Regulation in Australia and the </w:t>
      </w:r>
      <w:proofErr w:type="spellStart"/>
      <w:r>
        <w:t>RIAT</w:t>
      </w:r>
      <w:proofErr w:type="spellEnd"/>
      <w:r>
        <w:t xml:space="preserve"> in New Zealand to comment </w:t>
      </w:r>
      <w:r w:rsidR="00443DB0">
        <w:t>critically</w:t>
      </w:r>
      <w:r w:rsidR="00EB57E9">
        <w:t xml:space="preserve"> </w:t>
      </w:r>
      <w:r>
        <w:t>on draft Regulatory Impact Statements that</w:t>
      </w:r>
      <w:r w:rsidR="00682B10">
        <w:t>,</w:t>
      </w:r>
      <w:r>
        <w:t xml:space="preserve"> </w:t>
      </w:r>
      <w:r w:rsidR="00B96B82">
        <w:t xml:space="preserve">in </w:t>
      </w:r>
      <w:r>
        <w:t>the</w:t>
      </w:r>
      <w:r w:rsidR="00B96B82">
        <w:t>ir</w:t>
      </w:r>
      <w:r>
        <w:t xml:space="preserve"> assess</w:t>
      </w:r>
      <w:r w:rsidR="00B96B82">
        <w:t>ment</w:t>
      </w:r>
      <w:r w:rsidR="00EB57E9">
        <w:t>,</w:t>
      </w:r>
      <w:r>
        <w:t xml:space="preserve"> overlook significant </w:t>
      </w:r>
      <w:r w:rsidR="00B96B82">
        <w:t>opportunities to reduce, or avoid raising, barriers to trans-Tasman commerce.</w:t>
      </w:r>
    </w:p>
    <w:p w14:paraId="22899662" w14:textId="77777777" w:rsidR="00B94E90" w:rsidRPr="00AE3DEF" w:rsidRDefault="00B94E90" w:rsidP="001E1712">
      <w:pPr>
        <w:pStyle w:val="BoxSpace"/>
        <w:keepLines/>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B94E90" w:rsidRPr="00253B80" w14:paraId="22899667" w14:textId="77777777" w:rsidTr="002F7E76">
        <w:trPr>
          <w:trHeight w:val="64"/>
        </w:trPr>
        <w:tc>
          <w:tcPr>
            <w:tcW w:w="236" w:type="dxa"/>
            <w:shd w:val="clear" w:color="auto" w:fill="ECECEC"/>
          </w:tcPr>
          <w:p w14:paraId="22899663" w14:textId="77777777" w:rsidR="00B94E90" w:rsidRPr="00253B80" w:rsidRDefault="00B94E90" w:rsidP="001E1712">
            <w:pPr>
              <w:pStyle w:val="BodyText"/>
              <w:keepNext/>
              <w:keepLines/>
              <w:spacing w:before="0" w:line="0" w:lineRule="atLeast"/>
              <w:rPr>
                <w:sz w:val="10"/>
                <w:szCs w:val="10"/>
              </w:rPr>
            </w:pPr>
          </w:p>
        </w:tc>
        <w:tc>
          <w:tcPr>
            <w:tcW w:w="1077" w:type="dxa"/>
            <w:shd w:val="clear" w:color="auto" w:fill="ECECEC"/>
          </w:tcPr>
          <w:p w14:paraId="22899664" w14:textId="77777777" w:rsidR="00B94E90" w:rsidRPr="00253B80" w:rsidRDefault="00B94E90" w:rsidP="001E1712">
            <w:pPr>
              <w:pStyle w:val="BodyText"/>
              <w:keepNext/>
              <w:keepLines/>
              <w:spacing w:before="0" w:line="0" w:lineRule="atLeast"/>
              <w:rPr>
                <w:sz w:val="10"/>
                <w:szCs w:val="10"/>
              </w:rPr>
            </w:pPr>
          </w:p>
        </w:tc>
        <w:tc>
          <w:tcPr>
            <w:tcW w:w="236" w:type="dxa"/>
            <w:shd w:val="clear" w:color="auto" w:fill="ECECEC"/>
          </w:tcPr>
          <w:p w14:paraId="22899665" w14:textId="77777777" w:rsidR="00B94E90" w:rsidRPr="00253B80" w:rsidRDefault="00B94E90" w:rsidP="001E1712">
            <w:pPr>
              <w:pStyle w:val="BodyText"/>
              <w:keepNext/>
              <w:keepLines/>
              <w:spacing w:before="0" w:line="0" w:lineRule="atLeast"/>
              <w:rPr>
                <w:sz w:val="10"/>
                <w:szCs w:val="10"/>
              </w:rPr>
            </w:pPr>
          </w:p>
        </w:tc>
        <w:tc>
          <w:tcPr>
            <w:tcW w:w="7184" w:type="dxa"/>
            <w:shd w:val="clear" w:color="auto" w:fill="ECECEC"/>
          </w:tcPr>
          <w:p w14:paraId="22899666" w14:textId="77777777" w:rsidR="00B94E90" w:rsidRPr="00253B80" w:rsidRDefault="00B94E90" w:rsidP="001E1712">
            <w:pPr>
              <w:pStyle w:val="BodyText"/>
              <w:keepNext/>
              <w:keepLines/>
              <w:spacing w:before="0" w:line="0" w:lineRule="atLeast"/>
              <w:rPr>
                <w:sz w:val="10"/>
                <w:szCs w:val="10"/>
              </w:rPr>
            </w:pPr>
          </w:p>
        </w:tc>
      </w:tr>
      <w:tr w:rsidR="00B94E90" w:rsidRPr="00253B80" w14:paraId="2289966C" w14:textId="77777777" w:rsidTr="002F7E76">
        <w:tc>
          <w:tcPr>
            <w:tcW w:w="236" w:type="dxa"/>
            <w:shd w:val="clear" w:color="auto" w:fill="ECECEC"/>
          </w:tcPr>
          <w:p w14:paraId="22899668" w14:textId="77777777" w:rsidR="00B94E90" w:rsidRPr="00253B80" w:rsidRDefault="00B94E90" w:rsidP="001E1712">
            <w:pPr>
              <w:pStyle w:val="BodyText"/>
              <w:keepNext/>
              <w:keepLines/>
              <w:rPr>
                <w:sz w:val="10"/>
                <w:szCs w:val="10"/>
              </w:rPr>
            </w:pPr>
          </w:p>
        </w:tc>
        <w:tc>
          <w:tcPr>
            <w:tcW w:w="1077" w:type="dxa"/>
            <w:shd w:val="clear" w:color="auto" w:fill="86A20B"/>
            <w:vAlign w:val="center"/>
          </w:tcPr>
          <w:p w14:paraId="22899669" w14:textId="28083322" w:rsidR="00B94E90" w:rsidRPr="008A3EAA" w:rsidRDefault="00B94E90" w:rsidP="00FE0647">
            <w:pPr>
              <w:pStyle w:val="Box"/>
              <w:keepLines/>
              <w:spacing w:before="0"/>
              <w:ind w:left="-102" w:firstLine="102"/>
              <w:jc w:val="center"/>
              <w:rPr>
                <w:b/>
                <w:color w:val="FFFFFF" w:themeColor="background1"/>
                <w:sz w:val="28"/>
                <w:szCs w:val="28"/>
              </w:rPr>
            </w:pPr>
            <w:proofErr w:type="spellStart"/>
            <w:r w:rsidRPr="008A3EAA">
              <w:rPr>
                <w:b/>
                <w:color w:val="FFFFFF" w:themeColor="background1"/>
                <w:sz w:val="28"/>
                <w:szCs w:val="28"/>
              </w:rPr>
              <w:t>R</w:t>
            </w:r>
            <w:r w:rsidRPr="008A3EAA">
              <w:rPr>
                <w:b/>
                <w:color w:val="FFFFFF" w:themeColor="background1"/>
                <w:sz w:val="28"/>
                <w:szCs w:val="28"/>
              </w:rPr>
              <w:fldChar w:fldCharType="begin"/>
            </w:r>
            <w:r w:rsidRPr="008A3EAA">
              <w:rPr>
                <w:b/>
                <w:color w:val="FFFFFF" w:themeColor="background1"/>
                <w:sz w:val="28"/>
                <w:szCs w:val="28"/>
              </w:rPr>
              <w:instrText xml:space="preserve"> COMMENTS  \* MERGEFORMAT </w:instrText>
            </w:r>
            <w:r w:rsidRPr="008A3EAA">
              <w:rPr>
                <w:b/>
                <w:color w:val="FFFFFF" w:themeColor="background1"/>
                <w:sz w:val="28"/>
                <w:szCs w:val="28"/>
              </w:rPr>
              <w:fldChar w:fldCharType="separate"/>
            </w:r>
            <w:r w:rsidRPr="008A3EAA">
              <w:rPr>
                <w:b/>
                <w:color w:val="FFFFFF" w:themeColor="background1"/>
                <w:sz w:val="28"/>
                <w:szCs w:val="28"/>
              </w:rPr>
              <w:t>5.</w:t>
            </w:r>
            <w:r w:rsidRPr="008A3EAA">
              <w:rPr>
                <w:b/>
                <w:color w:val="FFFFFF" w:themeColor="background1"/>
                <w:sz w:val="28"/>
                <w:szCs w:val="28"/>
              </w:rPr>
              <w:fldChar w:fldCharType="end"/>
            </w:r>
            <w:r w:rsidRPr="008A3EAA">
              <w:rPr>
                <w:b/>
                <w:color w:val="FFFFFF" w:themeColor="background1"/>
                <w:sz w:val="28"/>
                <w:szCs w:val="28"/>
              </w:rPr>
              <w:fldChar w:fldCharType="begin"/>
            </w:r>
            <w:r w:rsidRPr="008A3EAA">
              <w:rPr>
                <w:b/>
                <w:color w:val="FFFFFF" w:themeColor="background1"/>
                <w:sz w:val="28"/>
                <w:szCs w:val="28"/>
              </w:rPr>
              <w:instrText xml:space="preserve"> SEQ Recommendations \* ARABIC \* MERGEFORMAT </w:instrText>
            </w:r>
            <w:r w:rsidRPr="008A3EAA">
              <w:rPr>
                <w:b/>
                <w:color w:val="FFFFFF" w:themeColor="background1"/>
                <w:sz w:val="28"/>
                <w:szCs w:val="28"/>
              </w:rPr>
              <w:fldChar w:fldCharType="separate"/>
            </w:r>
            <w:r w:rsidR="00BC59D5">
              <w:rPr>
                <w:b/>
                <w:noProof/>
                <w:color w:val="FFFFFF" w:themeColor="background1"/>
                <w:sz w:val="28"/>
                <w:szCs w:val="28"/>
              </w:rPr>
              <w:t>2</w:t>
            </w:r>
            <w:proofErr w:type="spellEnd"/>
            <w:r w:rsidRPr="008A3EAA">
              <w:rPr>
                <w:b/>
                <w:color w:val="FFFFFF" w:themeColor="background1"/>
                <w:sz w:val="28"/>
                <w:szCs w:val="28"/>
              </w:rPr>
              <w:fldChar w:fldCharType="end"/>
            </w:r>
          </w:p>
        </w:tc>
        <w:tc>
          <w:tcPr>
            <w:tcW w:w="236" w:type="dxa"/>
            <w:shd w:val="clear" w:color="auto" w:fill="ECECEC"/>
          </w:tcPr>
          <w:p w14:paraId="2289966A" w14:textId="77777777" w:rsidR="00B94E90" w:rsidRPr="00253B80" w:rsidRDefault="00B94E90" w:rsidP="001E1712">
            <w:pPr>
              <w:pStyle w:val="BodyText"/>
              <w:keepNext/>
              <w:keepLines/>
              <w:rPr>
                <w:sz w:val="10"/>
                <w:szCs w:val="10"/>
              </w:rPr>
            </w:pPr>
          </w:p>
        </w:tc>
        <w:tc>
          <w:tcPr>
            <w:tcW w:w="7184" w:type="dxa"/>
            <w:vMerge w:val="restart"/>
            <w:shd w:val="clear" w:color="auto" w:fill="ECECEC"/>
          </w:tcPr>
          <w:p w14:paraId="2289966B" w14:textId="4A4FD379" w:rsidR="00B94E90" w:rsidRPr="0080565B" w:rsidRDefault="003E36B9" w:rsidP="00771ED5">
            <w:pPr>
              <w:pStyle w:val="Rec"/>
              <w:keepNext/>
            </w:pPr>
            <w:r w:rsidRPr="00206EC4">
              <w:rPr>
                <w:color w:val="auto"/>
              </w:rPr>
              <w:t xml:space="preserve">Regulatory proposals at the national level should consider opportunities for trans-Tasman collaboration </w:t>
            </w:r>
            <w:r w:rsidR="00D07E3E" w:rsidRPr="00206EC4">
              <w:rPr>
                <w:color w:val="auto"/>
              </w:rPr>
              <w:t xml:space="preserve">or alignment </w:t>
            </w:r>
            <w:r w:rsidRPr="00206EC4">
              <w:rPr>
                <w:color w:val="auto"/>
              </w:rPr>
              <w:t xml:space="preserve">that would lower costs </w:t>
            </w:r>
            <w:r w:rsidR="00771ED5" w:rsidRPr="00206EC4">
              <w:rPr>
                <w:color w:val="auto"/>
              </w:rPr>
              <w:t xml:space="preserve">or </w:t>
            </w:r>
            <w:r w:rsidRPr="00206EC4">
              <w:rPr>
                <w:color w:val="auto"/>
              </w:rPr>
              <w:t>deliver benefits</w:t>
            </w:r>
            <w:r w:rsidR="00D07E3E" w:rsidRPr="00206EC4">
              <w:rPr>
                <w:color w:val="auto"/>
              </w:rPr>
              <w:t xml:space="preserve"> for businesses and people </w:t>
            </w:r>
            <w:r w:rsidR="00771ED5" w:rsidRPr="00206EC4">
              <w:rPr>
                <w:color w:val="auto"/>
              </w:rPr>
              <w:t xml:space="preserve">active on both sides of </w:t>
            </w:r>
            <w:r w:rsidR="00D07E3E" w:rsidRPr="00206EC4">
              <w:rPr>
                <w:color w:val="auto"/>
              </w:rPr>
              <w:t>the Tasman</w:t>
            </w:r>
            <w:r w:rsidR="00206EC4">
              <w:rPr>
                <w:color w:val="auto"/>
              </w:rPr>
              <w:t>.</w:t>
            </w:r>
          </w:p>
        </w:tc>
      </w:tr>
      <w:tr w:rsidR="00B94E90" w:rsidRPr="00253B80" w14:paraId="22899671" w14:textId="77777777" w:rsidTr="002F7E76">
        <w:trPr>
          <w:trHeight w:val="64"/>
        </w:trPr>
        <w:tc>
          <w:tcPr>
            <w:tcW w:w="236" w:type="dxa"/>
            <w:shd w:val="clear" w:color="auto" w:fill="ECECEC"/>
          </w:tcPr>
          <w:p w14:paraId="2289966D" w14:textId="77777777" w:rsidR="00B94E90" w:rsidRPr="00253B80" w:rsidRDefault="00B94E90" w:rsidP="001E1712">
            <w:pPr>
              <w:pStyle w:val="BodyText"/>
              <w:keepNext/>
              <w:keepLines/>
              <w:spacing w:before="0" w:line="0" w:lineRule="atLeast"/>
              <w:rPr>
                <w:sz w:val="10"/>
                <w:szCs w:val="10"/>
              </w:rPr>
            </w:pPr>
          </w:p>
        </w:tc>
        <w:tc>
          <w:tcPr>
            <w:tcW w:w="1077" w:type="dxa"/>
            <w:shd w:val="clear" w:color="auto" w:fill="ECECEC"/>
          </w:tcPr>
          <w:p w14:paraId="2289966E" w14:textId="77777777" w:rsidR="00B94E90" w:rsidRPr="00253B80" w:rsidRDefault="00B94E90" w:rsidP="001E1712">
            <w:pPr>
              <w:pStyle w:val="BodyText"/>
              <w:keepNext/>
              <w:keepLines/>
              <w:spacing w:before="0" w:line="0" w:lineRule="atLeast"/>
              <w:rPr>
                <w:sz w:val="10"/>
                <w:szCs w:val="10"/>
              </w:rPr>
            </w:pPr>
          </w:p>
        </w:tc>
        <w:tc>
          <w:tcPr>
            <w:tcW w:w="236" w:type="dxa"/>
            <w:shd w:val="clear" w:color="auto" w:fill="ECECEC"/>
          </w:tcPr>
          <w:p w14:paraId="2289966F" w14:textId="77777777" w:rsidR="00B94E90" w:rsidRPr="00253B80" w:rsidRDefault="00B94E90" w:rsidP="001E1712">
            <w:pPr>
              <w:pStyle w:val="BodyText"/>
              <w:keepNext/>
              <w:keepLines/>
              <w:spacing w:before="0" w:line="0" w:lineRule="atLeast"/>
              <w:rPr>
                <w:sz w:val="10"/>
                <w:szCs w:val="10"/>
              </w:rPr>
            </w:pPr>
          </w:p>
        </w:tc>
        <w:tc>
          <w:tcPr>
            <w:tcW w:w="7184" w:type="dxa"/>
            <w:vMerge/>
            <w:shd w:val="clear" w:color="auto" w:fill="ECECEC"/>
          </w:tcPr>
          <w:p w14:paraId="22899670" w14:textId="77777777" w:rsidR="00B94E90" w:rsidRPr="00253B80" w:rsidRDefault="00B94E90" w:rsidP="001E1712">
            <w:pPr>
              <w:pStyle w:val="BodyText"/>
              <w:keepNext/>
              <w:keepLines/>
              <w:spacing w:before="0" w:line="0" w:lineRule="atLeast"/>
              <w:rPr>
                <w:sz w:val="10"/>
                <w:szCs w:val="10"/>
              </w:rPr>
            </w:pPr>
          </w:p>
        </w:tc>
      </w:tr>
      <w:tr w:rsidR="00B94E90" w:rsidRPr="00253B80" w14:paraId="22899676" w14:textId="77777777" w:rsidTr="002F7E76">
        <w:tc>
          <w:tcPr>
            <w:tcW w:w="236" w:type="dxa"/>
            <w:shd w:val="clear" w:color="auto" w:fill="ECECEC"/>
          </w:tcPr>
          <w:p w14:paraId="22899672" w14:textId="77777777" w:rsidR="00B94E90" w:rsidRPr="00253B80" w:rsidRDefault="00B94E90" w:rsidP="001E1712">
            <w:pPr>
              <w:pStyle w:val="BodyText"/>
              <w:keepNext/>
              <w:keepLines/>
              <w:spacing w:before="0" w:line="0" w:lineRule="atLeast"/>
              <w:rPr>
                <w:sz w:val="10"/>
                <w:szCs w:val="10"/>
              </w:rPr>
            </w:pPr>
          </w:p>
        </w:tc>
        <w:tc>
          <w:tcPr>
            <w:tcW w:w="1077" w:type="dxa"/>
            <w:shd w:val="clear" w:color="auto" w:fill="ECECEC"/>
          </w:tcPr>
          <w:p w14:paraId="22899673" w14:textId="77777777" w:rsidR="00B94E90" w:rsidRPr="00253B80" w:rsidRDefault="00B94E90" w:rsidP="001E1712">
            <w:pPr>
              <w:pStyle w:val="BodyText"/>
              <w:keepNext/>
              <w:keepLines/>
              <w:spacing w:before="0" w:line="0" w:lineRule="atLeast"/>
              <w:rPr>
                <w:sz w:val="10"/>
                <w:szCs w:val="10"/>
              </w:rPr>
            </w:pPr>
          </w:p>
        </w:tc>
        <w:tc>
          <w:tcPr>
            <w:tcW w:w="236" w:type="dxa"/>
            <w:shd w:val="clear" w:color="auto" w:fill="ECECEC"/>
          </w:tcPr>
          <w:p w14:paraId="22899674" w14:textId="77777777" w:rsidR="00B94E90" w:rsidRPr="00253B80" w:rsidRDefault="00B94E90" w:rsidP="001E1712">
            <w:pPr>
              <w:pStyle w:val="BodyText"/>
              <w:keepNext/>
              <w:keepLines/>
              <w:spacing w:before="0" w:line="0" w:lineRule="atLeast"/>
              <w:rPr>
                <w:sz w:val="10"/>
                <w:szCs w:val="10"/>
              </w:rPr>
            </w:pPr>
          </w:p>
        </w:tc>
        <w:tc>
          <w:tcPr>
            <w:tcW w:w="7184" w:type="dxa"/>
            <w:shd w:val="clear" w:color="auto" w:fill="ECECEC"/>
          </w:tcPr>
          <w:p w14:paraId="22899675" w14:textId="77777777" w:rsidR="00B94E90" w:rsidRPr="00253B80" w:rsidRDefault="00B94E90" w:rsidP="001E1712">
            <w:pPr>
              <w:pStyle w:val="BodyText"/>
              <w:keepNext/>
              <w:keepLines/>
              <w:spacing w:before="0" w:line="0" w:lineRule="atLeast"/>
              <w:rPr>
                <w:sz w:val="10"/>
                <w:szCs w:val="10"/>
              </w:rPr>
            </w:pPr>
          </w:p>
        </w:tc>
      </w:tr>
    </w:tbl>
    <w:p w14:paraId="22899677" w14:textId="77777777" w:rsidR="00B94E90" w:rsidRDefault="00B94E90" w:rsidP="008A3EAA">
      <w:pPr>
        <w:pStyle w:val="Heading3"/>
        <w:spacing w:before="360"/>
      </w:pPr>
      <w:r>
        <w:t>Facilitating joint action</w:t>
      </w:r>
    </w:p>
    <w:p w14:paraId="741CCFCE" w14:textId="77777777" w:rsidR="00943442" w:rsidRDefault="00B94E90" w:rsidP="008A3EAA">
      <w:pPr>
        <w:pStyle w:val="BodyText"/>
        <w:spacing w:before="220"/>
      </w:pPr>
      <w:r>
        <w:t xml:space="preserve">Chapter 3 noted the outward-looking nature of </w:t>
      </w:r>
      <w:proofErr w:type="spellStart"/>
      <w:r>
        <w:t>CER</w:t>
      </w:r>
      <w:proofErr w:type="spellEnd"/>
      <w:r>
        <w:t xml:space="preserve"> and its ability to act as a building block for Asia-Pacific integration. As Sir Frank Holmes noted some years ago</w:t>
      </w:r>
      <w:r w:rsidR="00943442">
        <w:t>:</w:t>
      </w:r>
    </w:p>
    <w:p w14:paraId="7DD8067F" w14:textId="530ED6BB" w:rsidR="006C6B2E" w:rsidRPr="00360122" w:rsidRDefault="00B94E90" w:rsidP="00360122">
      <w:pPr>
        <w:pStyle w:val="Quote"/>
        <w:rPr>
          <w:sz w:val="22"/>
          <w:szCs w:val="22"/>
        </w:rPr>
      </w:pPr>
      <w:r w:rsidRPr="00360122">
        <w:rPr>
          <w:sz w:val="22"/>
          <w:szCs w:val="22"/>
        </w:rPr>
        <w:t>Cooperation between the two countries in developing external relationships must inevitably assume increasing importance in their bilateral deal</w:t>
      </w:r>
      <w:r w:rsidR="00F96D37" w:rsidRPr="00360122">
        <w:rPr>
          <w:sz w:val="22"/>
          <w:szCs w:val="22"/>
        </w:rPr>
        <w:t>ings with one another</w:t>
      </w:r>
      <w:r w:rsidR="00943442" w:rsidRPr="00360122">
        <w:rPr>
          <w:sz w:val="22"/>
          <w:szCs w:val="22"/>
        </w:rPr>
        <w:t>.</w:t>
      </w:r>
      <w:r w:rsidR="00F96D37" w:rsidRPr="00360122">
        <w:rPr>
          <w:sz w:val="22"/>
          <w:szCs w:val="22"/>
        </w:rPr>
        <w:t xml:space="preserve"> (Holmes 1995, p. </w:t>
      </w:r>
      <w:r w:rsidRPr="00360122">
        <w:rPr>
          <w:sz w:val="22"/>
          <w:szCs w:val="22"/>
        </w:rPr>
        <w:t>32)</w:t>
      </w:r>
    </w:p>
    <w:p w14:paraId="22899678" w14:textId="7B50AE7A" w:rsidR="00B94E90" w:rsidRDefault="00B94E90" w:rsidP="008A3EAA">
      <w:pPr>
        <w:pStyle w:val="BodyText"/>
        <w:spacing w:before="220"/>
      </w:pPr>
      <w:proofErr w:type="spellStart"/>
      <w:r>
        <w:t>CER</w:t>
      </w:r>
      <w:proofErr w:type="spellEnd"/>
      <w:r>
        <w:t xml:space="preserve"> governance arrangements are likely to influence the way in which Australia and New Zealand interact with the wider region and how often they work collaboratively to pursue their aspirations in the region and more widely.</w:t>
      </w:r>
    </w:p>
    <w:p w14:paraId="22899679" w14:textId="1135B563" w:rsidR="00164243" w:rsidRDefault="00B94E90" w:rsidP="008A3EAA">
      <w:pPr>
        <w:pStyle w:val="BodyText"/>
        <w:spacing w:before="220"/>
      </w:pPr>
      <w:r>
        <w:t>Australia and New Zealand acted together in negotiations with the Association of Southeast Asian Nations (ASEAN) to eventually form the ASEAN-Australia-New Zealand Free Trade Area</w:t>
      </w:r>
      <w:r w:rsidR="00164243" w:rsidRPr="00164243">
        <w:t xml:space="preserve"> </w:t>
      </w:r>
      <w:r w:rsidR="00F96D37">
        <w:t>(section </w:t>
      </w:r>
      <w:r w:rsidR="00164243">
        <w:t>3.2)</w:t>
      </w:r>
      <w:r>
        <w:t>. Close cooperation and joint approaches have occurred in other cases (</w:t>
      </w:r>
      <w:r w:rsidR="006C6B2E">
        <w:t>for example</w:t>
      </w:r>
      <w:r>
        <w:t>, overseas development assistance in the Pacific</w:t>
      </w:r>
      <w:r w:rsidR="00C529FA">
        <w:t xml:space="preserve"> and </w:t>
      </w:r>
      <w:r>
        <w:t xml:space="preserve">the ‘Cairns </w:t>
      </w:r>
      <w:r w:rsidR="00155DCC">
        <w:t>G</w:t>
      </w:r>
      <w:r>
        <w:t>roup’ in WTO trade rounds)</w:t>
      </w:r>
      <w:r w:rsidR="00524ACF">
        <w:t>.</w:t>
      </w:r>
    </w:p>
    <w:p w14:paraId="2289967A" w14:textId="34400017" w:rsidR="00B94E90" w:rsidRDefault="00164243" w:rsidP="008A3EAA">
      <w:pPr>
        <w:pStyle w:val="BodyText"/>
        <w:spacing w:before="220"/>
      </w:pPr>
      <w:r>
        <w:t xml:space="preserve">There </w:t>
      </w:r>
      <w:r w:rsidR="00524ACF">
        <w:t>are</w:t>
      </w:r>
      <w:r>
        <w:t xml:space="preserve"> benefits from working jointly where appropriate opportunities arise. However, as </w:t>
      </w:r>
      <w:r w:rsidR="00B94E90">
        <w:t xml:space="preserve">noted </w:t>
      </w:r>
      <w:r>
        <w:t>earlier (</w:t>
      </w:r>
      <w:r w:rsidR="00F96D37">
        <w:t>section </w:t>
      </w:r>
      <w:r w:rsidR="00B94E90">
        <w:t>4.3</w:t>
      </w:r>
      <w:r>
        <w:t>)</w:t>
      </w:r>
      <w:r w:rsidR="006C6B2E">
        <w:t>,</w:t>
      </w:r>
      <w:r w:rsidR="00B94E90">
        <w:t xml:space="preserve"> Australia and New Zealand should retain discretion about </w:t>
      </w:r>
      <w:r>
        <w:t xml:space="preserve">when </w:t>
      </w:r>
      <w:r w:rsidR="00B94E90">
        <w:t xml:space="preserve">they negotiate jointly or individually </w:t>
      </w:r>
      <w:r w:rsidR="00A57A4C">
        <w:t xml:space="preserve">with other countries </w:t>
      </w:r>
      <w:r w:rsidR="00B94E90">
        <w:t xml:space="preserve">(thus removing one argument for a Customs Union). </w:t>
      </w:r>
      <w:r w:rsidR="00005536">
        <w:t>W</w:t>
      </w:r>
      <w:r w:rsidR="00C529FA">
        <w:t xml:space="preserve">orking jointly may prove </w:t>
      </w:r>
      <w:r w:rsidR="00C529FA">
        <w:lastRenderedPageBreak/>
        <w:t xml:space="preserve">beneficial </w:t>
      </w:r>
      <w:r w:rsidR="00B94E90">
        <w:t xml:space="preserve">where the two countries can exert greater leverage by </w:t>
      </w:r>
      <w:r w:rsidR="00524ACF">
        <w:t xml:space="preserve">coordinating their </w:t>
      </w:r>
      <w:r w:rsidR="00C11BA6">
        <w:t xml:space="preserve">stances </w:t>
      </w:r>
      <w:r w:rsidR="00B94E90">
        <w:t xml:space="preserve">in multilateral </w:t>
      </w:r>
      <w:proofErr w:type="spellStart"/>
      <w:r w:rsidR="00A57A4C">
        <w:t>f</w:t>
      </w:r>
      <w:r w:rsidR="003E36B9">
        <w:t>ora</w:t>
      </w:r>
      <w:proofErr w:type="spellEnd"/>
      <w:r w:rsidR="003E36B9">
        <w:t xml:space="preserve"> </w:t>
      </w:r>
      <w:r w:rsidR="00B94E90">
        <w:t xml:space="preserve">such as the WTO, and in rule-making and standard-setting bodies </w:t>
      </w:r>
      <w:r>
        <w:t xml:space="preserve">for </w:t>
      </w:r>
      <w:r w:rsidR="00B94E90">
        <w:t>areas such as customs, biosecurity, telecommunications, intellectual property and aviation.</w:t>
      </w:r>
    </w:p>
    <w:p w14:paraId="6E63C848" w14:textId="10275133" w:rsidR="00C11BA6" w:rsidRDefault="00005536" w:rsidP="008A3EAA">
      <w:pPr>
        <w:pStyle w:val="BodyText"/>
        <w:spacing w:before="220"/>
      </w:pPr>
      <w:r>
        <w:t xml:space="preserve">It is important that the two countries stay alert to </w:t>
      </w:r>
      <w:r w:rsidR="000E156C">
        <w:t xml:space="preserve">such </w:t>
      </w:r>
      <w:r w:rsidR="00B94E90">
        <w:t xml:space="preserve">opportunities </w:t>
      </w:r>
      <w:r>
        <w:t>for coordinated action.</w:t>
      </w:r>
    </w:p>
    <w:p w14:paraId="2289967C" w14:textId="77777777" w:rsidR="00B94E90" w:rsidRPr="00AE3DEF" w:rsidRDefault="00B94E90" w:rsidP="001E1712">
      <w:pPr>
        <w:pStyle w:val="BoxSpace"/>
        <w:spacing w:before="280"/>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B94E90" w:rsidRPr="00253B80" w14:paraId="22899681" w14:textId="77777777" w:rsidTr="002F7E76">
        <w:trPr>
          <w:trHeight w:val="64"/>
        </w:trPr>
        <w:tc>
          <w:tcPr>
            <w:tcW w:w="236" w:type="dxa"/>
            <w:shd w:val="clear" w:color="auto" w:fill="ECECEC"/>
          </w:tcPr>
          <w:p w14:paraId="2289967D"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7E"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7F" w14:textId="77777777" w:rsidR="00B94E90" w:rsidRPr="00253B80" w:rsidRDefault="00B94E90" w:rsidP="002F7E76">
            <w:pPr>
              <w:pStyle w:val="BodyText"/>
              <w:spacing w:before="0" w:line="0" w:lineRule="atLeast"/>
              <w:rPr>
                <w:sz w:val="10"/>
                <w:szCs w:val="10"/>
              </w:rPr>
            </w:pPr>
          </w:p>
        </w:tc>
        <w:tc>
          <w:tcPr>
            <w:tcW w:w="7184" w:type="dxa"/>
            <w:shd w:val="clear" w:color="auto" w:fill="ECECEC"/>
          </w:tcPr>
          <w:p w14:paraId="22899680" w14:textId="77777777" w:rsidR="00B94E90" w:rsidRPr="00253B80" w:rsidRDefault="00B94E90" w:rsidP="002F7E76">
            <w:pPr>
              <w:pStyle w:val="BodyText"/>
              <w:spacing w:before="0" w:line="0" w:lineRule="atLeast"/>
              <w:rPr>
                <w:sz w:val="10"/>
                <w:szCs w:val="10"/>
              </w:rPr>
            </w:pPr>
          </w:p>
        </w:tc>
      </w:tr>
      <w:tr w:rsidR="00B94E90" w:rsidRPr="00253B80" w14:paraId="22899686" w14:textId="77777777" w:rsidTr="002F7E76">
        <w:tc>
          <w:tcPr>
            <w:tcW w:w="236" w:type="dxa"/>
            <w:shd w:val="clear" w:color="auto" w:fill="ECECEC"/>
          </w:tcPr>
          <w:p w14:paraId="22899682" w14:textId="77777777" w:rsidR="00B94E90" w:rsidRPr="00253B80" w:rsidRDefault="00B94E90" w:rsidP="007A1ADB">
            <w:pPr>
              <w:pStyle w:val="BodyText"/>
              <w:rPr>
                <w:sz w:val="10"/>
                <w:szCs w:val="10"/>
              </w:rPr>
            </w:pPr>
          </w:p>
        </w:tc>
        <w:tc>
          <w:tcPr>
            <w:tcW w:w="1077" w:type="dxa"/>
            <w:shd w:val="clear" w:color="auto" w:fill="86A20B"/>
            <w:vAlign w:val="center"/>
          </w:tcPr>
          <w:p w14:paraId="22899683" w14:textId="020F940A" w:rsidR="00B94E90" w:rsidRPr="008A3EAA" w:rsidRDefault="00B94E90" w:rsidP="002F7E76">
            <w:pPr>
              <w:pStyle w:val="Box"/>
              <w:spacing w:before="0"/>
              <w:ind w:left="-102" w:firstLine="102"/>
              <w:jc w:val="center"/>
              <w:rPr>
                <w:b/>
                <w:color w:val="FFFFFF" w:themeColor="background1"/>
                <w:sz w:val="28"/>
                <w:szCs w:val="28"/>
              </w:rPr>
            </w:pPr>
            <w:proofErr w:type="spellStart"/>
            <w:r w:rsidRPr="008A3EAA">
              <w:rPr>
                <w:b/>
                <w:color w:val="FFFFFF" w:themeColor="background1"/>
                <w:sz w:val="28"/>
                <w:szCs w:val="28"/>
              </w:rPr>
              <w:t>R</w:t>
            </w:r>
            <w:r w:rsidRPr="008A3EAA">
              <w:rPr>
                <w:b/>
                <w:color w:val="FFFFFF" w:themeColor="background1"/>
                <w:sz w:val="28"/>
                <w:szCs w:val="28"/>
              </w:rPr>
              <w:fldChar w:fldCharType="begin"/>
            </w:r>
            <w:r w:rsidRPr="008A3EAA">
              <w:rPr>
                <w:b/>
                <w:color w:val="FFFFFF" w:themeColor="background1"/>
                <w:sz w:val="28"/>
                <w:szCs w:val="28"/>
              </w:rPr>
              <w:instrText xml:space="preserve"> COMMENTS  \* MERGEFORMAT </w:instrText>
            </w:r>
            <w:r w:rsidRPr="008A3EAA">
              <w:rPr>
                <w:b/>
                <w:color w:val="FFFFFF" w:themeColor="background1"/>
                <w:sz w:val="28"/>
                <w:szCs w:val="28"/>
              </w:rPr>
              <w:fldChar w:fldCharType="separate"/>
            </w:r>
            <w:r w:rsidRPr="008A3EAA">
              <w:rPr>
                <w:b/>
                <w:color w:val="FFFFFF" w:themeColor="background1"/>
                <w:sz w:val="28"/>
                <w:szCs w:val="28"/>
              </w:rPr>
              <w:t>5.</w:t>
            </w:r>
            <w:r w:rsidRPr="008A3EAA">
              <w:rPr>
                <w:b/>
                <w:color w:val="FFFFFF" w:themeColor="background1"/>
                <w:sz w:val="28"/>
                <w:szCs w:val="28"/>
              </w:rPr>
              <w:fldChar w:fldCharType="end"/>
            </w:r>
            <w:r w:rsidRPr="008A3EAA">
              <w:rPr>
                <w:b/>
                <w:color w:val="FFFFFF" w:themeColor="background1"/>
                <w:sz w:val="28"/>
                <w:szCs w:val="28"/>
              </w:rPr>
              <w:fldChar w:fldCharType="begin"/>
            </w:r>
            <w:r w:rsidRPr="008A3EAA">
              <w:rPr>
                <w:b/>
                <w:color w:val="FFFFFF" w:themeColor="background1"/>
                <w:sz w:val="28"/>
                <w:szCs w:val="28"/>
              </w:rPr>
              <w:instrText xml:space="preserve"> SEQ Recommendations \* ARABIC \* MERGEFORMAT </w:instrText>
            </w:r>
            <w:r w:rsidRPr="008A3EAA">
              <w:rPr>
                <w:b/>
                <w:color w:val="FFFFFF" w:themeColor="background1"/>
                <w:sz w:val="28"/>
                <w:szCs w:val="28"/>
              </w:rPr>
              <w:fldChar w:fldCharType="separate"/>
            </w:r>
            <w:r w:rsidR="00BC59D5">
              <w:rPr>
                <w:b/>
                <w:noProof/>
                <w:color w:val="FFFFFF" w:themeColor="background1"/>
                <w:sz w:val="28"/>
                <w:szCs w:val="28"/>
              </w:rPr>
              <w:t>3</w:t>
            </w:r>
            <w:proofErr w:type="spellEnd"/>
            <w:r w:rsidRPr="008A3EAA">
              <w:rPr>
                <w:b/>
                <w:color w:val="FFFFFF" w:themeColor="background1"/>
                <w:sz w:val="28"/>
                <w:szCs w:val="28"/>
              </w:rPr>
              <w:fldChar w:fldCharType="end"/>
            </w:r>
          </w:p>
        </w:tc>
        <w:tc>
          <w:tcPr>
            <w:tcW w:w="236" w:type="dxa"/>
            <w:shd w:val="clear" w:color="auto" w:fill="ECECEC"/>
          </w:tcPr>
          <w:p w14:paraId="22899684" w14:textId="77777777" w:rsidR="00B94E90" w:rsidRPr="00253B80" w:rsidRDefault="00B94E90" w:rsidP="007A1ADB">
            <w:pPr>
              <w:pStyle w:val="BodyText"/>
              <w:rPr>
                <w:sz w:val="10"/>
                <w:szCs w:val="10"/>
              </w:rPr>
            </w:pPr>
          </w:p>
        </w:tc>
        <w:tc>
          <w:tcPr>
            <w:tcW w:w="7184" w:type="dxa"/>
            <w:vMerge w:val="restart"/>
            <w:shd w:val="clear" w:color="auto" w:fill="ECECEC"/>
          </w:tcPr>
          <w:p w14:paraId="22899685" w14:textId="50ABD907" w:rsidR="00B94E90" w:rsidRPr="0080565B" w:rsidRDefault="00B94E90" w:rsidP="00921133">
            <w:pPr>
              <w:pStyle w:val="OZNZQuestion"/>
            </w:pPr>
            <w:r w:rsidRPr="00B94E90">
              <w:t xml:space="preserve">The Australian and New Zealand Governments should </w:t>
            </w:r>
            <w:r w:rsidR="00DC2EFE">
              <w:t xml:space="preserve">continue </w:t>
            </w:r>
            <w:r w:rsidR="001A6A81">
              <w:t xml:space="preserve">to identify and take opportunities for coordinated </w:t>
            </w:r>
            <w:r w:rsidRPr="00B94E90">
              <w:t xml:space="preserve">action to achieve </w:t>
            </w:r>
            <w:r w:rsidR="00921133">
              <w:t xml:space="preserve">beneficial </w:t>
            </w:r>
            <w:r w:rsidRPr="00B94E90">
              <w:t>regional and multilateral integration, and greater leverage in international rule making and standard setting.</w:t>
            </w:r>
          </w:p>
        </w:tc>
      </w:tr>
      <w:tr w:rsidR="00B94E90" w:rsidRPr="00253B80" w14:paraId="2289968B" w14:textId="77777777" w:rsidTr="002F7E76">
        <w:trPr>
          <w:trHeight w:val="64"/>
        </w:trPr>
        <w:tc>
          <w:tcPr>
            <w:tcW w:w="236" w:type="dxa"/>
            <w:shd w:val="clear" w:color="auto" w:fill="ECECEC"/>
          </w:tcPr>
          <w:p w14:paraId="22899687"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88"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89" w14:textId="77777777" w:rsidR="00B94E90" w:rsidRPr="00253B80" w:rsidRDefault="00B94E90" w:rsidP="002F7E76">
            <w:pPr>
              <w:pStyle w:val="BodyText"/>
              <w:spacing w:before="0" w:line="0" w:lineRule="atLeast"/>
              <w:rPr>
                <w:sz w:val="10"/>
                <w:szCs w:val="10"/>
              </w:rPr>
            </w:pPr>
          </w:p>
        </w:tc>
        <w:tc>
          <w:tcPr>
            <w:tcW w:w="7184" w:type="dxa"/>
            <w:vMerge/>
            <w:shd w:val="clear" w:color="auto" w:fill="ECECEC"/>
          </w:tcPr>
          <w:p w14:paraId="2289968A" w14:textId="77777777" w:rsidR="00B94E90" w:rsidRPr="00253B80" w:rsidRDefault="00B94E90" w:rsidP="002F7E76">
            <w:pPr>
              <w:pStyle w:val="BodyText"/>
              <w:spacing w:before="0" w:line="0" w:lineRule="atLeast"/>
              <w:rPr>
                <w:sz w:val="10"/>
                <w:szCs w:val="10"/>
              </w:rPr>
            </w:pPr>
          </w:p>
        </w:tc>
      </w:tr>
      <w:tr w:rsidR="00B94E90" w:rsidRPr="00253B80" w14:paraId="22899690" w14:textId="77777777" w:rsidTr="002F7E76">
        <w:tc>
          <w:tcPr>
            <w:tcW w:w="236" w:type="dxa"/>
            <w:shd w:val="clear" w:color="auto" w:fill="ECECEC"/>
          </w:tcPr>
          <w:p w14:paraId="2289968C"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8D"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8E" w14:textId="77777777" w:rsidR="00B94E90" w:rsidRPr="00253B80" w:rsidRDefault="00B94E90" w:rsidP="002F7E76">
            <w:pPr>
              <w:pStyle w:val="BodyText"/>
              <w:spacing w:before="0" w:line="0" w:lineRule="atLeast"/>
              <w:rPr>
                <w:sz w:val="10"/>
                <w:szCs w:val="10"/>
              </w:rPr>
            </w:pPr>
          </w:p>
        </w:tc>
        <w:tc>
          <w:tcPr>
            <w:tcW w:w="7184" w:type="dxa"/>
            <w:shd w:val="clear" w:color="auto" w:fill="ECECEC"/>
          </w:tcPr>
          <w:p w14:paraId="2289968F" w14:textId="77777777" w:rsidR="00B94E90" w:rsidRPr="00253B80" w:rsidRDefault="00B94E90" w:rsidP="002F7E76">
            <w:pPr>
              <w:pStyle w:val="BodyText"/>
              <w:spacing w:before="0" w:line="0" w:lineRule="atLeast"/>
              <w:rPr>
                <w:sz w:val="10"/>
                <w:szCs w:val="10"/>
              </w:rPr>
            </w:pPr>
          </w:p>
        </w:tc>
      </w:tr>
    </w:tbl>
    <w:p w14:paraId="22899691" w14:textId="77777777" w:rsidR="00B94E90" w:rsidRDefault="00D75803" w:rsidP="00B94E90">
      <w:pPr>
        <w:pStyle w:val="Heading3"/>
      </w:pPr>
      <w:r>
        <w:t>R</w:t>
      </w:r>
      <w:r w:rsidR="00B94E90">
        <w:t>egular reviews</w:t>
      </w:r>
    </w:p>
    <w:p w14:paraId="22899692" w14:textId="1CC1CC87" w:rsidR="00B94E90" w:rsidRDefault="00D75803" w:rsidP="00B94E90">
      <w:pPr>
        <w:pStyle w:val="BodyText"/>
      </w:pPr>
      <w:r>
        <w:t>Reviewing</w:t>
      </w:r>
      <w:r w:rsidR="00B94E90">
        <w:t xml:space="preserve"> the effectiveness of major programs </w:t>
      </w:r>
      <w:r>
        <w:t xml:space="preserve">is </w:t>
      </w:r>
      <w:r w:rsidR="00B94E90">
        <w:t xml:space="preserve">an important part of good governance. </w:t>
      </w:r>
      <w:r>
        <w:t>T</w:t>
      </w:r>
      <w:r w:rsidR="00B94E90">
        <w:t xml:space="preserve">he monitoring, evaluation and review of </w:t>
      </w:r>
      <w:proofErr w:type="spellStart"/>
      <w:r w:rsidR="00B94E90">
        <w:t>CER</w:t>
      </w:r>
      <w:proofErr w:type="spellEnd"/>
      <w:r>
        <w:t xml:space="preserve"> can be improved</w:t>
      </w:r>
      <w:r w:rsidR="00B94E90">
        <w:t xml:space="preserve">. This can be achieved through adopting guidelines for appropriate evaluation of initiatives, evidence-based policy making, and by periodic reviews </w:t>
      </w:r>
      <w:r w:rsidR="0018062F">
        <w:t xml:space="preserve">of </w:t>
      </w:r>
      <w:proofErr w:type="spellStart"/>
      <w:r>
        <w:t>CER’s</w:t>
      </w:r>
      <w:proofErr w:type="spellEnd"/>
      <w:r>
        <w:t xml:space="preserve"> </w:t>
      </w:r>
      <w:r w:rsidR="00B94E90">
        <w:t xml:space="preserve">outcomes and direction. It is important to learn whether initiatives </w:t>
      </w:r>
      <w:r w:rsidR="006C6B2E">
        <w:t xml:space="preserve">are </w:t>
      </w:r>
      <w:r w:rsidR="00B94E90">
        <w:t>achiev</w:t>
      </w:r>
      <w:r w:rsidR="006C6B2E">
        <w:t>ing</w:t>
      </w:r>
      <w:r w:rsidR="00B94E90">
        <w:t xml:space="preserve"> their intended benefits and whether there </w:t>
      </w:r>
      <w:r w:rsidR="006C6B2E">
        <w:t>are</w:t>
      </w:r>
      <w:r w:rsidR="00B94E90">
        <w:t xml:space="preserve"> unintended effects. Such feedback can also help build the evidence base for improving policy settings and developing new </w:t>
      </w:r>
      <w:r>
        <w:t>initiatives</w:t>
      </w:r>
      <w:r w:rsidR="00B94E90">
        <w:t>.</w:t>
      </w:r>
    </w:p>
    <w:p w14:paraId="22899693" w14:textId="5510814D" w:rsidR="00B94E90" w:rsidRDefault="00D75803" w:rsidP="00B94E90">
      <w:pPr>
        <w:pStyle w:val="BodyText"/>
      </w:pPr>
      <w:r>
        <w:t xml:space="preserve">There is little research on </w:t>
      </w:r>
      <w:proofErr w:type="spellStart"/>
      <w:r>
        <w:t>CER</w:t>
      </w:r>
      <w:proofErr w:type="spellEnd"/>
      <w:r>
        <w:t xml:space="preserve"> reforms and their effects to </w:t>
      </w:r>
      <w:r w:rsidR="00B94E90">
        <w:t xml:space="preserve">date, apart from </w:t>
      </w:r>
      <w:r w:rsidR="006C6B2E">
        <w:t xml:space="preserve">in </w:t>
      </w:r>
      <w:r w:rsidR="00B94E90">
        <w:t>the merchandise trade area.</w:t>
      </w:r>
    </w:p>
    <w:p w14:paraId="22899694" w14:textId="77777777" w:rsidR="00B94E90" w:rsidRDefault="00B94E90" w:rsidP="00B94E90">
      <w:pPr>
        <w:pStyle w:val="BodyText"/>
      </w:pPr>
      <w:r>
        <w:t>Current</w:t>
      </w:r>
      <w:r w:rsidR="00D75803">
        <w:t xml:space="preserve"> </w:t>
      </w:r>
      <w:r>
        <w:t>mechanisms for</w:t>
      </w:r>
      <w:r w:rsidR="00D75803">
        <w:t xml:space="preserve"> the</w:t>
      </w:r>
      <w:r>
        <w:t xml:space="preserve"> evaluation of </w:t>
      </w:r>
      <w:proofErr w:type="spellStart"/>
      <w:r>
        <w:t>CER</w:t>
      </w:r>
      <w:proofErr w:type="spellEnd"/>
      <w:r>
        <w:t xml:space="preserve"> initiatives are quite fragmented. Each of the multitude of agreements between the two countries tends to contain a clause requiring some form of review. For example, the 2011 </w:t>
      </w:r>
      <w:proofErr w:type="spellStart"/>
      <w:r>
        <w:t>CER</w:t>
      </w:r>
      <w:proofErr w:type="spellEnd"/>
      <w:r>
        <w:t xml:space="preserve"> Investment Protocol states that ‘The Parties agree to meet in or shortly after the first year of entry into force of this Protocol, and regularly thereafter, to review the operation of this Protocol.’ However, there is no consistent approach to such reviews, which have varied in quality and frequency. As a general rule, any significant trans-Tasman initiative should include a commitment to cost-effective evaluation.</w:t>
      </w:r>
    </w:p>
    <w:p w14:paraId="27EF96E2" w14:textId="132C800C" w:rsidR="00984CD7" w:rsidRDefault="00984CD7" w:rsidP="00984CD7">
      <w:pPr>
        <w:pStyle w:val="BodyText"/>
        <w:tabs>
          <w:tab w:val="left" w:pos="322"/>
        </w:tabs>
      </w:pPr>
      <w:r>
        <w:t xml:space="preserve">Good evaluation of </w:t>
      </w:r>
      <w:proofErr w:type="spellStart"/>
      <w:r>
        <w:t>CER</w:t>
      </w:r>
      <w:proofErr w:type="spellEnd"/>
      <w:r>
        <w:t xml:space="preserve"> policies and comparisons of policy </w:t>
      </w:r>
      <w:r w:rsidR="00443DB0">
        <w:t>effectiveness</w:t>
      </w:r>
      <w:r>
        <w:t xml:space="preserve"> across Australia and New Zealand depend on the availability of good data. </w:t>
      </w:r>
      <w:proofErr w:type="spellStart"/>
      <w:r>
        <w:t>Motu</w:t>
      </w:r>
      <w:proofErr w:type="spellEnd"/>
      <w:r>
        <w:t xml:space="preserve"> Economic and Public Policy Research (2012) </w:t>
      </w:r>
      <w:r w:rsidR="006C6B2E">
        <w:t>is</w:t>
      </w:r>
      <w:r>
        <w:t xml:space="preserve"> investigating the merits of New Zealand developing a longitudinal household panel survey along the lines of the </w:t>
      </w:r>
      <w:r>
        <w:lastRenderedPageBreak/>
        <w:t xml:space="preserve">Household, Income and </w:t>
      </w:r>
      <w:proofErr w:type="spellStart"/>
      <w:r>
        <w:t>Labor</w:t>
      </w:r>
      <w:proofErr w:type="spellEnd"/>
      <w:r>
        <w:t xml:space="preserve"> Dynamics in Australia survey</w:t>
      </w:r>
      <w:r w:rsidR="00A10A49">
        <w:t xml:space="preserve"> (HILDA). Th</w:t>
      </w:r>
      <w:r w:rsidR="00F655C2">
        <w:t xml:space="preserve">ere </w:t>
      </w:r>
      <w:r w:rsidR="009E4DB3">
        <w:t xml:space="preserve">could be </w:t>
      </w:r>
      <w:r w:rsidR="009B0F87">
        <w:t>a case for the two G</w:t>
      </w:r>
      <w:r w:rsidR="00921133">
        <w:t xml:space="preserve">overnments to support these surveys and </w:t>
      </w:r>
      <w:r w:rsidR="00A10A49">
        <w:t>coordinate and synchronise the</w:t>
      </w:r>
      <w:r w:rsidR="00921133">
        <w:t>m</w:t>
      </w:r>
      <w:r w:rsidR="00A10A49">
        <w:t xml:space="preserve"> </w:t>
      </w:r>
      <w:r w:rsidR="00F655C2">
        <w:t xml:space="preserve">in ways </w:t>
      </w:r>
      <w:r w:rsidR="00A10A49">
        <w:t xml:space="preserve">that </w:t>
      </w:r>
      <w:r w:rsidR="009E4DB3">
        <w:t xml:space="preserve">help build a </w:t>
      </w:r>
      <w:proofErr w:type="spellStart"/>
      <w:r w:rsidR="009E4DB3">
        <w:t>CER</w:t>
      </w:r>
      <w:proofErr w:type="spellEnd"/>
      <w:r w:rsidR="009E4DB3">
        <w:t xml:space="preserve"> evidence base for </w:t>
      </w:r>
      <w:r w:rsidR="00A10A49">
        <w:t>policy evaluations and research on topics such as trans-Tasman people movement.</w:t>
      </w:r>
    </w:p>
    <w:p w14:paraId="22899695" w14:textId="40C1D165" w:rsidR="00B94E90" w:rsidRDefault="00B94E90" w:rsidP="00B94E90">
      <w:pPr>
        <w:pStyle w:val="BodyText"/>
      </w:pPr>
      <w:r>
        <w:t xml:space="preserve">There is also merit in formal reviews that examine the overall health of </w:t>
      </w:r>
      <w:proofErr w:type="spellStart"/>
      <w:r>
        <w:t>CER</w:t>
      </w:r>
      <w:proofErr w:type="spellEnd"/>
      <w:r>
        <w:t xml:space="preserve">. </w:t>
      </w:r>
      <w:r w:rsidR="00D75803">
        <w:t xml:space="preserve">These </w:t>
      </w:r>
      <w:r w:rsidR="00C11BA6">
        <w:t xml:space="preserve">were to be </w:t>
      </w:r>
      <w:r>
        <w:t xml:space="preserve">conducted ‘in house’ as part of the annual </w:t>
      </w:r>
      <w:proofErr w:type="spellStart"/>
      <w:r w:rsidR="00155DCC">
        <w:t>CER</w:t>
      </w:r>
      <w:proofErr w:type="spellEnd"/>
      <w:r w:rsidR="00155DCC">
        <w:t xml:space="preserve"> Ministerial Forum</w:t>
      </w:r>
      <w:r w:rsidR="006C6B2E">
        <w:t>,</w:t>
      </w:r>
      <w:r w:rsidR="00155DCC">
        <w:t xml:space="preserve"> led by </w:t>
      </w:r>
      <w:r>
        <w:t>Trade Ministers (Australi</w:t>
      </w:r>
      <w:r w:rsidR="00F96D37">
        <w:t>an High Commission, New Zealand </w:t>
      </w:r>
      <w:r>
        <w:t>2012). The character of these meetings can pre-dispose them to focus on immediate or short-term issues. Further,</w:t>
      </w:r>
      <w:r w:rsidR="00D75803">
        <w:t xml:space="preserve"> they have limited </w:t>
      </w:r>
      <w:r w:rsidR="003E36B9">
        <w:t xml:space="preserve">capacity </w:t>
      </w:r>
      <w:r w:rsidR="00D75803">
        <w:t>to commission or cons</w:t>
      </w:r>
      <w:r w:rsidR="002706F7">
        <w:t>ider more substantive analysis.</w:t>
      </w:r>
    </w:p>
    <w:p w14:paraId="71C5C38B" w14:textId="68EBF6BB" w:rsidR="008D4A13" w:rsidRDefault="008D4A13" w:rsidP="00B94E90">
      <w:pPr>
        <w:pStyle w:val="BodyText"/>
      </w:pPr>
      <w:r>
        <w:t>As Leslie submitted (</w:t>
      </w:r>
      <w:proofErr w:type="spellStart"/>
      <w:r>
        <w:t>DR111</w:t>
      </w:r>
      <w:proofErr w:type="spellEnd"/>
      <w:r>
        <w:t>, p.</w:t>
      </w:r>
      <w:r w:rsidR="00F96D37">
        <w:t> </w:t>
      </w:r>
      <w:r>
        <w:t>3), reviews also provide opportunit</w:t>
      </w:r>
      <w:r w:rsidR="00F655C2">
        <w:t>ies</w:t>
      </w:r>
      <w:r>
        <w:t xml:space="preserve"> for public engagement on </w:t>
      </w:r>
      <w:proofErr w:type="spellStart"/>
      <w:r>
        <w:t>CER</w:t>
      </w:r>
      <w:proofErr w:type="spellEnd"/>
      <w:r w:rsidR="00F655C2">
        <w:t xml:space="preserve"> and to promote transparency</w:t>
      </w:r>
      <w:r>
        <w:t>.</w:t>
      </w:r>
    </w:p>
    <w:p w14:paraId="0ABA4A44" w14:textId="75308FC0" w:rsidR="008D4A13" w:rsidRPr="00360122" w:rsidRDefault="008D4A13" w:rsidP="001F21DE">
      <w:pPr>
        <w:pStyle w:val="Quote"/>
        <w:rPr>
          <w:sz w:val="22"/>
          <w:szCs w:val="22"/>
        </w:rPr>
      </w:pPr>
      <w:r w:rsidRPr="00360122">
        <w:rPr>
          <w:sz w:val="22"/>
          <w:szCs w:val="22"/>
        </w:rPr>
        <w:t xml:space="preserve">Much integration of the Australian national and trans-Tasman markets has been achieved on a foundation of ‘executive’ and ‘cooperative’ federalism. This ‘cooperative’ federalism takes place within the structures of </w:t>
      </w:r>
      <w:proofErr w:type="spellStart"/>
      <w:r w:rsidRPr="00360122">
        <w:rPr>
          <w:sz w:val="22"/>
          <w:szCs w:val="22"/>
        </w:rPr>
        <w:t>COAG</w:t>
      </w:r>
      <w:proofErr w:type="spellEnd"/>
      <w:r w:rsidRPr="00360122">
        <w:rPr>
          <w:sz w:val="22"/>
          <w:szCs w:val="22"/>
        </w:rPr>
        <w:t>, its ministerial councils and standing committees of officials.</w:t>
      </w:r>
      <w:r w:rsidR="00D37EF3">
        <w:rPr>
          <w:sz w:val="22"/>
          <w:szCs w:val="22"/>
        </w:rPr>
        <w:t xml:space="preserve"> </w:t>
      </w:r>
      <w:r w:rsidR="00921133" w:rsidRPr="00360122">
        <w:rPr>
          <w:sz w:val="22"/>
          <w:szCs w:val="22"/>
        </w:rPr>
        <w:t xml:space="preserve">… </w:t>
      </w:r>
      <w:r w:rsidRPr="00360122">
        <w:rPr>
          <w:sz w:val="22"/>
          <w:szCs w:val="22"/>
        </w:rPr>
        <w:t xml:space="preserve">these structures represent only the executives of the various jurisdictions involved. Without strong measures to enforce transparency, decision-making in these bodies might also be used to shield decision makers from public accountability for their actions. Transparency of decision-making is necessary to maintain democratic accountability with regard to who has made decisions and why they have done so. This is especially important in issue areas surrounding market integration that are potentially political but often technocratic in nature. </w:t>
      </w:r>
    </w:p>
    <w:p w14:paraId="22899696" w14:textId="77777777" w:rsidR="00B94E90" w:rsidRDefault="003E36B9" w:rsidP="00B94E90">
      <w:pPr>
        <w:pStyle w:val="BodyText"/>
      </w:pPr>
      <w:r>
        <w:t xml:space="preserve">The original </w:t>
      </w:r>
      <w:proofErr w:type="spellStart"/>
      <w:r>
        <w:t>ANZCERTA</w:t>
      </w:r>
      <w:proofErr w:type="spellEnd"/>
      <w:r>
        <w:t xml:space="preserve"> was formally reviewed in 1988, 1992 and 1995. </w:t>
      </w:r>
      <w:r w:rsidR="00D75803">
        <w:t>T</w:t>
      </w:r>
      <w:r w:rsidR="00B94E90">
        <w:t xml:space="preserve">here would be merit in re-introducing comprehensive </w:t>
      </w:r>
      <w:proofErr w:type="spellStart"/>
      <w:r w:rsidR="00B94E90">
        <w:t>CER</w:t>
      </w:r>
      <w:proofErr w:type="spellEnd"/>
      <w:r w:rsidR="00B94E90">
        <w:t xml:space="preserve"> reviews conducted publicly at around five-yearly intervals. These reviews should focus on the broad direction of the </w:t>
      </w:r>
      <w:proofErr w:type="spellStart"/>
      <w:r w:rsidR="00B94E90">
        <w:t>CER</w:t>
      </w:r>
      <w:proofErr w:type="spellEnd"/>
      <w:r w:rsidR="00B94E90">
        <w:t xml:space="preserve"> agenda and draw together what has been learnt from the individual project evaluations and other relevant research conducted in the </w:t>
      </w:r>
      <w:r>
        <w:t>interim.</w:t>
      </w:r>
    </w:p>
    <w:p w14:paraId="22899697" w14:textId="77777777" w:rsidR="00B94E90" w:rsidRPr="00AE3DEF" w:rsidRDefault="00B94E90" w:rsidP="002F7E76">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B94E90" w:rsidRPr="00253B80" w14:paraId="2289969C" w14:textId="77777777" w:rsidTr="002F7E76">
        <w:trPr>
          <w:trHeight w:val="64"/>
        </w:trPr>
        <w:tc>
          <w:tcPr>
            <w:tcW w:w="236" w:type="dxa"/>
            <w:shd w:val="clear" w:color="auto" w:fill="ECECEC"/>
          </w:tcPr>
          <w:p w14:paraId="22899698"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99"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9A" w14:textId="77777777" w:rsidR="00B94E90" w:rsidRPr="00253B80" w:rsidRDefault="00B94E90" w:rsidP="002F7E76">
            <w:pPr>
              <w:pStyle w:val="BodyText"/>
              <w:spacing w:before="0" w:line="0" w:lineRule="atLeast"/>
              <w:rPr>
                <w:sz w:val="10"/>
                <w:szCs w:val="10"/>
              </w:rPr>
            </w:pPr>
          </w:p>
        </w:tc>
        <w:tc>
          <w:tcPr>
            <w:tcW w:w="7184" w:type="dxa"/>
            <w:shd w:val="clear" w:color="auto" w:fill="ECECEC"/>
          </w:tcPr>
          <w:p w14:paraId="2289969B" w14:textId="77777777" w:rsidR="00B94E90" w:rsidRPr="00253B80" w:rsidRDefault="00B94E90" w:rsidP="002F7E76">
            <w:pPr>
              <w:pStyle w:val="BodyText"/>
              <w:spacing w:before="0" w:line="0" w:lineRule="atLeast"/>
              <w:rPr>
                <w:sz w:val="10"/>
                <w:szCs w:val="10"/>
              </w:rPr>
            </w:pPr>
          </w:p>
        </w:tc>
      </w:tr>
      <w:tr w:rsidR="00B94E90" w:rsidRPr="00253B80" w14:paraId="228996A1" w14:textId="77777777" w:rsidTr="002F7E76">
        <w:tc>
          <w:tcPr>
            <w:tcW w:w="236" w:type="dxa"/>
            <w:shd w:val="clear" w:color="auto" w:fill="ECECEC"/>
          </w:tcPr>
          <w:p w14:paraId="2289969D" w14:textId="77777777" w:rsidR="00B94E90" w:rsidRPr="00253B80" w:rsidRDefault="00B94E90" w:rsidP="007A1ADB">
            <w:pPr>
              <w:pStyle w:val="BodyText"/>
              <w:rPr>
                <w:sz w:val="10"/>
                <w:szCs w:val="10"/>
              </w:rPr>
            </w:pPr>
          </w:p>
        </w:tc>
        <w:tc>
          <w:tcPr>
            <w:tcW w:w="1077" w:type="dxa"/>
            <w:shd w:val="clear" w:color="auto" w:fill="86A20B"/>
            <w:vAlign w:val="center"/>
          </w:tcPr>
          <w:p w14:paraId="2289969E" w14:textId="67FCE64D" w:rsidR="00B94E90" w:rsidRPr="0059623C" w:rsidRDefault="00B94E90" w:rsidP="002F7E76">
            <w:pPr>
              <w:pStyle w:val="Box"/>
              <w:spacing w:before="0"/>
              <w:ind w:left="-102" w:firstLine="102"/>
              <w:jc w:val="center"/>
              <w:rPr>
                <w:b/>
                <w:color w:val="FFFFFF" w:themeColor="background1"/>
                <w:sz w:val="28"/>
                <w:szCs w:val="28"/>
              </w:rPr>
            </w:pPr>
            <w:proofErr w:type="spellStart"/>
            <w:r w:rsidRPr="0059623C">
              <w:rPr>
                <w:b/>
                <w:color w:val="FFFFFF" w:themeColor="background1"/>
                <w:sz w:val="28"/>
                <w:szCs w:val="28"/>
              </w:rPr>
              <w:t>R</w:t>
            </w:r>
            <w:r w:rsidRPr="0059623C">
              <w:rPr>
                <w:b/>
                <w:color w:val="FFFFFF" w:themeColor="background1"/>
                <w:sz w:val="28"/>
                <w:szCs w:val="28"/>
              </w:rPr>
              <w:fldChar w:fldCharType="begin"/>
            </w:r>
            <w:r w:rsidRPr="0059623C">
              <w:rPr>
                <w:b/>
                <w:color w:val="FFFFFF" w:themeColor="background1"/>
                <w:sz w:val="28"/>
                <w:szCs w:val="28"/>
              </w:rPr>
              <w:instrText xml:space="preserve"> COMMENTS  \* MERGEFORMAT </w:instrText>
            </w:r>
            <w:r w:rsidRPr="0059623C">
              <w:rPr>
                <w:b/>
                <w:color w:val="FFFFFF" w:themeColor="background1"/>
                <w:sz w:val="28"/>
                <w:szCs w:val="28"/>
              </w:rPr>
              <w:fldChar w:fldCharType="separate"/>
            </w:r>
            <w:r w:rsidRPr="0059623C">
              <w:rPr>
                <w:b/>
                <w:color w:val="FFFFFF" w:themeColor="background1"/>
                <w:sz w:val="28"/>
                <w:szCs w:val="28"/>
              </w:rPr>
              <w:t>5.</w:t>
            </w:r>
            <w:r w:rsidRPr="0059623C">
              <w:rPr>
                <w:b/>
                <w:color w:val="FFFFFF" w:themeColor="background1"/>
                <w:sz w:val="28"/>
                <w:szCs w:val="28"/>
              </w:rPr>
              <w:fldChar w:fldCharType="end"/>
            </w:r>
            <w:r w:rsidRPr="0059623C">
              <w:rPr>
                <w:b/>
                <w:color w:val="FFFFFF" w:themeColor="background1"/>
                <w:sz w:val="28"/>
                <w:szCs w:val="28"/>
              </w:rPr>
              <w:fldChar w:fldCharType="begin"/>
            </w:r>
            <w:r w:rsidRPr="0059623C">
              <w:rPr>
                <w:b/>
                <w:color w:val="FFFFFF" w:themeColor="background1"/>
                <w:sz w:val="28"/>
                <w:szCs w:val="28"/>
              </w:rPr>
              <w:instrText xml:space="preserve"> SEQ Recommendations \* ARABIC \* MERGEFORMAT </w:instrText>
            </w:r>
            <w:r w:rsidRPr="0059623C">
              <w:rPr>
                <w:b/>
                <w:color w:val="FFFFFF" w:themeColor="background1"/>
                <w:sz w:val="28"/>
                <w:szCs w:val="28"/>
              </w:rPr>
              <w:fldChar w:fldCharType="separate"/>
            </w:r>
            <w:r w:rsidR="00BC59D5">
              <w:rPr>
                <w:b/>
                <w:noProof/>
                <w:color w:val="FFFFFF" w:themeColor="background1"/>
                <w:sz w:val="28"/>
                <w:szCs w:val="28"/>
              </w:rPr>
              <w:t>4</w:t>
            </w:r>
            <w:proofErr w:type="spellEnd"/>
            <w:r w:rsidRPr="0059623C">
              <w:rPr>
                <w:b/>
                <w:color w:val="FFFFFF" w:themeColor="background1"/>
                <w:sz w:val="28"/>
                <w:szCs w:val="28"/>
              </w:rPr>
              <w:fldChar w:fldCharType="end"/>
            </w:r>
          </w:p>
        </w:tc>
        <w:tc>
          <w:tcPr>
            <w:tcW w:w="236" w:type="dxa"/>
            <w:shd w:val="clear" w:color="auto" w:fill="ECECEC"/>
          </w:tcPr>
          <w:p w14:paraId="2289969F" w14:textId="77777777" w:rsidR="00B94E90" w:rsidRPr="00253B80" w:rsidRDefault="00B94E90" w:rsidP="007A1ADB">
            <w:pPr>
              <w:pStyle w:val="BodyText"/>
              <w:rPr>
                <w:sz w:val="10"/>
                <w:szCs w:val="10"/>
              </w:rPr>
            </w:pPr>
          </w:p>
        </w:tc>
        <w:tc>
          <w:tcPr>
            <w:tcW w:w="7184" w:type="dxa"/>
            <w:vMerge w:val="restart"/>
            <w:shd w:val="clear" w:color="auto" w:fill="ECECEC"/>
          </w:tcPr>
          <w:p w14:paraId="228996A0" w14:textId="77777777" w:rsidR="00B94E90" w:rsidRPr="0080565B" w:rsidRDefault="00B94E90" w:rsidP="002F7E76">
            <w:pPr>
              <w:pStyle w:val="OZNZQuestion"/>
            </w:pPr>
            <w:r w:rsidRPr="00B94E90">
              <w:t xml:space="preserve">The Australian and New Zealand Governments should undertake five-yearly public reviews of </w:t>
            </w:r>
            <w:proofErr w:type="spellStart"/>
            <w:r w:rsidRPr="00B94E90">
              <w:t>CER</w:t>
            </w:r>
            <w:proofErr w:type="spellEnd"/>
            <w:r w:rsidRPr="00B94E90">
              <w:t xml:space="preserve"> to take stock of what has been achieved and learnt, and </w:t>
            </w:r>
            <w:r w:rsidR="00D75803">
              <w:t xml:space="preserve">to </w:t>
            </w:r>
            <w:r w:rsidRPr="00B94E90">
              <w:t>ensure that the agenda remains relevant and forward looking.</w:t>
            </w:r>
          </w:p>
        </w:tc>
      </w:tr>
      <w:tr w:rsidR="00B94E90" w:rsidRPr="00253B80" w14:paraId="228996A6" w14:textId="77777777" w:rsidTr="002F7E76">
        <w:trPr>
          <w:trHeight w:val="64"/>
        </w:trPr>
        <w:tc>
          <w:tcPr>
            <w:tcW w:w="236" w:type="dxa"/>
            <w:shd w:val="clear" w:color="auto" w:fill="ECECEC"/>
          </w:tcPr>
          <w:p w14:paraId="228996A2"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A3"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A4" w14:textId="77777777" w:rsidR="00B94E90" w:rsidRPr="00253B80" w:rsidRDefault="00B94E90" w:rsidP="002F7E76">
            <w:pPr>
              <w:pStyle w:val="BodyText"/>
              <w:spacing w:before="0" w:line="0" w:lineRule="atLeast"/>
              <w:rPr>
                <w:sz w:val="10"/>
                <w:szCs w:val="10"/>
              </w:rPr>
            </w:pPr>
          </w:p>
        </w:tc>
        <w:tc>
          <w:tcPr>
            <w:tcW w:w="7184" w:type="dxa"/>
            <w:vMerge/>
            <w:shd w:val="clear" w:color="auto" w:fill="ECECEC"/>
          </w:tcPr>
          <w:p w14:paraId="228996A5" w14:textId="77777777" w:rsidR="00B94E90" w:rsidRPr="00253B80" w:rsidRDefault="00B94E90" w:rsidP="002F7E76">
            <w:pPr>
              <w:pStyle w:val="BodyText"/>
              <w:spacing w:before="0" w:line="0" w:lineRule="atLeast"/>
              <w:rPr>
                <w:sz w:val="10"/>
                <w:szCs w:val="10"/>
              </w:rPr>
            </w:pPr>
          </w:p>
        </w:tc>
      </w:tr>
      <w:tr w:rsidR="00B94E90" w:rsidRPr="00253B80" w14:paraId="228996AB" w14:textId="77777777" w:rsidTr="002F7E76">
        <w:tc>
          <w:tcPr>
            <w:tcW w:w="236" w:type="dxa"/>
            <w:shd w:val="clear" w:color="auto" w:fill="ECECEC"/>
          </w:tcPr>
          <w:p w14:paraId="228996A7" w14:textId="77777777" w:rsidR="00B94E90" w:rsidRPr="00253B80" w:rsidRDefault="00B94E90" w:rsidP="002F7E76">
            <w:pPr>
              <w:pStyle w:val="BodyText"/>
              <w:spacing w:before="0" w:line="0" w:lineRule="atLeast"/>
              <w:rPr>
                <w:sz w:val="10"/>
                <w:szCs w:val="10"/>
              </w:rPr>
            </w:pPr>
          </w:p>
        </w:tc>
        <w:tc>
          <w:tcPr>
            <w:tcW w:w="1077" w:type="dxa"/>
            <w:shd w:val="clear" w:color="auto" w:fill="ECECEC"/>
          </w:tcPr>
          <w:p w14:paraId="228996A8" w14:textId="77777777" w:rsidR="00B94E90" w:rsidRPr="00253B80" w:rsidRDefault="00B94E90" w:rsidP="002F7E76">
            <w:pPr>
              <w:pStyle w:val="BodyText"/>
              <w:spacing w:before="0" w:line="0" w:lineRule="atLeast"/>
              <w:rPr>
                <w:sz w:val="10"/>
                <w:szCs w:val="10"/>
              </w:rPr>
            </w:pPr>
          </w:p>
        </w:tc>
        <w:tc>
          <w:tcPr>
            <w:tcW w:w="236" w:type="dxa"/>
            <w:shd w:val="clear" w:color="auto" w:fill="ECECEC"/>
          </w:tcPr>
          <w:p w14:paraId="228996A9" w14:textId="77777777" w:rsidR="00B94E90" w:rsidRPr="00253B80" w:rsidRDefault="00B94E90" w:rsidP="002F7E76">
            <w:pPr>
              <w:pStyle w:val="BodyText"/>
              <w:spacing w:before="0" w:line="0" w:lineRule="atLeast"/>
              <w:rPr>
                <w:sz w:val="10"/>
                <w:szCs w:val="10"/>
              </w:rPr>
            </w:pPr>
          </w:p>
        </w:tc>
        <w:tc>
          <w:tcPr>
            <w:tcW w:w="7184" w:type="dxa"/>
            <w:shd w:val="clear" w:color="auto" w:fill="ECECEC"/>
          </w:tcPr>
          <w:p w14:paraId="228996AA" w14:textId="77777777" w:rsidR="00B94E90" w:rsidRPr="00253B80" w:rsidRDefault="00B94E90" w:rsidP="002F7E76">
            <w:pPr>
              <w:pStyle w:val="BodyText"/>
              <w:spacing w:before="0" w:line="0" w:lineRule="atLeast"/>
              <w:rPr>
                <w:sz w:val="10"/>
                <w:szCs w:val="10"/>
              </w:rPr>
            </w:pPr>
          </w:p>
        </w:tc>
      </w:tr>
    </w:tbl>
    <w:p w14:paraId="228996AC" w14:textId="77777777" w:rsidR="00B94E90" w:rsidRDefault="00B94E90" w:rsidP="00B94E90">
      <w:pPr>
        <w:pStyle w:val="BodyText"/>
      </w:pPr>
    </w:p>
    <w:sectPr w:rsidR="00B94E90" w:rsidSect="0002183C">
      <w:headerReference w:type="even" r:id="rId13"/>
      <w:headerReference w:type="default" r:id="rId14"/>
      <w:footerReference w:type="even" r:id="rId15"/>
      <w:footerReference w:type="default" r:id="rId16"/>
      <w:pgSz w:w="11907" w:h="16840" w:code="9"/>
      <w:pgMar w:top="1985" w:right="1304" w:bottom="1418" w:left="1814" w:header="1701" w:footer="567" w:gutter="0"/>
      <w:pgNumType w:start="16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996AF" w14:textId="77777777" w:rsidR="00D406B3" w:rsidRDefault="00D406B3">
      <w:r>
        <w:separator/>
      </w:r>
    </w:p>
  </w:endnote>
  <w:endnote w:type="continuationSeparator" w:id="0">
    <w:p w14:paraId="228996B0" w14:textId="77777777" w:rsidR="00D406B3" w:rsidRDefault="00D4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D406B3" w:rsidRPr="00135D87" w14:paraId="228996BB" w14:textId="77777777" w:rsidTr="00E971AD">
      <w:trPr>
        <w:trHeight w:hRule="exact" w:val="740"/>
      </w:trPr>
      <w:tc>
        <w:tcPr>
          <w:tcW w:w="510" w:type="dxa"/>
        </w:tcPr>
        <w:p w14:paraId="228996B9" w14:textId="77777777" w:rsidR="00D406B3" w:rsidRPr="00135D87" w:rsidRDefault="00D406B3" w:rsidP="00147DE6">
          <w:pPr>
            <w:pStyle w:val="Footer"/>
            <w:tabs>
              <w:tab w:val="left" w:pos="0"/>
            </w:tabs>
            <w:ind w:right="0"/>
            <w:rPr>
              <w:rStyle w:val="PageNumbe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BC59D5">
            <w:rPr>
              <w:rStyle w:val="PageNumber"/>
              <w:rFonts w:cs="Arial"/>
              <w:noProof/>
            </w:rPr>
            <w:t>178</w:t>
          </w:r>
          <w:r w:rsidRPr="00135D87">
            <w:rPr>
              <w:rStyle w:val="PageNumber"/>
              <w:rFonts w:cs="Arial"/>
            </w:rPr>
            <w:fldChar w:fldCharType="end"/>
          </w:r>
        </w:p>
      </w:tc>
      <w:tc>
        <w:tcPr>
          <w:tcW w:w="8278" w:type="dxa"/>
        </w:tcPr>
        <w:p w14:paraId="228996BA" w14:textId="3190A02B" w:rsidR="00D406B3" w:rsidRPr="00135D87" w:rsidRDefault="00D406B3" w:rsidP="00D37EF3">
          <w:pPr>
            <w:pStyle w:val="Footer"/>
            <w:rPr>
              <w:rFonts w:cs="Arial"/>
            </w:rPr>
          </w:pPr>
          <w:r>
            <w:rPr>
              <w:rFonts w:cs="Arial"/>
              <w:caps w:val="0"/>
            </w:rPr>
            <w:t>Strengthening trans-Tasman economic relations</w:t>
          </w:r>
        </w:p>
      </w:tc>
    </w:tr>
  </w:tbl>
  <w:p w14:paraId="228996BC" w14:textId="77777777" w:rsidR="00D406B3" w:rsidRDefault="00D406B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D406B3" w:rsidRPr="00135D87" w14:paraId="228996BF" w14:textId="77777777" w:rsidTr="00E971AD">
      <w:trPr>
        <w:trHeight w:hRule="exact" w:val="740"/>
      </w:trPr>
      <w:tc>
        <w:tcPr>
          <w:tcW w:w="8278" w:type="dxa"/>
        </w:tcPr>
        <w:p w14:paraId="228996BD" w14:textId="77777777" w:rsidR="00D406B3" w:rsidRPr="00135D87" w:rsidRDefault="00D406B3" w:rsidP="00147DE6">
          <w:pPr>
            <w:pStyle w:val="Footer"/>
            <w:jc w:val="right"/>
            <w:rPr>
              <w:rFonts w:cs="Arial"/>
            </w:rPr>
          </w:pPr>
          <w:r w:rsidRPr="00F1504C">
            <w:rPr>
              <w:rFonts w:cs="Arial"/>
              <w:caps w:val="0"/>
            </w:rPr>
            <w:fldChar w:fldCharType="begin"/>
          </w:r>
          <w:r w:rsidRPr="00F1504C">
            <w:rPr>
              <w:rFonts w:cs="Arial"/>
              <w:caps w:val="0"/>
            </w:rPr>
            <w:instrText xml:space="preserve"> TITLE  \* MERGEFORMAT </w:instrText>
          </w:r>
          <w:r w:rsidRPr="00F1504C">
            <w:rPr>
              <w:rFonts w:cs="Arial"/>
              <w:caps w:val="0"/>
            </w:rPr>
            <w:fldChar w:fldCharType="separate"/>
          </w:r>
          <w:r w:rsidR="00BC59D5">
            <w:rPr>
              <w:rFonts w:cs="Arial"/>
              <w:caps w:val="0"/>
            </w:rPr>
            <w:t>Making it happen</w:t>
          </w:r>
          <w:r w:rsidRPr="00F1504C">
            <w:rPr>
              <w:rFonts w:cs="Arial"/>
              <w:caps w:val="0"/>
            </w:rPr>
            <w:fldChar w:fldCharType="end"/>
          </w:r>
        </w:p>
      </w:tc>
      <w:tc>
        <w:tcPr>
          <w:tcW w:w="510" w:type="dxa"/>
        </w:tcPr>
        <w:p w14:paraId="228996BE" w14:textId="77777777" w:rsidR="00D406B3" w:rsidRPr="00135D87" w:rsidRDefault="00D406B3"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BC59D5">
            <w:rPr>
              <w:rStyle w:val="PageNumber"/>
              <w:rFonts w:cs="Arial"/>
              <w:noProof/>
            </w:rPr>
            <w:t>177</w:t>
          </w:r>
          <w:r w:rsidRPr="00135D87">
            <w:rPr>
              <w:rStyle w:val="PageNumber"/>
              <w:rFonts w:cs="Arial"/>
            </w:rPr>
            <w:fldChar w:fldCharType="end"/>
          </w:r>
        </w:p>
      </w:tc>
    </w:tr>
  </w:tbl>
  <w:p w14:paraId="228996C0" w14:textId="77777777" w:rsidR="00D406B3" w:rsidRPr="009A6431" w:rsidRDefault="00D406B3" w:rsidP="001B53C3">
    <w:pPr>
      <w:pStyle w:val="FooterEnd"/>
    </w:pPr>
  </w:p>
  <w:p w14:paraId="228996C1" w14:textId="77777777" w:rsidR="00D406B3" w:rsidRDefault="00D406B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996AD" w14:textId="77777777" w:rsidR="00D406B3" w:rsidRDefault="00D406B3">
      <w:r>
        <w:separator/>
      </w:r>
    </w:p>
  </w:footnote>
  <w:footnote w:type="continuationSeparator" w:id="0">
    <w:p w14:paraId="228996AE" w14:textId="77777777" w:rsidR="00D406B3" w:rsidRDefault="00D40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406B3" w14:paraId="228996B3" w14:textId="77777777" w:rsidTr="00582C63">
      <w:tc>
        <w:tcPr>
          <w:tcW w:w="2155" w:type="dxa"/>
          <w:tcBorders>
            <w:top w:val="single" w:sz="24" w:space="0" w:color="86A20B"/>
          </w:tcBorders>
        </w:tcPr>
        <w:p w14:paraId="228996B1" w14:textId="77777777" w:rsidR="00D406B3" w:rsidRDefault="00D406B3" w:rsidP="007A1ADB">
          <w:pPr>
            <w:pStyle w:val="HeaderEven"/>
          </w:pPr>
        </w:p>
      </w:tc>
      <w:tc>
        <w:tcPr>
          <w:tcW w:w="6634" w:type="dxa"/>
          <w:tcBorders>
            <w:top w:val="dotted" w:sz="18" w:space="0" w:color="B2B2B2"/>
          </w:tcBorders>
        </w:tcPr>
        <w:p w14:paraId="228996B2" w14:textId="77777777" w:rsidR="00D406B3" w:rsidRDefault="00D406B3" w:rsidP="007A1ADB">
          <w:pPr>
            <w:pStyle w:val="HeaderEven"/>
          </w:pPr>
        </w:p>
      </w:tc>
    </w:tr>
  </w:tbl>
  <w:p w14:paraId="228996B4" w14:textId="77777777" w:rsidR="00D406B3" w:rsidRDefault="00D406B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06B3" w14:paraId="4429CCF4" w14:textId="77777777" w:rsidTr="00006A87">
      <w:tc>
        <w:tcPr>
          <w:tcW w:w="6634" w:type="dxa"/>
          <w:tcBorders>
            <w:top w:val="dotted" w:sz="18" w:space="0" w:color="B2B2B2"/>
          </w:tcBorders>
        </w:tcPr>
        <w:p w14:paraId="2DC8F4CC" w14:textId="2CC8F75F" w:rsidR="00D406B3" w:rsidRDefault="00D406B3" w:rsidP="00360122">
          <w:pPr>
            <w:pStyle w:val="HeaderOdd"/>
          </w:pPr>
        </w:p>
      </w:tc>
      <w:tc>
        <w:tcPr>
          <w:tcW w:w="2155" w:type="dxa"/>
          <w:tcBorders>
            <w:top w:val="single" w:sz="24" w:space="0" w:color="86A20B"/>
          </w:tcBorders>
        </w:tcPr>
        <w:p w14:paraId="1163FE91" w14:textId="77777777" w:rsidR="00D406B3" w:rsidRDefault="00D406B3" w:rsidP="00006A87">
          <w:pPr>
            <w:pStyle w:val="HeaderOdd"/>
          </w:pPr>
        </w:p>
      </w:tc>
    </w:tr>
  </w:tbl>
  <w:p w14:paraId="12A88309" w14:textId="77777777" w:rsidR="00D406B3" w:rsidRDefault="00D406B3" w:rsidP="00006A87">
    <w:pPr>
      <w:pStyle w:val="HeaderEnd"/>
    </w:pPr>
  </w:p>
  <w:p w14:paraId="228996B8" w14:textId="77777777" w:rsidR="00D406B3" w:rsidRDefault="00D406B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aking it happen"/>
    <w:docVar w:name="ShortReportTitle" w:val="Strengthening Trans-Tasman Economic Relations"/>
  </w:docVars>
  <w:rsids>
    <w:rsidRoot w:val="00D24D40"/>
    <w:rsid w:val="00005536"/>
    <w:rsid w:val="00006A87"/>
    <w:rsid w:val="0002183C"/>
    <w:rsid w:val="000245AA"/>
    <w:rsid w:val="0003664B"/>
    <w:rsid w:val="0004111F"/>
    <w:rsid w:val="00041329"/>
    <w:rsid w:val="0005152B"/>
    <w:rsid w:val="000565B3"/>
    <w:rsid w:val="0007150B"/>
    <w:rsid w:val="0007380A"/>
    <w:rsid w:val="000854F1"/>
    <w:rsid w:val="000938F5"/>
    <w:rsid w:val="000A2F63"/>
    <w:rsid w:val="000A3B88"/>
    <w:rsid w:val="000B4B49"/>
    <w:rsid w:val="000B601B"/>
    <w:rsid w:val="000C207E"/>
    <w:rsid w:val="000E156C"/>
    <w:rsid w:val="000E4F45"/>
    <w:rsid w:val="00102877"/>
    <w:rsid w:val="00110116"/>
    <w:rsid w:val="0011127A"/>
    <w:rsid w:val="001156E5"/>
    <w:rsid w:val="00126919"/>
    <w:rsid w:val="00126EB8"/>
    <w:rsid w:val="001274D4"/>
    <w:rsid w:val="001363AA"/>
    <w:rsid w:val="00144297"/>
    <w:rsid w:val="00147DE6"/>
    <w:rsid w:val="00155DCC"/>
    <w:rsid w:val="00157338"/>
    <w:rsid w:val="00164243"/>
    <w:rsid w:val="00173E37"/>
    <w:rsid w:val="00174CBF"/>
    <w:rsid w:val="0018062F"/>
    <w:rsid w:val="00183E82"/>
    <w:rsid w:val="00190FC1"/>
    <w:rsid w:val="00191AE0"/>
    <w:rsid w:val="00192303"/>
    <w:rsid w:val="0019293B"/>
    <w:rsid w:val="00193CC7"/>
    <w:rsid w:val="001A6A81"/>
    <w:rsid w:val="001B53C3"/>
    <w:rsid w:val="001C0865"/>
    <w:rsid w:val="001C3ABA"/>
    <w:rsid w:val="001E1712"/>
    <w:rsid w:val="001E7BE8"/>
    <w:rsid w:val="001F0248"/>
    <w:rsid w:val="001F0AD2"/>
    <w:rsid w:val="001F1DCF"/>
    <w:rsid w:val="001F21DE"/>
    <w:rsid w:val="001F3EB3"/>
    <w:rsid w:val="001F7F46"/>
    <w:rsid w:val="0020210E"/>
    <w:rsid w:val="00202C2C"/>
    <w:rsid w:val="0020420A"/>
    <w:rsid w:val="00206EC4"/>
    <w:rsid w:val="0021686E"/>
    <w:rsid w:val="00242279"/>
    <w:rsid w:val="00245C82"/>
    <w:rsid w:val="002706F7"/>
    <w:rsid w:val="002745BA"/>
    <w:rsid w:val="002840B8"/>
    <w:rsid w:val="00287732"/>
    <w:rsid w:val="00291B40"/>
    <w:rsid w:val="00291CB8"/>
    <w:rsid w:val="002A0924"/>
    <w:rsid w:val="002A237F"/>
    <w:rsid w:val="002B1AAA"/>
    <w:rsid w:val="002B4008"/>
    <w:rsid w:val="002B6178"/>
    <w:rsid w:val="002C1737"/>
    <w:rsid w:val="002D0E8E"/>
    <w:rsid w:val="002F3395"/>
    <w:rsid w:val="002F7E76"/>
    <w:rsid w:val="00301189"/>
    <w:rsid w:val="00311FD9"/>
    <w:rsid w:val="00312819"/>
    <w:rsid w:val="00323C43"/>
    <w:rsid w:val="00323E09"/>
    <w:rsid w:val="00333932"/>
    <w:rsid w:val="003518AA"/>
    <w:rsid w:val="00352165"/>
    <w:rsid w:val="00353182"/>
    <w:rsid w:val="003565D9"/>
    <w:rsid w:val="00360122"/>
    <w:rsid w:val="003602E1"/>
    <w:rsid w:val="0037026F"/>
    <w:rsid w:val="00371240"/>
    <w:rsid w:val="00374731"/>
    <w:rsid w:val="003750A7"/>
    <w:rsid w:val="003919F9"/>
    <w:rsid w:val="003C38B5"/>
    <w:rsid w:val="003C5D99"/>
    <w:rsid w:val="003D64F0"/>
    <w:rsid w:val="003E2F59"/>
    <w:rsid w:val="003E36B9"/>
    <w:rsid w:val="003F0789"/>
    <w:rsid w:val="003F14FA"/>
    <w:rsid w:val="00401882"/>
    <w:rsid w:val="004032D5"/>
    <w:rsid w:val="004100C8"/>
    <w:rsid w:val="00411DBD"/>
    <w:rsid w:val="00412ACE"/>
    <w:rsid w:val="00431249"/>
    <w:rsid w:val="00434C19"/>
    <w:rsid w:val="00443DB0"/>
    <w:rsid w:val="00444781"/>
    <w:rsid w:val="00445D87"/>
    <w:rsid w:val="00450810"/>
    <w:rsid w:val="004532BB"/>
    <w:rsid w:val="00455C5C"/>
    <w:rsid w:val="00464738"/>
    <w:rsid w:val="00477144"/>
    <w:rsid w:val="0049459F"/>
    <w:rsid w:val="004A38DD"/>
    <w:rsid w:val="004B43AE"/>
    <w:rsid w:val="004C30ED"/>
    <w:rsid w:val="004D5675"/>
    <w:rsid w:val="004E5AA5"/>
    <w:rsid w:val="004F01DC"/>
    <w:rsid w:val="005016C6"/>
    <w:rsid w:val="00511D8E"/>
    <w:rsid w:val="00523639"/>
    <w:rsid w:val="00524ACF"/>
    <w:rsid w:val="00530488"/>
    <w:rsid w:val="00570155"/>
    <w:rsid w:val="00582C63"/>
    <w:rsid w:val="00583C39"/>
    <w:rsid w:val="005909CF"/>
    <w:rsid w:val="00591E71"/>
    <w:rsid w:val="0059623C"/>
    <w:rsid w:val="005A0D41"/>
    <w:rsid w:val="005A1F35"/>
    <w:rsid w:val="005B3D92"/>
    <w:rsid w:val="005C2C21"/>
    <w:rsid w:val="005C782E"/>
    <w:rsid w:val="005C7BB3"/>
    <w:rsid w:val="005D5623"/>
    <w:rsid w:val="005E62FE"/>
    <w:rsid w:val="005F5562"/>
    <w:rsid w:val="005F74DE"/>
    <w:rsid w:val="00607BF1"/>
    <w:rsid w:val="00630D4D"/>
    <w:rsid w:val="00632A74"/>
    <w:rsid w:val="0063408C"/>
    <w:rsid w:val="00646E54"/>
    <w:rsid w:val="00650A4A"/>
    <w:rsid w:val="00677743"/>
    <w:rsid w:val="00682B10"/>
    <w:rsid w:val="00684874"/>
    <w:rsid w:val="006A30E2"/>
    <w:rsid w:val="006A418F"/>
    <w:rsid w:val="006A42B0"/>
    <w:rsid w:val="006A4655"/>
    <w:rsid w:val="006A79DE"/>
    <w:rsid w:val="006B208F"/>
    <w:rsid w:val="006B2B3C"/>
    <w:rsid w:val="006B69A7"/>
    <w:rsid w:val="006C1D81"/>
    <w:rsid w:val="006C4256"/>
    <w:rsid w:val="006C6B2E"/>
    <w:rsid w:val="006C7038"/>
    <w:rsid w:val="006E2FBB"/>
    <w:rsid w:val="006E73EF"/>
    <w:rsid w:val="00714D4D"/>
    <w:rsid w:val="00742956"/>
    <w:rsid w:val="00744116"/>
    <w:rsid w:val="007604BB"/>
    <w:rsid w:val="00771ED5"/>
    <w:rsid w:val="00777371"/>
    <w:rsid w:val="0078286B"/>
    <w:rsid w:val="00785232"/>
    <w:rsid w:val="00786627"/>
    <w:rsid w:val="007A1ADB"/>
    <w:rsid w:val="007A21EB"/>
    <w:rsid w:val="007A386B"/>
    <w:rsid w:val="007B3943"/>
    <w:rsid w:val="007C36C9"/>
    <w:rsid w:val="007D6401"/>
    <w:rsid w:val="007E01E4"/>
    <w:rsid w:val="007E0680"/>
    <w:rsid w:val="007E0903"/>
    <w:rsid w:val="007F7107"/>
    <w:rsid w:val="0081030F"/>
    <w:rsid w:val="00812BF6"/>
    <w:rsid w:val="0082087D"/>
    <w:rsid w:val="00823369"/>
    <w:rsid w:val="00832687"/>
    <w:rsid w:val="00840ACC"/>
    <w:rsid w:val="00842933"/>
    <w:rsid w:val="0086082C"/>
    <w:rsid w:val="00861087"/>
    <w:rsid w:val="00864ADC"/>
    <w:rsid w:val="008668D4"/>
    <w:rsid w:val="00880153"/>
    <w:rsid w:val="00880F97"/>
    <w:rsid w:val="0088133A"/>
    <w:rsid w:val="00885C96"/>
    <w:rsid w:val="0089285E"/>
    <w:rsid w:val="0089436C"/>
    <w:rsid w:val="008A3EAA"/>
    <w:rsid w:val="008A77D7"/>
    <w:rsid w:val="008B6CD9"/>
    <w:rsid w:val="008C4CDF"/>
    <w:rsid w:val="008D1315"/>
    <w:rsid w:val="008D365C"/>
    <w:rsid w:val="008D3C33"/>
    <w:rsid w:val="008D4A13"/>
    <w:rsid w:val="008E3C45"/>
    <w:rsid w:val="009030BF"/>
    <w:rsid w:val="00914368"/>
    <w:rsid w:val="00914E6D"/>
    <w:rsid w:val="00921133"/>
    <w:rsid w:val="009252F4"/>
    <w:rsid w:val="00931002"/>
    <w:rsid w:val="00931076"/>
    <w:rsid w:val="009345D9"/>
    <w:rsid w:val="00934B15"/>
    <w:rsid w:val="00935E8F"/>
    <w:rsid w:val="00936BCA"/>
    <w:rsid w:val="00942B62"/>
    <w:rsid w:val="00943442"/>
    <w:rsid w:val="009536A3"/>
    <w:rsid w:val="00953D80"/>
    <w:rsid w:val="00956A0C"/>
    <w:rsid w:val="00956BD9"/>
    <w:rsid w:val="00962489"/>
    <w:rsid w:val="00967505"/>
    <w:rsid w:val="00970EA8"/>
    <w:rsid w:val="009755CE"/>
    <w:rsid w:val="0098405C"/>
    <w:rsid w:val="00984CD7"/>
    <w:rsid w:val="00990C2C"/>
    <w:rsid w:val="009B0F87"/>
    <w:rsid w:val="009B1B71"/>
    <w:rsid w:val="009C06DC"/>
    <w:rsid w:val="009D7710"/>
    <w:rsid w:val="009E4DB3"/>
    <w:rsid w:val="009E6531"/>
    <w:rsid w:val="009F3A04"/>
    <w:rsid w:val="009F5BBD"/>
    <w:rsid w:val="009F696D"/>
    <w:rsid w:val="009F6BC6"/>
    <w:rsid w:val="00A10A49"/>
    <w:rsid w:val="00A17328"/>
    <w:rsid w:val="00A2136B"/>
    <w:rsid w:val="00A21DA1"/>
    <w:rsid w:val="00A23A20"/>
    <w:rsid w:val="00A268B9"/>
    <w:rsid w:val="00A2703A"/>
    <w:rsid w:val="00A3076E"/>
    <w:rsid w:val="00A33DFF"/>
    <w:rsid w:val="00A35115"/>
    <w:rsid w:val="00A554AB"/>
    <w:rsid w:val="00A57A4C"/>
    <w:rsid w:val="00A65F82"/>
    <w:rsid w:val="00A67127"/>
    <w:rsid w:val="00A8577F"/>
    <w:rsid w:val="00A92B53"/>
    <w:rsid w:val="00A94FA6"/>
    <w:rsid w:val="00A94FFB"/>
    <w:rsid w:val="00AA49A0"/>
    <w:rsid w:val="00AA6710"/>
    <w:rsid w:val="00AB05F2"/>
    <w:rsid w:val="00AB0681"/>
    <w:rsid w:val="00AB2370"/>
    <w:rsid w:val="00AB6A80"/>
    <w:rsid w:val="00AC5E9C"/>
    <w:rsid w:val="00AD520B"/>
    <w:rsid w:val="00AF4E73"/>
    <w:rsid w:val="00B30A96"/>
    <w:rsid w:val="00B440AD"/>
    <w:rsid w:val="00B445E2"/>
    <w:rsid w:val="00B53E7E"/>
    <w:rsid w:val="00B61C5F"/>
    <w:rsid w:val="00B6342E"/>
    <w:rsid w:val="00B64F34"/>
    <w:rsid w:val="00B7113F"/>
    <w:rsid w:val="00B74F7E"/>
    <w:rsid w:val="00B750B6"/>
    <w:rsid w:val="00B7645D"/>
    <w:rsid w:val="00B77F8C"/>
    <w:rsid w:val="00B94E90"/>
    <w:rsid w:val="00B96B82"/>
    <w:rsid w:val="00BA55F2"/>
    <w:rsid w:val="00BA73B6"/>
    <w:rsid w:val="00BB2603"/>
    <w:rsid w:val="00BB4604"/>
    <w:rsid w:val="00BB4FCD"/>
    <w:rsid w:val="00BC3691"/>
    <w:rsid w:val="00BC59D5"/>
    <w:rsid w:val="00BC7BFE"/>
    <w:rsid w:val="00BD13EA"/>
    <w:rsid w:val="00BE3808"/>
    <w:rsid w:val="00BF1685"/>
    <w:rsid w:val="00C062E9"/>
    <w:rsid w:val="00C07B64"/>
    <w:rsid w:val="00C11BA6"/>
    <w:rsid w:val="00C13721"/>
    <w:rsid w:val="00C27FDF"/>
    <w:rsid w:val="00C3066D"/>
    <w:rsid w:val="00C45D99"/>
    <w:rsid w:val="00C529FA"/>
    <w:rsid w:val="00C543F4"/>
    <w:rsid w:val="00C6291C"/>
    <w:rsid w:val="00C633CB"/>
    <w:rsid w:val="00C7310D"/>
    <w:rsid w:val="00C73E20"/>
    <w:rsid w:val="00C80410"/>
    <w:rsid w:val="00C8762C"/>
    <w:rsid w:val="00C94B4A"/>
    <w:rsid w:val="00CA00F9"/>
    <w:rsid w:val="00CA2961"/>
    <w:rsid w:val="00CB50D7"/>
    <w:rsid w:val="00CB7177"/>
    <w:rsid w:val="00CC1998"/>
    <w:rsid w:val="00CC4946"/>
    <w:rsid w:val="00CD0569"/>
    <w:rsid w:val="00CE6CD9"/>
    <w:rsid w:val="00D07D0F"/>
    <w:rsid w:val="00D07E3E"/>
    <w:rsid w:val="00D17B06"/>
    <w:rsid w:val="00D218DF"/>
    <w:rsid w:val="00D2410F"/>
    <w:rsid w:val="00D24D40"/>
    <w:rsid w:val="00D270A4"/>
    <w:rsid w:val="00D31FE9"/>
    <w:rsid w:val="00D34E1B"/>
    <w:rsid w:val="00D376BA"/>
    <w:rsid w:val="00D37EF3"/>
    <w:rsid w:val="00D406B3"/>
    <w:rsid w:val="00D5568A"/>
    <w:rsid w:val="00D63D73"/>
    <w:rsid w:val="00D66E1E"/>
    <w:rsid w:val="00D75722"/>
    <w:rsid w:val="00D75803"/>
    <w:rsid w:val="00D76C9E"/>
    <w:rsid w:val="00DA5BBA"/>
    <w:rsid w:val="00DB4D88"/>
    <w:rsid w:val="00DB67C9"/>
    <w:rsid w:val="00DC0C95"/>
    <w:rsid w:val="00DC2EFE"/>
    <w:rsid w:val="00DD6580"/>
    <w:rsid w:val="00E17C72"/>
    <w:rsid w:val="00E20621"/>
    <w:rsid w:val="00E21091"/>
    <w:rsid w:val="00E21FC6"/>
    <w:rsid w:val="00E2449A"/>
    <w:rsid w:val="00E26F01"/>
    <w:rsid w:val="00E431A9"/>
    <w:rsid w:val="00E44552"/>
    <w:rsid w:val="00E47C1C"/>
    <w:rsid w:val="00E55948"/>
    <w:rsid w:val="00E62208"/>
    <w:rsid w:val="00E669E2"/>
    <w:rsid w:val="00E76135"/>
    <w:rsid w:val="00E9037A"/>
    <w:rsid w:val="00E91538"/>
    <w:rsid w:val="00E94C31"/>
    <w:rsid w:val="00E971AD"/>
    <w:rsid w:val="00EB37BE"/>
    <w:rsid w:val="00EB57E9"/>
    <w:rsid w:val="00EC2844"/>
    <w:rsid w:val="00ED1447"/>
    <w:rsid w:val="00EE7B49"/>
    <w:rsid w:val="00EF62AE"/>
    <w:rsid w:val="00EF6C6C"/>
    <w:rsid w:val="00F01CAC"/>
    <w:rsid w:val="00F056FC"/>
    <w:rsid w:val="00F10476"/>
    <w:rsid w:val="00F13163"/>
    <w:rsid w:val="00F135D8"/>
    <w:rsid w:val="00F23CE9"/>
    <w:rsid w:val="00F24868"/>
    <w:rsid w:val="00F25563"/>
    <w:rsid w:val="00F31299"/>
    <w:rsid w:val="00F3534A"/>
    <w:rsid w:val="00F354BA"/>
    <w:rsid w:val="00F46337"/>
    <w:rsid w:val="00F52C2C"/>
    <w:rsid w:val="00F54224"/>
    <w:rsid w:val="00F6113D"/>
    <w:rsid w:val="00F62CEA"/>
    <w:rsid w:val="00F655C2"/>
    <w:rsid w:val="00F85325"/>
    <w:rsid w:val="00F96D37"/>
    <w:rsid w:val="00FC1044"/>
    <w:rsid w:val="00FC4FDA"/>
    <w:rsid w:val="00FC6E50"/>
    <w:rsid w:val="00FD22B1"/>
    <w:rsid w:val="00FE0647"/>
    <w:rsid w:val="00FE55E8"/>
    <w:rsid w:val="00FF78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2289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header" w:uiPriority="99"/>
    <w:lsdException w:name="footer"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4F7E"/>
    <w:rPr>
      <w:sz w:val="26"/>
      <w:szCs w:val="24"/>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B94E90"/>
    <w:pPr>
      <w:keepLines/>
      <w:spacing w:before="0"/>
    </w:p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B94E90"/>
    <w:rPr>
      <w:rFonts w:ascii="Arial" w:hAnsi="Arial"/>
      <w:color w:val="1C1C1C"/>
      <w:sz w:val="24"/>
    </w:rPr>
  </w:style>
  <w:style w:type="table" w:styleId="TableGrid">
    <w:name w:val="Table Grid"/>
    <w:basedOn w:val="TableNormal"/>
    <w:rsid w:val="00B94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C7BF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C7BFE"/>
    <w:rPr>
      <w:szCs w:val="24"/>
    </w:rPr>
  </w:style>
  <w:style w:type="character" w:customStyle="1" w:styleId="CommentSubjectChar">
    <w:name w:val="Comment Subject Char"/>
    <w:basedOn w:val="CommentTextChar"/>
    <w:link w:val="CommentSubject"/>
    <w:rsid w:val="00BC7BFE"/>
    <w:rPr>
      <w:b/>
      <w:bCs/>
      <w:szCs w:val="24"/>
    </w:rPr>
  </w:style>
  <w:style w:type="character" w:customStyle="1" w:styleId="HeaderChar">
    <w:name w:val="Header Char"/>
    <w:basedOn w:val="DefaultParagraphFont"/>
    <w:link w:val="Header"/>
    <w:uiPriority w:val="99"/>
    <w:rsid w:val="00F6113D"/>
    <w:rPr>
      <w:rFonts w:ascii="Arial" w:hAnsi="Arial"/>
      <w:caps/>
      <w:color w:val="1C1C1C"/>
      <w:sz w:val="24"/>
    </w:rPr>
  </w:style>
  <w:style w:type="character" w:styleId="Hyperlink">
    <w:name w:val="Hyperlink"/>
    <w:basedOn w:val="DefaultParagraphFont"/>
    <w:rsid w:val="00EF62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header" w:uiPriority="99"/>
    <w:lsdException w:name="footer"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4F7E"/>
    <w:rPr>
      <w:sz w:val="26"/>
      <w:szCs w:val="24"/>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B94E90"/>
    <w:pPr>
      <w:keepLines/>
      <w:spacing w:before="0"/>
    </w:p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B94E90"/>
    <w:rPr>
      <w:rFonts w:ascii="Arial" w:hAnsi="Arial"/>
      <w:color w:val="1C1C1C"/>
      <w:sz w:val="24"/>
    </w:rPr>
  </w:style>
  <w:style w:type="table" w:styleId="TableGrid">
    <w:name w:val="Table Grid"/>
    <w:basedOn w:val="TableNormal"/>
    <w:rsid w:val="00B94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C7BF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C7BFE"/>
    <w:rPr>
      <w:szCs w:val="24"/>
    </w:rPr>
  </w:style>
  <w:style w:type="character" w:customStyle="1" w:styleId="CommentSubjectChar">
    <w:name w:val="Comment Subject Char"/>
    <w:basedOn w:val="CommentTextChar"/>
    <w:link w:val="CommentSubject"/>
    <w:rsid w:val="00BC7BFE"/>
    <w:rPr>
      <w:b/>
      <w:bCs/>
      <w:szCs w:val="24"/>
    </w:rPr>
  </w:style>
  <w:style w:type="character" w:customStyle="1" w:styleId="HeaderChar">
    <w:name w:val="Header Char"/>
    <w:basedOn w:val="DefaultParagraphFont"/>
    <w:link w:val="Header"/>
    <w:uiPriority w:val="99"/>
    <w:rsid w:val="00F6113D"/>
    <w:rPr>
      <w:rFonts w:ascii="Arial" w:hAnsi="Arial"/>
      <w:caps/>
      <w:color w:val="1C1C1C"/>
      <w:sz w:val="24"/>
    </w:rPr>
  </w:style>
  <w:style w:type="character" w:styleId="Hyperlink">
    <w:name w:val="Hyperlink"/>
    <w:basedOn w:val="DefaultParagraphFont"/>
    <w:rsid w:val="00EF62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ItemAdding</Name>
    <Synchronization>Default</Synchronization>
    <Type>1</Type>
    <SequenceNumber>3</SequenceNumber>
    <Assembly>ILDS.Template.RecordsEventHandler, Version=2010.1.0.0, Culture=neutral, PublicKeyToken=f456434fdd6e6bdd</Assembly>
    <Class>ILDS.Template.RecordsEventHandler.ItemEventReceiver</Class>
    <Data/>
    <Filter/>
  </Receiver>
  <Receiver>
    <Name>ItemUpdating</Name>
    <Synchronization>Default</Synchronization>
    <Type>2</Type>
    <SequenceNumber>3</SequenceNumber>
    <Assembly>ILDS.Template.RecordsEventHandler, Version=2010.1.0.0, Culture=neutral, PublicKeyToken=f456434fdd6e6bdd</Assembly>
    <Class>ILDS.Template.RecordsEventHandler.ItemEventReceiver</Class>
    <Data/>
    <Filter/>
  </Receiver>
  <Receiver>
    <Name>ItemUpdated</Name>
    <Synchronization>Default</Synchronization>
    <Type>10002</Type>
    <SequenceNumber>3</SequenceNumber>
    <Assembly>ILDS.Template.RecordsEventHandler, Version=2010.1.0.0, Culture=neutral, PublicKeyToken=f456434fdd6e6bdd</Assembly>
    <Class>ILDS.Template.RecordsEventHandler.ItemEventReceiver</Class>
    <Data/>
    <Filter/>
  </Receiver>
  <Receiver>
    <Name>ItemAdded</Name>
    <Synchronization>Default</Synchronization>
    <Type>10001</Type>
    <SequenceNumber>3</SequenceNumber>
    <Assembly>ILDS.Template.RecordsEventHandler, Version=2010.1.0.0, Culture=neutral, PublicKeyToken=f456434fdd6e6bdd</Assembly>
    <Class>ILDS.Template.RecordsEventHandler.ItemEventReceiver</Class>
    <Data/>
    <Filter/>
  </Receiver>
  <Receiver>
    <Name>ItemDeleting</Name>
    <Synchronization>Default</Synchronization>
    <Type>3</Type>
    <SequenceNumber>3</SequenceNumber>
    <Assembly>ILDS.Template.RecordsEventHandler, Version=2010.1.0.0, Culture=neutral, PublicKeyToken=f456434fdd6e6bdd</Assembly>
    <Class>ILDS.Template.RecordsEventHandler.ItemEventReceiver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Document" ma:contentTypeID="0x010100AAAAAAAAAAAAAAAAAAAAAAAAAAAAAA020031A0747E5149814C8C69DE25F9912013" ma:contentTypeVersion="9" ma:contentTypeDescription="Standard Electronic Document" ma:contentTypeScope="" ma:versionID="a8507f518b43deb0388b427f8696b33d">
  <xsd:schema xmlns:xsd="http://www.w3.org/2001/XMLSchema" xmlns:xs="http://www.w3.org/2001/XMLSchema" xmlns:p="http://schemas.microsoft.com/office/2006/metadata/properties" xmlns:ns2="77e66c65-a224-4f7c-b6f1-4670afbf2f9a" xmlns:ns3="e21cbe00-2104-4159-b9b9-bd54555d1bf2" xmlns:ns4="847d1c0e-5f4e-4601-bb87-39542770853f" targetNamespace="http://schemas.microsoft.com/office/2006/metadata/properties" ma:root="true" ma:fieldsID="99da9a5f72a5ca5e777f8647995e129a" ns2:_="" ns3:_="" ns4:_="">
    <xsd:import namespace="77e66c65-a224-4f7c-b6f1-4670afbf2f9a"/>
    <xsd:import namespace="e21cbe00-2104-4159-b9b9-bd54555d1bf2"/>
    <xsd:import namespace="847d1c0e-5f4e-4601-bb87-39542770853f"/>
    <xsd:element name="properties">
      <xsd:complexType>
        <xsd:sequence>
          <xsd:element name="documentManagement">
            <xsd:complexType>
              <xsd:all>
                <xsd:element ref="ns2:Know-How_Type" minOccurs="0"/>
                <xsd:element ref="ns3:Target_Audience" minOccurs="0"/>
                <xsd:element ref="ns3:PRA_Type" minOccurs="0"/>
                <xsd:element ref="ns3:Aggregation_Status" minOccurs="0"/>
                <xsd:element ref="ns3:Narrative" minOccurs="0"/>
                <xsd:element ref="ns2:Related_People" minOccurs="0"/>
                <xsd:element ref="ns3:RecordID" minOccurs="0"/>
                <xsd:element ref="ns3:Record_Type" minOccurs="0"/>
                <xsd:element ref="ns3:Read_Only_Status" minOccurs="0"/>
                <xsd:element ref="ns3:Authoritative_Version" minOccurs="0"/>
                <xsd:element ref="ns3:Original_Document" minOccurs="0"/>
                <xsd:element ref="ns3:Date" minOccurs="0"/>
                <xsd:element ref="ns3:PRA_Text_1" minOccurs="0"/>
                <xsd:element ref="ns3:PRA_Text_2" minOccurs="0"/>
                <xsd:element ref="ns3:PRA_Text_3" minOccurs="0"/>
                <xsd:element ref="ns3:PRA_Text_4" minOccurs="0"/>
                <xsd:element ref="ns3:PRA_Text_5" minOccurs="0"/>
                <xsd:element ref="ns3:PRA_Date_1" minOccurs="0"/>
                <xsd:element ref="ns3:PRA_Date_2" minOccurs="0"/>
                <xsd:element ref="ns3:PRA_Date_3" minOccurs="0"/>
                <xsd:element ref="ns3:PRA_Date_Trigger" minOccurs="0"/>
                <xsd:element ref="ns3:PRA_Date_Disposal" minOccurs="0"/>
                <xsd:element ref="ns4:_dlc_DocId" minOccurs="0"/>
                <xsd:element ref="ns4:_dlc_DocIdUrl" minOccurs="0"/>
                <xsd:element ref="ns4:_dlc_DocIdPersistId" minOccurs="0"/>
                <xsd:element ref="ns3:Function" minOccurs="0"/>
                <xsd:element ref="ns3:Activity" minOccurs="0"/>
                <xsd:element ref="ns3:Subactivity" minOccurs="0"/>
                <xsd:element ref="ns3:Project" minOccurs="0"/>
                <xsd:element ref="ns3:Case" minOccurs="0"/>
                <xsd:element ref="ns3:DocumentType"/>
                <xsd:element ref="ns3:Key_x0020_Words" minOccurs="0"/>
                <xsd:element ref="ns3:CategoryName" minOccurs="0"/>
                <xsd:element ref="ns3:CategoryValue" minOccurs="0"/>
                <xsd:element ref="ns3:Volu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66c65-a224-4f7c-b6f1-4670afbf2f9a" elementFormDefault="qualified">
    <xsd:import namespace="http://schemas.microsoft.com/office/2006/documentManagement/types"/>
    <xsd:import namespace="http://schemas.microsoft.com/office/infopath/2007/PartnerControls"/>
    <xsd:element name="Know-How_Type" ma:index="8" nillable="true" ma:displayName="Know-How Type" ma:default="NA" ma:format="Dropdown" ma:hidden="true" ma:internalName="KnowHowType" ma:readOnly="false">
      <xsd:simpleType>
        <xsd:restriction base="dms:Choice">
          <xsd:enumeration value="NA"/>
          <xsd:enumeration value="FAQ"/>
          <xsd:enumeration value="Tall Poppy"/>
          <xsd:enumeration value="Topic"/>
          <xsd:enumeration value="Who"/>
        </xsd:restriction>
      </xsd:simpleType>
    </xsd:element>
    <xsd:element name="Related_People" ma:index="13" nillable="true" ma:displayName="Related People" ma:hidden="true" ma:list="UserInfo"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1cbe00-2104-4159-b9b9-bd54555d1bf2" elementFormDefault="qualified">
    <xsd:import namespace="http://schemas.microsoft.com/office/2006/documentManagement/types"/>
    <xsd:import namespace="http://schemas.microsoft.com/office/infopath/2007/PartnerControls"/>
    <xsd:element name="Target_Audience" ma:index="9" nillable="true" ma:displayName="Target Audience" ma:default="Internal" ma:format="RadioButtons" ma:hidden="true" ma:internalName="TargetAudience">
      <xsd:simpleType>
        <xsd:restriction base="dms:Choice">
          <xsd:enumeration value="Internal"/>
          <xsd:enumeration value="External"/>
        </xsd:restriction>
      </xsd:simpleType>
    </xsd:element>
    <xsd:element name="PRA_Type" ma:index="10" nillable="true" ma:displayName="PRA Type" ma:default="Doc" ma:hidden="true" ma:internalName="PRAType">
      <xsd:simpleType>
        <xsd:restriction base="dms:Text"/>
      </xsd:simpleType>
    </xsd:element>
    <xsd:element name="Aggregation_Status" ma:index="11" nillable="true" ma:displayName="Aggregation Status" ma:default="Normal" ma:hidden="true" ma:internalName="AggregationStatus">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Narrative" ma:index="12" nillable="true" ma:displayName="Narrative" ma:internalName="Narrative">
      <xsd:simpleType>
        <xsd:restriction base="dms:Note">
          <xsd:maxLength value="255"/>
        </xsd:restriction>
      </xsd:simpleType>
    </xsd:element>
    <xsd:element name="RecordID" ma:index="14" nillable="true" ma:displayName="RecordID" ma:hidden="true" ma:internalName="RecordID">
      <xsd:simpleType>
        <xsd:restriction base="dms:Text"/>
      </xsd:simpleType>
    </xsd:element>
    <xsd:element name="Record_Type" ma:index="15" nillable="true" ma:displayName="Business Value" ma:default="Normal" ma:hidden="true" ma:internalName="RecordType">
      <xsd:simpleType>
        <xsd:union memberTypes="dms:Text">
          <xsd:simpleType>
            <xsd:restriction base="dms:Choice">
              <xsd:enumeration value="Housekeeping"/>
              <xsd:enumeration value="Long Term Value"/>
              <xsd:enumeration value="Superseded"/>
              <xsd:enumeration value="Normal"/>
              <xsd:enumeration value="Cancelled"/>
              <xsd:enumeration value="Deleted"/>
            </xsd:restriction>
          </xsd:simpleType>
        </xsd:union>
      </xsd:simpleType>
    </xsd:element>
    <xsd:element name="Read_Only_Status" ma:index="16" nillable="true" ma:displayName="Read Only Status" ma:default="Open" ma:hidden="true" ma:internalName="ReadOnlyStatus">
      <xsd:simpleType>
        <xsd:restriction base="dms:Choice">
          <xsd:enumeration value="Open"/>
          <xsd:enumeration value="Document"/>
          <xsd:enumeration value="Document and Metadata"/>
        </xsd:restriction>
      </xsd:simpleType>
    </xsd:element>
    <xsd:element name="Authoritative_Version" ma:index="17" nillable="true" ma:displayName="Authoritative Version" ma:default="0" ma:hidden="true" ma:internalName="AuthoritativeVersion">
      <xsd:simpleType>
        <xsd:restriction base="dms:Boolean"/>
      </xsd:simpleType>
    </xsd:element>
    <xsd:element name="Original_Document" ma:index="18" nillable="true" ma:displayName="Original Document" ma:hidden="true" ma:internalName="OriginalDocument">
      <xsd:simpleType>
        <xsd:restriction base="dms:Text"/>
      </xsd:simpleType>
    </xsd:element>
    <xsd:element name="Date" ma:index="19" nillable="true" ma:displayName="Date" ma:format="DateTime" ma:hidden="true" ma:internalName="ILDate">
      <xsd:simpleType>
        <xsd:restriction base="dms:DateTime"/>
      </xsd:simpleType>
    </xsd:element>
    <xsd:element name="PRA_Text_1" ma:index="20" nillable="true" ma:displayName="PRA Text 1" ma:hidden="true" ma:internalName="PraText1">
      <xsd:simpleType>
        <xsd:restriction base="dms:Text"/>
      </xsd:simpleType>
    </xsd:element>
    <xsd:element name="PRA_Text_2" ma:index="21" nillable="true" ma:displayName="PRA Text 2" ma:hidden="true" ma:internalName="PraText2">
      <xsd:simpleType>
        <xsd:restriction base="dms:Text"/>
      </xsd:simpleType>
    </xsd:element>
    <xsd:element name="PRA_Text_3" ma:index="22" nillable="true" ma:displayName="PRA Text 3" ma:hidden="true" ma:internalName="PraText3">
      <xsd:simpleType>
        <xsd:restriction base="dms:Text"/>
      </xsd:simpleType>
    </xsd:element>
    <xsd:element name="PRA_Text_4" ma:index="23" nillable="true" ma:displayName="PRA Text 4" ma:hidden="true" ma:internalName="PraText4">
      <xsd:simpleType>
        <xsd:restriction base="dms:Text"/>
      </xsd:simpleType>
    </xsd:element>
    <xsd:element name="PRA_Text_5" ma:index="24" nillable="true" ma:displayName="PRA Text 5" ma:hidden="true" ma:internalName="PraText5">
      <xsd:simpleType>
        <xsd:restriction base="dms:Text"/>
      </xsd:simpleType>
    </xsd:element>
    <xsd:element name="PRA_Date_1" ma:index="25" nillable="true" ma:displayName="PRA Date 1" ma:format="DateTime" ma:hidden="true" ma:internalName="PraDate1">
      <xsd:simpleType>
        <xsd:restriction base="dms:DateTime"/>
      </xsd:simpleType>
    </xsd:element>
    <xsd:element name="PRA_Date_2" ma:index="26" nillable="true" ma:displayName="PRA Date 2" ma:format="DateTime" ma:hidden="true" ma:internalName="PraDate2">
      <xsd:simpleType>
        <xsd:restriction base="dms:DateTime"/>
      </xsd:simpleType>
    </xsd:element>
    <xsd:element name="PRA_Date_3" ma:index="27" nillable="true" ma:displayName="PRA Date 3" ma:format="DateTime" ma:hidden="true" ma:internalName="PraDate3">
      <xsd:simpleType>
        <xsd:restriction base="dms:DateTime"/>
      </xsd:simpleType>
    </xsd:element>
    <xsd:element name="PRA_Date_Trigger" ma:index="28" nillable="true" ma:displayName="PRA Date Trigger" ma:format="DateTime" ma:hidden="true" ma:internalName="PraDateTrigger">
      <xsd:simpleType>
        <xsd:restriction base="dms:DateTime"/>
      </xsd:simpleType>
    </xsd:element>
    <xsd:element name="PRA_Date_Disposal" ma:index="29" nillable="true" ma:displayName="PRA Date Disposal" ma:format="DateTime" ma:hidden="true" ma:internalName="PraDateDisposal">
      <xsd:simpleType>
        <xsd:restriction base="dms:DateTime"/>
      </xsd:simpleType>
    </xsd:element>
    <xsd:element name="Function" ma:index="33" nillable="true" ma:displayName="Function" ma:default="Inquiry" ma:format="RadioButtons" ma:hidden="true" ma:internalName="Function" ma:readOnly="false">
      <xsd:simpleType>
        <xsd:restriction base="dms:Choice">
          <xsd:enumeration value="Inquiry"/>
        </xsd:restriction>
      </xsd:simpleType>
    </xsd:element>
    <xsd:element name="Activity" ma:index="34" nillable="true" ma:displayName="Activity" ma:default="Final Report" ma:format="RadioButtons" ma:hidden="true" ma:internalName="Activity" ma:readOnly="false">
      <xsd:simpleType>
        <xsd:restriction base="dms:Choice">
          <xsd:enumeration value="Final Report"/>
        </xsd:restriction>
      </xsd:simpleType>
    </xsd:element>
    <xsd:element name="Subactivity" ma:index="35" nillable="true" ma:displayName="Subactivity" ma:hidden="true" ma:internalName="Subactivity" ma:readOnly="false">
      <xsd:simpleType>
        <xsd:restriction base="dms:Text">
          <xsd:maxLength value="255"/>
        </xsd:restriction>
      </xsd:simpleType>
    </xsd:element>
    <xsd:element name="Project" ma:index="36" nillable="true" ma:displayName="Project" ma:default="Integration Inquiry" ma:format="RadioButtons" ma:hidden="true" ma:internalName="Project" ma:readOnly="false">
      <xsd:simpleType>
        <xsd:restriction base="dms:Choice">
          <xsd:enumeration value="Integration Inquiry"/>
        </xsd:restriction>
      </xsd:simpleType>
    </xsd:element>
    <xsd:element name="Case" ma:index="37" nillable="true" ma:displayName="Case" ma:format="RadioButtons" ma:internalName="Case">
      <xsd:simpleType>
        <xsd:restriction base="dms:Choice">
          <xsd:enumeration value="~Interested Parties List"/>
          <xsd:enumeration value="Chapter Authoring"/>
          <xsd:enumeration value="Workings and Analysis"/>
          <xsd:enumeration value="Communications Collateral"/>
          <xsd:enumeration value="Internal Meetings"/>
          <xsd:enumeration value="Scoping and Planning"/>
        </xsd:restriction>
      </xsd:simpleType>
    </xsd:element>
    <xsd:element name="DocumentType" ma:index="38" ma:displayName="Document Type" ma:default="FORMAL OUTPUT, Formalised PC Position" ma:format="Dropdown" ma:internalName="DocumentType">
      <xsd:simpleType>
        <xsd:restriction base="dms:Choice">
          <xsd:enumeration value="CONTRACT, Variation, Agreement"/>
          <xsd:enumeration value="FORMAL OUTPUT, Formalised PC Position"/>
          <xsd:enumeration value="CORRESPONDENCE"/>
          <xsd:enumeration value="DATA, Source Data"/>
          <xsd:enumeration value="EMPLOYMENT Related"/>
          <xsd:enumeration value="FILE NOTE, Meeting Record"/>
          <xsd:enumeration value="POLICY, Procedure, Rules"/>
          <xsd:enumeration value="REFERENCE"/>
          <xsd:enumeration value="SCRATCH PAD, Brain Storming"/>
          <xsd:enumeration value="SUBMISSION"/>
          <xsd:enumeration value="TEMPLATE, Checklist or Form"/>
          <xsd:enumeration value="WORKINGS"/>
        </xsd:restriction>
      </xsd:simpleType>
    </xsd:element>
    <xsd:element name="Key_x0020_Words" ma:index="39" nillable="true" ma:displayName="Key Words" ma:hidden="true" ma:internalName="Key_x0020_Words" ma:readOnly="false">
      <xsd:simpleType>
        <xsd:restriction base="dms:Text">
          <xsd:maxLength value="255"/>
        </xsd:restriction>
      </xsd:simpleType>
    </xsd:element>
    <xsd:element name="CategoryName" ma:index="40" nillable="true" ma:displayName="Category Name" ma:default="NA" ma:format="RadioButtons" ma:hidden="true" ma:internalName="CategoryName" ma:readOnly="false">
      <xsd:simpleType>
        <xsd:restriction base="dms:Choice">
          <xsd:enumeration value="NA"/>
        </xsd:restriction>
      </xsd:simpleType>
    </xsd:element>
    <xsd:element name="CategoryValue" ma:index="41" nillable="true" ma:displayName="Category Value" ma:default="NA" ma:format="RadioButtons" ma:hidden="true" ma:internalName="CategoryValue" ma:readOnly="false">
      <xsd:simpleType>
        <xsd:restriction base="dms:Choice">
          <xsd:enumeration value="NA"/>
        </xsd:restriction>
      </xsd:simpleType>
    </xsd:element>
    <xsd:element name="Volume" ma:index="42" nillable="true" ma:displayName="Volume" ma:default="NA" ma:format="RadioButtons" ma:hidden="true" ma:internalName="Volume" ma:readOnly="false">
      <xsd:simpleType>
        <xsd:restriction base="dms:Choice">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847d1c0e-5f4e-4601-bb87-39542770853f"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ggregation_Status xmlns="e21cbe00-2104-4159-b9b9-bd54555d1bf2">Normal</Aggregation_Status>
    <PRA_Date_2 xmlns="e21cbe00-2104-4159-b9b9-bd54555d1bf2" xsi:nil="true"/>
    <PRA_Date_Trigger xmlns="e21cbe00-2104-4159-b9b9-bd54555d1bf2" xsi:nil="true"/>
    <PRA_Type xmlns="e21cbe00-2104-4159-b9b9-bd54555d1bf2">Doc</PRA_Type>
    <Read_Only_Status xmlns="e21cbe00-2104-4159-b9b9-bd54555d1bf2">Open</Read_Only_Status>
    <Target_Audience xmlns="e21cbe00-2104-4159-b9b9-bd54555d1bf2">Internal</Target_Audience>
    <Function xmlns="e21cbe00-2104-4159-b9b9-bd54555d1bf2">Inquiry</Function>
    <Volume xmlns="e21cbe00-2104-4159-b9b9-bd54555d1bf2">NA</Volume>
    <PRA_Date_3 xmlns="e21cbe00-2104-4159-b9b9-bd54555d1bf2" xsi:nil="true"/>
    <Project xmlns="e21cbe00-2104-4159-b9b9-bd54555d1bf2">Integration Inquiry</Project>
    <Authoritative_Version xmlns="e21cbe00-2104-4159-b9b9-bd54555d1bf2">false</Authoritative_Version>
    <CategoryValue xmlns="e21cbe00-2104-4159-b9b9-bd54555d1bf2">NA</CategoryValue>
    <PRA_Date_Disposal xmlns="e21cbe00-2104-4159-b9b9-bd54555d1bf2" xsi:nil="true"/>
    <DocumentType xmlns="e21cbe00-2104-4159-b9b9-bd54555d1bf2">WORKINGS</DocumentType>
    <Activity xmlns="e21cbe00-2104-4159-b9b9-bd54555d1bf2">Final Report</Activity>
    <PRA_Text_3 xmlns="e21cbe00-2104-4159-b9b9-bd54555d1bf2" xsi:nil="true"/>
    <Narrative xmlns="e21cbe00-2104-4159-b9b9-bd54555d1bf2" xsi:nil="true"/>
    <CategoryName xmlns="e21cbe00-2104-4159-b9b9-bd54555d1bf2">NA</CategoryName>
    <Date xmlns="e21cbe00-2104-4159-b9b9-bd54555d1bf2" xsi:nil="true"/>
    <Case xmlns="e21cbe00-2104-4159-b9b9-bd54555d1bf2">Chapter Authoring</Case>
    <Key_x0020_Words xmlns="e21cbe00-2104-4159-b9b9-bd54555d1bf2" xsi:nil="true"/>
    <Related_People xmlns="77e66c65-a224-4f7c-b6f1-4670afbf2f9a">
      <UserInfo>
        <DisplayName/>
        <AccountId xsi:nil="true"/>
        <AccountType/>
      </UserInfo>
    </Related_People>
    <RecordID xmlns="e21cbe00-2104-4159-b9b9-bd54555d1bf2">8303</RecordID>
    <Original_Document xmlns="e21cbe00-2104-4159-b9b9-bd54555d1bf2" xsi:nil="true"/>
    <PRA_Text_2 xmlns="e21cbe00-2104-4159-b9b9-bd54555d1bf2" xsi:nil="true"/>
    <PRA_Text_5 xmlns="e21cbe00-2104-4159-b9b9-bd54555d1bf2" xsi:nil="true"/>
    <PRA_Date_1 xmlns="e21cbe00-2104-4159-b9b9-bd54555d1bf2" xsi:nil="true"/>
    <Subactivity xmlns="e21cbe00-2104-4159-b9b9-bd54555d1bf2" xsi:nil="true"/>
    <Know-How_Type xmlns="77e66c65-a224-4f7c-b6f1-4670afbf2f9a">NA</Know-How_Type>
    <PRA_Text_1 xmlns="e21cbe00-2104-4159-b9b9-bd54555d1bf2" xsi:nil="true"/>
    <PRA_Text_4 xmlns="e21cbe00-2104-4159-b9b9-bd54555d1bf2" xsi:nil="true"/>
    <Record_Type xmlns="e21cbe00-2104-4159-b9b9-bd54555d1bf2">Normal</Record_Type>
    <_dlc_DocId xmlns="847d1c0e-5f4e-4601-bb87-39542770853f">SM3EPU6DYQMU-79-44</_dlc_DocId>
    <_dlc_DocIdUrl xmlns="847d1c0e-5f4e-4601-bb87-39542770853f">
      <Url>http://shed/inquiry/iqi/_layouts/DocIdRedir.aspx?ID=SM3EPU6DYQMU-79-44</Url>
      <Description>SM3EPU6DYQMU-79-44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EEE7A-D5CA-41A3-8A24-EC1C2111B6D9}">
  <ds:schemaRefs>
    <ds:schemaRef ds:uri="http://schemas.microsoft.com/sharepoint/events"/>
  </ds:schemaRefs>
</ds:datastoreItem>
</file>

<file path=customXml/itemProps2.xml><?xml version="1.0" encoding="utf-8"?>
<ds:datastoreItem xmlns:ds="http://schemas.openxmlformats.org/officeDocument/2006/customXml" ds:itemID="{1C590F2A-A6CD-41D8-8C9B-587606123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66c65-a224-4f7c-b6f1-4670afbf2f9a"/>
    <ds:schemaRef ds:uri="e21cbe00-2104-4159-b9b9-bd54555d1bf2"/>
    <ds:schemaRef ds:uri="847d1c0e-5f4e-4601-bb87-395427708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8FAB5-7A60-4E11-BE19-13B85CC8AC02}">
  <ds:schemaRefs>
    <ds:schemaRef ds:uri="http://schemas.microsoft.com/office/infopath/2007/PartnerControls"/>
    <ds:schemaRef ds:uri="http://schemas.microsoft.com/office/2006/metadata/properties"/>
    <ds:schemaRef ds:uri="http://purl.org/dc/dcmitype/"/>
    <ds:schemaRef ds:uri="http://purl.org/dc/elements/1.1/"/>
    <ds:schemaRef ds:uri="e21cbe00-2104-4159-b9b9-bd54555d1bf2"/>
    <ds:schemaRef ds:uri="http://www.w3.org/XML/1998/namespace"/>
    <ds:schemaRef ds:uri="http://purl.org/dc/terms/"/>
    <ds:schemaRef ds:uri="77e66c65-a224-4f7c-b6f1-4670afbf2f9a"/>
    <ds:schemaRef ds:uri="http://schemas.microsoft.com/office/2006/documentManagement/types"/>
    <ds:schemaRef ds:uri="http://schemas.openxmlformats.org/package/2006/metadata/core-properties"/>
    <ds:schemaRef ds:uri="847d1c0e-5f4e-4601-bb87-39542770853f"/>
  </ds:schemaRefs>
</ds:datastoreItem>
</file>

<file path=customXml/itemProps4.xml><?xml version="1.0" encoding="utf-8"?>
<ds:datastoreItem xmlns:ds="http://schemas.openxmlformats.org/officeDocument/2006/customXml" ds:itemID="{525D3541-E3DA-45E1-96CB-AC8515A53903}">
  <ds:schemaRefs>
    <ds:schemaRef ds:uri="http://schemas.microsoft.com/sharepoint/v3/contenttype/forms"/>
  </ds:schemaRefs>
</ds:datastoreItem>
</file>

<file path=customXml/itemProps5.xml><?xml version="1.0" encoding="utf-8"?>
<ds:datastoreItem xmlns:ds="http://schemas.openxmlformats.org/officeDocument/2006/customXml" ds:itemID="{11C56822-EB64-416B-B5AD-78D69D0E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12</Pages>
  <Words>3918</Words>
  <Characters>23352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Making it happen</vt:lpstr>
    </vt:vector>
  </TitlesOfParts>
  <Company>Productivity Commission</Company>
  <LinksUpToDate>false</LinksUpToDate>
  <CharactersWithSpaces>27216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it happen</dc:title>
  <dc:subject>Strengthening Trans-Tasman Economic Relations</dc:subject>
  <dc:creator>Australian and New Zealand Productivity Commissions</dc:creator>
  <dc:description>5.</dc:description>
  <cp:lastModifiedBy>Cross, Michelle</cp:lastModifiedBy>
  <cp:revision>28</cp:revision>
  <cp:lastPrinted>2012-12-04T06:03:00Z</cp:lastPrinted>
  <dcterms:created xsi:type="dcterms:W3CDTF">2012-11-27T21:52:00Z</dcterms:created>
  <dcterms:modified xsi:type="dcterms:W3CDTF">2012-12-04T06:03:00Z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0x010100AAAAAAAAAAAAAAAAAAAAAAAAAAAAAA020031A0747E5149814C8C69DE25F9912013</vt:lpwstr>
  </property>
  <property fmtid="{D5CDD505-2E9C-101B-9397-08002B2CF9AE}" pid="3" name="_dlc_DocIdItemGuid">
    <vt:lpwstr>8ce932ad-f67b-4ea2-ac6c-8307744e910c</vt:lpwstr>
  </property>
  <property fmtid="{D5CDD505-2E9C-101B-9397-08002B2CF9AE}" pid="4" name="_AdHocReviewCycleID">
    <vt:i4>-1533698558</vt:i4>
  </property>
  <property fmtid="{D5CDD505-2E9C-101B-9397-08002B2CF9AE}" pid="5" name="_NewReviewCycle">
    <vt:lpwstr/>
  </property>
  <property fmtid="{D5CDD505-2E9C-101B-9397-08002B2CF9AE}" pid="6" name="_EmailSubject">
    <vt:lpwstr>Web files for the OZ-NZ final report</vt:lpwstr>
  </property>
  <property fmtid="{D5CDD505-2E9C-101B-9397-08002B2CF9AE}" pid="7" name="_AuthorEmail">
    <vt:lpwstr>Louise.Jordan@pc.gov.au</vt:lpwstr>
  </property>
  <property fmtid="{D5CDD505-2E9C-101B-9397-08002B2CF9AE}" pid="8" name="_AuthorEmailDisplayName">
    <vt:lpwstr>Jordan, Louise</vt:lpwstr>
  </property>
</Properties>
</file>