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435288" w:rsidP="0038633E">
      <w:pPr>
        <w:pStyle w:val="Heading1"/>
        <w:spacing w:before="0"/>
        <w:jc w:val="both"/>
      </w:pPr>
      <w:bookmarkStart w:id="0" w:name="_References"/>
      <w:bookmarkStart w:id="1" w:name="ChapterTitle"/>
      <w:bookmarkEnd w:id="0"/>
      <w:r>
        <w:t>References</w:t>
      </w:r>
      <w:bookmarkEnd w:id="1"/>
    </w:p>
    <w:p w:rsidR="005D07B2" w:rsidRPr="00140032" w:rsidRDefault="00E21BD8" w:rsidP="005D07B2">
      <w:pPr>
        <w:pStyle w:val="Reference"/>
      </w:pPr>
      <w:bookmarkStart w:id="2" w:name="Begin"/>
      <w:bookmarkEnd w:id="2"/>
      <w:r w:rsidRPr="00140032">
        <w:t xml:space="preserve">ABS (Australian Bureau of Statistics) </w:t>
      </w:r>
      <w:r w:rsidR="005D07B2" w:rsidRPr="00140032">
        <w:t xml:space="preserve">2011a, </w:t>
      </w:r>
      <w:r w:rsidR="005D07B2" w:rsidRPr="00140032">
        <w:rPr>
          <w:i/>
          <w:iCs/>
        </w:rPr>
        <w:t xml:space="preserve">International Investment Position, Australia: </w:t>
      </w:r>
      <w:r w:rsidR="005D07B2" w:rsidRPr="00324CC5">
        <w:rPr>
          <w:i/>
          <w:iCs/>
        </w:rPr>
        <w:t>Supplementary</w:t>
      </w:r>
      <w:r w:rsidR="005D07B2" w:rsidRPr="00140032">
        <w:rPr>
          <w:i/>
          <w:iCs/>
        </w:rPr>
        <w:t xml:space="preserve"> Statistics, Calendar year 2010</w:t>
      </w:r>
      <w:r w:rsidR="005D07B2" w:rsidRPr="00140032">
        <w:t xml:space="preserve">, </w:t>
      </w:r>
      <w:r w:rsidR="00B1721F" w:rsidRPr="00140032">
        <w:t>Cat. n</w:t>
      </w:r>
      <w:r w:rsidR="005D07B2" w:rsidRPr="00140032">
        <w:t>o.</w:t>
      </w:r>
      <w:r w:rsidR="00B1721F" w:rsidRPr="00140032">
        <w:t> </w:t>
      </w:r>
      <w:r w:rsidR="005D07B2" w:rsidRPr="00140032">
        <w:t>5350.2, Canberra.</w:t>
      </w:r>
    </w:p>
    <w:p w:rsidR="00E21BD8" w:rsidRPr="00140032" w:rsidRDefault="005D07B2" w:rsidP="000C6F40">
      <w:pPr>
        <w:pStyle w:val="Reference"/>
      </w:pPr>
      <w:r w:rsidRPr="00140032">
        <w:t>——</w:t>
      </w:r>
      <w:r w:rsidR="00E21BD8" w:rsidRPr="00140032">
        <w:t>2011</w:t>
      </w:r>
      <w:r w:rsidRPr="00140032">
        <w:t>b</w:t>
      </w:r>
      <w:r w:rsidR="00E21BD8" w:rsidRPr="00140032">
        <w:t xml:space="preserve">, </w:t>
      </w:r>
      <w:r w:rsidR="00E21BD8" w:rsidRPr="00140032">
        <w:rPr>
          <w:i/>
        </w:rPr>
        <w:t>International Trade in Services by Country, by State and by Detailed Services Category</w:t>
      </w:r>
      <w:r w:rsidR="00E21BD8" w:rsidRPr="00140032">
        <w:t xml:space="preserve">, </w:t>
      </w:r>
      <w:r w:rsidR="00B1721F" w:rsidRPr="00140032">
        <w:t>Cat. no. </w:t>
      </w:r>
      <w:r w:rsidR="00E21BD8" w:rsidRPr="00140032">
        <w:t>5368.0.55.004, ABS, Canberra.</w:t>
      </w:r>
    </w:p>
    <w:p w:rsidR="00DD1A81" w:rsidRPr="00140032" w:rsidRDefault="00435288" w:rsidP="00DD1A81">
      <w:pPr>
        <w:pStyle w:val="Reference"/>
      </w:pPr>
      <w:r w:rsidRPr="00140032">
        <w:t>——</w:t>
      </w:r>
      <w:r w:rsidR="00DD1A81" w:rsidRPr="00140032">
        <w:t xml:space="preserve">2012a, </w:t>
      </w:r>
      <w:r w:rsidR="00DD1A81" w:rsidRPr="00140032">
        <w:rPr>
          <w:i/>
        </w:rPr>
        <w:t>International Investment Position</w:t>
      </w:r>
      <w:r w:rsidR="00DD1A81" w:rsidRPr="00140032">
        <w:t xml:space="preserve">, </w:t>
      </w:r>
      <w:r w:rsidR="00DD1A81" w:rsidRPr="00140032">
        <w:rPr>
          <w:i/>
        </w:rPr>
        <w:t>Australia Supplementary Statistics, Calendar year 2010, tables 2</w:t>
      </w:r>
      <w:bookmarkStart w:id="3" w:name="_GoBack"/>
      <w:bookmarkEnd w:id="3"/>
      <w:r w:rsidR="00DD1A81" w:rsidRPr="00140032">
        <w:rPr>
          <w:i/>
        </w:rPr>
        <w:t xml:space="preserve"> and 5</w:t>
      </w:r>
      <w:r w:rsidR="00DD1A81" w:rsidRPr="00140032">
        <w:t xml:space="preserve">, </w:t>
      </w:r>
      <w:r w:rsidR="00B1721F" w:rsidRPr="00140032">
        <w:t>Cat. </w:t>
      </w:r>
      <w:r w:rsidR="00DD1A81" w:rsidRPr="00140032">
        <w:t xml:space="preserve">no. 5352.0 </w:t>
      </w:r>
      <w:r w:rsidR="00DD1A81" w:rsidRPr="00140032">
        <w:rPr>
          <w:szCs w:val="24"/>
        </w:rPr>
        <w:t>http://www.abs.gov.au/AUSSTATS/abs@.nsf/DetailsPage/5352.0Calendar%20year%202010?OpenDocument.</w:t>
      </w:r>
    </w:p>
    <w:p w:rsidR="0075315F" w:rsidRPr="00140032" w:rsidRDefault="00DF41D0" w:rsidP="0075315F">
      <w:pPr>
        <w:pStyle w:val="Reference"/>
      </w:pPr>
      <w:r w:rsidRPr="00140032">
        <w:t>——</w:t>
      </w:r>
      <w:r w:rsidR="0075315F" w:rsidRPr="00140032">
        <w:t>2012</w:t>
      </w:r>
      <w:r w:rsidR="00063AD3" w:rsidRPr="00140032">
        <w:t>b</w:t>
      </w:r>
      <w:r w:rsidR="0075315F" w:rsidRPr="00140032">
        <w:t xml:space="preserve">, </w:t>
      </w:r>
      <w:r w:rsidR="0075315F" w:rsidRPr="00140032">
        <w:rPr>
          <w:i/>
        </w:rPr>
        <w:t>Migration Australia</w:t>
      </w:r>
      <w:r w:rsidR="0075315F" w:rsidRPr="00140032">
        <w:t xml:space="preserve">, </w:t>
      </w:r>
      <w:r w:rsidR="00B1721F" w:rsidRPr="00140032">
        <w:t>Cat. </w:t>
      </w:r>
      <w:r w:rsidR="0075315F" w:rsidRPr="00140032">
        <w:t xml:space="preserve">no. 3412.0, </w:t>
      </w:r>
      <w:r w:rsidR="0075315F" w:rsidRPr="00140032">
        <w:rPr>
          <w:szCs w:val="24"/>
        </w:rPr>
        <w:t>http://www.abs.gov.au/ AUSSTATS/abs@.nsf/productsbyCatalogue/0A0D0E76A3B89EC2CA2572AC0018114C?OpenDocument</w:t>
      </w:r>
      <w:r w:rsidR="0075315F" w:rsidRPr="00140032">
        <w:t xml:space="preserve"> (accessed 3 September 2012).</w:t>
      </w:r>
    </w:p>
    <w:p w:rsidR="0088622A" w:rsidRPr="00140032" w:rsidRDefault="0088622A" w:rsidP="0088622A">
      <w:pPr>
        <w:pStyle w:val="Reference"/>
      </w:pPr>
      <w:r w:rsidRPr="00140032">
        <w:t xml:space="preserve">——2012c, </w:t>
      </w:r>
      <w:r w:rsidRPr="00140032">
        <w:rPr>
          <w:i/>
        </w:rPr>
        <w:t>Australia</w:t>
      </w:r>
      <w:r w:rsidR="00931BDB" w:rsidRPr="00140032">
        <w:rPr>
          <w:i/>
        </w:rPr>
        <w:t>n</w:t>
      </w:r>
      <w:r w:rsidRPr="00140032">
        <w:rPr>
          <w:i/>
        </w:rPr>
        <w:t xml:space="preserve"> Industry</w:t>
      </w:r>
      <w:r w:rsidRPr="00140032">
        <w:t xml:space="preserve">, </w:t>
      </w:r>
      <w:r w:rsidR="00B1721F" w:rsidRPr="00140032">
        <w:t>Cat. </w:t>
      </w:r>
      <w:r w:rsidRPr="00140032">
        <w:t>no. 8155</w:t>
      </w:r>
      <w:r w:rsidR="00931BDB" w:rsidRPr="00140032">
        <w:t>.</w:t>
      </w:r>
      <w:r w:rsidRPr="00140032">
        <w:t>0, ABS, Canberra.</w:t>
      </w:r>
    </w:p>
    <w:p w:rsidR="00435288" w:rsidRPr="00140032" w:rsidRDefault="00435288" w:rsidP="000C6F40">
      <w:pPr>
        <w:pStyle w:val="Reference"/>
      </w:pPr>
      <w:proofErr w:type="spellStart"/>
      <w:r w:rsidRPr="00140032">
        <w:t>ACBPS</w:t>
      </w:r>
      <w:proofErr w:type="spellEnd"/>
      <w:r w:rsidRPr="00140032">
        <w:t xml:space="preserve"> (Australian Customs and Border Protection Service) </w:t>
      </w:r>
      <w:proofErr w:type="spellStart"/>
      <w:r w:rsidRPr="00140032">
        <w:t>2012a</w:t>
      </w:r>
      <w:proofErr w:type="spellEnd"/>
      <w:r w:rsidRPr="00140032">
        <w:t xml:space="preserve">, </w:t>
      </w:r>
      <w:r w:rsidRPr="00140032">
        <w:rPr>
          <w:i/>
        </w:rPr>
        <w:t>01:</w:t>
      </w:r>
      <w:r w:rsidRPr="00140032">
        <w:t xml:space="preserve"> </w:t>
      </w:r>
      <w:proofErr w:type="spellStart"/>
      <w:r w:rsidRPr="00140032">
        <w:rPr>
          <w:i/>
        </w:rPr>
        <w:t>SmartGate</w:t>
      </w:r>
      <w:proofErr w:type="spellEnd"/>
      <w:r w:rsidRPr="00140032">
        <w:rPr>
          <w:i/>
        </w:rPr>
        <w:t xml:space="preserve"> Introduction</w:t>
      </w:r>
      <w:r w:rsidRPr="00140032">
        <w:t xml:space="preserve">, Fact Sheet, January 2012, Australian Customs and Border Protection Service, Canberra, </w:t>
      </w:r>
      <w:r w:rsidR="0038633E" w:rsidRPr="00140032">
        <w:rPr>
          <w:rFonts w:cs="Arial"/>
          <w:szCs w:val="24"/>
          <w:lang w:eastAsia="en-NZ"/>
        </w:rPr>
        <w:t>http://</w:t>
      </w:r>
      <w:proofErr w:type="spellStart"/>
      <w:r w:rsidR="0038633E" w:rsidRPr="00140032">
        <w:rPr>
          <w:rFonts w:cs="Arial"/>
          <w:szCs w:val="24"/>
          <w:lang w:eastAsia="en-NZ"/>
        </w:rPr>
        <w:t>www.customs.gov.au</w:t>
      </w:r>
      <w:proofErr w:type="spellEnd"/>
      <w:r w:rsidR="0038633E" w:rsidRPr="00140032">
        <w:rPr>
          <w:rFonts w:cs="Arial"/>
          <w:szCs w:val="24"/>
          <w:lang w:eastAsia="en-NZ"/>
        </w:rPr>
        <w:t>/</w:t>
      </w:r>
      <w:r w:rsidR="005E46BE" w:rsidRPr="00140032">
        <w:rPr>
          <w:rFonts w:cs="Arial"/>
          <w:szCs w:val="24"/>
          <w:lang w:eastAsia="en-NZ"/>
        </w:rPr>
        <w:br/>
      </w:r>
      <w:proofErr w:type="spellStart"/>
      <w:r w:rsidR="0038633E" w:rsidRPr="00140032">
        <w:rPr>
          <w:rFonts w:cs="Arial"/>
          <w:szCs w:val="24"/>
          <w:lang w:eastAsia="en-NZ"/>
        </w:rPr>
        <w:t>webdata</w:t>
      </w:r>
      <w:proofErr w:type="spellEnd"/>
      <w:r w:rsidR="0038633E" w:rsidRPr="00140032">
        <w:rPr>
          <w:rFonts w:cs="Arial"/>
          <w:szCs w:val="24"/>
          <w:lang w:eastAsia="en-NZ"/>
        </w:rPr>
        <w:t>/resources/files/</w:t>
      </w:r>
      <w:proofErr w:type="spellStart"/>
      <w:r w:rsidR="0038633E" w:rsidRPr="00140032">
        <w:rPr>
          <w:rFonts w:cs="Arial"/>
          <w:szCs w:val="24"/>
          <w:lang w:eastAsia="en-NZ"/>
        </w:rPr>
        <w:t>01SmartGateintroduction_January2012.pdf</w:t>
      </w:r>
      <w:proofErr w:type="spellEnd"/>
      <w:r w:rsidRPr="00140032">
        <w:t xml:space="preserve"> (accessed 3</w:t>
      </w:r>
      <w:r w:rsidR="005E46BE" w:rsidRPr="00140032">
        <w:t> </w:t>
      </w:r>
      <w:r w:rsidRPr="00140032">
        <w:t>September 2012).</w:t>
      </w:r>
    </w:p>
    <w:p w:rsidR="00435288" w:rsidRPr="00140032" w:rsidRDefault="00435288" w:rsidP="000C6F40">
      <w:pPr>
        <w:pStyle w:val="Reference"/>
      </w:pPr>
      <w:r w:rsidRPr="00140032">
        <w:t>——</w:t>
      </w:r>
      <w:proofErr w:type="spellStart"/>
      <w:r w:rsidRPr="00140032">
        <w:t>2012b</w:t>
      </w:r>
      <w:proofErr w:type="spellEnd"/>
      <w:r w:rsidRPr="00140032">
        <w:t xml:space="preserve">, </w:t>
      </w:r>
      <w:r w:rsidRPr="00140032">
        <w:rPr>
          <w:i/>
        </w:rPr>
        <w:t xml:space="preserve">06: </w:t>
      </w:r>
      <w:proofErr w:type="spellStart"/>
      <w:r w:rsidRPr="00140032">
        <w:rPr>
          <w:i/>
        </w:rPr>
        <w:t>SmartGate</w:t>
      </w:r>
      <w:proofErr w:type="spellEnd"/>
      <w:r w:rsidRPr="00140032">
        <w:rPr>
          <w:i/>
        </w:rPr>
        <w:t xml:space="preserve"> Trans-Tasman Trial</w:t>
      </w:r>
      <w:r w:rsidRPr="00140032">
        <w:t xml:space="preserve">, Fact Sheet, Australian Customs and Border Protection Service, Canberra, </w:t>
      </w:r>
      <w:r w:rsidR="000861EB" w:rsidRPr="00140032">
        <w:rPr>
          <w:rFonts w:cs="Arial"/>
          <w:szCs w:val="24"/>
          <w:lang w:eastAsia="en-NZ"/>
        </w:rPr>
        <w:t>http://</w:t>
      </w:r>
      <w:proofErr w:type="spellStart"/>
      <w:r w:rsidR="000861EB" w:rsidRPr="00140032">
        <w:rPr>
          <w:rFonts w:cs="Arial"/>
          <w:szCs w:val="24"/>
          <w:lang w:eastAsia="en-NZ"/>
        </w:rPr>
        <w:t>www.customs.gov.au</w:t>
      </w:r>
      <w:proofErr w:type="spellEnd"/>
      <w:r w:rsidR="000861EB" w:rsidRPr="00140032">
        <w:rPr>
          <w:rFonts w:cs="Arial"/>
          <w:szCs w:val="24"/>
          <w:lang w:eastAsia="en-NZ"/>
        </w:rPr>
        <w:t>/</w:t>
      </w:r>
      <w:proofErr w:type="spellStart"/>
      <w:r w:rsidR="000861EB" w:rsidRPr="00140032">
        <w:rPr>
          <w:rFonts w:cs="Arial"/>
          <w:szCs w:val="24"/>
          <w:lang w:eastAsia="en-NZ"/>
        </w:rPr>
        <w:t>webdata</w:t>
      </w:r>
      <w:proofErr w:type="spellEnd"/>
      <w:r w:rsidR="000861EB" w:rsidRPr="00140032">
        <w:rPr>
          <w:rFonts w:cs="Arial"/>
          <w:szCs w:val="24"/>
          <w:lang w:eastAsia="en-NZ"/>
        </w:rPr>
        <w:t>/</w:t>
      </w:r>
      <w:r w:rsidR="005E46BE" w:rsidRPr="00140032">
        <w:rPr>
          <w:rFonts w:cs="Arial"/>
          <w:szCs w:val="24"/>
          <w:lang w:eastAsia="en-NZ"/>
        </w:rPr>
        <w:br/>
      </w:r>
      <w:r w:rsidR="000861EB" w:rsidRPr="00140032">
        <w:rPr>
          <w:rFonts w:cs="Arial"/>
          <w:szCs w:val="24"/>
          <w:lang w:eastAsia="en-NZ"/>
        </w:rPr>
        <w:t>resources/files/</w:t>
      </w:r>
      <w:proofErr w:type="spellStart"/>
      <w:r w:rsidR="000861EB" w:rsidRPr="00140032">
        <w:rPr>
          <w:rFonts w:cs="Arial"/>
          <w:szCs w:val="24"/>
          <w:lang w:eastAsia="en-NZ"/>
        </w:rPr>
        <w:t>SmartGatetrans-Tasmantrial_January2012.pdf</w:t>
      </w:r>
      <w:proofErr w:type="spellEnd"/>
      <w:r w:rsidRPr="00140032">
        <w:t xml:space="preserve"> (accessed 17 April 2012).</w:t>
      </w:r>
    </w:p>
    <w:p w:rsidR="00435288" w:rsidRPr="00140032" w:rsidRDefault="00435288" w:rsidP="000C6F40">
      <w:pPr>
        <w:pStyle w:val="Reference"/>
      </w:pPr>
      <w:r w:rsidRPr="00140032">
        <w:t xml:space="preserve">——2012c, </w:t>
      </w:r>
      <w:r w:rsidRPr="00140032">
        <w:rPr>
          <w:i/>
        </w:rPr>
        <w:t>03: </w:t>
      </w:r>
      <w:r w:rsidR="0038633E" w:rsidRPr="00140032">
        <w:rPr>
          <w:i/>
        </w:rPr>
        <w:t>E</w:t>
      </w:r>
      <w:r w:rsidRPr="00140032">
        <w:rPr>
          <w:i/>
        </w:rPr>
        <w:t>passports</w:t>
      </w:r>
      <w:r w:rsidRPr="00140032">
        <w:t xml:space="preserve">, January 2012, Australian Customs and Border Protection Service, Canberra, </w:t>
      </w:r>
      <w:r w:rsidR="000A11FE" w:rsidRPr="00140032">
        <w:rPr>
          <w:rFonts w:cs="Arial"/>
          <w:szCs w:val="24"/>
          <w:lang w:eastAsia="en-NZ"/>
        </w:rPr>
        <w:t>http://www.customs.gov.au/webdata/resources/</w:t>
      </w:r>
      <w:r w:rsidR="000A11FE" w:rsidRPr="00140032">
        <w:rPr>
          <w:rFonts w:cs="Arial"/>
          <w:szCs w:val="24"/>
          <w:lang w:eastAsia="en-NZ"/>
        </w:rPr>
        <w:br/>
        <w:t>files /03ePassports_January2012.pdf</w:t>
      </w:r>
      <w:r w:rsidRPr="00140032">
        <w:t xml:space="preserve"> (accessed 17 April 2012).</w:t>
      </w:r>
    </w:p>
    <w:p w:rsidR="00821C16" w:rsidRPr="00140032" w:rsidRDefault="00846578" w:rsidP="00821C16">
      <w:pPr>
        <w:pStyle w:val="Reference"/>
      </w:pPr>
      <w:r w:rsidRPr="00140032">
        <w:t>——</w:t>
      </w:r>
      <w:r w:rsidR="00821C16" w:rsidRPr="00140032">
        <w:t xml:space="preserve">2005, </w:t>
      </w:r>
      <w:r w:rsidR="00821C16" w:rsidRPr="00140032">
        <w:rPr>
          <w:i/>
        </w:rPr>
        <w:t xml:space="preserve">Mobile </w:t>
      </w:r>
      <w:r w:rsidR="00BD41DF" w:rsidRPr="00140032">
        <w:rPr>
          <w:i/>
        </w:rPr>
        <w:t>S</w:t>
      </w:r>
      <w:r w:rsidR="00821C16" w:rsidRPr="00140032">
        <w:rPr>
          <w:i/>
        </w:rPr>
        <w:t xml:space="preserve">ervices </w:t>
      </w:r>
      <w:r w:rsidR="00BD41DF" w:rsidRPr="00140032">
        <w:rPr>
          <w:i/>
        </w:rPr>
        <w:t>R</w:t>
      </w:r>
      <w:r w:rsidR="00821C16" w:rsidRPr="00140032">
        <w:rPr>
          <w:i/>
        </w:rPr>
        <w:t>eview: International inter-carrier roaming</w:t>
      </w:r>
      <w:r w:rsidR="00821C16" w:rsidRPr="00140032">
        <w:t>, http://www.accc.gov.au/content/item.phtml?itemId=708242&amp;nodeId=8704f59d82052c729e45e7408ecec91d&amp;fn=Final+report%E2%80%94international+inter-carrier+roaming+service+(September+2005).pdf, (accessed 5 June 2012).</w:t>
      </w:r>
    </w:p>
    <w:p w:rsidR="00846578" w:rsidRPr="00140032" w:rsidRDefault="00846578" w:rsidP="000C6F40">
      <w:pPr>
        <w:pStyle w:val="Reference"/>
      </w:pPr>
      <w:proofErr w:type="spellStart"/>
      <w:r w:rsidRPr="00140032">
        <w:t>ACCC</w:t>
      </w:r>
      <w:proofErr w:type="spellEnd"/>
      <w:r w:rsidRPr="00140032">
        <w:t xml:space="preserve"> 2012, </w:t>
      </w:r>
      <w:r w:rsidRPr="00140032">
        <w:rPr>
          <w:i/>
        </w:rPr>
        <w:t>Container Stevedoring: Monitoring Report no 14</w:t>
      </w:r>
      <w:r w:rsidRPr="00140032">
        <w:t>, October 2012, Canberra.</w:t>
      </w:r>
    </w:p>
    <w:p w:rsidR="00435288" w:rsidRPr="00140032" w:rsidRDefault="00435288" w:rsidP="000C6F40">
      <w:pPr>
        <w:pStyle w:val="Reference"/>
      </w:pPr>
      <w:proofErr w:type="spellStart"/>
      <w:r w:rsidRPr="00140032">
        <w:lastRenderedPageBreak/>
        <w:t>Acharya</w:t>
      </w:r>
      <w:proofErr w:type="spellEnd"/>
      <w:r w:rsidRPr="00140032">
        <w:t xml:space="preserve">, A. and Johnston, A. 2007, </w:t>
      </w:r>
      <w:r w:rsidRPr="00140032">
        <w:rPr>
          <w:i/>
        </w:rPr>
        <w:t>Crafting Cooperation: Regional International Institutions in Comparative Perspective</w:t>
      </w:r>
      <w:r w:rsidRPr="00140032">
        <w:t>, Cambridge University Press, Cambridge.</w:t>
      </w:r>
    </w:p>
    <w:p w:rsidR="00435288" w:rsidRPr="00140032" w:rsidRDefault="00435288" w:rsidP="000C6F40">
      <w:pPr>
        <w:pStyle w:val="Reference"/>
      </w:pPr>
      <w:r w:rsidRPr="00140032">
        <w:t xml:space="preserve">ACIL Tasman and LECG Economics–Finance 2004, </w:t>
      </w:r>
      <w:r w:rsidRPr="00140032">
        <w:rPr>
          <w:i/>
        </w:rPr>
        <w:t>New Zealand–Australia Economic Interdependence</w:t>
      </w:r>
      <w:r w:rsidRPr="00140032">
        <w:t>, report prepared for the Ministry of Economic Development, 4 May.</w:t>
      </w:r>
    </w:p>
    <w:p w:rsidR="00435288" w:rsidRPr="00140032" w:rsidRDefault="00435288" w:rsidP="000C6F40">
      <w:pPr>
        <w:pStyle w:val="Reference"/>
      </w:pPr>
      <w:r w:rsidRPr="00140032">
        <w:t xml:space="preserve">Adams, R., Dee, P., Gali, J. and McGuire, G. 2003, </w:t>
      </w:r>
      <w:r w:rsidRPr="00140032">
        <w:rPr>
          <w:i/>
          <w:iCs/>
        </w:rPr>
        <w:t>The Trade and Investment Effects of Preferential Trading Arrangements — Old and New Evidence</w:t>
      </w:r>
      <w:r w:rsidRPr="00140032">
        <w:t>, Productivity Commission Staff Working Paper, Canberra.</w:t>
      </w:r>
    </w:p>
    <w:p w:rsidR="00751F8E" w:rsidRPr="00140032" w:rsidRDefault="00751F8E" w:rsidP="000C6F40">
      <w:pPr>
        <w:pStyle w:val="Reference"/>
      </w:pPr>
      <w:r w:rsidRPr="00140032">
        <w:t>Alach, Z</w:t>
      </w:r>
      <w:r w:rsidR="006A4A5B" w:rsidRPr="00140032">
        <w:t>.</w:t>
      </w:r>
      <w:r w:rsidRPr="00140032">
        <w:t xml:space="preserve"> and Crous, C.</w:t>
      </w:r>
      <w:r w:rsidR="00751DBA" w:rsidRPr="00140032">
        <w:t xml:space="preserve"> 2012,</w:t>
      </w:r>
      <w:r w:rsidRPr="00140032">
        <w:t xml:space="preserve"> </w:t>
      </w:r>
      <w:r w:rsidRPr="00140032">
        <w:rPr>
          <w:i/>
        </w:rPr>
        <w:t>A tough nut to crack; Performance measurement in specialist policing</w:t>
      </w:r>
      <w:r w:rsidRPr="00140032">
        <w:t>, AIC reports, Technical and Background paper 53, Australian Institute of Criminology.</w:t>
      </w:r>
    </w:p>
    <w:p w:rsidR="00435288" w:rsidRPr="00140032" w:rsidRDefault="00435288" w:rsidP="000C6F40">
      <w:pPr>
        <w:pStyle w:val="Reference"/>
        <w:rPr>
          <w:lang w:val="en"/>
        </w:rPr>
      </w:pPr>
      <w:r w:rsidRPr="00140032">
        <w:t xml:space="preserve">Alchin, T. 1990, ‘The role of the CER in improving Australia–New Zealand relations’, </w:t>
      </w:r>
      <w:r w:rsidRPr="00140032">
        <w:rPr>
          <w:i/>
        </w:rPr>
        <w:t>The Australian Quarterly</w:t>
      </w:r>
      <w:r w:rsidRPr="00140032">
        <w:t xml:space="preserve">, </w:t>
      </w:r>
      <w:r w:rsidR="0031017B" w:rsidRPr="00140032">
        <w:t>vol. </w:t>
      </w:r>
      <w:r w:rsidRPr="00140032">
        <w:t xml:space="preserve">62, </w:t>
      </w:r>
      <w:r w:rsidR="0031017B" w:rsidRPr="00140032">
        <w:t>no. </w:t>
      </w:r>
      <w:r w:rsidRPr="00140032">
        <w:t>1, p</w:t>
      </w:r>
      <w:r w:rsidR="0031017B" w:rsidRPr="00140032">
        <w:t>p. </w:t>
      </w:r>
      <w:r w:rsidRPr="00140032">
        <w:t>21–35.</w:t>
      </w:r>
    </w:p>
    <w:p w:rsidR="00435288" w:rsidRPr="00140032" w:rsidRDefault="006A4A5B" w:rsidP="000C6F40">
      <w:pPr>
        <w:pStyle w:val="Reference"/>
      </w:pPr>
      <w:r w:rsidRPr="00140032">
        <w:t>Alesina, A.</w:t>
      </w:r>
      <w:r w:rsidR="00435288" w:rsidRPr="00140032">
        <w:t xml:space="preserve"> and Spolaore, E. 2005, </w:t>
      </w:r>
      <w:r w:rsidR="00435288" w:rsidRPr="00140032">
        <w:rPr>
          <w:i/>
        </w:rPr>
        <w:t>The Size of Nations</w:t>
      </w:r>
      <w:r w:rsidR="00435288" w:rsidRPr="00140032">
        <w:t>, MIT Press, Cambridge, Masachusetts and London.</w:t>
      </w:r>
    </w:p>
    <w:p w:rsidR="00435288" w:rsidRPr="00140032" w:rsidRDefault="00435288" w:rsidP="000C6F40">
      <w:pPr>
        <w:pStyle w:val="Reference"/>
      </w:pPr>
      <w:r w:rsidRPr="00140032">
        <w:t>ANZTPA (Australia New Zealand Therapeutic Prod</w:t>
      </w:r>
      <w:r w:rsidR="000B3A2E" w:rsidRPr="00140032">
        <w:t>ucts Agency) 2002, ‘Regulatory i</w:t>
      </w:r>
      <w:r w:rsidRPr="00140032">
        <w:t xml:space="preserve">mpact </w:t>
      </w:r>
      <w:r w:rsidR="000B3A2E" w:rsidRPr="00140032">
        <w:t>s</w:t>
      </w:r>
      <w:r w:rsidRPr="00140032">
        <w:t xml:space="preserve">tatement: A proposal for a </w:t>
      </w:r>
      <w:r w:rsidR="000B3A2E" w:rsidRPr="00140032">
        <w:t>t</w:t>
      </w:r>
      <w:r w:rsidRPr="00140032">
        <w:t>rans</w:t>
      </w:r>
      <w:r w:rsidRPr="00140032">
        <w:noBreakHyphen/>
        <w:t xml:space="preserve">Tasman </w:t>
      </w:r>
      <w:r w:rsidR="000B3A2E" w:rsidRPr="00140032">
        <w:t>a</w:t>
      </w:r>
      <w:r w:rsidRPr="00140032">
        <w:t xml:space="preserve">gency to </w:t>
      </w:r>
      <w:r w:rsidR="000B3A2E" w:rsidRPr="00140032">
        <w:t>r</w:t>
      </w:r>
      <w:r w:rsidRPr="00140032">
        <w:t xml:space="preserve">egulate </w:t>
      </w:r>
      <w:r w:rsidR="000B3A2E" w:rsidRPr="00140032">
        <w:t>t</w:t>
      </w:r>
      <w:r w:rsidRPr="00140032">
        <w:t xml:space="preserve">herapeutic products’, http://www.anztpa.org/about/0211nzris.pdf (accessed </w:t>
      </w:r>
      <w:r w:rsidR="000861EB" w:rsidRPr="00140032">
        <w:t>3</w:t>
      </w:r>
      <w:r w:rsidR="00B1721F" w:rsidRPr="00140032">
        <w:t> </w:t>
      </w:r>
      <w:r w:rsidR="0038633E" w:rsidRPr="00140032">
        <w:t>September</w:t>
      </w:r>
      <w:r w:rsidRPr="00140032">
        <w:t xml:space="preserve"> 2012).</w:t>
      </w:r>
    </w:p>
    <w:p w:rsidR="00435288" w:rsidRPr="00140032" w:rsidRDefault="00435288" w:rsidP="000C6F40">
      <w:pPr>
        <w:pStyle w:val="Reference"/>
      </w:pPr>
      <w:r w:rsidRPr="00140032">
        <w:t xml:space="preserve">APRA (Australian Prudential Regulatory Authority) 2011, </w:t>
      </w:r>
      <w:r w:rsidRPr="00140032">
        <w:rPr>
          <w:i/>
        </w:rPr>
        <w:t>APRA Annual Report 2011</w:t>
      </w:r>
      <w:r w:rsidRPr="00140032">
        <w:t>, Sydney,</w:t>
      </w:r>
      <w:r w:rsidR="000B3A2E" w:rsidRPr="00140032">
        <w:t xml:space="preserve"> </w:t>
      </w:r>
      <w:r w:rsidR="000B3A2E" w:rsidRPr="00140032">
        <w:rPr>
          <w:rFonts w:cs="Arial"/>
          <w:szCs w:val="24"/>
          <w:lang w:eastAsia="en-NZ"/>
        </w:rPr>
        <w:t>http://www.apra.gov.au/AboutAPRA/Publications/Documents/ AR_2011_ ALL.pdf</w:t>
      </w:r>
      <w:r w:rsidR="0038633E" w:rsidRPr="00140032">
        <w:t xml:space="preserve"> (accessed </w:t>
      </w:r>
      <w:r w:rsidRPr="00140032">
        <w:t>3 September 2012).</w:t>
      </w:r>
    </w:p>
    <w:p w:rsidR="00435288" w:rsidRPr="00140032" w:rsidRDefault="00435288" w:rsidP="000C6F40">
      <w:pPr>
        <w:pStyle w:val="Reference"/>
      </w:pPr>
      <w:r w:rsidRPr="00140032">
        <w:t xml:space="preserve">ASIC (Australian Securities and Investments Commission) 2009, </w:t>
      </w:r>
      <w:r w:rsidRPr="00140032">
        <w:rPr>
          <w:i/>
        </w:rPr>
        <w:t>Effects of the Australia–New Zealand mutual recognition regime for securities offerings</w:t>
      </w:r>
      <w:r w:rsidRPr="00140032">
        <w:t>, report 174, Australian Securities and Investments Commission, October.</w:t>
      </w:r>
    </w:p>
    <w:p w:rsidR="00435288" w:rsidRPr="00140032" w:rsidRDefault="00435288" w:rsidP="000C6F40">
      <w:pPr>
        <w:pStyle w:val="Reference"/>
      </w:pPr>
      <w:r w:rsidRPr="00140032">
        <w:t xml:space="preserve">——2010, ‘Responding to the Global Financial </w:t>
      </w:r>
      <w:r w:rsidR="000861EB" w:rsidRPr="00140032">
        <w:t>C</w:t>
      </w:r>
      <w:r w:rsidRPr="00140032">
        <w:t xml:space="preserve">risis: the ASIC </w:t>
      </w:r>
      <w:r w:rsidR="000861EB" w:rsidRPr="00140032">
        <w:t>s</w:t>
      </w:r>
      <w:r w:rsidRPr="00140032">
        <w:t>tory’,</w:t>
      </w:r>
      <w:r w:rsidRPr="00140032">
        <w:rPr>
          <w:i/>
        </w:rPr>
        <w:t xml:space="preserve"> </w:t>
      </w:r>
      <w:r w:rsidR="008B3C4D" w:rsidRPr="00140032">
        <w:t>S</w:t>
      </w:r>
      <w:r w:rsidRPr="00140032">
        <w:t>peech by Tony D’Aloisio (Chairman) to the Trans-Tasman Business Circle</w:t>
      </w:r>
      <w:r w:rsidRPr="00140032">
        <w:rPr>
          <w:i/>
        </w:rPr>
        <w:t>,</w:t>
      </w:r>
      <w:r w:rsidR="000861EB" w:rsidRPr="00140032">
        <w:t xml:space="preserve"> 30 November 2010. </w:t>
      </w:r>
      <w:r w:rsidR="000861EB" w:rsidRPr="00140032">
        <w:rPr>
          <w:rFonts w:cs="Arial"/>
          <w:szCs w:val="24"/>
        </w:rPr>
        <w:t>http://www.asic.gov.au/asic/pdflib.nsf/LookupByFileName/ speech-responding-global-crisis-nov-2011.pdf/$file/speech-responding-global-crisis-nov-2011.pdf</w:t>
      </w:r>
      <w:r w:rsidRPr="00140032">
        <w:t xml:space="preserve"> (accessed 3 September 2012).</w:t>
      </w:r>
    </w:p>
    <w:p w:rsidR="00435288" w:rsidRPr="00140032" w:rsidRDefault="00435288" w:rsidP="000C6F40">
      <w:pPr>
        <w:pStyle w:val="Reference"/>
        <w:rPr>
          <w:rFonts w:cs="Arial"/>
          <w:szCs w:val="24"/>
        </w:rPr>
      </w:pPr>
      <w:r w:rsidRPr="00140032">
        <w:rPr>
          <w:rFonts w:cs="Arial"/>
          <w:szCs w:val="24"/>
        </w:rPr>
        <w:t xml:space="preserve">——2012, </w:t>
      </w:r>
      <w:r w:rsidRPr="00140032">
        <w:rPr>
          <w:rFonts w:cs="Arial"/>
          <w:i/>
          <w:szCs w:val="24"/>
        </w:rPr>
        <w:t>Trans-Tasman Mutual Recognition of Financial Advisers Announced,</w:t>
      </w:r>
      <w:r w:rsidRPr="00140032">
        <w:rPr>
          <w:rFonts w:cs="Arial"/>
          <w:szCs w:val="24"/>
        </w:rPr>
        <w:t xml:space="preserve"> Media Release </w:t>
      </w:r>
      <w:r w:rsidR="006A4A5B" w:rsidRPr="00140032">
        <w:rPr>
          <w:rFonts w:cs="Arial"/>
          <w:szCs w:val="24"/>
        </w:rPr>
        <w:t xml:space="preserve">http://www.asic.gov.au/asic/asic.nsf/byheadline/12-149MR+Joint+ASIC+-+Financial+Markets+Authority+media+release%3A+Trans-Tasman+mutual+recognition+of+financial+advisers+announced?openDocument </w:t>
      </w:r>
      <w:r w:rsidRPr="00140032">
        <w:rPr>
          <w:rFonts w:cs="Arial"/>
          <w:szCs w:val="24"/>
        </w:rPr>
        <w:t>(accessed 3 September 2012).</w:t>
      </w:r>
    </w:p>
    <w:p w:rsidR="00435288" w:rsidRPr="00140032" w:rsidRDefault="00435288" w:rsidP="000C6F40">
      <w:pPr>
        <w:pStyle w:val="Reference"/>
      </w:pPr>
      <w:proofErr w:type="spellStart"/>
      <w:r w:rsidRPr="00140032">
        <w:lastRenderedPageBreak/>
        <w:t>ATO</w:t>
      </w:r>
      <w:proofErr w:type="spellEnd"/>
      <w:r w:rsidRPr="00140032">
        <w:t xml:space="preserve"> (Australian </w:t>
      </w:r>
      <w:r w:rsidR="00D80C5A" w:rsidRPr="00140032">
        <w:t>Taxation</w:t>
      </w:r>
      <w:r w:rsidRPr="00140032">
        <w:t xml:space="preserve"> Office) 2011, Trans-Tasman retirement savings portability, http://</w:t>
      </w:r>
      <w:proofErr w:type="spellStart"/>
      <w:r w:rsidRPr="00140032">
        <w:t>www.ato.gov.au</w:t>
      </w:r>
      <w:proofErr w:type="spellEnd"/>
      <w:r w:rsidRPr="00140032">
        <w:t>/c</w:t>
      </w:r>
      <w:r w:rsidR="00C9330E" w:rsidRPr="00140032">
        <w:t>ontent/</w:t>
      </w:r>
      <w:proofErr w:type="spellStart"/>
      <w:r w:rsidR="00C9330E" w:rsidRPr="00140032">
        <w:t>00302200.htm</w:t>
      </w:r>
      <w:proofErr w:type="spellEnd"/>
      <w:r w:rsidR="00C9330E" w:rsidRPr="00140032">
        <w:t xml:space="preserve"> (accessed 3 </w:t>
      </w:r>
      <w:r w:rsidRPr="00140032">
        <w:t>September 2012).</w:t>
      </w:r>
    </w:p>
    <w:p w:rsidR="00C11D14" w:rsidRPr="00140032" w:rsidRDefault="00C11D14" w:rsidP="00C11D14">
      <w:pPr>
        <w:pStyle w:val="Reference"/>
      </w:pPr>
      <w:r w:rsidRPr="00140032">
        <w:rPr>
          <w:lang w:val="en-NZ"/>
        </w:rPr>
        <w:t>——</w:t>
      </w:r>
      <w:r w:rsidRPr="00140032">
        <w:t>unpublished, Data compiled from ATO Schedule 25A.</w:t>
      </w:r>
    </w:p>
    <w:p w:rsidR="006F5DDC" w:rsidRPr="00140032" w:rsidRDefault="006F5DDC" w:rsidP="000C6F40">
      <w:pPr>
        <w:pStyle w:val="Reference"/>
      </w:pPr>
      <w:r w:rsidRPr="00140032">
        <w:t>Australian and New Zealand Governments 1988</w:t>
      </w:r>
      <w:r w:rsidR="00751DBA" w:rsidRPr="00140032">
        <w:t>,</w:t>
      </w:r>
      <w:r w:rsidRPr="00140032">
        <w:t xml:space="preserve"> ‘Protocol on Harmonisation of Quarantine Administrative Procedures to the Australia New Zealand Closer Economic Relations – Trade Agreement’, Canberra, 18 August.</w:t>
      </w:r>
    </w:p>
    <w:p w:rsidR="00C11D14" w:rsidRPr="00140032" w:rsidRDefault="00C11D14" w:rsidP="000C6F40">
      <w:pPr>
        <w:pStyle w:val="Reference"/>
      </w:pPr>
      <w:r w:rsidRPr="00140032">
        <w:rPr>
          <w:lang w:val="en-NZ"/>
        </w:rPr>
        <w:t xml:space="preserve">Australian Government 2012, </w:t>
      </w:r>
      <w:r w:rsidRPr="00140032">
        <w:rPr>
          <w:i/>
          <w:lang w:val="en-NZ"/>
        </w:rPr>
        <w:t>Australia in the Asian Century</w:t>
      </w:r>
      <w:r w:rsidRPr="00140032">
        <w:rPr>
          <w:lang w:val="en-NZ"/>
        </w:rPr>
        <w:t xml:space="preserve">, </w:t>
      </w:r>
      <w:r w:rsidR="008632FA" w:rsidRPr="00140032">
        <w:rPr>
          <w:lang w:val="en-NZ"/>
        </w:rPr>
        <w:t>W</w:t>
      </w:r>
      <w:r w:rsidRPr="00140032">
        <w:rPr>
          <w:lang w:val="en-NZ"/>
        </w:rPr>
        <w:t xml:space="preserve">hite </w:t>
      </w:r>
      <w:r w:rsidR="008632FA" w:rsidRPr="00140032">
        <w:rPr>
          <w:lang w:val="en-NZ"/>
        </w:rPr>
        <w:t>P</w:t>
      </w:r>
      <w:r w:rsidRPr="00140032">
        <w:rPr>
          <w:lang w:val="en-NZ"/>
        </w:rPr>
        <w:t>aper, October.</w:t>
      </w:r>
    </w:p>
    <w:p w:rsidR="00435288" w:rsidRPr="00140032" w:rsidRDefault="00435288" w:rsidP="000C6F40">
      <w:pPr>
        <w:pStyle w:val="Reference"/>
      </w:pPr>
      <w:r w:rsidRPr="00140032">
        <w:t xml:space="preserve">Australian High Commission New Zealand 2012, </w:t>
      </w:r>
      <w:r w:rsidRPr="00140032">
        <w:rPr>
          <w:i/>
        </w:rPr>
        <w:t>Closer Economic Relations (CER)</w:t>
      </w:r>
      <w:r w:rsidRPr="00140032">
        <w:t xml:space="preserve">, http://www.newzealand.embassy.gov.au/wltn/CloseEconRel.html (accessed </w:t>
      </w:r>
      <w:r w:rsidR="0038633E" w:rsidRPr="00140032">
        <w:t xml:space="preserve">3 </w:t>
      </w:r>
      <w:r w:rsidRPr="00140032">
        <w:t>September 2012).</w:t>
      </w:r>
    </w:p>
    <w:p w:rsidR="00435288" w:rsidRPr="00140032" w:rsidRDefault="00435288" w:rsidP="000C6F40">
      <w:pPr>
        <w:pStyle w:val="Reference"/>
      </w:pPr>
      <w:r w:rsidRPr="00140032">
        <w:t xml:space="preserve">Banks, G. 2010, </w:t>
      </w:r>
      <w:r w:rsidRPr="00140032">
        <w:rPr>
          <w:i/>
          <w:iCs/>
        </w:rPr>
        <w:t>An Economy-wide View: Speeches on Structural Reform</w:t>
      </w:r>
      <w:r w:rsidRPr="00140032">
        <w:t>, Productivity Commission, Melbourne.</w:t>
      </w:r>
    </w:p>
    <w:p w:rsidR="00751F8E" w:rsidRPr="00140032" w:rsidRDefault="00751F8E" w:rsidP="000C6F40">
      <w:pPr>
        <w:pStyle w:val="Reference"/>
      </w:pPr>
      <w:r w:rsidRPr="00140032">
        <w:t xml:space="preserve">Barton, J. 2004, ‘Issues posed by a world patent system’, </w:t>
      </w:r>
      <w:r w:rsidRPr="00140032">
        <w:rPr>
          <w:i/>
        </w:rPr>
        <w:t xml:space="preserve">Journal of International Economic Law, </w:t>
      </w:r>
      <w:r w:rsidRPr="00140032">
        <w:t>vol.</w:t>
      </w:r>
      <w:r w:rsidR="004C0BAB" w:rsidRPr="00140032">
        <w:t> </w:t>
      </w:r>
      <w:r w:rsidRPr="00140032">
        <w:t xml:space="preserve">7, </w:t>
      </w:r>
      <w:r w:rsidR="00B1721F" w:rsidRPr="00140032">
        <w:t>no. </w:t>
      </w:r>
      <w:r w:rsidRPr="00140032">
        <w:t>2, pp.</w:t>
      </w:r>
      <w:r w:rsidR="004C0BAB" w:rsidRPr="00140032">
        <w:t> </w:t>
      </w:r>
      <w:r w:rsidRPr="00140032">
        <w:t>341–57.</w:t>
      </w:r>
    </w:p>
    <w:p w:rsidR="000B3A2E" w:rsidRPr="00140032" w:rsidRDefault="000B3A2E" w:rsidP="000C6F40">
      <w:pPr>
        <w:pStyle w:val="Reference"/>
      </w:pPr>
      <w:r w:rsidRPr="00140032">
        <w:t xml:space="preserve">Becker, G.S., Glaeser, E.L., and Murphy, M.M. 1999, ‘Population and economic growth, </w:t>
      </w:r>
      <w:r w:rsidRPr="00140032">
        <w:rPr>
          <w:i/>
        </w:rPr>
        <w:t>American Economic Review</w:t>
      </w:r>
      <w:r w:rsidRPr="00140032">
        <w:t>, vol.</w:t>
      </w:r>
      <w:r w:rsidR="004C0BAB" w:rsidRPr="00140032">
        <w:t> </w:t>
      </w:r>
      <w:r w:rsidRPr="00140032">
        <w:t xml:space="preserve">89, </w:t>
      </w:r>
      <w:r w:rsidR="00B1721F" w:rsidRPr="00140032">
        <w:t>no. </w:t>
      </w:r>
      <w:r w:rsidRPr="00140032">
        <w:t>2, pp. 145</w:t>
      </w:r>
      <w:r w:rsidRPr="00140032">
        <w:rPr>
          <w:lang w:eastAsia="en-NZ"/>
        </w:rPr>
        <w:t>–</w:t>
      </w:r>
      <w:r w:rsidRPr="00140032">
        <w:t>49.</w:t>
      </w:r>
    </w:p>
    <w:p w:rsidR="00846578" w:rsidRPr="00140032" w:rsidRDefault="00846578" w:rsidP="000C6F40">
      <w:pPr>
        <w:pStyle w:val="Reference"/>
      </w:pPr>
      <w:proofErr w:type="spellStart"/>
      <w:r w:rsidRPr="00140032">
        <w:t>Benge</w:t>
      </w:r>
      <w:proofErr w:type="spellEnd"/>
      <w:r w:rsidRPr="00140032">
        <w:t>, M. and Slack, H. 2012, ‘Mutual Recognition: A framework for considering costs and benefits’, Paper presented to Australian and New Zealand Productivity Commissions Technical Workshop on Mutual Recognition, 31 October.</w:t>
      </w:r>
    </w:p>
    <w:p w:rsidR="00435288" w:rsidRPr="00140032" w:rsidRDefault="00435288" w:rsidP="000C6F40">
      <w:pPr>
        <w:pStyle w:val="Reference"/>
      </w:pPr>
      <w:r w:rsidRPr="00140032">
        <w:t xml:space="preserve">Berry, M. 2011, ‘The New Zealand approach to monopolisation, mergers and cartels’, Speech to the Taiwan Fair Trade Commission, 22 February, </w:t>
      </w:r>
      <w:hyperlink r:id="rId9" w:history="1">
        <w:r w:rsidRPr="00140032">
          <w:t>http://www.comcom.govt.nz/taiwan-fair-trade-commission-22-february-2011/</w:t>
        </w:r>
      </w:hyperlink>
      <w:r w:rsidRPr="00140032">
        <w:t xml:space="preserve"> (accessed 3 September 2012).</w:t>
      </w:r>
    </w:p>
    <w:p w:rsidR="00435288" w:rsidRPr="00140032" w:rsidRDefault="00435288" w:rsidP="000C6F40">
      <w:pPr>
        <w:pStyle w:val="Reference"/>
      </w:pPr>
      <w:r w:rsidRPr="00140032">
        <w:t xml:space="preserve">BIE (Bureau of Industry Economics, Australian Government) 1989, </w:t>
      </w:r>
      <w:r w:rsidRPr="00140032">
        <w:rPr>
          <w:i/>
        </w:rPr>
        <w:t>Trade Liberalisation and Australian Manufacturing Industry: The Impact of the Australia–New Zealand Closer Economic Relations Trade Agreement</w:t>
      </w:r>
      <w:r w:rsidRPr="00140032">
        <w:t xml:space="preserve">, </w:t>
      </w:r>
      <w:r w:rsidR="00293AE3" w:rsidRPr="00140032">
        <w:t>AGPS</w:t>
      </w:r>
      <w:r w:rsidRPr="00140032">
        <w:t>, Canberra.</w:t>
      </w:r>
    </w:p>
    <w:p w:rsidR="00435288" w:rsidRPr="00140032" w:rsidRDefault="00435288" w:rsidP="000C6F40">
      <w:pPr>
        <w:pStyle w:val="Reference"/>
      </w:pPr>
      <w:r w:rsidRPr="00140032">
        <w:t xml:space="preserve">——1995, </w:t>
      </w:r>
      <w:r w:rsidRPr="00140032">
        <w:rPr>
          <w:i/>
        </w:rPr>
        <w:t>Impact of the CER Trade Agreement: Lessons for Regional Economic Integration</w:t>
      </w:r>
      <w:r w:rsidRPr="00140032">
        <w:t xml:space="preserve">, </w:t>
      </w:r>
      <w:r w:rsidR="00293AE3" w:rsidRPr="00140032">
        <w:t>AGPS</w:t>
      </w:r>
      <w:r w:rsidRPr="00140032">
        <w:t>, Canberra.</w:t>
      </w:r>
    </w:p>
    <w:p w:rsidR="00435288" w:rsidRPr="00140032" w:rsidRDefault="00435288" w:rsidP="000C6F40">
      <w:pPr>
        <w:pStyle w:val="Reference"/>
      </w:pPr>
      <w:r w:rsidRPr="00140032">
        <w:t xml:space="preserve">BITRE (Bureau of Infrastructure, Transport and Regional Economics) 2012, </w:t>
      </w:r>
      <w:r w:rsidRPr="00140032">
        <w:rPr>
          <w:i/>
        </w:rPr>
        <w:t xml:space="preserve">International Airlines Operated Flights and Seats, </w:t>
      </w:r>
      <w:r w:rsidRPr="00140032">
        <w:t>released May,</w:t>
      </w:r>
      <w:r w:rsidR="00030473" w:rsidRPr="00140032">
        <w:t xml:space="preserve"> </w:t>
      </w:r>
      <w:hyperlink r:id="rId10" w:history="1">
        <w:r w:rsidR="00030473" w:rsidRPr="00140032">
          <w:rPr>
            <w:rStyle w:val="Hyperlink"/>
            <w:color w:val="1C1C1C"/>
            <w:szCs w:val="24"/>
            <w:u w:val="none"/>
          </w:rPr>
          <w:t>http://www.bitre.gov.au/publications/ongoing/international_airlines-operated_flights_seats.aspx</w:t>
        </w:r>
      </w:hyperlink>
      <w:r w:rsidR="00030473" w:rsidRPr="00140032">
        <w:t xml:space="preserve"> (accessed 23 August 2012)</w:t>
      </w:r>
      <w:r w:rsidRPr="00140032">
        <w:t>.</w:t>
      </w:r>
    </w:p>
    <w:p w:rsidR="00435288" w:rsidRPr="00140032" w:rsidRDefault="00435288" w:rsidP="000C6F40">
      <w:pPr>
        <w:pStyle w:val="Reference"/>
      </w:pPr>
      <w:r w:rsidRPr="00140032">
        <w:lastRenderedPageBreak/>
        <w:t xml:space="preserve">Bollard, A. 2011, </w:t>
      </w:r>
      <w:r w:rsidR="008C0EEA" w:rsidRPr="00140032">
        <w:t>‘</w:t>
      </w:r>
      <w:r w:rsidRPr="00140032">
        <w:t xml:space="preserve">The </w:t>
      </w:r>
      <w:r w:rsidR="008C0EEA" w:rsidRPr="00140032">
        <w:t>r</w:t>
      </w:r>
      <w:r w:rsidRPr="00140032">
        <w:t xml:space="preserve">ole of </w:t>
      </w:r>
      <w:r w:rsidR="008C0EEA" w:rsidRPr="00140032">
        <w:t>b</w:t>
      </w:r>
      <w:r w:rsidRPr="00140032">
        <w:t xml:space="preserve">anks in the </w:t>
      </w:r>
      <w:r w:rsidR="008C0EEA" w:rsidRPr="00140032">
        <w:t>e</w:t>
      </w:r>
      <w:r w:rsidRPr="00140032">
        <w:t>conomy</w:t>
      </w:r>
      <w:r w:rsidR="008C0EEA" w:rsidRPr="00140032">
        <w:t xml:space="preserve"> </w:t>
      </w:r>
      <w:r w:rsidR="00751DBA" w:rsidRPr="00140032">
        <w:t>—</w:t>
      </w:r>
      <w:r w:rsidRPr="00140032">
        <w:t xml:space="preserve"> </w:t>
      </w:r>
      <w:r w:rsidR="008C0EEA" w:rsidRPr="00140032">
        <w:t>i</w:t>
      </w:r>
      <w:r w:rsidRPr="00140032">
        <w:t>mproving</w:t>
      </w:r>
      <w:r w:rsidR="008C0EEA" w:rsidRPr="00140032">
        <w:t xml:space="preserve"> </w:t>
      </w:r>
      <w:r w:rsidRPr="00140032">
        <w:t xml:space="preserve">the </w:t>
      </w:r>
      <w:r w:rsidR="008C0EEA" w:rsidRPr="00140032">
        <w:t>p</w:t>
      </w:r>
      <w:r w:rsidRPr="00140032">
        <w:t xml:space="preserve">erformance of the New Zealand </w:t>
      </w:r>
      <w:r w:rsidR="008C0EEA" w:rsidRPr="00140032">
        <w:t>b</w:t>
      </w:r>
      <w:r w:rsidRPr="00140032">
        <w:t xml:space="preserve">anking </w:t>
      </w:r>
      <w:r w:rsidR="008C0EEA" w:rsidRPr="00140032">
        <w:t>s</w:t>
      </w:r>
      <w:r w:rsidRPr="00140032">
        <w:t>ystem after the Global Financial Crisis</w:t>
      </w:r>
      <w:r w:rsidR="008C0EEA" w:rsidRPr="00140032">
        <w:t>’</w:t>
      </w:r>
      <w:r w:rsidRPr="00140032">
        <w:t>, Speech to the New Zealand Shareholders Association Annual Meeting, Tauranga, 6</w:t>
      </w:r>
      <w:r w:rsidR="00751DBA" w:rsidRPr="00140032">
        <w:t> </w:t>
      </w:r>
      <w:r w:rsidRPr="00140032">
        <w:t xml:space="preserve">August, </w:t>
      </w:r>
      <w:hyperlink r:id="rId11" w:history="1">
        <w:r w:rsidRPr="00140032">
          <w:rPr>
            <w:rStyle w:val="Hyperlink"/>
            <w:rFonts w:cs="Arial"/>
            <w:color w:val="1C1C1C"/>
            <w:szCs w:val="24"/>
            <w:u w:val="none"/>
          </w:rPr>
          <w:t>http://www.rbnz.govt.nz/speeches/4487002.html</w:t>
        </w:r>
      </w:hyperlink>
      <w:r w:rsidRPr="00140032">
        <w:t xml:space="preserve"> (accessed 7</w:t>
      </w:r>
      <w:r w:rsidR="00751DBA" w:rsidRPr="00140032">
        <w:t> </w:t>
      </w:r>
      <w:r w:rsidRPr="00140032">
        <w:t>September 2012).</w:t>
      </w:r>
    </w:p>
    <w:p w:rsidR="00435288" w:rsidRPr="00140032" w:rsidRDefault="00435288" w:rsidP="000C6F40">
      <w:pPr>
        <w:pStyle w:val="Reference"/>
      </w:pPr>
      <w:r w:rsidRPr="00140032">
        <w:t xml:space="preserve">Boulhol, H. and de Serres, A. 2010, ‘Have developed countries escaped the curse of distance?’ </w:t>
      </w:r>
      <w:r w:rsidRPr="00140032">
        <w:rPr>
          <w:i/>
        </w:rPr>
        <w:t>Journal of Economic Geography</w:t>
      </w:r>
      <w:r w:rsidRPr="00140032">
        <w:t xml:space="preserve">, </w:t>
      </w:r>
      <w:r w:rsidR="0031017B" w:rsidRPr="00140032">
        <w:t>vol. </w:t>
      </w:r>
      <w:r w:rsidRPr="00140032">
        <w:t xml:space="preserve">10, </w:t>
      </w:r>
      <w:r w:rsidR="0031017B" w:rsidRPr="00140032">
        <w:t>no. </w:t>
      </w:r>
      <w:r w:rsidRPr="00140032">
        <w:t>1, p</w:t>
      </w:r>
      <w:r w:rsidR="0031017B" w:rsidRPr="00140032">
        <w:t>p. </w:t>
      </w:r>
      <w:r w:rsidRPr="00140032">
        <w:t>113–39.</w:t>
      </w:r>
    </w:p>
    <w:p w:rsidR="002679EE" w:rsidRPr="00140032" w:rsidRDefault="002679EE" w:rsidP="000C6F40">
      <w:pPr>
        <w:pStyle w:val="Reference"/>
        <w:rPr>
          <w:rFonts w:cs="Arial"/>
          <w:szCs w:val="24"/>
        </w:rPr>
      </w:pPr>
      <w:r w:rsidRPr="00140032">
        <w:t>Brash, D. T. 1996, New Zealand’s Remarkable Reforms, address to the Fifth Annual Hayek Memorial Lecture, London, 4</w:t>
      </w:r>
      <w:r w:rsidR="00751DBA" w:rsidRPr="00140032">
        <w:t> </w:t>
      </w:r>
      <w:r w:rsidRPr="00140032">
        <w:t>June, http://www.rbnz.govt.nz/speeches/0031201.html (accessed 5 November 2012).</w:t>
      </w:r>
    </w:p>
    <w:p w:rsidR="00435288" w:rsidRPr="00140032" w:rsidRDefault="00435288" w:rsidP="000C6F40">
      <w:pPr>
        <w:pStyle w:val="Reference"/>
        <w:rPr>
          <w:rFonts w:cs="Arial"/>
          <w:iCs/>
          <w:szCs w:val="24"/>
        </w:rPr>
      </w:pPr>
      <w:r w:rsidRPr="00140032">
        <w:rPr>
          <w:rFonts w:cs="Arial"/>
          <w:szCs w:val="24"/>
        </w:rPr>
        <w:t xml:space="preserve">Business Regulation and Competition Working Group 2011, </w:t>
      </w:r>
      <w:r w:rsidRPr="00140032">
        <w:rPr>
          <w:rFonts w:cs="Arial"/>
          <w:i/>
          <w:iCs/>
          <w:szCs w:val="24"/>
        </w:rPr>
        <w:t xml:space="preserve">Future COAG Regulatory reform Agenda Stakeholder Consultation Paper </w:t>
      </w:r>
      <w:hyperlink r:id="rId12" w:history="1">
        <w:r w:rsidR="008C0EEA" w:rsidRPr="00140032">
          <w:rPr>
            <w:rStyle w:val="Hyperlink"/>
            <w:rFonts w:cs="Arial"/>
            <w:iCs/>
            <w:color w:val="1C1C1C"/>
            <w:szCs w:val="24"/>
            <w:u w:val="none"/>
          </w:rPr>
          <w:t>http://www.finance.gov.au/publications/coag-future-regulatory-paper/docs/future_coag_regulatory_reform_agenda_stakeholder_consultation_paper.pdf</w:t>
        </w:r>
      </w:hyperlink>
      <w:r w:rsidRPr="00140032">
        <w:rPr>
          <w:rFonts w:cs="Arial"/>
          <w:iCs/>
          <w:szCs w:val="24"/>
        </w:rPr>
        <w:t xml:space="preserve"> (accessed 22 august 2012).</w:t>
      </w:r>
    </w:p>
    <w:p w:rsidR="00435288" w:rsidRPr="00140032" w:rsidRDefault="00435288" w:rsidP="000C6F40">
      <w:pPr>
        <w:pStyle w:val="Reference"/>
      </w:pPr>
      <w:r w:rsidRPr="00140032">
        <w:t xml:space="preserve">Carter, D. 2010, ‘Airports (Cost Recovery for Processing of International Travellers) Bill – First Reading’, </w:t>
      </w:r>
      <w:r w:rsidRPr="00140032">
        <w:rPr>
          <w:i/>
        </w:rPr>
        <w:t>New Zealand Parliament Hansard (debates, 15</w:t>
      </w:r>
      <w:r w:rsidR="00751DBA" w:rsidRPr="00140032">
        <w:rPr>
          <w:i/>
        </w:rPr>
        <w:t> </w:t>
      </w:r>
      <w:r w:rsidRPr="00140032">
        <w:rPr>
          <w:i/>
        </w:rPr>
        <w:t>September 2010)</w:t>
      </w:r>
      <w:r w:rsidRPr="00140032">
        <w:t xml:space="preserve"> The New Zealand Parliament, Wellington.</w:t>
      </w:r>
    </w:p>
    <w:p w:rsidR="00435288" w:rsidRPr="00140032" w:rsidRDefault="00435288" w:rsidP="000C6F40">
      <w:pPr>
        <w:pStyle w:val="Reference"/>
      </w:pPr>
      <w:r w:rsidRPr="00140032">
        <w:t xml:space="preserve">Cavana, R.Y. 2004, ‘A </w:t>
      </w:r>
      <w:r w:rsidR="008C0EEA" w:rsidRPr="00140032">
        <w:t>q</w:t>
      </w:r>
      <w:r w:rsidRPr="00140032">
        <w:t xml:space="preserve">ualitative </w:t>
      </w:r>
      <w:r w:rsidR="008C0EEA" w:rsidRPr="00140032">
        <w:t>a</w:t>
      </w:r>
      <w:r w:rsidRPr="00140032">
        <w:t xml:space="preserve">nalysis of </w:t>
      </w:r>
      <w:r w:rsidR="008C0EEA" w:rsidRPr="00140032">
        <w:t>r</w:t>
      </w:r>
      <w:r w:rsidRPr="00140032">
        <w:t xml:space="preserve">eintroducing </w:t>
      </w:r>
      <w:r w:rsidR="008C0EEA" w:rsidRPr="00140032">
        <w:t>c</w:t>
      </w:r>
      <w:r w:rsidRPr="00140032">
        <w:t xml:space="preserve">abotage onto New Zealand's </w:t>
      </w:r>
      <w:r w:rsidR="008C0EEA" w:rsidRPr="00140032">
        <w:t>c</w:t>
      </w:r>
      <w:r w:rsidRPr="00140032">
        <w:t xml:space="preserve">oasts’, </w:t>
      </w:r>
      <w:r w:rsidRPr="00140032">
        <w:rPr>
          <w:i/>
        </w:rPr>
        <w:t>Maritime Policy and Management: An International Journal of Shipping and Port Research,</w:t>
      </w:r>
      <w:r w:rsidRPr="00140032">
        <w:t xml:space="preserve"> </w:t>
      </w:r>
      <w:r w:rsidR="0031017B" w:rsidRPr="00140032">
        <w:t>vol. </w:t>
      </w:r>
      <w:r w:rsidRPr="00140032">
        <w:t xml:space="preserve">31, </w:t>
      </w:r>
      <w:r w:rsidR="0031017B" w:rsidRPr="00140032">
        <w:t>no. </w:t>
      </w:r>
      <w:r w:rsidRPr="00140032">
        <w:t>3, p</w:t>
      </w:r>
      <w:r w:rsidR="0031017B" w:rsidRPr="00140032">
        <w:t>p. </w:t>
      </w:r>
      <w:r w:rsidRPr="00140032">
        <w:t xml:space="preserve">179–98. </w:t>
      </w:r>
    </w:p>
    <w:p w:rsidR="00435288" w:rsidRPr="00140032" w:rsidRDefault="00435288" w:rsidP="000C6F40">
      <w:pPr>
        <w:pStyle w:val="Reference"/>
      </w:pPr>
      <w:r w:rsidRPr="00140032">
        <w:t>CGBC (Consultative Group for Biosecurity Cooperation) 1999, ‘Terms of Reference for the Consultative Group on Biosecurity Cooperation’</w:t>
      </w:r>
      <w:r w:rsidR="00293AE3" w:rsidRPr="00140032">
        <w:t>, p</w:t>
      </w:r>
      <w:r w:rsidRPr="00140032">
        <w:t>rovided by the New Zealand Ministry for Primary Industries.</w:t>
      </w:r>
    </w:p>
    <w:p w:rsidR="00435288" w:rsidRPr="00140032" w:rsidRDefault="00435288" w:rsidP="000C6F40">
      <w:pPr>
        <w:pStyle w:val="Reference"/>
      </w:pPr>
      <w:r w:rsidRPr="00140032">
        <w:t xml:space="preserve">Combet, G. 2012, </w:t>
      </w:r>
      <w:r w:rsidRPr="00140032">
        <w:rPr>
          <w:i/>
        </w:rPr>
        <w:t>Australia and European Commission agree on pathway towards fully linking emissions trading schemes</w:t>
      </w:r>
      <w:r w:rsidRPr="00140032">
        <w:t xml:space="preserve">, Media release, </w:t>
      </w:r>
      <w:hyperlink r:id="rId13" w:history="1">
        <w:r w:rsidRPr="00140032">
          <w:rPr>
            <w:rStyle w:val="Hyperlink"/>
            <w:rFonts w:cs="Arial"/>
            <w:color w:val="1C1C1C"/>
            <w:szCs w:val="24"/>
            <w:u w:val="none"/>
            <w:lang w:val="en" w:eastAsia="en-NZ"/>
          </w:rPr>
          <w:t>http://www.climatechange.gov.au/~/media/Files/minister/combet/2012/media/august/Combet-MediaRelease-20120828.pdf</w:t>
        </w:r>
      </w:hyperlink>
      <w:r w:rsidRPr="00140032">
        <w:t xml:space="preserve"> (accessed 3 September 2012).</w:t>
      </w:r>
    </w:p>
    <w:p w:rsidR="00435288" w:rsidRPr="00140032" w:rsidRDefault="00435288" w:rsidP="000C6F40">
      <w:pPr>
        <w:pStyle w:val="Reference"/>
      </w:pPr>
      <w:r w:rsidRPr="00140032">
        <w:t xml:space="preserve">Commonwealth of Australia 1983, Australia New Zealand Closer Economic Relations Trade Agreement, and Exchange of Letters, Australian Treaty Series, </w:t>
      </w:r>
      <w:r w:rsidR="0031017B" w:rsidRPr="00140032">
        <w:t>no. </w:t>
      </w:r>
      <w:r w:rsidRPr="00140032">
        <w:t>2, AGPS, Canberra.</w:t>
      </w:r>
    </w:p>
    <w:p w:rsidR="00435288" w:rsidRPr="00140032" w:rsidRDefault="00435288" w:rsidP="000C6F40">
      <w:pPr>
        <w:pStyle w:val="Reference"/>
      </w:pPr>
      <w:r w:rsidRPr="00140032">
        <w:t>——20</w:t>
      </w:r>
      <w:r w:rsidR="00F26C6B" w:rsidRPr="00140032">
        <w:t>10</w:t>
      </w:r>
      <w:r w:rsidRPr="00140032">
        <w:t xml:space="preserve">, </w:t>
      </w:r>
      <w:r w:rsidRPr="00140032">
        <w:rPr>
          <w:i/>
        </w:rPr>
        <w:t>Australia’s Future Tax System</w:t>
      </w:r>
      <w:r w:rsidRPr="00140032">
        <w:t>, (Henry, K., Harmer, J., Piggott, J., Ridout, H. and Smith, G.), Report to the Treasurer, Canberra, December.</w:t>
      </w:r>
    </w:p>
    <w:p w:rsidR="00435288" w:rsidRPr="00140032" w:rsidRDefault="00435288" w:rsidP="000C6F40">
      <w:pPr>
        <w:pStyle w:val="Reference"/>
      </w:pPr>
      <w:r w:rsidRPr="00140032">
        <w:t xml:space="preserve">Conway, P., Meehan, L. and Zheng, G. </w:t>
      </w:r>
      <w:r w:rsidR="00D64546" w:rsidRPr="00140032">
        <w:t>(forthcoming)</w:t>
      </w:r>
      <w:r w:rsidRPr="00140032">
        <w:t xml:space="preserve">, ‘How integrated are the Australian and New Zealand economies?’ </w:t>
      </w:r>
      <w:r w:rsidRPr="00140032">
        <w:rPr>
          <w:i/>
        </w:rPr>
        <w:t>New Zealand Productivity Commission Working Paper</w:t>
      </w:r>
      <w:r w:rsidRPr="00140032">
        <w:t>.</w:t>
      </w:r>
    </w:p>
    <w:p w:rsidR="00435288" w:rsidRPr="00140032" w:rsidRDefault="00435288" w:rsidP="000C6F40">
      <w:pPr>
        <w:pStyle w:val="Reference"/>
      </w:pPr>
      <w:r w:rsidRPr="00140032">
        <w:lastRenderedPageBreak/>
        <w:t xml:space="preserve">Coppel, J., Dumont, J., and Visco, I. 2001, ‘Trends in </w:t>
      </w:r>
      <w:r w:rsidR="002F121F" w:rsidRPr="00140032">
        <w:t>i</w:t>
      </w:r>
      <w:r w:rsidRPr="00140032">
        <w:t xml:space="preserve">mmigration and </w:t>
      </w:r>
      <w:r w:rsidR="002F121F" w:rsidRPr="00140032">
        <w:t>e</w:t>
      </w:r>
      <w:r w:rsidRPr="00140032">
        <w:t xml:space="preserve">conomic </w:t>
      </w:r>
      <w:r w:rsidR="002F121F" w:rsidRPr="00140032">
        <w:t>c</w:t>
      </w:r>
      <w:r w:rsidRPr="00140032">
        <w:t xml:space="preserve">onsequences’, </w:t>
      </w:r>
      <w:r w:rsidRPr="00140032">
        <w:rPr>
          <w:i/>
        </w:rPr>
        <w:t>OECD Economics Department Working Papers</w:t>
      </w:r>
      <w:r w:rsidRPr="00140032">
        <w:t xml:space="preserve">, </w:t>
      </w:r>
      <w:r w:rsidR="0031017B" w:rsidRPr="00140032">
        <w:t>no. </w:t>
      </w:r>
      <w:r w:rsidRPr="00140032">
        <w:t>284, OECD, Paris.</w:t>
      </w:r>
    </w:p>
    <w:p w:rsidR="00435288" w:rsidRPr="00140032" w:rsidRDefault="00435288" w:rsidP="000C6F40">
      <w:pPr>
        <w:pStyle w:val="Reference"/>
      </w:pPr>
      <w:r w:rsidRPr="00140032">
        <w:t xml:space="preserve">Cote, A. 1994, ‘Exchange Rate Volatility and Trade: A Survey’, </w:t>
      </w:r>
      <w:r w:rsidRPr="00140032">
        <w:rPr>
          <w:i/>
        </w:rPr>
        <w:t>Working Paper</w:t>
      </w:r>
      <w:r w:rsidRPr="00140032">
        <w:t xml:space="preserve">, </w:t>
      </w:r>
      <w:r w:rsidR="0031017B" w:rsidRPr="00140032">
        <w:t>no. </w:t>
      </w:r>
      <w:r w:rsidRPr="00140032">
        <w:t>94–5, Bank of Canada.</w:t>
      </w:r>
    </w:p>
    <w:p w:rsidR="00846578" w:rsidRPr="00140032" w:rsidRDefault="00846578" w:rsidP="000C6F40">
      <w:pPr>
        <w:pStyle w:val="Reference"/>
      </w:pPr>
      <w:proofErr w:type="spellStart"/>
      <w:r w:rsidRPr="00140032">
        <w:t>Crean</w:t>
      </w:r>
      <w:proofErr w:type="spellEnd"/>
      <w:r w:rsidRPr="00140032">
        <w:t xml:space="preserve">, S. and Goff, P. 2008, 2008 </w:t>
      </w:r>
      <w:proofErr w:type="spellStart"/>
      <w:r w:rsidRPr="00140032">
        <w:t>CER</w:t>
      </w:r>
      <w:proofErr w:type="spellEnd"/>
      <w:r w:rsidRPr="00140032">
        <w:t xml:space="preserve"> Ministerial Forum Joint Statement, 15 August, http://</w:t>
      </w:r>
      <w:proofErr w:type="spellStart"/>
      <w:r w:rsidRPr="00140032">
        <w:t>www.trademinister.gov.au</w:t>
      </w:r>
      <w:proofErr w:type="spellEnd"/>
      <w:r w:rsidRPr="00140032">
        <w:t>/releases/2008/</w:t>
      </w:r>
      <w:proofErr w:type="spellStart"/>
      <w:r w:rsidRPr="00140032">
        <w:t>sc_cer_joint</w:t>
      </w:r>
      <w:proofErr w:type="spellEnd"/>
      <w:r w:rsidRPr="00140032">
        <w:t>_</w:t>
      </w:r>
      <w:r w:rsidRPr="00140032">
        <w:br/>
      </w:r>
      <w:proofErr w:type="spellStart"/>
      <w:r w:rsidRPr="00140032">
        <w:t>communique.html</w:t>
      </w:r>
      <w:proofErr w:type="spellEnd"/>
      <w:r w:rsidRPr="00140032">
        <w:t xml:space="preserve"> (accessed 15 October 2012).</w:t>
      </w:r>
    </w:p>
    <w:p w:rsidR="00435288" w:rsidRPr="00140032" w:rsidRDefault="00435288" w:rsidP="000C6F40">
      <w:pPr>
        <w:pStyle w:val="Reference"/>
      </w:pPr>
      <w:r w:rsidRPr="00140032">
        <w:t xml:space="preserve">Cully, M. 2011, ‘Skilled migration </w:t>
      </w:r>
      <w:r w:rsidR="002F121F" w:rsidRPr="00140032">
        <w:t>s</w:t>
      </w:r>
      <w:r w:rsidRPr="00140032">
        <w:t xml:space="preserve">election policies: Recent Australian </w:t>
      </w:r>
      <w:r w:rsidR="002F121F" w:rsidRPr="00140032">
        <w:t>r</w:t>
      </w:r>
      <w:r w:rsidRPr="00140032">
        <w:t xml:space="preserve">eforms’, </w:t>
      </w:r>
      <w:r w:rsidRPr="00140032">
        <w:rPr>
          <w:i/>
        </w:rPr>
        <w:t>Migration Policy Practice</w:t>
      </w:r>
      <w:r w:rsidRPr="00140032">
        <w:t xml:space="preserve">, </w:t>
      </w:r>
      <w:r w:rsidR="0031017B" w:rsidRPr="00140032">
        <w:t>vol. </w:t>
      </w:r>
      <w:r w:rsidRPr="00140032">
        <w:t xml:space="preserve">1, </w:t>
      </w:r>
      <w:r w:rsidR="0031017B" w:rsidRPr="00140032">
        <w:t>no. </w:t>
      </w:r>
      <w:r w:rsidRPr="00140032">
        <w:t xml:space="preserve">1, </w:t>
      </w:r>
      <w:hyperlink r:id="rId14" w:history="1">
        <w:r w:rsidR="002F121F"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http://www.immi.gov.au/ media/publications/research/pdf/ skilled-migration-policies.pdf</w:t>
        </w:r>
      </w:hyperlink>
      <w:r w:rsidRPr="00140032">
        <w:t xml:space="preserve"> (accessed 2</w:t>
      </w:r>
      <w:r w:rsidR="00223901" w:rsidRPr="00140032">
        <w:t> </w:t>
      </w:r>
      <w:r w:rsidRPr="00140032">
        <w:t>September 2012).</w:t>
      </w:r>
    </w:p>
    <w:p w:rsidR="00435288" w:rsidRPr="00140032" w:rsidRDefault="00435288" w:rsidP="000C6F40">
      <w:pPr>
        <w:pStyle w:val="Reference"/>
      </w:pPr>
      <w:r w:rsidRPr="00140032">
        <w:t>Dale, C.M., Lazonby, A., St John, S. and Littlewood, M. 2011,</w:t>
      </w:r>
      <w:r w:rsidR="002F121F" w:rsidRPr="00140032">
        <w:t xml:space="preserve"> ‘Overseas p</w:t>
      </w:r>
      <w:r w:rsidRPr="00140032">
        <w:t xml:space="preserve">ension </w:t>
      </w:r>
      <w:r w:rsidR="002F121F" w:rsidRPr="00140032">
        <w:t>p</w:t>
      </w:r>
      <w:r w:rsidRPr="00140032">
        <w:t xml:space="preserve">olicy: the next steps’, </w:t>
      </w:r>
      <w:r w:rsidRPr="00140032">
        <w:rPr>
          <w:i/>
        </w:rPr>
        <w:t xml:space="preserve">Working Paper, </w:t>
      </w:r>
      <w:r w:rsidR="0031017B" w:rsidRPr="00140032">
        <w:t>no. </w:t>
      </w:r>
      <w:r w:rsidRPr="00140032">
        <w:t>2011-1, Retirement Policy and Research Centre, University of Auckland.</w:t>
      </w:r>
    </w:p>
    <w:p w:rsidR="00435288" w:rsidRPr="00140032" w:rsidRDefault="00435288" w:rsidP="000C6F40">
      <w:pPr>
        <w:pStyle w:val="Reference"/>
      </w:pPr>
      <w:r w:rsidRPr="00140032">
        <w:t xml:space="preserve">DBCDE (Department of Broadband, Communications and the Digital Economy, Australia) 2012, National Broadband Network, </w:t>
      </w:r>
      <w:hyperlink r:id="rId15" w:history="1"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http://www.dbcde.gov.au/broadband/ national_broadband_network</w:t>
        </w:r>
      </w:hyperlink>
      <w:r w:rsidRPr="00140032">
        <w:t xml:space="preserve">, (accessed </w:t>
      </w:r>
      <w:r w:rsidR="0038633E" w:rsidRPr="00140032">
        <w:t xml:space="preserve">30 </w:t>
      </w:r>
      <w:r w:rsidRPr="00140032">
        <w:t>April 2012).</w:t>
      </w:r>
    </w:p>
    <w:p w:rsidR="002234D8" w:rsidRPr="00140032" w:rsidRDefault="002234D8" w:rsidP="000C6F40">
      <w:pPr>
        <w:pStyle w:val="Reference"/>
      </w:pPr>
      <w:r w:rsidRPr="00140032">
        <w:t xml:space="preserve">De Backer, K. and Yamano, N. 2012, </w:t>
      </w:r>
      <w:r w:rsidRPr="00140032">
        <w:rPr>
          <w:i/>
        </w:rPr>
        <w:t>International Comparative Evidence on Global Value Chains</w:t>
      </w:r>
      <w:r w:rsidRPr="00140032">
        <w:t>, OECD Science, Technology and Industry Working Papers, 2012/03, OECD Publishing.</w:t>
      </w:r>
    </w:p>
    <w:p w:rsidR="00DE25DE" w:rsidRPr="00140032" w:rsidRDefault="00DE25DE" w:rsidP="00DE25DE">
      <w:pPr>
        <w:pStyle w:val="Reference"/>
      </w:pPr>
      <w:r w:rsidRPr="00140032">
        <w:t xml:space="preserve">Department of Health and Ageing, Australia, 2011, </w:t>
      </w:r>
      <w:r w:rsidRPr="00140032">
        <w:rPr>
          <w:i/>
        </w:rPr>
        <w:t>Therapeutics Goods Administration Australia New Zealand Therapeutic Products Agency</w:t>
      </w:r>
      <w:r w:rsidRPr="00140032">
        <w:t xml:space="preserve"> (</w:t>
      </w:r>
      <w:proofErr w:type="spellStart"/>
      <w:r w:rsidRPr="00140032">
        <w:t>ANZTPA</w:t>
      </w:r>
      <w:proofErr w:type="spellEnd"/>
      <w:r w:rsidRPr="00140032">
        <w:t xml:space="preserve">), Fact sheet, </w:t>
      </w:r>
      <w:hyperlink r:id="rId16" w:history="1">
        <w:r w:rsidRPr="00140032">
          <w:t>http://</w:t>
        </w:r>
        <w:proofErr w:type="spellStart"/>
        <w:r w:rsidRPr="00140032">
          <w:t>www.tga.gov.au</w:t>
        </w:r>
        <w:proofErr w:type="spellEnd"/>
        <w:r w:rsidRPr="00140032">
          <w:t>/about/international-</w:t>
        </w:r>
        <w:proofErr w:type="spellStart"/>
        <w:r w:rsidRPr="00140032">
          <w:t>anztpa</w:t>
        </w:r>
        <w:proofErr w:type="spellEnd"/>
        <w:r w:rsidRPr="00140032">
          <w:t>-</w:t>
        </w:r>
        <w:proofErr w:type="spellStart"/>
        <w:r w:rsidRPr="00140032">
          <w:t>factsheet.htm</w:t>
        </w:r>
        <w:proofErr w:type="spellEnd"/>
      </w:hyperlink>
      <w:r w:rsidRPr="00140032">
        <w:t xml:space="preserve"> (accessed 3 September 2012).</w:t>
      </w:r>
    </w:p>
    <w:p w:rsidR="00DE25DE" w:rsidRPr="00140032" w:rsidRDefault="00DE25DE" w:rsidP="00DE25DE">
      <w:pPr>
        <w:pStyle w:val="Reference"/>
      </w:pPr>
      <w:r w:rsidRPr="00140032">
        <w:t xml:space="preserve">Department of Infrastructure and Transport, Australia, 2011, ‘Waterline 50’, </w:t>
      </w:r>
      <w:hyperlink r:id="rId17" w:history="1">
        <w:r w:rsidRPr="00140032">
          <w:rPr>
            <w:rStyle w:val="Hyperlink"/>
            <w:color w:val="1C1C1C"/>
            <w:u w:val="none"/>
          </w:rPr>
          <w:t>http://</w:t>
        </w:r>
        <w:proofErr w:type="spellStart"/>
        <w:r w:rsidRPr="00140032">
          <w:rPr>
            <w:rStyle w:val="Hyperlink"/>
            <w:color w:val="1C1C1C"/>
            <w:u w:val="none"/>
          </w:rPr>
          <w:t>www.bitre.gov.au</w:t>
        </w:r>
        <w:proofErr w:type="spellEnd"/>
        <w:r w:rsidRPr="00140032">
          <w:rPr>
            <w:rStyle w:val="Hyperlink"/>
            <w:color w:val="1C1C1C"/>
            <w:u w:val="none"/>
          </w:rPr>
          <w:t>/publications/2011/files/</w:t>
        </w:r>
        <w:proofErr w:type="spellStart"/>
        <w:r w:rsidRPr="00140032">
          <w:rPr>
            <w:rStyle w:val="Hyperlink"/>
            <w:color w:val="1C1C1C"/>
            <w:u w:val="none"/>
          </w:rPr>
          <w:t>water_050.pdf</w:t>
        </w:r>
        <w:proofErr w:type="spellEnd"/>
      </w:hyperlink>
      <w:r w:rsidRPr="00140032">
        <w:t xml:space="preserve"> (accessed 3 October 2012).</w:t>
      </w:r>
    </w:p>
    <w:p w:rsidR="00435288" w:rsidRPr="00140032" w:rsidRDefault="00435288" w:rsidP="000C6F40">
      <w:pPr>
        <w:pStyle w:val="Reference"/>
      </w:pPr>
      <w:proofErr w:type="spellStart"/>
      <w:r w:rsidRPr="00140032">
        <w:t>DeRosa</w:t>
      </w:r>
      <w:proofErr w:type="spellEnd"/>
      <w:r w:rsidRPr="00140032">
        <w:t xml:space="preserve">, D. 2007, ‘The </w:t>
      </w:r>
      <w:r w:rsidR="002F121F" w:rsidRPr="00140032">
        <w:t>t</w:t>
      </w:r>
      <w:r w:rsidRPr="00140032">
        <w:t xml:space="preserve">rade </w:t>
      </w:r>
      <w:r w:rsidR="002F121F" w:rsidRPr="00140032">
        <w:t>e</w:t>
      </w:r>
      <w:r w:rsidRPr="00140032">
        <w:t xml:space="preserve">ffects of </w:t>
      </w:r>
      <w:r w:rsidR="002F121F" w:rsidRPr="00140032">
        <w:t>p</w:t>
      </w:r>
      <w:r w:rsidRPr="00140032">
        <w:t xml:space="preserve">referential </w:t>
      </w:r>
      <w:r w:rsidR="002F121F" w:rsidRPr="00140032">
        <w:t>tr</w:t>
      </w:r>
      <w:r w:rsidRPr="00140032">
        <w:t xml:space="preserve">ading </w:t>
      </w:r>
      <w:r w:rsidR="002F121F" w:rsidRPr="00140032">
        <w:t>arrangements: New e</w:t>
      </w:r>
      <w:r w:rsidRPr="00140032">
        <w:t xml:space="preserve">vidence from the Australian Productivity Commission’, </w:t>
      </w:r>
      <w:r w:rsidRPr="00140032">
        <w:rPr>
          <w:i/>
        </w:rPr>
        <w:t>Peter G. Peterson Institute for International Economics, Working Paper Series</w:t>
      </w:r>
      <w:r w:rsidRPr="00140032">
        <w:t>, WP 07-1, Washington.</w:t>
      </w:r>
    </w:p>
    <w:p w:rsidR="00435288" w:rsidRPr="00140032" w:rsidRDefault="00435288" w:rsidP="000C6F40">
      <w:pPr>
        <w:pStyle w:val="Reference"/>
      </w:pPr>
      <w:r w:rsidRPr="00140032">
        <w:t xml:space="preserve">DFAT (Department of Foreign Affairs and Trade, Australia) 2012, </w:t>
      </w:r>
      <w:r w:rsidRPr="00140032">
        <w:rPr>
          <w:i/>
        </w:rPr>
        <w:t xml:space="preserve">New Zealand Country Brief, </w:t>
      </w:r>
      <w:hyperlink r:id="rId18" w:history="1">
        <w:r w:rsidRPr="00140032">
          <w:rPr>
            <w:rStyle w:val="Hyperlink"/>
            <w:rFonts w:cs="Arial"/>
            <w:color w:val="1C1C1C"/>
            <w:szCs w:val="24"/>
            <w:u w:val="none"/>
          </w:rPr>
          <w:t>http://www.dfat.gov.au/geo/new_ zealand/nz_country_brief.html</w:t>
        </w:r>
      </w:hyperlink>
      <w:r w:rsidRPr="00140032">
        <w:t xml:space="preserve"> (accessed 3 April 2012).</w:t>
      </w:r>
    </w:p>
    <w:p w:rsidR="00B66F03" w:rsidRPr="00140032" w:rsidRDefault="00B66F03" w:rsidP="00B66F03">
      <w:pPr>
        <w:pStyle w:val="Reference"/>
      </w:pPr>
      <w:r w:rsidRPr="00140032">
        <w:lastRenderedPageBreak/>
        <w:t xml:space="preserve">——nd, Australia-New Zealand Closer Economic Relations Trade Agreement, Trade in Services 1995 Review (Exchange of Letters) </w:t>
      </w:r>
      <w:hyperlink r:id="rId19" w:history="1">
        <w:r w:rsidRPr="00140032">
          <w:t>http://www.dfat.gov.au/fta/anzcerta/index.html</w:t>
        </w:r>
      </w:hyperlink>
      <w:r w:rsidRPr="00140032">
        <w:t xml:space="preserve"> (accessed 28 November 2012).</w:t>
      </w:r>
    </w:p>
    <w:p w:rsidR="00435288" w:rsidRPr="00140032" w:rsidRDefault="00435288" w:rsidP="000C6F40">
      <w:pPr>
        <w:pStyle w:val="Reference"/>
      </w:pPr>
      <w:r w:rsidRPr="00140032">
        <w:t xml:space="preserve">DIAC (Department of Immigration and Citizenship, Australia) 2010, </w:t>
      </w:r>
      <w:r w:rsidRPr="00140032">
        <w:rPr>
          <w:i/>
        </w:rPr>
        <w:t xml:space="preserve">Fact Sheet 17 </w:t>
      </w:r>
      <w:r w:rsidR="00751DBA" w:rsidRPr="00140032">
        <w:rPr>
          <w:i/>
        </w:rPr>
        <w:t>—</w:t>
      </w:r>
      <w:r w:rsidRPr="00140032">
        <w:rPr>
          <w:i/>
        </w:rPr>
        <w:t xml:space="preserve"> New Zealanders in Australia</w:t>
      </w:r>
      <w:r w:rsidRPr="00140032">
        <w:t xml:space="preserve">, </w:t>
      </w:r>
      <w:hyperlink r:id="rId20" w:history="1"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http://www.immi.gov.au/media/fact-sheets/17nz.htm</w:t>
        </w:r>
      </w:hyperlink>
      <w:r w:rsidRPr="00140032">
        <w:t xml:space="preserve"> (accessed 19 April 2012).</w:t>
      </w:r>
    </w:p>
    <w:p w:rsidR="00435288" w:rsidRPr="00140032" w:rsidRDefault="00435288" w:rsidP="000C6F40">
      <w:pPr>
        <w:pStyle w:val="Reference"/>
      </w:pPr>
      <w:r w:rsidRPr="00140032">
        <w:t xml:space="preserve">——2011, ‘Population flows: Immigration aspects 2009-10 edition’, </w:t>
      </w:r>
      <w:hyperlink r:id="rId21" w:history="1">
        <w:r w:rsidRPr="00140032">
          <w:t>http://www.immi.gov.au/media/publications/statistics/popflows2009-10/pop-flows.pdf</w:t>
        </w:r>
      </w:hyperlink>
      <w:r w:rsidRPr="00140032">
        <w:t xml:space="preserve"> (accessed 11 April 2012).</w:t>
      </w:r>
    </w:p>
    <w:p w:rsidR="00435288" w:rsidRPr="00140032" w:rsidRDefault="00435288" w:rsidP="000C6F40">
      <w:pPr>
        <w:pStyle w:val="Reference"/>
      </w:pPr>
      <w:r w:rsidRPr="00140032">
        <w:t xml:space="preserve">——2012, ‘Employer Sponsored Migration, Booklet 5’, </w:t>
      </w:r>
      <w:hyperlink r:id="rId22" w:history="1"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http://</w:t>
        </w:r>
        <w:proofErr w:type="spellStart"/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www.immi.gov.au</w:t>
        </w:r>
        <w:proofErr w:type="spellEnd"/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/</w:t>
        </w:r>
        <w:proofErr w:type="spellStart"/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allforms</w:t>
        </w:r>
        <w:proofErr w:type="spellEnd"/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/booklets/</w:t>
        </w:r>
        <w:proofErr w:type="spellStart"/>
        <w:r w:rsidRPr="00140032">
          <w:rPr>
            <w:rStyle w:val="Hyperlink"/>
            <w:rFonts w:cs="Arial"/>
            <w:color w:val="1C1C1C"/>
            <w:szCs w:val="24"/>
            <w:u w:val="none"/>
            <w:lang w:eastAsia="en-NZ"/>
          </w:rPr>
          <w:t>books5.htm</w:t>
        </w:r>
        <w:proofErr w:type="spellEnd"/>
      </w:hyperlink>
      <w:r w:rsidRPr="00140032">
        <w:t xml:space="preserve"> (accessed 2 September</w:t>
      </w:r>
      <w:r w:rsidR="005E46BE" w:rsidRPr="00140032">
        <w:t xml:space="preserve"> </w:t>
      </w:r>
      <w:r w:rsidRPr="00140032">
        <w:t>2012).</w:t>
      </w:r>
    </w:p>
    <w:p w:rsidR="00435288" w:rsidRPr="00140032" w:rsidRDefault="00435288" w:rsidP="000C6F40">
      <w:pPr>
        <w:pStyle w:val="Reference"/>
      </w:pPr>
      <w:r w:rsidRPr="00140032">
        <w:t xml:space="preserve">DITRDLG (Department of Infrastructure, Transport, Regional Development and Local Government, Australia) 2009, </w:t>
      </w:r>
      <w:r w:rsidRPr="00140032">
        <w:rPr>
          <w:i/>
        </w:rPr>
        <w:t>Flight Path to the Future</w:t>
      </w:r>
      <w:r w:rsidRPr="00140032">
        <w:t>, National Aviation Policy White Paper, Canberra, December.</w:t>
      </w:r>
    </w:p>
    <w:p w:rsidR="006F5DDC" w:rsidRPr="00140032" w:rsidRDefault="006F5DDC" w:rsidP="000C6F40">
      <w:pPr>
        <w:pStyle w:val="Reference"/>
      </w:pPr>
      <w:r w:rsidRPr="00140032">
        <w:t xml:space="preserve">Doan, C., Glanville, V., Russell, A., </w:t>
      </w:r>
      <w:r w:rsidR="00F5188E" w:rsidRPr="00140032">
        <w:t xml:space="preserve">and </w:t>
      </w:r>
      <w:r w:rsidRPr="00140032">
        <w:t xml:space="preserve">White, D. 2006, ‘Greater international links in banking </w:t>
      </w:r>
      <w:r w:rsidR="00751DBA" w:rsidRPr="00140032">
        <w:t>—</w:t>
      </w:r>
      <w:r w:rsidRPr="00140032">
        <w:t xml:space="preserve"> Challenges for banking regulation’ </w:t>
      </w:r>
      <w:r w:rsidRPr="00140032">
        <w:rPr>
          <w:i/>
        </w:rPr>
        <w:t>Economic Roundup</w:t>
      </w:r>
      <w:r w:rsidRPr="00140032">
        <w:t xml:space="preserve">, </w:t>
      </w:r>
      <w:r w:rsidR="00F5188E" w:rsidRPr="00140032">
        <w:t>Volume 25, pp.</w:t>
      </w:r>
      <w:r w:rsidR="00E00C96" w:rsidRPr="00140032">
        <w:t xml:space="preserve"> 111-</w:t>
      </w:r>
      <w:r w:rsidR="00F5188E" w:rsidRPr="00140032">
        <w:t>20</w:t>
      </w:r>
      <w:r w:rsidRPr="00140032">
        <w:t>, Canberra.</w:t>
      </w:r>
    </w:p>
    <w:p w:rsidR="00DE25DE" w:rsidRPr="00140032" w:rsidRDefault="00DE25DE" w:rsidP="00DE25DE">
      <w:pPr>
        <w:pStyle w:val="Reference"/>
      </w:pPr>
      <w:proofErr w:type="spellStart"/>
      <w:r w:rsidRPr="00140032">
        <w:t>DoL</w:t>
      </w:r>
      <w:proofErr w:type="spellEnd"/>
      <w:r w:rsidRPr="00140032">
        <w:t xml:space="preserve"> (Department of Labour, New Zealand</w:t>
      </w:r>
      <w:r w:rsidR="00B309AD" w:rsidRPr="00140032">
        <w:t>)</w:t>
      </w:r>
      <w:r w:rsidRPr="00140032">
        <w:t xml:space="preserve"> 2010, </w:t>
      </w:r>
      <w:r w:rsidRPr="00140032">
        <w:rPr>
          <w:i/>
        </w:rPr>
        <w:t>Working across the ditch — New Zealanders working in Australia</w:t>
      </w:r>
      <w:r w:rsidRPr="00140032">
        <w:t>, Wellington.</w:t>
      </w:r>
    </w:p>
    <w:p w:rsidR="00435288" w:rsidRPr="00140032" w:rsidRDefault="00435288" w:rsidP="000C6F40">
      <w:pPr>
        <w:pStyle w:val="Reference"/>
      </w:pPr>
      <w:r w:rsidRPr="00140032">
        <w:t xml:space="preserve">Drew, A., Hall, V., McDermott, J. and St. Clair, R. 2001, ‘Would adopting the Australian dollar provide superior monetary policy in New Zealand?’, </w:t>
      </w:r>
      <w:r w:rsidRPr="00140032">
        <w:rPr>
          <w:i/>
        </w:rPr>
        <w:t>Reserve Bank of New Zealand Discussion Paper</w:t>
      </w:r>
      <w:r w:rsidRPr="00140032">
        <w:t xml:space="preserve">, </w:t>
      </w:r>
      <w:r w:rsidR="0031017B" w:rsidRPr="00140032">
        <w:t>no. </w:t>
      </w:r>
      <w:r w:rsidRPr="00140032">
        <w:t>3, August.</w:t>
      </w:r>
    </w:p>
    <w:p w:rsidR="00435288" w:rsidRPr="00140032" w:rsidRDefault="00435288" w:rsidP="000C6F40">
      <w:pPr>
        <w:pStyle w:val="Reference"/>
      </w:pPr>
      <w:r w:rsidRPr="00140032">
        <w:t xml:space="preserve">Duncan, I., Lattimore, R. and Bollard, A. 1991, </w:t>
      </w:r>
      <w:r w:rsidRPr="00140032">
        <w:rPr>
          <w:i/>
          <w:iCs/>
        </w:rPr>
        <w:t>New Zealand Tariff Reform and the International Playing Field</w:t>
      </w:r>
      <w:r w:rsidRPr="00140032">
        <w:t>, Report for Officials Working Group, Contract No.</w:t>
      </w:r>
      <w:r w:rsidR="00B1721F" w:rsidRPr="00140032">
        <w:t> </w:t>
      </w:r>
      <w:r w:rsidRPr="00140032">
        <w:t>387, New Zealand Institute of Economic Research, Wellington.</w:t>
      </w:r>
    </w:p>
    <w:p w:rsidR="000A39DB" w:rsidRPr="00140032" w:rsidRDefault="000A39DB" w:rsidP="000A39DB">
      <w:pPr>
        <w:pStyle w:val="Reference"/>
      </w:pPr>
      <w:r w:rsidRPr="00140032">
        <w:t>Easton, B. 2007</w:t>
      </w:r>
      <w:r w:rsidR="00751DBA" w:rsidRPr="00140032">
        <w:t>,</w:t>
      </w:r>
      <w:r w:rsidRPr="00140032">
        <w:t xml:space="preserve"> </w:t>
      </w:r>
      <w:r w:rsidRPr="00140032">
        <w:rPr>
          <w:i/>
        </w:rPr>
        <w:t xml:space="preserve">Globalisation and the Wealth of Nations, </w:t>
      </w:r>
      <w:r w:rsidRPr="00140032">
        <w:t>Auckland University Press.</w:t>
      </w:r>
    </w:p>
    <w:p w:rsidR="00435288" w:rsidRPr="00140032" w:rsidRDefault="00435288" w:rsidP="000C6F40">
      <w:pPr>
        <w:pStyle w:val="Reference"/>
      </w:pPr>
      <w:r w:rsidRPr="00140032">
        <w:t xml:space="preserve">European Commission 2008, </w:t>
      </w:r>
      <w:r w:rsidRPr="00140032">
        <w:rPr>
          <w:i/>
        </w:rPr>
        <w:t>EMU@10: Successes and challenges after 10 years of economic and monetary union</w:t>
      </w:r>
      <w:r w:rsidRPr="00140032">
        <w:t>, Directorate-General for Economic and Financial Affairs.</w:t>
      </w:r>
    </w:p>
    <w:p w:rsidR="00435288" w:rsidRPr="00140032" w:rsidRDefault="00435288" w:rsidP="000C6F40">
      <w:pPr>
        <w:pStyle w:val="Reference"/>
      </w:pPr>
      <w:r w:rsidRPr="00140032">
        <w:t xml:space="preserve">Evans, C. 2010, </w:t>
      </w:r>
      <w:r w:rsidRPr="00140032">
        <w:rPr>
          <w:i/>
        </w:rPr>
        <w:t xml:space="preserve">New Zealand and Australia cooperate to strengthen border security, </w:t>
      </w:r>
      <w:r w:rsidRPr="00140032">
        <w:t xml:space="preserve">media release, 1 July, </w:t>
      </w:r>
      <w:hyperlink r:id="rId23" w:history="1">
        <w:r w:rsidRPr="00140032">
          <w:t>http://www.minister.immi.gov.au/media/media-releases/2010/ce10057.htm</w:t>
        </w:r>
      </w:hyperlink>
      <w:r w:rsidRPr="00140032">
        <w:t xml:space="preserve"> (accessed 19 April 2012).</w:t>
      </w:r>
    </w:p>
    <w:p w:rsidR="008C1717" w:rsidRPr="00140032" w:rsidRDefault="008C1717" w:rsidP="000C6F40">
      <w:pPr>
        <w:pStyle w:val="Reference"/>
      </w:pPr>
      <w:r w:rsidRPr="00140032">
        <w:t xml:space="preserve">Financial Stability Board 2011, </w:t>
      </w:r>
      <w:r w:rsidRPr="00140032">
        <w:rPr>
          <w:i/>
        </w:rPr>
        <w:t>Peer Review of Australia,</w:t>
      </w:r>
      <w:r w:rsidRPr="00140032">
        <w:t xml:space="preserve"> Basel, Switzerland.</w:t>
      </w:r>
    </w:p>
    <w:p w:rsidR="000A39DB" w:rsidRPr="00140032" w:rsidRDefault="000A39DB" w:rsidP="000C6F40">
      <w:pPr>
        <w:pStyle w:val="Reference"/>
      </w:pPr>
      <w:r w:rsidRPr="00140032">
        <w:lastRenderedPageBreak/>
        <w:t xml:space="preserve">Fujita, M., Krugman, P. and Venables, A. 2000, </w:t>
      </w:r>
      <w:r w:rsidRPr="00140032">
        <w:rPr>
          <w:i/>
        </w:rPr>
        <w:t>The Spatial Economy: Cities, Regions, and International Trade</w:t>
      </w:r>
      <w:r w:rsidRPr="00140032">
        <w:t>, Cambridge University Press.</w:t>
      </w:r>
    </w:p>
    <w:p w:rsidR="00435288" w:rsidRPr="00140032" w:rsidRDefault="00435288" w:rsidP="000C6F40">
      <w:pPr>
        <w:pStyle w:val="Reference"/>
      </w:pPr>
      <w:r w:rsidRPr="00140032">
        <w:t>Gillard, J. 2011a, ‘Address to the Parliament of New Zealand’, Wellington, 16</w:t>
      </w:r>
      <w:r w:rsidR="00751DBA" w:rsidRPr="00140032">
        <w:t> </w:t>
      </w:r>
      <w:r w:rsidRPr="00140032">
        <w:t xml:space="preserve">February, </w:t>
      </w:r>
      <w:hyperlink r:id="rId24" w:history="1">
        <w:r w:rsidRPr="00140032">
          <w:t>http://www.pm.gov.au/press-office/address-parliament-new-zealand-wellington</w:t>
        </w:r>
      </w:hyperlink>
      <w:r w:rsidRPr="00140032">
        <w:t xml:space="preserve"> (</w:t>
      </w:r>
      <w:r w:rsidR="0038633E" w:rsidRPr="00140032">
        <w:t>accessed 9 August</w:t>
      </w:r>
      <w:r w:rsidRPr="00140032">
        <w:t xml:space="preserve"> 2012).</w:t>
      </w:r>
    </w:p>
    <w:p w:rsidR="00435288" w:rsidRPr="00140032" w:rsidRDefault="00435288" w:rsidP="000C6F40">
      <w:pPr>
        <w:pStyle w:val="Reference"/>
      </w:pPr>
      <w:r w:rsidRPr="00140032">
        <w:t xml:space="preserve">——2011b, </w:t>
      </w:r>
      <w:r w:rsidRPr="00140032">
        <w:rPr>
          <w:i/>
        </w:rPr>
        <w:t>Landmark agreement to achieve world standards in therapeutic products</w:t>
      </w:r>
      <w:r w:rsidRPr="00140032">
        <w:t xml:space="preserve">, Media release 20 June, </w:t>
      </w:r>
      <w:hyperlink r:id="rId25" w:history="1">
        <w:r w:rsidRPr="00140032">
          <w:rPr>
            <w:rStyle w:val="Hyperlink"/>
            <w:color w:val="1C1C1C"/>
            <w:szCs w:val="24"/>
            <w:u w:val="none"/>
          </w:rPr>
          <w:t>http://www.pm.gov.au/press-office/landmark-agreement-achieve-world-standards-therapeutic-products</w:t>
        </w:r>
      </w:hyperlink>
      <w:r w:rsidRPr="00140032">
        <w:t xml:space="preserve"> (accessed 6</w:t>
      </w:r>
      <w:r w:rsidR="00751DBA" w:rsidRPr="00140032">
        <w:t> </w:t>
      </w:r>
      <w:r w:rsidRPr="00140032">
        <w:t>September 2012).</w:t>
      </w:r>
    </w:p>
    <w:p w:rsidR="00435288" w:rsidRPr="00140032" w:rsidRDefault="00435288" w:rsidP="000C6F40">
      <w:pPr>
        <w:pStyle w:val="Reference"/>
      </w:pPr>
      <w:r w:rsidRPr="00140032">
        <w:t xml:space="preserve">——2012, ‘Transcript of Joint Press Conference, Melbourne’, Prime Minister’s Press Office, Sunday 29 January, </w:t>
      </w:r>
      <w:hyperlink r:id="rId26" w:history="1">
        <w:r w:rsidRPr="00140032">
          <w:rPr>
            <w:rStyle w:val="Hyperlink"/>
            <w:color w:val="1C1C1C"/>
            <w:szCs w:val="24"/>
            <w:u w:val="none"/>
          </w:rPr>
          <w:t>http://www.pm.gov.au/press-office/transcript-joint-press-conference-melbourne-3</w:t>
        </w:r>
      </w:hyperlink>
      <w:r w:rsidRPr="00140032">
        <w:t xml:space="preserve"> (accessed 16 July 2012).</w:t>
      </w:r>
    </w:p>
    <w:p w:rsidR="00435288" w:rsidRPr="00140032" w:rsidRDefault="00435288" w:rsidP="000C6F40">
      <w:pPr>
        <w:pStyle w:val="Reference"/>
      </w:pPr>
      <w:r w:rsidRPr="00140032">
        <w:t>Goddard, D. 2002, ‘Business laws and regulatory institutions: Mechanisms for CER coordination’,</w:t>
      </w:r>
      <w:r w:rsidRPr="00140032">
        <w:rPr>
          <w:i/>
        </w:rPr>
        <w:t xml:space="preserve"> </w:t>
      </w:r>
      <w:r w:rsidRPr="00140032">
        <w:t>In Grimes, A., Wevers, L</w:t>
      </w:r>
      <w:r w:rsidR="00F5188E" w:rsidRPr="00140032">
        <w:t>.</w:t>
      </w:r>
      <w:r w:rsidRPr="00140032">
        <w:t xml:space="preserve"> and Sullivan, G. (eds) </w:t>
      </w:r>
      <w:r w:rsidRPr="00140032">
        <w:rPr>
          <w:i/>
        </w:rPr>
        <w:t>States of Mind: Australia and New Zealand 1901-2001</w:t>
      </w:r>
      <w:r w:rsidRPr="00140032">
        <w:t>, Institute of Policy Studies, Wellington, p</w:t>
      </w:r>
      <w:r w:rsidR="0031017B" w:rsidRPr="00140032">
        <w:t>p. </w:t>
      </w:r>
      <w:r w:rsidRPr="00140032">
        <w:t>179–222.</w:t>
      </w:r>
    </w:p>
    <w:p w:rsidR="00435288" w:rsidRPr="00140032" w:rsidRDefault="00435288" w:rsidP="000C6F40">
      <w:pPr>
        <w:pStyle w:val="Reference"/>
      </w:pPr>
      <w:r w:rsidRPr="00140032">
        <w:t xml:space="preserve">Goldfinch, S. 2006, ‘Shared </w:t>
      </w:r>
      <w:r w:rsidR="002F121F" w:rsidRPr="00140032">
        <w:t>s</w:t>
      </w:r>
      <w:r w:rsidRPr="00140032">
        <w:t xml:space="preserve">tate </w:t>
      </w:r>
      <w:r w:rsidR="002F121F" w:rsidRPr="00140032">
        <w:t>e</w:t>
      </w:r>
      <w:r w:rsidRPr="00140032">
        <w:t xml:space="preserve">xperiments: Policy </w:t>
      </w:r>
      <w:r w:rsidR="002F121F" w:rsidRPr="00140032">
        <w:t>t</w:t>
      </w:r>
      <w:r w:rsidRPr="00140032">
        <w:t xml:space="preserve">ransfer and </w:t>
      </w:r>
      <w:r w:rsidR="002F121F" w:rsidRPr="00140032">
        <w:t>c</w:t>
      </w:r>
      <w:r w:rsidRPr="00140032">
        <w:t xml:space="preserve">onvergence in Australia and New Zealand’, </w:t>
      </w:r>
      <w:r w:rsidRPr="00140032">
        <w:rPr>
          <w:i/>
        </w:rPr>
        <w:t>The Otemon Journal of Australian Studies</w:t>
      </w:r>
      <w:r w:rsidRPr="00140032">
        <w:t xml:space="preserve">, </w:t>
      </w:r>
      <w:r w:rsidR="0031017B" w:rsidRPr="00140032">
        <w:t>vol. </w:t>
      </w:r>
      <w:r w:rsidRPr="00140032">
        <w:t xml:space="preserve">32, </w:t>
      </w:r>
      <w:r w:rsidR="0031017B" w:rsidRPr="00140032">
        <w:t>no. </w:t>
      </w:r>
      <w:r w:rsidRPr="00140032">
        <w:t>25, p</w:t>
      </w:r>
      <w:r w:rsidR="0031017B" w:rsidRPr="00140032">
        <w:t>p. </w:t>
      </w:r>
      <w:r w:rsidRPr="00140032">
        <w:t>61–81.</w:t>
      </w:r>
    </w:p>
    <w:p w:rsidR="00435288" w:rsidRPr="00140032" w:rsidRDefault="00435288" w:rsidP="000C6F40">
      <w:pPr>
        <w:pStyle w:val="Reference"/>
      </w:pPr>
      <w:r w:rsidRPr="00140032">
        <w:t xml:space="preserve">Green, A.E., Power, M.R. and Jang, D.M. 2008, ‘Trans-Tasman migration: New Zealanders’ explanations for their move’, </w:t>
      </w:r>
      <w:r w:rsidRPr="00140032">
        <w:rPr>
          <w:i/>
        </w:rPr>
        <w:t>New Zealand Geographer</w:t>
      </w:r>
      <w:r w:rsidRPr="00140032">
        <w:t xml:space="preserve">, </w:t>
      </w:r>
      <w:r w:rsidR="0031017B" w:rsidRPr="00140032">
        <w:t>vol. </w:t>
      </w:r>
      <w:r w:rsidRPr="00140032">
        <w:t xml:space="preserve">64, </w:t>
      </w:r>
      <w:r w:rsidR="0031017B" w:rsidRPr="00140032">
        <w:t>no. </w:t>
      </w:r>
      <w:r w:rsidRPr="00140032">
        <w:t>1, p</w:t>
      </w:r>
      <w:r w:rsidR="0031017B" w:rsidRPr="00140032">
        <w:t>p.</w:t>
      </w:r>
      <w:r w:rsidR="002F121F" w:rsidRPr="00140032">
        <w:t> </w:t>
      </w:r>
      <w:r w:rsidRPr="00140032">
        <w:t>34–45.</w:t>
      </w:r>
    </w:p>
    <w:p w:rsidR="00435288" w:rsidRPr="00140032" w:rsidRDefault="00435288" w:rsidP="000C6F40">
      <w:pPr>
        <w:pStyle w:val="Reference"/>
      </w:pPr>
      <w:r w:rsidRPr="00140032">
        <w:t xml:space="preserve">Hall, V. 2005, ‘An Australasian currency, New Zealand adopting the US dollar, or an independent monetary policy’, </w:t>
      </w:r>
      <w:r w:rsidRPr="00140032">
        <w:rPr>
          <w:i/>
        </w:rPr>
        <w:t xml:space="preserve">Centre for Applied Macroeconomic Analysis Working Paper, </w:t>
      </w:r>
      <w:r w:rsidR="0031017B" w:rsidRPr="00140032">
        <w:t>no. </w:t>
      </w:r>
      <w:r w:rsidRPr="00140032">
        <w:t>21/2005, Australian National University.</w:t>
      </w:r>
    </w:p>
    <w:p w:rsidR="00435288" w:rsidRPr="00140032" w:rsidRDefault="00435288" w:rsidP="000C6F40">
      <w:pPr>
        <w:pStyle w:val="Reference"/>
      </w:pPr>
      <w:r w:rsidRPr="00140032">
        <w:t xml:space="preserve">Hamer, P. 2008, ‘One in six? The rapid growth of the Māori population in Australia’, </w:t>
      </w:r>
      <w:r w:rsidRPr="00140032">
        <w:rPr>
          <w:i/>
        </w:rPr>
        <w:t>New Zealand Population Review</w:t>
      </w:r>
      <w:r w:rsidRPr="00140032">
        <w:t xml:space="preserve">, </w:t>
      </w:r>
      <w:r w:rsidR="0031017B" w:rsidRPr="00140032">
        <w:t>vol. </w:t>
      </w:r>
      <w:r w:rsidRPr="00140032">
        <w:t>33/34, p</w:t>
      </w:r>
      <w:r w:rsidR="0031017B" w:rsidRPr="00140032">
        <w:t>p. </w:t>
      </w:r>
      <w:r w:rsidRPr="00140032">
        <w:t>153–76.</w:t>
      </w:r>
    </w:p>
    <w:p w:rsidR="00435288" w:rsidRPr="00140032" w:rsidRDefault="00435288" w:rsidP="000C6F40">
      <w:pPr>
        <w:pStyle w:val="Reference"/>
      </w:pPr>
      <w:r w:rsidRPr="00140032">
        <w:t xml:space="preserve">Hardin, A. and Holmes, L. 1997, </w:t>
      </w:r>
      <w:r w:rsidRPr="00140032">
        <w:rPr>
          <w:i/>
          <w:iCs/>
        </w:rPr>
        <w:t>Services Trade and Foreign Direct Investment</w:t>
      </w:r>
      <w:r w:rsidRPr="00140032">
        <w:t>, Industry Commission Staff Research Paper.</w:t>
      </w:r>
    </w:p>
    <w:p w:rsidR="00435288" w:rsidRPr="00140032" w:rsidRDefault="00435288" w:rsidP="000C6F40">
      <w:pPr>
        <w:pStyle w:val="Reference"/>
      </w:pPr>
      <w:r w:rsidRPr="00140032">
        <w:t xml:space="preserve">Henry, K. 2012, ‘Presentation to the Ai Group National Forum’, 20 August, </w:t>
      </w:r>
      <w:hyperlink r:id="rId27" w:history="1">
        <w:r w:rsidRPr="00140032">
          <w:rPr>
            <w:rStyle w:val="Hyperlink"/>
            <w:color w:val="1C1C1C"/>
            <w:szCs w:val="24"/>
            <w:u w:val="none"/>
          </w:rPr>
          <w:t>http://asiancentury.dpmc.gov.au/</w:t>
        </w:r>
      </w:hyperlink>
      <w:r w:rsidRPr="00140032">
        <w:t xml:space="preserve"> (accessed 23 August 2012).</w:t>
      </w:r>
    </w:p>
    <w:p w:rsidR="00435288" w:rsidRPr="00140032" w:rsidRDefault="00435288" w:rsidP="000C6F40">
      <w:pPr>
        <w:pStyle w:val="Reference"/>
      </w:pPr>
      <w:r w:rsidRPr="00140032">
        <w:t xml:space="preserve">Holmes, F. 1995, </w:t>
      </w:r>
      <w:r w:rsidRPr="00140032">
        <w:rPr>
          <w:i/>
        </w:rPr>
        <w:t>The Trans-Tasman Relationship</w:t>
      </w:r>
      <w:r w:rsidRPr="00140032">
        <w:t>, Institute of Policy Studies, Wellington.</w:t>
      </w:r>
    </w:p>
    <w:p w:rsidR="00435288" w:rsidRPr="00140032" w:rsidRDefault="00435288" w:rsidP="000C6F40">
      <w:pPr>
        <w:pStyle w:val="Reference"/>
      </w:pPr>
      <w:r w:rsidRPr="00140032">
        <w:t xml:space="preserve">——2003, </w:t>
      </w:r>
      <w:r w:rsidRPr="00140032">
        <w:rPr>
          <w:i/>
        </w:rPr>
        <w:t>The Rocky Road to CER</w:t>
      </w:r>
      <w:r w:rsidRPr="00140032">
        <w:t xml:space="preserve">, Institute of Policy Studies policy paper </w:t>
      </w:r>
      <w:r w:rsidR="0031017B" w:rsidRPr="00140032">
        <w:t>no. </w:t>
      </w:r>
      <w:r w:rsidRPr="00140032">
        <w:t>17, Victoria University of Wellington.</w:t>
      </w:r>
    </w:p>
    <w:p w:rsidR="00F2547D" w:rsidRPr="00140032" w:rsidRDefault="00F2547D" w:rsidP="000C6F40">
      <w:pPr>
        <w:pStyle w:val="Reference"/>
      </w:pPr>
      <w:r w:rsidRPr="00140032">
        <w:lastRenderedPageBreak/>
        <w:t>Hugo, G.J. 2011, ‘Is Decentralisation the Answer?’ Proceedings from ‘the 2011 Productivity Commission Roundtable, A ‘Sustainable Population’ — Key Policy Issues, Productivity Commission, Canberra.</w:t>
      </w:r>
    </w:p>
    <w:p w:rsidR="00435288" w:rsidRPr="00140032" w:rsidRDefault="00435288" w:rsidP="000C6F40">
      <w:pPr>
        <w:pStyle w:val="Reference"/>
      </w:pPr>
      <w:r w:rsidRPr="00140032">
        <w:t>IMF (International Monetary Fund) 2012, World Economic Outlook Database, April, http://www.imf.org/external/pubs/ft/weo/2012/01/weodata/index.aspx, (accessed 5 September 2012).</w:t>
      </w:r>
    </w:p>
    <w:p w:rsidR="00435288" w:rsidRPr="00140032" w:rsidRDefault="00435288" w:rsidP="000C6F40">
      <w:pPr>
        <w:pStyle w:val="Reference"/>
      </w:pPr>
      <w:r w:rsidRPr="00140032">
        <w:t xml:space="preserve">Immigration New Zealand nd, Visa waiver countries, </w:t>
      </w:r>
      <w:hyperlink r:id="rId28" w:history="1">
        <w:r w:rsidR="000861EB" w:rsidRPr="00140032">
          <w:rPr>
            <w:rStyle w:val="Hyperlink"/>
            <w:color w:val="1C1C1C"/>
            <w:szCs w:val="24"/>
            <w:u w:val="none"/>
          </w:rPr>
          <w:t>http://glossary.immigration.govt.nz/ visafreecountries.htm</w:t>
        </w:r>
      </w:hyperlink>
      <w:r w:rsidRPr="00140032">
        <w:t xml:space="preserve"> (accessed 12 June 2012).</w:t>
      </w:r>
    </w:p>
    <w:p w:rsidR="00D27113" w:rsidRPr="00140032" w:rsidRDefault="00D27113" w:rsidP="00C73F53">
      <w:pPr>
        <w:pStyle w:val="Reference"/>
      </w:pPr>
      <w:r w:rsidRPr="00140032">
        <w:t>Insurance Brokers Association of New Zealand Inc 2011, Code of Professional Conduct, 1</w:t>
      </w:r>
      <w:r w:rsidR="00223901" w:rsidRPr="00140032">
        <w:t> </w:t>
      </w:r>
      <w:r w:rsidRPr="00140032">
        <w:t xml:space="preserve">April, </w:t>
      </w:r>
      <w:hyperlink r:id="rId29" w:history="1">
        <w:r w:rsidRPr="00140032">
          <w:rPr>
            <w:rStyle w:val="Hyperlink"/>
            <w:color w:val="1C1C1C"/>
            <w:u w:val="none"/>
          </w:rPr>
          <w:t>http://</w:t>
        </w:r>
        <w:proofErr w:type="spellStart"/>
        <w:r w:rsidRPr="00140032">
          <w:rPr>
            <w:rStyle w:val="Hyperlink"/>
            <w:color w:val="1C1C1C"/>
            <w:u w:val="none"/>
          </w:rPr>
          <w:t>www.ibanz.co.nz</w:t>
        </w:r>
        <w:proofErr w:type="spellEnd"/>
        <w:r w:rsidRPr="00140032">
          <w:rPr>
            <w:rStyle w:val="Hyperlink"/>
            <w:color w:val="1C1C1C"/>
            <w:u w:val="none"/>
          </w:rPr>
          <w:t>/</w:t>
        </w:r>
        <w:proofErr w:type="spellStart"/>
        <w:r w:rsidRPr="00140032">
          <w:rPr>
            <w:rStyle w:val="Hyperlink"/>
            <w:color w:val="1C1C1C"/>
            <w:u w:val="none"/>
          </w:rPr>
          <w:t>Folder?Action</w:t>
        </w:r>
        <w:proofErr w:type="spellEnd"/>
        <w:r w:rsidRPr="00140032">
          <w:rPr>
            <w:rStyle w:val="Hyperlink"/>
            <w:color w:val="1C1C1C"/>
            <w:u w:val="none"/>
          </w:rPr>
          <w:t>=</w:t>
        </w:r>
        <w:proofErr w:type="spellStart"/>
        <w:r w:rsidRPr="00140032">
          <w:rPr>
            <w:rStyle w:val="Hyperlink"/>
            <w:color w:val="1C1C1C"/>
            <w:u w:val="none"/>
          </w:rPr>
          <w:t>View%20File&amp;Folder</w:t>
        </w:r>
        <w:proofErr w:type="spellEnd"/>
        <w:r w:rsidRPr="00140032">
          <w:rPr>
            <w:rStyle w:val="Hyperlink"/>
            <w:color w:val="1C1C1C"/>
            <w:u w:val="none"/>
          </w:rPr>
          <w:t>_</w:t>
        </w:r>
        <w:r w:rsidR="005E46BE" w:rsidRPr="00140032">
          <w:rPr>
            <w:rStyle w:val="Hyperlink"/>
            <w:color w:val="1C1C1C"/>
            <w:u w:val="none"/>
          </w:rPr>
          <w:br/>
        </w:r>
        <w:r w:rsidRPr="00140032">
          <w:rPr>
            <w:rStyle w:val="Hyperlink"/>
            <w:color w:val="1C1C1C"/>
            <w:u w:val="none"/>
          </w:rPr>
          <w:t>id=</w:t>
        </w:r>
        <w:proofErr w:type="spellStart"/>
        <w:r w:rsidRPr="00140032">
          <w:rPr>
            <w:rStyle w:val="Hyperlink"/>
            <w:color w:val="1C1C1C"/>
            <w:u w:val="none"/>
          </w:rPr>
          <w:t>81&amp;File</w:t>
        </w:r>
        <w:proofErr w:type="spellEnd"/>
        <w:r w:rsidRPr="00140032">
          <w:rPr>
            <w:rStyle w:val="Hyperlink"/>
            <w:color w:val="1C1C1C"/>
            <w:u w:val="none"/>
          </w:rPr>
          <w:t>=</w:t>
        </w:r>
        <w:proofErr w:type="spellStart"/>
        <w:r w:rsidRPr="00140032">
          <w:rPr>
            <w:rStyle w:val="Hyperlink"/>
            <w:color w:val="1C1C1C"/>
            <w:u w:val="none"/>
          </w:rPr>
          <w:t>Code%20of%20Professional%20Conduct.pdf</w:t>
        </w:r>
        <w:proofErr w:type="spellEnd"/>
      </w:hyperlink>
      <w:r w:rsidRPr="00140032">
        <w:t>, accessed 2 October 2012.</w:t>
      </w:r>
    </w:p>
    <w:p w:rsidR="00435288" w:rsidRPr="00140032" w:rsidRDefault="00435288" w:rsidP="000C6F40">
      <w:pPr>
        <w:pStyle w:val="Reference"/>
      </w:pPr>
      <w:r w:rsidRPr="00140032">
        <w:t xml:space="preserve">JSCFADT (Joint Standing Committee on Foreign Affairs Defence and Trade) 2006, </w:t>
      </w:r>
      <w:r w:rsidRPr="00140032">
        <w:rPr>
          <w:i/>
        </w:rPr>
        <w:t xml:space="preserve">Review of Australia-New Zealand Trade and Investment Relations, </w:t>
      </w:r>
      <w:r w:rsidRPr="00140032">
        <w:t>Commonwealth of Australia: Canberra.</w:t>
      </w:r>
    </w:p>
    <w:p w:rsidR="00435288" w:rsidRPr="00140032" w:rsidRDefault="00435288" w:rsidP="000C6F40">
      <w:pPr>
        <w:pStyle w:val="Reference"/>
      </w:pPr>
      <w:r w:rsidRPr="00140032">
        <w:t xml:space="preserve">Key, J. 2011, ‘Address to the Australian Parliament’, 20 June, </w:t>
      </w:r>
      <w:hyperlink r:id="rId30" w:history="1">
        <w:r w:rsidRPr="00140032">
          <w:t>http://www.beehive.govt.nz/speech/address-australian-parliament</w:t>
        </w:r>
      </w:hyperlink>
      <w:r w:rsidR="0038633E" w:rsidRPr="00140032">
        <w:t xml:space="preserve"> (accessed 3</w:t>
      </w:r>
      <w:r w:rsidR="00751DBA" w:rsidRPr="00140032">
        <w:t> </w:t>
      </w:r>
      <w:r w:rsidR="0038633E" w:rsidRPr="00140032">
        <w:t>September</w:t>
      </w:r>
      <w:r w:rsidRPr="00140032">
        <w:t xml:space="preserve"> 2012).</w:t>
      </w:r>
    </w:p>
    <w:p w:rsidR="00435288" w:rsidRPr="00140032" w:rsidRDefault="00435288" w:rsidP="000C6F40">
      <w:pPr>
        <w:pStyle w:val="Reference"/>
      </w:pPr>
      <w:r w:rsidRPr="00140032">
        <w:t xml:space="preserve">Leslie, J. and Elijah A. </w:t>
      </w:r>
      <w:r w:rsidR="00F5188E" w:rsidRPr="00140032">
        <w:t>(forthcoming)</w:t>
      </w:r>
      <w:r w:rsidRPr="00140032">
        <w:t xml:space="preserve">, ‘Does </w:t>
      </w:r>
      <w:r w:rsidR="007513DB" w:rsidRPr="00140032">
        <w:t>N</w:t>
      </w:r>
      <w:r w:rsidRPr="00140032">
        <w:t xml:space="preserve">=2? Trans-Tasman economic integration as a comparator for the Single European </w:t>
      </w:r>
      <w:r w:rsidR="002F121F" w:rsidRPr="00140032">
        <w:t>M</w:t>
      </w:r>
      <w:r w:rsidRPr="00140032">
        <w:t xml:space="preserve">arket’, </w:t>
      </w:r>
      <w:r w:rsidRPr="00140032">
        <w:rPr>
          <w:i/>
        </w:rPr>
        <w:t>Journal of Common Market Studies</w:t>
      </w:r>
      <w:r w:rsidR="00F5188E" w:rsidRPr="00140032">
        <w:t>.</w:t>
      </w:r>
    </w:p>
    <w:p w:rsidR="00435288" w:rsidRPr="00140032" w:rsidRDefault="00435288" w:rsidP="000C6F40">
      <w:pPr>
        <w:pStyle w:val="Reference"/>
      </w:pPr>
      <w:r w:rsidRPr="00140032">
        <w:t xml:space="preserve">Lloyd, P. 1995, ‘The </w:t>
      </w:r>
      <w:r w:rsidR="002F121F" w:rsidRPr="00140032">
        <w:t>future of t</w:t>
      </w:r>
      <w:r w:rsidRPr="00140032">
        <w:t xml:space="preserve">rans-Tasman </w:t>
      </w:r>
      <w:r w:rsidR="002F121F" w:rsidRPr="00140032">
        <w:t>C</w:t>
      </w:r>
      <w:r w:rsidRPr="00140032">
        <w:t xml:space="preserve">loser </w:t>
      </w:r>
      <w:r w:rsidR="002F121F" w:rsidRPr="00140032">
        <w:t>E</w:t>
      </w:r>
      <w:r w:rsidRPr="00140032">
        <w:t xml:space="preserve">conomic Relations’, </w:t>
      </w:r>
      <w:r w:rsidRPr="00140032">
        <w:rPr>
          <w:i/>
          <w:iCs/>
        </w:rPr>
        <w:t>Agenda</w:t>
      </w:r>
      <w:r w:rsidRPr="00140032">
        <w:t xml:space="preserve">, </w:t>
      </w:r>
      <w:r w:rsidR="0031017B" w:rsidRPr="00140032">
        <w:t>vol. </w:t>
      </w:r>
      <w:r w:rsidRPr="00140032">
        <w:t xml:space="preserve">2, </w:t>
      </w:r>
      <w:r w:rsidR="0031017B" w:rsidRPr="00140032">
        <w:t>no. </w:t>
      </w:r>
      <w:r w:rsidRPr="00140032">
        <w:t>3, p</w:t>
      </w:r>
      <w:r w:rsidR="0031017B" w:rsidRPr="00140032">
        <w:t>p. </w:t>
      </w:r>
      <w:r w:rsidRPr="00140032">
        <w:t>267–80.</w:t>
      </w:r>
    </w:p>
    <w:p w:rsidR="00435288" w:rsidRPr="00140032" w:rsidRDefault="00435288" w:rsidP="000C6F40">
      <w:pPr>
        <w:pStyle w:val="Reference"/>
      </w:pPr>
      <w:r w:rsidRPr="00140032">
        <w:rPr>
          <w:lang w:eastAsia="en-NZ"/>
        </w:rPr>
        <w:t>——</w:t>
      </w:r>
      <w:r w:rsidRPr="00140032">
        <w:t>1996</w:t>
      </w:r>
      <w:r w:rsidR="00F26C6B" w:rsidRPr="00140032">
        <w:t>,</w:t>
      </w:r>
      <w:r w:rsidRPr="00140032">
        <w:t xml:space="preserve"> ‘Should AFTA and CER link?’ in Tan, J. (ed) </w:t>
      </w:r>
      <w:r w:rsidRPr="00140032">
        <w:rPr>
          <w:i/>
          <w:iCs/>
        </w:rPr>
        <w:t>AFTA in the Changing International Economy</w:t>
      </w:r>
      <w:r w:rsidRPr="00140032">
        <w:t>,</w:t>
      </w:r>
      <w:r w:rsidR="002F121F" w:rsidRPr="00140032">
        <w:t xml:space="preserve"> Institute of South East Asian Studies, </w:t>
      </w:r>
      <w:r w:rsidR="009406D1" w:rsidRPr="00140032">
        <w:t>Singapore</w:t>
      </w:r>
      <w:r w:rsidR="002F121F" w:rsidRPr="00140032">
        <w:t>,</w:t>
      </w:r>
      <w:r w:rsidRPr="00140032">
        <w:t xml:space="preserve"> p</w:t>
      </w:r>
      <w:r w:rsidR="0031017B" w:rsidRPr="00140032">
        <w:t>p. </w:t>
      </w:r>
      <w:r w:rsidRPr="00140032">
        <w:t>178–193.</w:t>
      </w:r>
    </w:p>
    <w:p w:rsidR="008E28C2" w:rsidRPr="00140032" w:rsidRDefault="008E28C2" w:rsidP="008E28C2">
      <w:pPr>
        <w:pStyle w:val="Reference"/>
      </w:pPr>
      <w:proofErr w:type="spellStart"/>
      <w:r w:rsidRPr="00140032">
        <w:t>MAF</w:t>
      </w:r>
      <w:proofErr w:type="spellEnd"/>
      <w:r w:rsidRPr="00140032">
        <w:t xml:space="preserve"> (Ministry of Agriculture and Forestry, New Zealand) 2011, ‘Situation and Outlook for New Zealand Agriculture and Forestry’, June.</w:t>
      </w:r>
    </w:p>
    <w:p w:rsidR="00435288" w:rsidRPr="00140032" w:rsidRDefault="00435288" w:rsidP="000C6F40">
      <w:pPr>
        <w:pStyle w:val="Reference"/>
      </w:pPr>
      <w:r w:rsidRPr="00140032">
        <w:t xml:space="preserve">Maher, D. 1995, </w:t>
      </w:r>
      <w:r w:rsidR="009406D1" w:rsidRPr="00140032">
        <w:t>‘</w:t>
      </w:r>
      <w:r w:rsidRPr="00140032">
        <w:t xml:space="preserve">Comparison of </w:t>
      </w:r>
      <w:r w:rsidR="009406D1" w:rsidRPr="00140032">
        <w:t>r</w:t>
      </w:r>
      <w:r w:rsidRPr="00140032">
        <w:t xml:space="preserve">ecent Australian and New Zealand </w:t>
      </w:r>
      <w:r w:rsidR="009406D1" w:rsidRPr="00140032">
        <w:t>e</w:t>
      </w:r>
      <w:r w:rsidRPr="00140032">
        <w:t xml:space="preserve">conomic </w:t>
      </w:r>
      <w:r w:rsidR="009406D1" w:rsidRPr="00140032">
        <w:t>p</w:t>
      </w:r>
      <w:r w:rsidRPr="00140032">
        <w:t>erformance</w:t>
      </w:r>
      <w:r w:rsidR="009406D1" w:rsidRPr="00140032">
        <w:t>’</w:t>
      </w:r>
      <w:r w:rsidRPr="00140032">
        <w:t xml:space="preserve">, </w:t>
      </w:r>
      <w:r w:rsidRPr="00140032">
        <w:rPr>
          <w:i/>
        </w:rPr>
        <w:t>Current Issues Brief</w:t>
      </w:r>
      <w:r w:rsidR="009406D1" w:rsidRPr="00140032">
        <w:rPr>
          <w:i/>
        </w:rPr>
        <w:t>,</w:t>
      </w:r>
      <w:r w:rsidRPr="00140032">
        <w:t xml:space="preserve"> </w:t>
      </w:r>
      <w:r w:rsidR="0031017B" w:rsidRPr="00140032">
        <w:t>no. </w:t>
      </w:r>
      <w:r w:rsidRPr="00140032">
        <w:t>10,</w:t>
      </w:r>
      <w:r w:rsidR="009406D1" w:rsidRPr="00140032">
        <w:t xml:space="preserve"> Parliamentary Research Service, </w:t>
      </w:r>
      <w:r w:rsidRPr="00140032">
        <w:t>Canberra.</w:t>
      </w:r>
    </w:p>
    <w:p w:rsidR="00435288" w:rsidRPr="00140032" w:rsidRDefault="00435288" w:rsidP="000C6F40">
      <w:pPr>
        <w:pStyle w:val="Reference"/>
      </w:pPr>
      <w:r w:rsidRPr="00140032">
        <w:t xml:space="preserve">Makin, A., Zhang, W. and Scobie, G. 2008, ‘The </w:t>
      </w:r>
      <w:r w:rsidR="009406D1" w:rsidRPr="00140032">
        <w:t>contribution of f</w:t>
      </w:r>
      <w:r w:rsidRPr="00140032">
        <w:t xml:space="preserve">oreign </w:t>
      </w:r>
      <w:r w:rsidR="009406D1" w:rsidRPr="00140032">
        <w:t>borrowing to the New Zealand e</w:t>
      </w:r>
      <w:r w:rsidRPr="00140032">
        <w:t xml:space="preserve">conomy’, </w:t>
      </w:r>
      <w:r w:rsidRPr="00140032">
        <w:rPr>
          <w:i/>
        </w:rPr>
        <w:t xml:space="preserve">Treasury Working Paper </w:t>
      </w:r>
      <w:r w:rsidRPr="00140032">
        <w:t>08/03,</w:t>
      </w:r>
      <w:r w:rsidRPr="00140032">
        <w:rPr>
          <w:i/>
        </w:rPr>
        <w:t xml:space="preserve"> </w:t>
      </w:r>
      <w:hyperlink r:id="rId31" w:history="1">
        <w:r w:rsidRPr="00140032">
          <w:rPr>
            <w:rStyle w:val="Hyperlink"/>
            <w:color w:val="1C1C1C"/>
            <w:szCs w:val="24"/>
            <w:u w:val="none"/>
          </w:rPr>
          <w:t>http://www.treasury.govt.nz/publications/research-policy/wp/2008/08-03/twp08-03.pdf</w:t>
        </w:r>
      </w:hyperlink>
      <w:r w:rsidRPr="00140032">
        <w:t xml:space="preserve"> (accessed 31 August 2012).</w:t>
      </w:r>
    </w:p>
    <w:p w:rsidR="00435288" w:rsidRPr="00140032" w:rsidRDefault="00435288" w:rsidP="000C6F40">
      <w:pPr>
        <w:pStyle w:val="Reference"/>
        <w:rPr>
          <w:i/>
        </w:rPr>
      </w:pPr>
      <w:r w:rsidRPr="00140032">
        <w:lastRenderedPageBreak/>
        <w:t>Māori Economic Development Panel 2012, ‘Discussion Document’</w:t>
      </w:r>
      <w:r w:rsidR="000861EB" w:rsidRPr="00140032">
        <w:rPr>
          <w:i/>
        </w:rPr>
        <w:t>,</w:t>
      </w:r>
      <w:r w:rsidR="000861EB" w:rsidRPr="00140032">
        <w:t xml:space="preserve"> </w:t>
      </w:r>
      <w:hyperlink r:id="rId32" w:history="1">
        <w:r w:rsidR="000861EB" w:rsidRPr="00140032">
          <w:rPr>
            <w:rStyle w:val="Hyperlink"/>
            <w:rFonts w:cs="Arial"/>
            <w:color w:val="1C1C1C"/>
            <w:szCs w:val="24"/>
            <w:u w:val="none"/>
          </w:rPr>
          <w:t>http://www.tpk.govt.nz/documents/medp-discussiondocfinal-2012.pdf</w:t>
        </w:r>
      </w:hyperlink>
      <w:r w:rsidR="000861EB" w:rsidRPr="00140032">
        <w:t xml:space="preserve"> </w:t>
      </w:r>
      <w:r w:rsidRPr="00140032">
        <w:t xml:space="preserve">(accessed </w:t>
      </w:r>
      <w:r w:rsidR="000861EB" w:rsidRPr="00140032">
        <w:t xml:space="preserve">20 </w:t>
      </w:r>
      <w:r w:rsidRPr="00140032">
        <w:t>August 2012).</w:t>
      </w:r>
    </w:p>
    <w:p w:rsidR="006F5DDC" w:rsidRPr="00140032" w:rsidRDefault="006F5DDC" w:rsidP="000C6F40">
      <w:pPr>
        <w:pStyle w:val="Reference"/>
      </w:pPr>
      <w:r w:rsidRPr="00140032">
        <w:t>MBIE (Ministry of Business, Innovation &amp; Employment, New Zealand) 2012, ‘International Visitor Survey, year ending March 2012’, Wellington.</w:t>
      </w:r>
    </w:p>
    <w:p w:rsidR="00B90547" w:rsidRPr="00140032" w:rsidRDefault="006A7F7B" w:rsidP="00967D16">
      <w:pPr>
        <w:pStyle w:val="Reference"/>
      </w:pPr>
      <w:r w:rsidRPr="00140032">
        <w:t>McCann, P.</w:t>
      </w:r>
      <w:r w:rsidR="00967D16" w:rsidRPr="00140032">
        <w:t xml:space="preserve"> </w:t>
      </w:r>
      <w:r w:rsidR="00B90547" w:rsidRPr="00140032">
        <w:t xml:space="preserve">2009, Economic geography, globalisation and New Zealand's productivity paradox, </w:t>
      </w:r>
      <w:r w:rsidR="00B90547" w:rsidRPr="00140032">
        <w:rPr>
          <w:i/>
        </w:rPr>
        <w:t>New Zealand Economic Papers</w:t>
      </w:r>
      <w:r w:rsidR="00B90547" w:rsidRPr="00140032">
        <w:t xml:space="preserve">, 43:3, </w:t>
      </w:r>
      <w:r w:rsidR="00751DBA" w:rsidRPr="00140032">
        <w:t xml:space="preserve">pp. </w:t>
      </w:r>
      <w:r w:rsidR="00B90547" w:rsidRPr="00140032">
        <w:t>279</w:t>
      </w:r>
      <w:r w:rsidR="00751DBA" w:rsidRPr="00140032">
        <w:t>–</w:t>
      </w:r>
      <w:r w:rsidR="00B90547" w:rsidRPr="00140032">
        <w:t>314.</w:t>
      </w:r>
    </w:p>
    <w:p w:rsidR="00435288" w:rsidRPr="00140032" w:rsidRDefault="00435288" w:rsidP="000C6F40">
      <w:pPr>
        <w:pStyle w:val="Reference"/>
      </w:pPr>
      <w:r w:rsidRPr="00140032">
        <w:t xml:space="preserve">McCaw, S. and McDermott, J. 2000, ‘How New Zealand adjusts to macroeconomic shocks: Implications for joining a currency area’, </w:t>
      </w:r>
      <w:r w:rsidRPr="00140032">
        <w:rPr>
          <w:i/>
        </w:rPr>
        <w:t>Reserve Bank of New Zealand Bulletin</w:t>
      </w:r>
      <w:r w:rsidRPr="00140032">
        <w:t xml:space="preserve">, </w:t>
      </w:r>
      <w:r w:rsidR="0031017B" w:rsidRPr="00140032">
        <w:t>vol. </w:t>
      </w:r>
      <w:r w:rsidRPr="00140032">
        <w:t xml:space="preserve">63, </w:t>
      </w:r>
      <w:r w:rsidR="0031017B" w:rsidRPr="00140032">
        <w:t>no. </w:t>
      </w:r>
      <w:r w:rsidRPr="00140032">
        <w:t>1, p</w:t>
      </w:r>
      <w:r w:rsidR="0031017B" w:rsidRPr="00140032">
        <w:t>p. </w:t>
      </w:r>
      <w:r w:rsidRPr="00140032">
        <w:t>35–51.</w:t>
      </w:r>
    </w:p>
    <w:p w:rsidR="00435288" w:rsidRPr="00140032" w:rsidRDefault="00435288" w:rsidP="000C6F40">
      <w:pPr>
        <w:pStyle w:val="Reference"/>
      </w:pPr>
      <w:r w:rsidRPr="00140032">
        <w:t>MED (Ministry of Economic Development</w:t>
      </w:r>
      <w:r w:rsidR="009406D1" w:rsidRPr="00140032">
        <w:t>, New Zealand</w:t>
      </w:r>
      <w:r w:rsidRPr="00140032">
        <w:t xml:space="preserve">) 2003, </w:t>
      </w:r>
      <w:r w:rsidRPr="00140032">
        <w:rPr>
          <w:i/>
          <w:iCs/>
        </w:rPr>
        <w:t>Post-2005 Tariff Review</w:t>
      </w:r>
      <w:r w:rsidR="009406D1" w:rsidRPr="00140032">
        <w:t>,</w:t>
      </w:r>
      <w:r w:rsidRPr="00140032">
        <w:t xml:space="preserve"> Report to the Minister of Commerce</w:t>
      </w:r>
      <w:r w:rsidR="009406D1" w:rsidRPr="00140032">
        <w:t>,</w:t>
      </w:r>
      <w:r w:rsidRPr="00140032">
        <w:t xml:space="preserve"> MED, Wellington.</w:t>
      </w:r>
    </w:p>
    <w:p w:rsidR="00435288" w:rsidRPr="00140032" w:rsidRDefault="009406D1" w:rsidP="000C6F40">
      <w:pPr>
        <w:pStyle w:val="Reference"/>
      </w:pPr>
      <w:r w:rsidRPr="00140032">
        <w:t>MFAT (</w:t>
      </w:r>
      <w:r w:rsidR="00435288" w:rsidRPr="00140032">
        <w:t>Ministry of Foreign Affairs and Trade</w:t>
      </w:r>
      <w:r w:rsidRPr="00140032">
        <w:t>, New Zealand</w:t>
      </w:r>
      <w:r w:rsidR="00435288" w:rsidRPr="00140032">
        <w:t>) 2010</w:t>
      </w:r>
      <w:r w:rsidR="00751DBA" w:rsidRPr="00140032">
        <w:t>,</w:t>
      </w:r>
      <w:r w:rsidR="00435288" w:rsidRPr="00140032">
        <w:t xml:space="preserve"> </w:t>
      </w:r>
      <w:r w:rsidR="00435288" w:rsidRPr="00140032">
        <w:rPr>
          <w:i/>
        </w:rPr>
        <w:t>Australia: Biosecurity and Quarantine</w:t>
      </w:r>
      <w:r w:rsidRPr="00140032">
        <w:rPr>
          <w:i/>
        </w:rPr>
        <w:t>,</w:t>
      </w:r>
      <w:r w:rsidR="00435288" w:rsidRPr="00140032">
        <w:rPr>
          <w:i/>
        </w:rPr>
        <w:t xml:space="preserve"> </w:t>
      </w:r>
      <w:hyperlink r:id="rId33" w:history="1">
        <w:r w:rsidR="00435288" w:rsidRPr="00140032">
          <w:rPr>
            <w:rStyle w:val="Hyperlink"/>
            <w:color w:val="1C1C1C"/>
            <w:szCs w:val="24"/>
            <w:u w:val="none"/>
          </w:rPr>
          <w:t>http://www.mfat.govt.nz/Foreign-Relations/Australia/0-biosecurity-and-quarantine.php</w:t>
        </w:r>
      </w:hyperlink>
      <w:r w:rsidR="00435288" w:rsidRPr="00140032">
        <w:t xml:space="preserve"> (accessed 14 July 2012).</w:t>
      </w:r>
    </w:p>
    <w:p w:rsidR="00435288" w:rsidRPr="00140032" w:rsidRDefault="00435288" w:rsidP="000C6F40">
      <w:pPr>
        <w:pStyle w:val="Reference"/>
        <w:rPr>
          <w:szCs w:val="24"/>
        </w:rPr>
      </w:pPr>
      <w:r w:rsidRPr="00140032">
        <w:rPr>
          <w:szCs w:val="24"/>
        </w:rPr>
        <w:t>——2011, ‘Treaties under International Law: New Zealand-Australia S</w:t>
      </w:r>
      <w:r w:rsidR="009406D1" w:rsidRPr="00140032">
        <w:rPr>
          <w:szCs w:val="24"/>
        </w:rPr>
        <w:t xml:space="preserve">ocial Security Agreement’, </w:t>
      </w:r>
      <w:hyperlink r:id="rId34" w:history="1">
        <w:r w:rsidRPr="00140032">
          <w:rPr>
            <w:rStyle w:val="Hyperlink"/>
            <w:color w:val="1C1C1C"/>
            <w:szCs w:val="24"/>
            <w:u w:val="none"/>
          </w:rPr>
          <w:t>http://www.mfat.govt.nz/Treaties-and-International-Law/03-Treaty-making-process/2-National-Interest-Analyses/0-NZ-Australia-Social-Security.php</w:t>
        </w:r>
      </w:hyperlink>
      <w:r w:rsidRPr="00140032">
        <w:rPr>
          <w:szCs w:val="24"/>
        </w:rPr>
        <w:t xml:space="preserve"> (accessed 2 August 2012).</w:t>
      </w:r>
    </w:p>
    <w:p w:rsidR="00D27113" w:rsidRPr="00140032" w:rsidRDefault="00D27113" w:rsidP="00C73F53">
      <w:pPr>
        <w:pStyle w:val="Reference"/>
      </w:pPr>
      <w:r w:rsidRPr="00140032">
        <w:t>Ministry of Health</w:t>
      </w:r>
      <w:r w:rsidR="009D6F0B" w:rsidRPr="00140032">
        <w:t>, New Zealand</w:t>
      </w:r>
      <w:r w:rsidRPr="00140032">
        <w:t xml:space="preserve"> 2012, ‘How is my DHB performing? – 2011/12’, </w:t>
      </w:r>
      <w:hyperlink r:id="rId35" w:history="1">
        <w:r w:rsidRPr="00140032">
          <w:rPr>
            <w:rStyle w:val="Hyperlink"/>
            <w:color w:val="1C1C1C"/>
            <w:u w:val="none"/>
          </w:rPr>
          <w:t>http://www.health.govt.nz/new-zealand-health-system/health-targets/how-my-dhb-performing/how-my-dhb-performing-2011-12</w:t>
        </w:r>
      </w:hyperlink>
      <w:r w:rsidRPr="00140032">
        <w:t xml:space="preserve"> </w:t>
      </w:r>
      <w:r w:rsidR="00223901" w:rsidRPr="00140032">
        <w:t>(</w:t>
      </w:r>
      <w:r w:rsidRPr="00140032">
        <w:t>accessed 3 October 2012</w:t>
      </w:r>
      <w:r w:rsidR="00223901" w:rsidRPr="00140032">
        <w:t>)</w:t>
      </w:r>
      <w:r w:rsidRPr="00140032">
        <w:t>.</w:t>
      </w:r>
    </w:p>
    <w:p w:rsidR="00D27113" w:rsidRPr="00140032" w:rsidRDefault="00D27113" w:rsidP="00C73F53">
      <w:pPr>
        <w:pStyle w:val="Reference"/>
      </w:pPr>
      <w:r w:rsidRPr="00140032">
        <w:t>Ministry of Social Development</w:t>
      </w:r>
      <w:r w:rsidR="009D6F0B" w:rsidRPr="00140032">
        <w:t>, New Zealand</w:t>
      </w:r>
      <w:r w:rsidRPr="00140032">
        <w:t xml:space="preserve"> 2010, </w:t>
      </w:r>
      <w:r w:rsidR="00B50719" w:rsidRPr="00140032">
        <w:t xml:space="preserve">The Social Report, </w:t>
      </w:r>
      <w:hyperlink r:id="rId36" w:history="1">
        <w:r w:rsidRPr="00140032">
          <w:rPr>
            <w:rStyle w:val="Hyperlink"/>
            <w:color w:val="1C1C1C"/>
            <w:u w:val="none"/>
          </w:rPr>
          <w:t>http://www.socialreport.msd.govt.nz/</w:t>
        </w:r>
      </w:hyperlink>
      <w:r w:rsidRPr="00140032">
        <w:t xml:space="preserve"> (accessed 2 October 2012).</w:t>
      </w:r>
    </w:p>
    <w:p w:rsidR="00435288" w:rsidRPr="00140032" w:rsidRDefault="00435288" w:rsidP="000C6F40">
      <w:pPr>
        <w:pStyle w:val="Reference"/>
      </w:pPr>
      <w:r w:rsidRPr="00140032">
        <w:t>MoT (Ministry of Transport</w:t>
      </w:r>
      <w:r w:rsidR="009406D1" w:rsidRPr="00140032">
        <w:t>, New Zealand</w:t>
      </w:r>
      <w:r w:rsidRPr="00140032">
        <w:t xml:space="preserve">) 2012, </w:t>
      </w:r>
      <w:r w:rsidRPr="00140032">
        <w:rPr>
          <w:i/>
        </w:rPr>
        <w:t>New Zealand International Air Transport Policy</w:t>
      </w:r>
      <w:r w:rsidRPr="00140032">
        <w:t>, August, Wellington.</w:t>
      </w:r>
    </w:p>
    <w:p w:rsidR="0043233E" w:rsidRPr="00140032" w:rsidRDefault="0043233E" w:rsidP="0043233E">
      <w:pPr>
        <w:pStyle w:val="Reference"/>
      </w:pPr>
      <w:r w:rsidRPr="00140032">
        <w:t xml:space="preserve">Motu Economic and Public Policy Research 2012, ‘Investigation of options for a new longitudinal household survey’, discussion document, </w:t>
      </w:r>
      <w:hyperlink r:id="rId37" w:history="1">
        <w:r w:rsidRPr="00140032">
          <w:t>http://www.motu.org.nz/files/docs/Draft_Issues_Options_Paper_for_Circulation.pdf</w:t>
        </w:r>
      </w:hyperlink>
      <w:r w:rsidRPr="00140032">
        <w:t xml:space="preserve"> (accessed 19 November 2012).</w:t>
      </w:r>
    </w:p>
    <w:p w:rsidR="00435288" w:rsidRPr="00140032" w:rsidRDefault="00435288" w:rsidP="000C6F40">
      <w:pPr>
        <w:pStyle w:val="Reference"/>
      </w:pPr>
      <w:r w:rsidRPr="00140032">
        <w:t>Mundell, R. 1961</w:t>
      </w:r>
      <w:r w:rsidR="009406D1" w:rsidRPr="00140032">
        <w:t>,</w:t>
      </w:r>
      <w:r w:rsidRPr="00140032">
        <w:t xml:space="preserve"> ‘A theory of optimum currency areas’, </w:t>
      </w:r>
      <w:r w:rsidRPr="00140032">
        <w:rPr>
          <w:i/>
        </w:rPr>
        <w:t xml:space="preserve">American Economic Review, </w:t>
      </w:r>
      <w:r w:rsidR="0031017B" w:rsidRPr="00140032">
        <w:t>vol. </w:t>
      </w:r>
      <w:r w:rsidRPr="00140032">
        <w:t xml:space="preserve">51, </w:t>
      </w:r>
      <w:r w:rsidR="0031017B" w:rsidRPr="00140032">
        <w:t>no. </w:t>
      </w:r>
      <w:r w:rsidRPr="00140032">
        <w:t>4, p</w:t>
      </w:r>
      <w:r w:rsidR="0031017B" w:rsidRPr="00140032">
        <w:t>p.</w:t>
      </w:r>
      <w:r w:rsidR="009406D1" w:rsidRPr="00140032">
        <w:t> </w:t>
      </w:r>
      <w:r w:rsidRPr="00140032">
        <w:t>657–65.</w:t>
      </w:r>
    </w:p>
    <w:p w:rsidR="00435288" w:rsidRPr="00140032" w:rsidRDefault="00435288" w:rsidP="000C6F40">
      <w:pPr>
        <w:pStyle w:val="Reference"/>
      </w:pPr>
      <w:r w:rsidRPr="00140032">
        <w:t xml:space="preserve">New Zealand Treasury 2001, </w:t>
      </w:r>
      <w:r w:rsidR="009406D1" w:rsidRPr="00140032">
        <w:rPr>
          <w:i/>
        </w:rPr>
        <w:t>Tax Review 2001: Final Report</w:t>
      </w:r>
      <w:r w:rsidRPr="00140032">
        <w:rPr>
          <w:i/>
        </w:rPr>
        <w:t xml:space="preserve"> </w:t>
      </w:r>
      <w:r w:rsidRPr="00140032">
        <w:t>(Chatterjee, S., Jones, S., McLeod, R., Patterson, D.),</w:t>
      </w:r>
      <w:r w:rsidRPr="00140032">
        <w:rPr>
          <w:i/>
        </w:rPr>
        <w:t xml:space="preserve"> </w:t>
      </w:r>
      <w:r w:rsidRPr="00140032">
        <w:t>October, Wellington.</w:t>
      </w:r>
    </w:p>
    <w:p w:rsidR="00435288" w:rsidRPr="00140032" w:rsidRDefault="009406D1" w:rsidP="000C6F40">
      <w:pPr>
        <w:pStyle w:val="Reference"/>
      </w:pPr>
      <w:r w:rsidRPr="00140032">
        <w:t>——2009, ‘International connections and p</w:t>
      </w:r>
      <w:r w:rsidR="00435288" w:rsidRPr="00140032">
        <w:t xml:space="preserve">roductivity: Making </w:t>
      </w:r>
      <w:r w:rsidRPr="00140032">
        <w:t>g</w:t>
      </w:r>
      <w:r w:rsidR="00435288" w:rsidRPr="00140032">
        <w:t xml:space="preserve">lobalisation </w:t>
      </w:r>
      <w:r w:rsidRPr="00140032">
        <w:t>w</w:t>
      </w:r>
      <w:r w:rsidR="00435288" w:rsidRPr="00140032">
        <w:t xml:space="preserve">ork for New Zealand’, </w:t>
      </w:r>
      <w:r w:rsidR="00435288" w:rsidRPr="00140032">
        <w:rPr>
          <w:i/>
        </w:rPr>
        <w:t>Productivity Paper</w:t>
      </w:r>
      <w:r w:rsidRPr="00140032">
        <w:t xml:space="preserve">, </w:t>
      </w:r>
      <w:r w:rsidR="00B1721F" w:rsidRPr="00140032">
        <w:t>no. </w:t>
      </w:r>
      <w:r w:rsidR="00435288" w:rsidRPr="00140032">
        <w:t>09/01</w:t>
      </w:r>
      <w:r w:rsidRPr="00140032">
        <w:t>,</w:t>
      </w:r>
      <w:r w:rsidR="00435288" w:rsidRPr="00140032">
        <w:t xml:space="preserve"> Wellington.</w:t>
      </w:r>
    </w:p>
    <w:p w:rsidR="00435288" w:rsidRPr="00140032" w:rsidRDefault="00435288" w:rsidP="000C6F40">
      <w:pPr>
        <w:pStyle w:val="Reference"/>
      </w:pPr>
      <w:proofErr w:type="spellStart"/>
      <w:r w:rsidRPr="00140032">
        <w:lastRenderedPageBreak/>
        <w:t>NZIER</w:t>
      </w:r>
      <w:proofErr w:type="spellEnd"/>
      <w:r w:rsidRPr="00140032">
        <w:t xml:space="preserve"> (New Zealand Institute for Economic Research) 2000, </w:t>
      </w:r>
      <w:r w:rsidRPr="00140032">
        <w:rPr>
          <w:i/>
          <w:iCs/>
        </w:rPr>
        <w:t>The Net Fiscal Cost of Sub-Groups of the Australian Population</w:t>
      </w:r>
      <w:r w:rsidRPr="00140032">
        <w:t xml:space="preserve">, Report to the Ministry of Social Policy, </w:t>
      </w:r>
      <w:hyperlink r:id="rId38" w:history="1">
        <w:r w:rsidRPr="00140032">
          <w:rPr>
            <w:rStyle w:val="Hyperlink"/>
            <w:color w:val="1C1C1C"/>
            <w:szCs w:val="24"/>
            <w:u w:val="none"/>
          </w:rPr>
          <w:t>http://nzier.org.nz/sites/nzier.live.egressive.com/files/Net_fiscal_cost_of_sub-groups_ of_the_Australian_population.pdf</w:t>
        </w:r>
      </w:hyperlink>
      <w:r w:rsidRPr="00140032">
        <w:t xml:space="preserve"> (accessed 4 July 2012).</w:t>
      </w:r>
    </w:p>
    <w:p w:rsidR="00435288" w:rsidRPr="00140032" w:rsidRDefault="00435288" w:rsidP="000C6F40">
      <w:pPr>
        <w:pStyle w:val="Reference"/>
      </w:pPr>
      <w:r w:rsidRPr="00140032">
        <w:rPr>
          <w:szCs w:val="24"/>
        </w:rPr>
        <w:t>——</w:t>
      </w:r>
      <w:r w:rsidRPr="00140032">
        <w:t>2010, ‘Tariffs in New Zealand: The economic impacts of retaining tariffs in New Zeala</w:t>
      </w:r>
      <w:r w:rsidR="009406D1" w:rsidRPr="00140032">
        <w:t>nd,</w:t>
      </w:r>
      <w:r w:rsidRPr="00140032">
        <w:t xml:space="preserve"> </w:t>
      </w:r>
      <w:r w:rsidR="009406D1" w:rsidRPr="00140032">
        <w:t>a</w:t>
      </w:r>
      <w:r w:rsidRPr="00140032">
        <w:t xml:space="preserve"> dynamic CGE analysis’, </w:t>
      </w:r>
      <w:r w:rsidR="009406D1" w:rsidRPr="00140032">
        <w:rPr>
          <w:i/>
          <w:iCs/>
        </w:rPr>
        <w:t xml:space="preserve">NZIER Viewpoint, Working paper, </w:t>
      </w:r>
      <w:r w:rsidRPr="00140032">
        <w:rPr>
          <w:iCs/>
        </w:rPr>
        <w:t>2010/1</w:t>
      </w:r>
      <w:r w:rsidRPr="00140032">
        <w:t>, Wellington.</w:t>
      </w:r>
    </w:p>
    <w:p w:rsidR="008E28C2" w:rsidRPr="00140032" w:rsidRDefault="008E28C2" w:rsidP="008E28C2">
      <w:pPr>
        <w:pStyle w:val="Reference"/>
      </w:pPr>
      <w:r w:rsidRPr="00140032">
        <w:t xml:space="preserve">NZ PC (New Zealand Productivity Commission) 2012, </w:t>
      </w:r>
      <w:r w:rsidRPr="00140032">
        <w:rPr>
          <w:i/>
        </w:rPr>
        <w:t>International Freight Transport Services</w:t>
      </w:r>
      <w:r w:rsidRPr="00140032">
        <w:t>, Inquiry Report, Wellington.</w:t>
      </w:r>
    </w:p>
    <w:p w:rsidR="00435288" w:rsidRPr="00140032" w:rsidRDefault="00435288" w:rsidP="000C6F40">
      <w:pPr>
        <w:pStyle w:val="Reference"/>
      </w:pPr>
      <w:proofErr w:type="spellStart"/>
      <w:r w:rsidRPr="00140032">
        <w:t>Ochiai</w:t>
      </w:r>
      <w:proofErr w:type="spellEnd"/>
      <w:r w:rsidRPr="00140032">
        <w:t xml:space="preserve">, R., Dee, P. and Findlay, C. 2009, </w:t>
      </w:r>
      <w:r w:rsidR="009406D1" w:rsidRPr="00140032">
        <w:t>‘</w:t>
      </w:r>
      <w:r w:rsidRPr="00140032">
        <w:t xml:space="preserve">Services in </w:t>
      </w:r>
      <w:r w:rsidR="009406D1" w:rsidRPr="00140032">
        <w:t>fr</w:t>
      </w:r>
      <w:r w:rsidRPr="00140032">
        <w:t xml:space="preserve">ee </w:t>
      </w:r>
      <w:r w:rsidR="009406D1" w:rsidRPr="00140032">
        <w:t>t</w:t>
      </w:r>
      <w:r w:rsidRPr="00140032">
        <w:t xml:space="preserve">rade </w:t>
      </w:r>
      <w:r w:rsidR="009406D1" w:rsidRPr="00140032">
        <w:t>a</w:t>
      </w:r>
      <w:r w:rsidRPr="00140032">
        <w:t>greements,</w:t>
      </w:r>
      <w:r w:rsidR="009406D1" w:rsidRPr="00140032">
        <w:t>’</w:t>
      </w:r>
      <w:r w:rsidRPr="00140032">
        <w:t xml:space="preserve"> Research Institute of Economy, Trade and Industry Discussion Paper Series 07-E-015.</w:t>
      </w:r>
    </w:p>
    <w:p w:rsidR="00435288" w:rsidRPr="00140032" w:rsidRDefault="00435288" w:rsidP="000C6F40">
      <w:pPr>
        <w:pStyle w:val="Reference"/>
      </w:pPr>
      <w:r w:rsidRPr="00140032">
        <w:rPr>
          <w:szCs w:val="24"/>
        </w:rPr>
        <w:t xml:space="preserve">OECD </w:t>
      </w:r>
      <w:r w:rsidRPr="00140032">
        <w:t xml:space="preserve">1985, </w:t>
      </w:r>
      <w:r w:rsidRPr="00140032">
        <w:rPr>
          <w:i/>
        </w:rPr>
        <w:t>Economic Survey: New Zealand</w:t>
      </w:r>
      <w:r w:rsidRPr="00140032">
        <w:t>, Paris.</w:t>
      </w:r>
    </w:p>
    <w:p w:rsidR="00435288" w:rsidRPr="00140032" w:rsidRDefault="00435288" w:rsidP="000C6F40">
      <w:pPr>
        <w:pStyle w:val="Reference"/>
      </w:pPr>
      <w:r w:rsidRPr="00140032">
        <w:rPr>
          <w:szCs w:val="24"/>
        </w:rPr>
        <w:t>——</w:t>
      </w:r>
      <w:r w:rsidRPr="00140032">
        <w:t xml:space="preserve">1991, </w:t>
      </w:r>
      <w:r w:rsidRPr="00140032">
        <w:rPr>
          <w:i/>
        </w:rPr>
        <w:t>Economic Survey: New Zealand</w:t>
      </w:r>
      <w:r w:rsidRPr="00140032">
        <w:t>, Paris.</w:t>
      </w:r>
    </w:p>
    <w:p w:rsidR="00435288" w:rsidRPr="00140032" w:rsidRDefault="00435288" w:rsidP="000C6F40">
      <w:pPr>
        <w:pStyle w:val="Reference"/>
      </w:pPr>
      <w:r w:rsidRPr="00140032">
        <w:t xml:space="preserve">——2005, </w:t>
      </w:r>
      <w:r w:rsidR="009C04C9" w:rsidRPr="00140032">
        <w:t>‘</w:t>
      </w:r>
      <w:r w:rsidRPr="00140032">
        <w:t>The benefits of liberalising product markets and reducing barriers to trade and investment in the OECD</w:t>
      </w:r>
      <w:r w:rsidR="009C04C9" w:rsidRPr="00140032">
        <w:t>’</w:t>
      </w:r>
      <w:r w:rsidRPr="00140032">
        <w:t xml:space="preserve">, </w:t>
      </w:r>
      <w:r w:rsidRPr="00140032">
        <w:rPr>
          <w:i/>
        </w:rPr>
        <w:t>Economics Department Working Paper</w:t>
      </w:r>
      <w:r w:rsidR="009C04C9" w:rsidRPr="00140032">
        <w:rPr>
          <w:i/>
        </w:rPr>
        <w:t xml:space="preserve">, </w:t>
      </w:r>
      <w:r w:rsidR="00B1721F" w:rsidRPr="00140032">
        <w:t>no. </w:t>
      </w:r>
      <w:r w:rsidRPr="00140032">
        <w:t>463</w:t>
      </w:r>
      <w:r w:rsidR="009C04C9" w:rsidRPr="00140032">
        <w:t>, Paris.</w:t>
      </w:r>
    </w:p>
    <w:p w:rsidR="00435288" w:rsidRPr="00140032" w:rsidRDefault="00435288" w:rsidP="000C6F40">
      <w:pPr>
        <w:pStyle w:val="Reference"/>
      </w:pPr>
      <w:r w:rsidRPr="00140032">
        <w:t xml:space="preserve">——2007, </w:t>
      </w:r>
      <w:r w:rsidRPr="00140032">
        <w:rPr>
          <w:i/>
        </w:rPr>
        <w:t>OECD Economic Outlook No.</w:t>
      </w:r>
      <w:r w:rsidR="00B1721F" w:rsidRPr="00140032">
        <w:rPr>
          <w:i/>
        </w:rPr>
        <w:t> </w:t>
      </w:r>
      <w:r w:rsidRPr="00140032">
        <w:rPr>
          <w:i/>
        </w:rPr>
        <w:t>81</w:t>
      </w:r>
      <w:r w:rsidRPr="00140032">
        <w:t>, Paris.</w:t>
      </w:r>
    </w:p>
    <w:p w:rsidR="004170A6" w:rsidRPr="00140032" w:rsidRDefault="004170A6" w:rsidP="004170A6">
      <w:pPr>
        <w:pStyle w:val="Reference"/>
      </w:pPr>
      <w:r w:rsidRPr="00140032">
        <w:rPr>
          <w:lang w:val="en-NZ"/>
        </w:rPr>
        <w:t>——</w:t>
      </w:r>
      <w:r w:rsidRPr="00140032">
        <w:t xml:space="preserve">2009a, </w:t>
      </w:r>
      <w:r w:rsidRPr="00140032">
        <w:rPr>
          <w:i/>
        </w:rPr>
        <w:t>International Mobile Roaming Charging in the OECD Area</w:t>
      </w:r>
      <w:r w:rsidRPr="00140032">
        <w:t xml:space="preserve">, Working Party on Communication Infrastructures and Services Policy, </w:t>
      </w:r>
      <w:hyperlink r:id="rId39" w:history="1">
        <w:r w:rsidRPr="00140032">
          <w:t>http://www.oecd.org/dataoecd/41/40/44381810.pdf</w:t>
        </w:r>
      </w:hyperlink>
      <w:r w:rsidRPr="00140032">
        <w:t>, (accessed 10 June 2012).</w:t>
      </w:r>
    </w:p>
    <w:p w:rsidR="002E01DF" w:rsidRPr="00140032" w:rsidRDefault="002E01DF" w:rsidP="002E01DF">
      <w:pPr>
        <w:pStyle w:val="Reference"/>
      </w:pPr>
      <w:r w:rsidRPr="00140032">
        <w:t>——2011</w:t>
      </w:r>
      <w:r w:rsidR="008A02BB" w:rsidRPr="00140032">
        <w:t>a</w:t>
      </w:r>
      <w:r w:rsidRPr="00140032">
        <w:t xml:space="preserve">, </w:t>
      </w:r>
      <w:r w:rsidRPr="00140032">
        <w:rPr>
          <w:i/>
        </w:rPr>
        <w:t>Divided We Stand: Why Inequality Keeps Rising</w:t>
      </w:r>
      <w:r w:rsidRPr="00140032">
        <w:t>, OECD Publishing</w:t>
      </w:r>
      <w:r w:rsidR="009D6F0B" w:rsidRPr="00140032">
        <w:t>, Paris</w:t>
      </w:r>
      <w:r w:rsidRPr="00140032">
        <w:t>.</w:t>
      </w:r>
    </w:p>
    <w:p w:rsidR="00435288" w:rsidRPr="00140032" w:rsidRDefault="00435288" w:rsidP="000C6F40">
      <w:pPr>
        <w:pStyle w:val="Reference"/>
      </w:pPr>
      <w:r w:rsidRPr="00140032">
        <w:rPr>
          <w:szCs w:val="24"/>
        </w:rPr>
        <w:t>——2011</w:t>
      </w:r>
      <w:r w:rsidR="008A02BB" w:rsidRPr="00140032">
        <w:rPr>
          <w:szCs w:val="24"/>
        </w:rPr>
        <w:t>b</w:t>
      </w:r>
      <w:r w:rsidR="00F60448" w:rsidRPr="00140032">
        <w:rPr>
          <w:szCs w:val="24"/>
        </w:rPr>
        <w:t xml:space="preserve">, </w:t>
      </w:r>
      <w:r w:rsidR="00F60448" w:rsidRPr="00140032">
        <w:rPr>
          <w:i/>
          <w:szCs w:val="24"/>
          <w:lang w:val="en-NZ"/>
        </w:rPr>
        <w:t>International Data Roaming</w:t>
      </w:r>
      <w:r w:rsidR="00F60448" w:rsidRPr="00140032">
        <w:rPr>
          <w:szCs w:val="24"/>
          <w:lang w:val="en-NZ"/>
        </w:rPr>
        <w:t xml:space="preserve">, Working Party on Communication Infrastructures and Services Policy, </w:t>
      </w:r>
      <w:hyperlink r:id="rId40" w:history="1">
        <w:r w:rsidR="00F60448" w:rsidRPr="00140032">
          <w:t>http://www.oecd.org/dataoecd/57/62/48127892.pdf</w:t>
        </w:r>
      </w:hyperlink>
      <w:r w:rsidR="00F60448" w:rsidRPr="00140032">
        <w:t>,</w:t>
      </w:r>
      <w:r w:rsidR="00F60448" w:rsidRPr="00140032">
        <w:rPr>
          <w:szCs w:val="24"/>
          <w:lang w:val="en-NZ"/>
        </w:rPr>
        <w:t xml:space="preserve"> (accessed 10 June 2012).</w:t>
      </w:r>
    </w:p>
    <w:p w:rsidR="00B90C64" w:rsidRPr="00140032" w:rsidRDefault="00B90C64" w:rsidP="00B90C64">
      <w:pPr>
        <w:pStyle w:val="Reference"/>
      </w:pPr>
      <w:r w:rsidRPr="00140032">
        <w:t>——2011c</w:t>
      </w:r>
      <w:r w:rsidR="00F60448" w:rsidRPr="00140032">
        <w:t xml:space="preserve">, </w:t>
      </w:r>
      <w:r w:rsidR="00F60448" w:rsidRPr="00140032">
        <w:rPr>
          <w:i/>
        </w:rPr>
        <w:t>National Accounts at a Glance 2011</w:t>
      </w:r>
      <w:r w:rsidR="00F60448" w:rsidRPr="00140032">
        <w:t>, Paris.</w:t>
      </w:r>
    </w:p>
    <w:p w:rsidR="0075322A" w:rsidRPr="00140032" w:rsidRDefault="0075322A" w:rsidP="0075322A">
      <w:pPr>
        <w:pStyle w:val="Reference"/>
      </w:pPr>
      <w:r w:rsidRPr="00140032">
        <w:t xml:space="preserve">——2012a, </w:t>
      </w:r>
      <w:r w:rsidRPr="00140032">
        <w:rPr>
          <w:i/>
        </w:rPr>
        <w:t>Education at a Glance 2012: OECD Indicators</w:t>
      </w:r>
      <w:r w:rsidRPr="00140032">
        <w:t>, OECD Publishing, http://dx.doi.org/10.1787/eag-2012-en (accessed 1 October 2012)</w:t>
      </w:r>
      <w:r w:rsidR="009D3CAD" w:rsidRPr="00140032">
        <w:t>.</w:t>
      </w:r>
    </w:p>
    <w:p w:rsidR="00435288" w:rsidRPr="00140032" w:rsidRDefault="00435288" w:rsidP="000C6F40">
      <w:pPr>
        <w:pStyle w:val="Reference"/>
      </w:pPr>
      <w:r w:rsidRPr="00140032">
        <w:t>——</w:t>
      </w:r>
      <w:proofErr w:type="spellStart"/>
      <w:r w:rsidRPr="00140032">
        <w:t>2012</w:t>
      </w:r>
      <w:r w:rsidR="0075322A" w:rsidRPr="00140032">
        <w:t>b</w:t>
      </w:r>
      <w:proofErr w:type="spellEnd"/>
      <w:r w:rsidRPr="00140032">
        <w:t>, ‘</w:t>
      </w:r>
      <w:proofErr w:type="spellStart"/>
      <w:r w:rsidRPr="00140032">
        <w:t>FDI</w:t>
      </w:r>
      <w:proofErr w:type="spellEnd"/>
      <w:r w:rsidRPr="00140032">
        <w:t xml:space="preserve"> Regulatory Restrictiveness Index’, </w:t>
      </w:r>
      <w:r w:rsidRPr="00140032">
        <w:rPr>
          <w:szCs w:val="24"/>
        </w:rPr>
        <w:t>http://www.oecd.org/document/45/0,3746,en_2649_34529562_47216237_1_1</w:t>
      </w:r>
      <w:r w:rsidR="005E46BE" w:rsidRPr="00140032">
        <w:rPr>
          <w:szCs w:val="24"/>
        </w:rPr>
        <w:br/>
      </w:r>
      <w:r w:rsidRPr="00140032">
        <w:rPr>
          <w:szCs w:val="24"/>
        </w:rPr>
        <w:t>_</w:t>
      </w:r>
      <w:proofErr w:type="spellStart"/>
      <w:r w:rsidRPr="00140032">
        <w:rPr>
          <w:szCs w:val="24"/>
        </w:rPr>
        <w:t>1_34529562,00.html</w:t>
      </w:r>
      <w:proofErr w:type="spellEnd"/>
      <w:r w:rsidRPr="00140032">
        <w:t xml:space="preserve"> (accessed 29 May 2012).</w:t>
      </w:r>
    </w:p>
    <w:p w:rsidR="006459DB" w:rsidRPr="00140032" w:rsidRDefault="006459DB" w:rsidP="006459DB">
      <w:pPr>
        <w:pStyle w:val="Reference"/>
      </w:pPr>
      <w:r w:rsidRPr="00140032">
        <w:t>——</w:t>
      </w:r>
      <w:proofErr w:type="spellStart"/>
      <w:r w:rsidRPr="00140032">
        <w:rPr>
          <w:lang w:val="en-NZ"/>
        </w:rPr>
        <w:t>2012c</w:t>
      </w:r>
      <w:proofErr w:type="spellEnd"/>
      <w:r w:rsidRPr="00140032">
        <w:rPr>
          <w:lang w:val="en-NZ"/>
        </w:rPr>
        <w:t xml:space="preserve">, Technical workshop on mutual recognition of company tax imputation credits, </w:t>
      </w:r>
      <w:r w:rsidR="005E46BE" w:rsidRPr="00140032">
        <w:t>http://</w:t>
      </w:r>
      <w:proofErr w:type="spellStart"/>
      <w:r w:rsidR="005E46BE" w:rsidRPr="00140032">
        <w:t>transtasman-review.pc.gov.au</w:t>
      </w:r>
      <w:proofErr w:type="spellEnd"/>
      <w:r w:rsidR="005E46BE" w:rsidRPr="00140032">
        <w:t>/newsroom/</w:t>
      </w:r>
      <w:proofErr w:type="spellStart"/>
      <w:r w:rsidR="005E46BE" w:rsidRPr="00140032">
        <w:t>announcementnews</w:t>
      </w:r>
      <w:proofErr w:type="spellEnd"/>
      <w:r w:rsidR="005E46BE" w:rsidRPr="00140032">
        <w:t>/</w:t>
      </w:r>
      <w:r w:rsidR="005E46BE" w:rsidRPr="00140032">
        <w:br/>
      </w:r>
      <w:r w:rsidR="005E46BE" w:rsidRPr="00140032">
        <w:lastRenderedPageBreak/>
        <w:t>technical-workshop-mutual-recognition-company-tax-imputation-credits</w:t>
      </w:r>
      <w:r w:rsidRPr="00140032">
        <w:t xml:space="preserve"> </w:t>
      </w:r>
      <w:r w:rsidRPr="00140032">
        <w:rPr>
          <w:lang w:val="en-NZ"/>
        </w:rPr>
        <w:t>(accessed 28 November 2012).</w:t>
      </w:r>
    </w:p>
    <w:p w:rsidR="00435288" w:rsidRPr="00140032" w:rsidRDefault="00435288" w:rsidP="000C6F40">
      <w:pPr>
        <w:pStyle w:val="Reference"/>
      </w:pPr>
      <w:r w:rsidRPr="00140032">
        <w:t>PC (</w:t>
      </w:r>
      <w:r w:rsidR="009D6F0B" w:rsidRPr="00140032">
        <w:t xml:space="preserve">Australian </w:t>
      </w:r>
      <w:r w:rsidRPr="00140032">
        <w:t xml:space="preserve">Productivity Commission) 2001, </w:t>
      </w:r>
      <w:r w:rsidRPr="00140032">
        <w:rPr>
          <w:i/>
        </w:rPr>
        <w:t xml:space="preserve">Structural Adjustment </w:t>
      </w:r>
      <w:r w:rsidR="00C8280E" w:rsidRPr="00140032">
        <w:rPr>
          <w:i/>
        </w:rPr>
        <w:t>—</w:t>
      </w:r>
      <w:r w:rsidRPr="00140032">
        <w:rPr>
          <w:i/>
        </w:rPr>
        <w:t xml:space="preserve"> Key Policy Issues</w:t>
      </w:r>
      <w:r w:rsidRPr="00140032">
        <w:t>, Research Paper, Canberra.</w:t>
      </w:r>
    </w:p>
    <w:p w:rsidR="00435288" w:rsidRPr="00140032" w:rsidRDefault="00435288" w:rsidP="000C6F40">
      <w:pPr>
        <w:pStyle w:val="Reference"/>
      </w:pPr>
      <w:r w:rsidRPr="00140032">
        <w:t xml:space="preserve">——2004a, </w:t>
      </w:r>
      <w:r w:rsidRPr="00140032">
        <w:rPr>
          <w:i/>
        </w:rPr>
        <w:t xml:space="preserve">Australian and New Zealand Competition and Consumer Protection </w:t>
      </w:r>
      <w:r w:rsidR="009C04C9" w:rsidRPr="00140032">
        <w:rPr>
          <w:i/>
        </w:rPr>
        <w:t>R</w:t>
      </w:r>
      <w:r w:rsidRPr="00140032">
        <w:rPr>
          <w:i/>
        </w:rPr>
        <w:t>egimes</w:t>
      </w:r>
      <w:r w:rsidRPr="00140032">
        <w:t>, Research Report, Canberra.</w:t>
      </w:r>
    </w:p>
    <w:p w:rsidR="00435288" w:rsidRPr="00140032" w:rsidRDefault="00435288" w:rsidP="000C6F40">
      <w:pPr>
        <w:pStyle w:val="Reference"/>
      </w:pPr>
      <w:r w:rsidRPr="00140032">
        <w:t xml:space="preserve">——2004b, </w:t>
      </w:r>
      <w:r w:rsidRPr="00140032">
        <w:rPr>
          <w:i/>
        </w:rPr>
        <w:t>Rules of Origin under the Australia-New Zealand Closer Economic Relations Trade Agreement</w:t>
      </w:r>
      <w:r w:rsidRPr="00140032">
        <w:t>, Research Report, Canberra.</w:t>
      </w:r>
    </w:p>
    <w:p w:rsidR="00435288" w:rsidRPr="00140032" w:rsidRDefault="00435288" w:rsidP="000C6F40">
      <w:pPr>
        <w:pStyle w:val="Reference"/>
      </w:pPr>
      <w:r w:rsidRPr="00140032">
        <w:t>——</w:t>
      </w:r>
      <w:r w:rsidR="007D5DFD" w:rsidRPr="00140032">
        <w:rPr>
          <w:lang w:val="en-NZ"/>
        </w:rPr>
        <w:t xml:space="preserve">2005a, </w:t>
      </w:r>
      <w:r w:rsidR="007D5DFD" w:rsidRPr="00140032">
        <w:rPr>
          <w:i/>
          <w:lang w:val="en-NZ"/>
        </w:rPr>
        <w:t>Australian and New Zealand Competition and Consumer Protection Regimes</w:t>
      </w:r>
      <w:r w:rsidR="007D5DFD" w:rsidRPr="00140032">
        <w:rPr>
          <w:lang w:val="en-NZ"/>
        </w:rPr>
        <w:t>, Research Report, Canberra.</w:t>
      </w:r>
    </w:p>
    <w:p w:rsidR="007D5DFD" w:rsidRPr="00140032" w:rsidRDefault="007D5DFD" w:rsidP="007D5DFD">
      <w:pPr>
        <w:pStyle w:val="Reference"/>
      </w:pPr>
      <w:r w:rsidRPr="00140032">
        <w:t>——</w:t>
      </w:r>
      <w:r w:rsidRPr="00140032">
        <w:rPr>
          <w:lang w:val="en-NZ"/>
        </w:rPr>
        <w:t xml:space="preserve">2005b, </w:t>
      </w:r>
      <w:r w:rsidRPr="00140032">
        <w:rPr>
          <w:i/>
          <w:lang w:val="en-NZ"/>
        </w:rPr>
        <w:t>Review of Part X of the Trade Practices Act 1974: International Liner Cargo Shipping</w:t>
      </w:r>
      <w:r w:rsidRPr="00140032">
        <w:rPr>
          <w:lang w:val="en-NZ"/>
        </w:rPr>
        <w:t>, Report No.</w:t>
      </w:r>
      <w:r w:rsidR="00B1721F" w:rsidRPr="00140032">
        <w:rPr>
          <w:lang w:val="en-NZ"/>
        </w:rPr>
        <w:t> </w:t>
      </w:r>
      <w:r w:rsidRPr="00140032">
        <w:rPr>
          <w:lang w:val="en-NZ"/>
        </w:rPr>
        <w:t>32, Canberra</w:t>
      </w:r>
      <w:r w:rsidR="00C8280E" w:rsidRPr="00140032">
        <w:rPr>
          <w:lang w:val="en-NZ"/>
        </w:rPr>
        <w:t>.</w:t>
      </w:r>
    </w:p>
    <w:p w:rsidR="00435288" w:rsidRPr="00140032" w:rsidRDefault="00435288" w:rsidP="000C6F40">
      <w:pPr>
        <w:pStyle w:val="Reference"/>
      </w:pPr>
      <w:r w:rsidRPr="00140032">
        <w:t xml:space="preserve">——2006a, </w:t>
      </w:r>
      <w:r w:rsidRPr="00140032">
        <w:rPr>
          <w:i/>
        </w:rPr>
        <w:t>Economic Impacts of Migration and Productivity Growth</w:t>
      </w:r>
      <w:r w:rsidRPr="00140032">
        <w:t>, Research Report, Canberra.</w:t>
      </w:r>
    </w:p>
    <w:p w:rsidR="00435288" w:rsidRPr="00140032" w:rsidRDefault="00435288" w:rsidP="000C6F40">
      <w:pPr>
        <w:pStyle w:val="Reference"/>
      </w:pPr>
      <w:r w:rsidRPr="00140032">
        <w:t xml:space="preserve">——2006b, </w:t>
      </w:r>
      <w:r w:rsidRPr="00140032">
        <w:rPr>
          <w:i/>
          <w:iCs/>
        </w:rPr>
        <w:t>Potential Benefits of the National Reform Agenda</w:t>
      </w:r>
      <w:r w:rsidRPr="00140032">
        <w:t>, Report to the Council of Australian Governments, Canberra.</w:t>
      </w:r>
    </w:p>
    <w:p w:rsidR="008A0D0F" w:rsidRPr="00140032" w:rsidRDefault="008A0D0F" w:rsidP="008A0D0F">
      <w:pPr>
        <w:pStyle w:val="Reference"/>
        <w:rPr>
          <w:lang w:val="en-NZ"/>
        </w:rPr>
      </w:pPr>
      <w:r w:rsidRPr="00140032">
        <w:rPr>
          <w:lang w:val="en-NZ"/>
        </w:rPr>
        <w:t>——</w:t>
      </w:r>
      <w:r w:rsidRPr="00140032">
        <w:t xml:space="preserve">2007, </w:t>
      </w:r>
      <w:r w:rsidRPr="00140032">
        <w:rPr>
          <w:i/>
          <w:iCs/>
        </w:rPr>
        <w:t xml:space="preserve">Performance Benchmarking of Australian Business </w:t>
      </w:r>
      <w:r w:rsidRPr="00140032">
        <w:rPr>
          <w:i/>
          <w:iCs/>
          <w:lang w:val="en-NZ"/>
        </w:rPr>
        <w:t>Regulation</w:t>
      </w:r>
      <w:r w:rsidRPr="00140032">
        <w:rPr>
          <w:lang w:val="en-NZ"/>
        </w:rPr>
        <w:t>, Research Report, Melbourne.</w:t>
      </w:r>
    </w:p>
    <w:p w:rsidR="006F3E1E" w:rsidRPr="00140032" w:rsidRDefault="006F3E1E" w:rsidP="006F3E1E">
      <w:pPr>
        <w:pStyle w:val="Reference"/>
      </w:pPr>
      <w:r w:rsidRPr="00140032">
        <w:rPr>
          <w:lang w:val="en-NZ"/>
        </w:rPr>
        <w:t>——2009a,</w:t>
      </w:r>
      <w:r w:rsidRPr="00140032">
        <w:rPr>
          <w:rFonts w:ascii="Times New Roman" w:hAnsi="Times New Roman"/>
          <w:i/>
          <w:sz w:val="26"/>
          <w:szCs w:val="24"/>
        </w:rPr>
        <w:t xml:space="preserve"> </w:t>
      </w:r>
      <w:r w:rsidRPr="00140032">
        <w:rPr>
          <w:i/>
          <w:lang w:val="en-NZ"/>
        </w:rPr>
        <w:t>Performance Benchmarking of Australian and New Zealand Business Regulation: Food Safety</w:t>
      </w:r>
      <w:r w:rsidRPr="00140032">
        <w:rPr>
          <w:lang w:val="en-NZ"/>
        </w:rPr>
        <w:t>, Research Report, Canberra.</w:t>
      </w:r>
    </w:p>
    <w:p w:rsidR="00435288" w:rsidRPr="00140032" w:rsidRDefault="00435288" w:rsidP="000C6F40">
      <w:pPr>
        <w:pStyle w:val="Reference"/>
      </w:pPr>
      <w:r w:rsidRPr="00140032">
        <w:t>——2009</w:t>
      </w:r>
      <w:r w:rsidR="006F3E1E" w:rsidRPr="00140032">
        <w:t>b</w:t>
      </w:r>
      <w:r w:rsidRPr="00140032">
        <w:t xml:space="preserve">, </w:t>
      </w:r>
      <w:r w:rsidRPr="00140032">
        <w:rPr>
          <w:i/>
        </w:rPr>
        <w:t>Review of Mutual Recognition Schemes</w:t>
      </w:r>
      <w:r w:rsidRPr="00140032">
        <w:t>, Research Report, Canberra.</w:t>
      </w:r>
    </w:p>
    <w:p w:rsidR="00435288" w:rsidRPr="00140032" w:rsidRDefault="00435288" w:rsidP="00967D16">
      <w:pPr>
        <w:pStyle w:val="Reference"/>
        <w:rPr>
          <w:szCs w:val="24"/>
        </w:rPr>
      </w:pPr>
      <w:r w:rsidRPr="00140032">
        <w:t xml:space="preserve">——2010, </w:t>
      </w:r>
      <w:r w:rsidRPr="00140032">
        <w:rPr>
          <w:i/>
        </w:rPr>
        <w:t>Bilateral and Regional Trade Agreements</w:t>
      </w:r>
      <w:r w:rsidRPr="00140032">
        <w:t>, Research Report, Canberra.</w:t>
      </w:r>
    </w:p>
    <w:p w:rsidR="00435288" w:rsidRPr="00140032" w:rsidRDefault="00435288" w:rsidP="000C6F40">
      <w:pPr>
        <w:pStyle w:val="Reference"/>
      </w:pPr>
      <w:r w:rsidRPr="00140032">
        <w:t xml:space="preserve">——2011, </w:t>
      </w:r>
      <w:r w:rsidRPr="00140032">
        <w:rPr>
          <w:i/>
        </w:rPr>
        <w:t>Annual Report 2010-11</w:t>
      </w:r>
      <w:r w:rsidRPr="00140032">
        <w:t>, Annual Report Series, Canberra.</w:t>
      </w:r>
    </w:p>
    <w:p w:rsidR="00435288" w:rsidRPr="00140032" w:rsidRDefault="00435288" w:rsidP="000C6F40">
      <w:pPr>
        <w:pStyle w:val="Reference"/>
      </w:pPr>
      <w:r w:rsidRPr="00140032">
        <w:t xml:space="preserve">——2012a, </w:t>
      </w:r>
      <w:r w:rsidRPr="00140032">
        <w:rPr>
          <w:i/>
          <w:iCs/>
        </w:rPr>
        <w:t xml:space="preserve">Trade &amp; Assistance Review 2010-11, </w:t>
      </w:r>
      <w:r w:rsidRPr="00140032">
        <w:t>Annual Report Series, Canberra.</w:t>
      </w:r>
    </w:p>
    <w:p w:rsidR="00435288" w:rsidRPr="00140032" w:rsidRDefault="00435288" w:rsidP="000C6F40">
      <w:pPr>
        <w:pStyle w:val="Reference"/>
      </w:pPr>
      <w:r w:rsidRPr="00140032">
        <w:t xml:space="preserve">——2012b, </w:t>
      </w:r>
      <w:r w:rsidRPr="00140032">
        <w:rPr>
          <w:i/>
        </w:rPr>
        <w:t>Impacts of COAG Reforms: Business Regulation and VET, Supplement to Research Report, Economy-wide Modelling of Impacts of COAG Reforms</w:t>
      </w:r>
      <w:r w:rsidRPr="00140032">
        <w:t>, Canberra.</w:t>
      </w:r>
    </w:p>
    <w:p w:rsidR="008E28C2" w:rsidRPr="00140032" w:rsidRDefault="008E28C2" w:rsidP="008E28C2">
      <w:pPr>
        <w:pStyle w:val="Reference"/>
      </w:pPr>
      <w:proofErr w:type="spellStart"/>
      <w:r w:rsidRPr="00140032">
        <w:t>Poot</w:t>
      </w:r>
      <w:proofErr w:type="spellEnd"/>
      <w:r w:rsidRPr="00140032">
        <w:t xml:space="preserve">, J. 2009, ‘Trans-Tasman migration, transnationalism and economic development in Australasia’, </w:t>
      </w:r>
      <w:r w:rsidRPr="00140032">
        <w:rPr>
          <w:i/>
        </w:rPr>
        <w:t>Asian and Pacific Migration Journal</w:t>
      </w:r>
      <w:r w:rsidRPr="00140032">
        <w:t>, vol. 19, no. 3, pp. 319–42.</w:t>
      </w:r>
    </w:p>
    <w:p w:rsidR="008E28C2" w:rsidRPr="00140032" w:rsidRDefault="008E28C2" w:rsidP="008E28C2">
      <w:pPr>
        <w:pStyle w:val="Reference"/>
      </w:pPr>
      <w:r w:rsidRPr="00140032">
        <w:t xml:space="preserve">Power, S. 2009, ‘Remaking the Trans-Tasman World’, 13 October, </w:t>
      </w:r>
      <w:hyperlink r:id="rId41" w:history="1">
        <w:r w:rsidRPr="00140032">
          <w:t>http://</w:t>
        </w:r>
        <w:proofErr w:type="spellStart"/>
        <w:r w:rsidRPr="00140032">
          <w:t>www.beehive.govt.nz</w:t>
        </w:r>
        <w:proofErr w:type="spellEnd"/>
        <w:r w:rsidRPr="00140032">
          <w:t>/speech/remaking-trans-</w:t>
        </w:r>
        <w:proofErr w:type="spellStart"/>
        <w:r w:rsidRPr="00140032">
          <w:t>tasman</w:t>
        </w:r>
        <w:proofErr w:type="spellEnd"/>
        <w:r w:rsidRPr="00140032">
          <w:t>-world</w:t>
        </w:r>
      </w:hyperlink>
      <w:r w:rsidRPr="00140032">
        <w:t xml:space="preserve"> (accessed 3 September 2012).</w:t>
      </w:r>
    </w:p>
    <w:p w:rsidR="008E28C2" w:rsidRPr="00140032" w:rsidRDefault="008E28C2" w:rsidP="008E28C2">
      <w:pPr>
        <w:pStyle w:val="Reference"/>
      </w:pPr>
      <w:r w:rsidRPr="00140032">
        <w:rPr>
          <w:lang w:eastAsia="en-NZ"/>
        </w:rPr>
        <w:lastRenderedPageBreak/>
        <w:t>——</w:t>
      </w:r>
      <w:r w:rsidRPr="00140032">
        <w:t>2010, ‘Speech to Trans-Tasman Business Circle’, 14 April 2010, http://www.beehive.govt.nz/speech/speech-trans-tasman-business-circle (accessed 3 September 2012).</w:t>
      </w:r>
    </w:p>
    <w:p w:rsidR="0079440C" w:rsidRPr="00140032" w:rsidRDefault="0079440C" w:rsidP="000C6F40">
      <w:pPr>
        <w:pStyle w:val="Reference"/>
      </w:pPr>
      <w:r w:rsidRPr="00140032">
        <w:t xml:space="preserve">Productivity Commission and Forum of Federations 2012, </w:t>
      </w:r>
      <w:r w:rsidRPr="00140032">
        <w:rPr>
          <w:i/>
        </w:rPr>
        <w:t>Benchmarking in Federal Systems, Roundtable Proceedings</w:t>
      </w:r>
      <w:r w:rsidRPr="00140032">
        <w:t>, Melbourne, 19−20 December 2010, eds A. Fenna and F. Knüpling, Productivity Commission, Canberra.</w:t>
      </w:r>
    </w:p>
    <w:p w:rsidR="0099184A" w:rsidRPr="00140032" w:rsidRDefault="0099184A" w:rsidP="0099184A">
      <w:pPr>
        <w:pStyle w:val="Reference"/>
      </w:pPr>
      <w:r w:rsidRPr="00140032">
        <w:t>RBA (Reserve Bank of Australia) 2012, Exchange Rate Data, http://</w:t>
      </w:r>
      <w:proofErr w:type="spellStart"/>
      <w:r w:rsidRPr="00140032">
        <w:t>www.rba.gov.au</w:t>
      </w:r>
      <w:proofErr w:type="spellEnd"/>
      <w:r w:rsidRPr="00140032">
        <w:t>/statistics/</w:t>
      </w:r>
      <w:proofErr w:type="spellStart"/>
      <w:r w:rsidRPr="00140032">
        <w:t>hist</w:t>
      </w:r>
      <w:proofErr w:type="spellEnd"/>
      <w:r w:rsidRPr="00140032">
        <w:t>-exchange-rates/</w:t>
      </w:r>
      <w:proofErr w:type="spellStart"/>
      <w:r w:rsidRPr="00140032">
        <w:t>index.html</w:t>
      </w:r>
      <w:proofErr w:type="spellEnd"/>
      <w:r w:rsidRPr="00140032">
        <w:rPr>
          <w:rFonts w:cs="Arial"/>
          <w:szCs w:val="24"/>
        </w:rPr>
        <w:t xml:space="preserve"> </w:t>
      </w:r>
      <w:r w:rsidRPr="00140032">
        <w:t>(accessed 3 September 2012).</w:t>
      </w:r>
    </w:p>
    <w:p w:rsidR="00435288" w:rsidRPr="00140032" w:rsidRDefault="00435288" w:rsidP="000C6F40">
      <w:pPr>
        <w:pStyle w:val="Reference"/>
      </w:pPr>
      <w:proofErr w:type="spellStart"/>
      <w:r w:rsidRPr="00140032">
        <w:t>RBNZ</w:t>
      </w:r>
      <w:proofErr w:type="spellEnd"/>
      <w:r w:rsidRPr="00140032">
        <w:t xml:space="preserve"> (Reserve Bank of New Zealand) 2012</w:t>
      </w:r>
      <w:r w:rsidR="004B17C3" w:rsidRPr="00140032">
        <w:t>a</w:t>
      </w:r>
      <w:r w:rsidRPr="00140032">
        <w:t>, Downloading RBNZ statistics, http://www.rbnz.govt.nz/statistics/exandint/b1/download.html (</w:t>
      </w:r>
      <w:r w:rsidR="0038633E" w:rsidRPr="00140032">
        <w:t>a</w:t>
      </w:r>
      <w:r w:rsidRPr="00140032">
        <w:t>ccessed 3</w:t>
      </w:r>
      <w:r w:rsidR="00751DBA" w:rsidRPr="00140032">
        <w:t> </w:t>
      </w:r>
      <w:r w:rsidR="008E28C2" w:rsidRPr="00140032">
        <w:t>September 2012).</w:t>
      </w:r>
    </w:p>
    <w:p w:rsidR="0079440C" w:rsidRPr="00140032" w:rsidRDefault="004B17C3" w:rsidP="0079440C">
      <w:pPr>
        <w:pStyle w:val="Reference"/>
      </w:pPr>
      <w:r w:rsidRPr="00140032">
        <w:rPr>
          <w:lang w:val="en-NZ"/>
        </w:rPr>
        <w:t xml:space="preserve">——2012b, </w:t>
      </w:r>
      <w:r w:rsidR="0079440C" w:rsidRPr="00140032">
        <w:t>Regulatory Impact Assessment: Prudential Regulation o</w:t>
      </w:r>
      <w:r w:rsidR="0069431D" w:rsidRPr="00140032">
        <w:t>f Insurance: Solvency Standards.</w:t>
      </w:r>
    </w:p>
    <w:p w:rsidR="008E28C2" w:rsidRPr="00140032" w:rsidRDefault="008E28C2" w:rsidP="008E28C2">
      <w:pPr>
        <w:pStyle w:val="Reference"/>
      </w:pPr>
      <w:r w:rsidRPr="00140032">
        <w:t xml:space="preserve">Regulation Taskforce 2006, </w:t>
      </w:r>
      <w:r w:rsidRPr="00140032">
        <w:rPr>
          <w:i/>
          <w:iCs/>
        </w:rPr>
        <w:t>Rethinking Regulation: Report of the Taskforce on Reducing Regulatory Burdens on Business</w:t>
      </w:r>
      <w:r w:rsidRPr="00140032">
        <w:t>, Report to the Prime Minister and the Treasurer, Canberra, January.</w:t>
      </w:r>
    </w:p>
    <w:p w:rsidR="00435288" w:rsidRPr="00140032" w:rsidRDefault="00435288" w:rsidP="000C6F40">
      <w:pPr>
        <w:pStyle w:val="Reference"/>
      </w:pPr>
      <w:r w:rsidRPr="00140032">
        <w:t xml:space="preserve">Rose, </w:t>
      </w:r>
      <w:proofErr w:type="spellStart"/>
      <w:r w:rsidRPr="00140032">
        <w:t>A.K</w:t>
      </w:r>
      <w:proofErr w:type="spellEnd"/>
      <w:r w:rsidRPr="00140032">
        <w:t xml:space="preserve">. 2008, ‘Currency Unions’ </w:t>
      </w:r>
      <w:r w:rsidRPr="00140032">
        <w:rPr>
          <w:rStyle w:val="doilink"/>
        </w:rPr>
        <w:t xml:space="preserve">in Durlauf, S.N. and Blume, L.E. (eds) </w:t>
      </w:r>
      <w:r w:rsidRPr="00140032">
        <w:rPr>
          <w:rStyle w:val="doilink"/>
          <w:i/>
        </w:rPr>
        <w:t>The New Palgrave Dictionary of Economics</w:t>
      </w:r>
      <w:r w:rsidRPr="00140032">
        <w:rPr>
          <w:rStyle w:val="doilink"/>
        </w:rPr>
        <w:t xml:space="preserve">, Second Edition. Palgrave Macmillan, </w:t>
      </w:r>
      <w:r w:rsidRPr="00140032">
        <w:t>http://www.dictionaryofeconomics.com/article?id=pde2008_C000567 (accessed 20 August 2012).</w:t>
      </w:r>
    </w:p>
    <w:p w:rsidR="00435288" w:rsidRPr="00140032" w:rsidRDefault="00435288" w:rsidP="000C6F40">
      <w:pPr>
        <w:pStyle w:val="Reference"/>
      </w:pPr>
      <w:r w:rsidRPr="00140032">
        <w:t>Rudd, K. and Key, J. 2009, ‘Joint Statement by Prime Ministers Rudd and Key’, 20</w:t>
      </w:r>
      <w:r w:rsidR="004E2A3D" w:rsidRPr="00140032">
        <w:t> </w:t>
      </w:r>
      <w:r w:rsidRPr="00140032">
        <w:t xml:space="preserve">August 2009, </w:t>
      </w:r>
      <w:r w:rsidRPr="00140032">
        <w:rPr>
          <w:rFonts w:cs="Arial"/>
          <w:szCs w:val="24"/>
        </w:rPr>
        <w:t>http://www.beehive.govt.nz/release/joint-statement-prime-ministers-rudd-and-key</w:t>
      </w:r>
      <w:r w:rsidR="0038633E" w:rsidRPr="00140032">
        <w:t xml:space="preserve"> (accessed 3 September </w:t>
      </w:r>
      <w:r w:rsidRPr="00140032">
        <w:t>2012).</w:t>
      </w:r>
    </w:p>
    <w:p w:rsidR="00435288" w:rsidRPr="00140032" w:rsidRDefault="00435288" w:rsidP="000C6F40">
      <w:pPr>
        <w:pStyle w:val="Reference"/>
      </w:pPr>
      <w:r w:rsidRPr="00140032">
        <w:t xml:space="preserve">Scollay, R., Findlay, C. and Kaufmann, U. 2011, </w:t>
      </w:r>
      <w:r w:rsidRPr="00140032">
        <w:rPr>
          <w:i/>
        </w:rPr>
        <w:t>Australia New Zealand Closer Economic Relations Trade Agreement (ANZCERTA) and Regional Integration</w:t>
      </w:r>
      <w:r w:rsidRPr="00140032">
        <w:t>, Institute of Southeast Asian Studies, Singapore.</w:t>
      </w:r>
    </w:p>
    <w:p w:rsidR="0012697F" w:rsidRPr="00140032" w:rsidRDefault="0012697F" w:rsidP="000C6F40">
      <w:pPr>
        <w:pStyle w:val="Reference"/>
      </w:pPr>
      <w:r w:rsidRPr="00140032">
        <w:rPr>
          <w:lang w:eastAsia="en-NZ"/>
        </w:rPr>
        <w:t xml:space="preserve">SCRGSP (Steering Committee for the Review of Government Service Provision) 2010, </w:t>
      </w:r>
      <w:r w:rsidRPr="00140032">
        <w:rPr>
          <w:i/>
          <w:iCs/>
          <w:lang w:eastAsia="en-NZ"/>
        </w:rPr>
        <w:t>Report on Government Services 2010</w:t>
      </w:r>
      <w:r w:rsidRPr="00140032">
        <w:rPr>
          <w:lang w:eastAsia="en-NZ"/>
        </w:rPr>
        <w:t>, Australian Productivity Commission, Canberra.</w:t>
      </w:r>
    </w:p>
    <w:p w:rsidR="00435288" w:rsidRPr="00140032" w:rsidRDefault="00435288" w:rsidP="000C6F40">
      <w:pPr>
        <w:pStyle w:val="Reference"/>
      </w:pPr>
      <w:r w:rsidRPr="00140032">
        <w:t xml:space="preserve">Snape, R.H., Gropp, L. and Luttrell, T. 1998, </w:t>
      </w:r>
      <w:r w:rsidRPr="00140032">
        <w:rPr>
          <w:i/>
        </w:rPr>
        <w:t>Australian Trade Policy 1965–1997: A Documentary History</w:t>
      </w:r>
      <w:r w:rsidRPr="00140032">
        <w:t>, Allen &amp; Unwin, St Leonards.</w:t>
      </w:r>
    </w:p>
    <w:p w:rsidR="00435288" w:rsidRPr="00140032" w:rsidRDefault="00435288" w:rsidP="000C6F40">
      <w:pPr>
        <w:pStyle w:val="Reference"/>
      </w:pPr>
      <w:r w:rsidRPr="00140032">
        <w:t xml:space="preserve">SNZ (Statistics New Zealand) 2011, ‘Balance of payments and international investment position: year ended 31 March 2011, 22 June’, Statistics New Zealand, Wellington </w:t>
      </w:r>
      <w:r w:rsidR="0038633E" w:rsidRPr="00140032">
        <w:t>http://www.stats.govt.nz/browse_for_stats/economic_ indicators/balance_of_payments/info-releases.aspx</w:t>
      </w:r>
      <w:r w:rsidRPr="00140032">
        <w:t xml:space="preserve"> (accessed 23 May 2012).</w:t>
      </w:r>
    </w:p>
    <w:p w:rsidR="008A47C2" w:rsidRPr="00140032" w:rsidRDefault="008A47C2" w:rsidP="00C73F53">
      <w:pPr>
        <w:pStyle w:val="Reference"/>
      </w:pPr>
      <w:r w:rsidRPr="00140032">
        <w:lastRenderedPageBreak/>
        <w:t xml:space="preserve">——2012, Business Operations Survey: 2011 Tables, Statistics New Zealand, Wellington </w:t>
      </w:r>
      <w:hyperlink r:id="rId42" w:history="1">
        <w:r w:rsidRPr="00140032">
          <w:rPr>
            <w:rStyle w:val="Hyperlink"/>
            <w:color w:val="1C1C1C"/>
            <w:u w:val="none"/>
          </w:rPr>
          <w:t>http://www.stats.govt.nz/searchresults.aspx?q=Business%20Operations%20Survey</w:t>
        </w:r>
      </w:hyperlink>
      <w:r w:rsidRPr="00140032">
        <w:t xml:space="preserve"> (accessed 1 October 2012).</w:t>
      </w:r>
    </w:p>
    <w:p w:rsidR="00846578" w:rsidRPr="00140032" w:rsidRDefault="00846578" w:rsidP="00846578">
      <w:pPr>
        <w:pStyle w:val="Reference"/>
      </w:pPr>
      <w:proofErr w:type="spellStart"/>
      <w:r w:rsidRPr="00140032">
        <w:t>S</w:t>
      </w:r>
      <w:r w:rsidRPr="00140032">
        <w:rPr>
          <w:rFonts w:cs="Arial"/>
        </w:rPr>
        <w:t>ø</w:t>
      </w:r>
      <w:r w:rsidRPr="00140032">
        <w:t>rensen</w:t>
      </w:r>
      <w:proofErr w:type="spellEnd"/>
      <w:r w:rsidRPr="00140032">
        <w:t xml:space="preserve">, </w:t>
      </w:r>
      <w:proofErr w:type="spellStart"/>
      <w:r w:rsidRPr="00140032">
        <w:t>P.B</w:t>
      </w:r>
      <w:proofErr w:type="spellEnd"/>
      <w:r w:rsidRPr="00140032">
        <w:t xml:space="preserve">., Johnson, </w:t>
      </w:r>
      <w:proofErr w:type="spellStart"/>
      <w:r w:rsidRPr="00140032">
        <w:t>S.M</w:t>
      </w:r>
      <w:proofErr w:type="spellEnd"/>
      <w:r w:rsidRPr="00140032">
        <w:t>. 2009, ‘Australia’s future tax system’, Taxing Capital Income: Options for Reform in Australia, pp. 179–235, http://www.taxreview.treasury.gov.au/content/html/conference/downloads/conference_report/09_AFTS_Tax_and_Transfer_Policy_Conference_Chap_9.pdf (accessed 28 September 2012)</w:t>
      </w:r>
    </w:p>
    <w:p w:rsidR="00435288" w:rsidRPr="00140032" w:rsidRDefault="00435288" w:rsidP="000C6F40">
      <w:pPr>
        <w:pStyle w:val="Reference"/>
      </w:pPr>
      <w:proofErr w:type="spellStart"/>
      <w:r w:rsidRPr="00140032">
        <w:t>Stillman</w:t>
      </w:r>
      <w:proofErr w:type="spellEnd"/>
      <w:r w:rsidRPr="00140032">
        <w:t xml:space="preserve">, S. and Velamuri, M. 2010, </w:t>
      </w:r>
      <w:r w:rsidRPr="00140032">
        <w:rPr>
          <w:i/>
          <w:iCs/>
        </w:rPr>
        <w:t xml:space="preserve">Immigrant Selection and the Returns to Human Capital in New Zealand and Australia, </w:t>
      </w:r>
      <w:r w:rsidRPr="00140032">
        <w:t>Department of Labour, Wellington, http://dol.govt.nz/publications/research/trans-tasman-skill-return/immigrant-selection-and-the-returns-to-human-capital-in-nz-and-australia.pdf (accessed 19 April 2012).</w:t>
      </w:r>
    </w:p>
    <w:p w:rsidR="00435288" w:rsidRPr="00140032" w:rsidRDefault="00435288" w:rsidP="000C6F40">
      <w:pPr>
        <w:pStyle w:val="Reference"/>
      </w:pPr>
      <w:r w:rsidRPr="00140032">
        <w:t xml:space="preserve">TGA (Therapeutic Goods Administration) 2012, </w:t>
      </w:r>
      <w:r w:rsidRPr="00140032">
        <w:rPr>
          <w:i/>
        </w:rPr>
        <w:t>Australia New Zealand Therapeutic Products Agency (</w:t>
      </w:r>
      <w:proofErr w:type="spellStart"/>
      <w:r w:rsidRPr="00140032">
        <w:rPr>
          <w:i/>
        </w:rPr>
        <w:t>ANZTPA</w:t>
      </w:r>
      <w:proofErr w:type="spellEnd"/>
      <w:r w:rsidRPr="00140032">
        <w:rPr>
          <w:i/>
        </w:rPr>
        <w:t>), Fact sheet</w:t>
      </w:r>
      <w:r w:rsidR="006A2C63" w:rsidRPr="00140032">
        <w:t xml:space="preserve">, </w:t>
      </w:r>
      <w:hyperlink r:id="rId43" w:history="1">
        <w:r w:rsidR="006A2C63" w:rsidRPr="00140032">
          <w:t>http://</w:t>
        </w:r>
        <w:proofErr w:type="spellStart"/>
        <w:r w:rsidR="006A2C63" w:rsidRPr="00140032">
          <w:t>www.tga.gov.au</w:t>
        </w:r>
        <w:proofErr w:type="spellEnd"/>
        <w:r w:rsidR="006A2C63" w:rsidRPr="00140032">
          <w:t>/about/international-</w:t>
        </w:r>
        <w:proofErr w:type="spellStart"/>
        <w:r w:rsidR="006A2C63" w:rsidRPr="00140032">
          <w:t>anztpa</w:t>
        </w:r>
        <w:proofErr w:type="spellEnd"/>
        <w:r w:rsidR="006A2C63" w:rsidRPr="00140032">
          <w:t>-</w:t>
        </w:r>
        <w:proofErr w:type="spellStart"/>
        <w:r w:rsidR="006A2C63" w:rsidRPr="00140032">
          <w:t>factsheet.htm</w:t>
        </w:r>
        <w:proofErr w:type="spellEnd"/>
      </w:hyperlink>
      <w:r w:rsidR="006A2C63" w:rsidRPr="00140032">
        <w:t xml:space="preserve"> (accessed 1</w:t>
      </w:r>
      <w:r w:rsidR="00076110" w:rsidRPr="00140032">
        <w:t> </w:t>
      </w:r>
      <w:r w:rsidR="006A2C63" w:rsidRPr="00140032">
        <w:t>October 2012).</w:t>
      </w:r>
    </w:p>
    <w:p w:rsidR="00435288" w:rsidRPr="00140032" w:rsidRDefault="00435288" w:rsidP="000C6F40">
      <w:pPr>
        <w:pStyle w:val="Reference"/>
      </w:pPr>
      <w:r w:rsidRPr="00140032">
        <w:t xml:space="preserve">Tompson, W. and Dang, T. 2010, ‘Advancing structural reforms in OECD countries: lessons from twenty case studies’, </w:t>
      </w:r>
      <w:r w:rsidRPr="00140032">
        <w:rPr>
          <w:i/>
        </w:rPr>
        <w:t>OECD Economics Department Working Papers</w:t>
      </w:r>
      <w:r w:rsidRPr="00140032">
        <w:t xml:space="preserve">, </w:t>
      </w:r>
      <w:r w:rsidR="0031017B" w:rsidRPr="00140032">
        <w:t>no. </w:t>
      </w:r>
      <w:r w:rsidRPr="00140032">
        <w:t>757, OECD, Paris.</w:t>
      </w:r>
    </w:p>
    <w:p w:rsidR="00435288" w:rsidRPr="00140032" w:rsidRDefault="00435288" w:rsidP="000C6F40">
      <w:pPr>
        <w:pStyle w:val="Reference"/>
      </w:pPr>
      <w:r w:rsidRPr="00140032">
        <w:t xml:space="preserve">TTOIG (Trans-Tasman Outcomes Implementation Group) 2012, </w:t>
      </w:r>
      <w:r w:rsidRPr="00140032">
        <w:rPr>
          <w:i/>
        </w:rPr>
        <w:t>Trans-Tasman Outcomes Implementation Group Report</w:t>
      </w:r>
      <w:r w:rsidRPr="00140032">
        <w:t xml:space="preserve">, Canberra, </w:t>
      </w:r>
      <w:r w:rsidR="006A2C63" w:rsidRPr="00140032">
        <w:t>September</w:t>
      </w:r>
      <w:r w:rsidRPr="00140032">
        <w:t>.</w:t>
      </w:r>
    </w:p>
    <w:p w:rsidR="00435288" w:rsidRPr="00140032" w:rsidRDefault="00435288" w:rsidP="000C6F40">
      <w:pPr>
        <w:pStyle w:val="Reference"/>
      </w:pPr>
      <w:r w:rsidRPr="00140032">
        <w:t>UN Comtrade database (United Nations Commodity Trade Statistics Database) 2012, United Nations Statistical Division, New York.</w:t>
      </w:r>
    </w:p>
    <w:p w:rsidR="00435288" w:rsidRPr="00140032" w:rsidRDefault="00435288" w:rsidP="000C6F40">
      <w:pPr>
        <w:pStyle w:val="Reference"/>
      </w:pPr>
      <w:r w:rsidRPr="00140032">
        <w:t xml:space="preserve">Vowles, T. and Tierney, S. 2007, ‘The geographic impact of ‘open skies’ policies on trans-Tasman air passenger service’, </w:t>
      </w:r>
      <w:r w:rsidRPr="00140032">
        <w:rPr>
          <w:i/>
        </w:rPr>
        <w:t>Asia Pacific Viewpoint</w:t>
      </w:r>
      <w:r w:rsidRPr="00140032">
        <w:t xml:space="preserve">, </w:t>
      </w:r>
      <w:r w:rsidR="0031017B" w:rsidRPr="00140032">
        <w:t>vol. </w:t>
      </w:r>
      <w:r w:rsidRPr="00140032">
        <w:t>48, </w:t>
      </w:r>
      <w:r w:rsidR="0031017B" w:rsidRPr="00140032">
        <w:t>no. </w:t>
      </w:r>
      <w:r w:rsidRPr="00140032">
        <w:t>3, p</w:t>
      </w:r>
      <w:r w:rsidR="0031017B" w:rsidRPr="00140032">
        <w:t>p. </w:t>
      </w:r>
      <w:r w:rsidRPr="00140032">
        <w:t>344–54.</w:t>
      </w:r>
    </w:p>
    <w:p w:rsidR="00D27113" w:rsidRPr="00140032" w:rsidRDefault="00D27113" w:rsidP="000C6F40">
      <w:pPr>
        <w:pStyle w:val="Reference"/>
      </w:pPr>
      <w:r w:rsidRPr="00140032">
        <w:t xml:space="preserve">Wholey, J. and Hatry, H. 1992, ‘The case for performance monitoring’ </w:t>
      </w:r>
      <w:r w:rsidRPr="00140032">
        <w:rPr>
          <w:i/>
        </w:rPr>
        <w:t xml:space="preserve">Public Administration Review, </w:t>
      </w:r>
      <w:r w:rsidRPr="00140032">
        <w:t>vol.</w:t>
      </w:r>
      <w:r w:rsidR="00C8280E" w:rsidRPr="00140032">
        <w:t> </w:t>
      </w:r>
      <w:r w:rsidRPr="00140032">
        <w:t xml:space="preserve">52, </w:t>
      </w:r>
      <w:r w:rsidR="00B1721F" w:rsidRPr="00140032">
        <w:t>no. </w:t>
      </w:r>
      <w:r w:rsidRPr="00140032">
        <w:t>6, pp.</w:t>
      </w:r>
      <w:r w:rsidR="00C8280E" w:rsidRPr="00140032">
        <w:t> </w:t>
      </w:r>
      <w:r w:rsidRPr="00140032">
        <w:t>604–10.</w:t>
      </w:r>
    </w:p>
    <w:p w:rsidR="00435288" w:rsidRPr="00140032" w:rsidRDefault="00435288" w:rsidP="000C6F40">
      <w:pPr>
        <w:pStyle w:val="Reference"/>
      </w:pPr>
      <w:r w:rsidRPr="00140032">
        <w:t xml:space="preserve">World Bank 2009, </w:t>
      </w:r>
      <w:r w:rsidRPr="00140032">
        <w:rPr>
          <w:i/>
        </w:rPr>
        <w:t>World Development Report 2009: Reshaping Economic Geography</w:t>
      </w:r>
      <w:r w:rsidRPr="00140032">
        <w:t>,</w:t>
      </w:r>
      <w:r w:rsidR="009C04C9" w:rsidRPr="00140032">
        <w:t xml:space="preserve"> </w:t>
      </w:r>
      <w:r w:rsidR="009C04C9" w:rsidRPr="00140032">
        <w:rPr>
          <w:rFonts w:cs="Arial"/>
          <w:szCs w:val="24"/>
        </w:rPr>
        <w:t>http://siteresources.worldbank.org/INTWDR2009/Resources/ 4231006-1225840759068/WDR09_00_FMweb.pdf</w:t>
      </w:r>
      <w:r w:rsidRPr="00140032">
        <w:t xml:space="preserve"> (accessed 13 August 2012).</w:t>
      </w:r>
    </w:p>
    <w:p w:rsidR="00435288" w:rsidRPr="00140032" w:rsidRDefault="00435288" w:rsidP="000C6F40">
      <w:pPr>
        <w:pStyle w:val="Reference"/>
      </w:pPr>
      <w:r w:rsidRPr="00140032">
        <w:t>Yang, Q. and de Raad</w:t>
      </w:r>
      <w:r w:rsidR="00F26C6B" w:rsidRPr="00140032">
        <w:t>, J-P.</w:t>
      </w:r>
      <w:r w:rsidRPr="00140032">
        <w:t xml:space="preserve"> 2010, </w:t>
      </w:r>
      <w:r w:rsidRPr="00140032">
        <w:rPr>
          <w:i/>
          <w:iCs/>
        </w:rPr>
        <w:t>Flight of the Kiwi</w:t>
      </w:r>
      <w:r w:rsidRPr="00140032">
        <w:t xml:space="preserve">, </w:t>
      </w:r>
      <w:r w:rsidR="00F26C6B" w:rsidRPr="00140032">
        <w:t>New Zealand Institute of Economic Research (NZIER) Insight Paper, Wellington.</w:t>
      </w:r>
    </w:p>
    <w:sectPr w:rsidR="00435288" w:rsidRPr="00140032" w:rsidSect="0094298E">
      <w:headerReference w:type="even" r:id="rId44"/>
      <w:headerReference w:type="default" r:id="rId45"/>
      <w:footerReference w:type="even" r:id="rId46"/>
      <w:footerReference w:type="default" r:id="rId47"/>
      <w:pgSz w:w="11907" w:h="16840" w:code="9"/>
      <w:pgMar w:top="1985" w:right="1304" w:bottom="1418" w:left="1814" w:header="1701" w:footer="567" w:gutter="0"/>
      <w:pgNumType w:start="18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4D" w:rsidRDefault="0067224D">
      <w:r>
        <w:separator/>
      </w:r>
    </w:p>
  </w:endnote>
  <w:endnote w:type="continuationSeparator" w:id="0">
    <w:p w:rsidR="0067224D" w:rsidRDefault="0067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venirMaoriLight">
    <w:altName w:val="Bell MT"/>
    <w:charset w:val="00"/>
    <w:family w:val="auto"/>
    <w:pitch w:val="variable"/>
    <w:sig w:usb0="800000AF" w:usb1="40000048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333333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8278"/>
    </w:tblGrid>
    <w:tr w:rsidR="0067224D" w:rsidRPr="00135D87" w:rsidTr="00E971AD">
      <w:trPr>
        <w:trHeight w:hRule="exact" w:val="740"/>
      </w:trPr>
      <w:tc>
        <w:tcPr>
          <w:tcW w:w="510" w:type="dxa"/>
        </w:tcPr>
        <w:p w:rsidR="0067224D" w:rsidRPr="00135D87" w:rsidRDefault="0067224D" w:rsidP="00147DE6">
          <w:pPr>
            <w:pStyle w:val="Footer"/>
            <w:tabs>
              <w:tab w:val="left" w:pos="0"/>
            </w:tabs>
            <w:ind w:right="0"/>
            <w:rPr>
              <w:rStyle w:val="PageNumber"/>
              <w:rFonts w:cs="Arial"/>
            </w:rPr>
          </w:pPr>
          <w:r w:rsidRPr="00135D87">
            <w:rPr>
              <w:rStyle w:val="PageNumber"/>
              <w:rFonts w:cs="Arial"/>
            </w:rPr>
            <w:fldChar w:fldCharType="begin"/>
          </w:r>
          <w:r w:rsidRPr="00135D87">
            <w:rPr>
              <w:rStyle w:val="PageNumber"/>
              <w:rFonts w:cs="Arial"/>
            </w:rPr>
            <w:instrText xml:space="preserve">PAGE  </w:instrText>
          </w:r>
          <w:r w:rsidRPr="00135D87">
            <w:rPr>
              <w:rStyle w:val="PageNumber"/>
              <w:rFonts w:cs="Arial"/>
            </w:rPr>
            <w:fldChar w:fldCharType="separate"/>
          </w:r>
          <w:r w:rsidR="00324CC5">
            <w:rPr>
              <w:rStyle w:val="PageNumber"/>
              <w:rFonts w:cs="Arial"/>
              <w:noProof/>
            </w:rPr>
            <w:t>188</w:t>
          </w:r>
          <w:r w:rsidRPr="00135D87">
            <w:rPr>
              <w:rStyle w:val="PageNumber"/>
              <w:rFonts w:cs="Arial"/>
            </w:rPr>
            <w:fldChar w:fldCharType="end"/>
          </w:r>
        </w:p>
      </w:tc>
      <w:tc>
        <w:tcPr>
          <w:tcW w:w="8278" w:type="dxa"/>
        </w:tcPr>
        <w:p w:rsidR="0067224D" w:rsidRPr="00135D87" w:rsidRDefault="0067224D" w:rsidP="0094298E">
          <w:pPr>
            <w:pStyle w:val="Footer"/>
            <w:rPr>
              <w:rFonts w:cs="Arial"/>
            </w:rPr>
          </w:pPr>
          <w:r>
            <w:rPr>
              <w:rFonts w:cs="Arial"/>
              <w:caps w:val="0"/>
            </w:rPr>
            <w:t xml:space="preserve">Strengthening </w:t>
          </w:r>
          <w:r w:rsidR="0094298E">
            <w:rPr>
              <w:rFonts w:cs="Arial"/>
              <w:caps w:val="0"/>
            </w:rPr>
            <w:t>t</w:t>
          </w:r>
          <w:r>
            <w:rPr>
              <w:rFonts w:cs="Arial"/>
              <w:caps w:val="0"/>
            </w:rPr>
            <w:t xml:space="preserve">rans-Tasman </w:t>
          </w:r>
          <w:r w:rsidR="0094298E">
            <w:rPr>
              <w:rFonts w:cs="Arial"/>
              <w:caps w:val="0"/>
            </w:rPr>
            <w:t>e</w:t>
          </w:r>
          <w:r>
            <w:rPr>
              <w:rFonts w:cs="Arial"/>
              <w:caps w:val="0"/>
            </w:rPr>
            <w:t xml:space="preserve">conomic </w:t>
          </w:r>
          <w:r w:rsidR="0094298E">
            <w:rPr>
              <w:rFonts w:cs="Arial"/>
              <w:caps w:val="0"/>
            </w:rPr>
            <w:t>r</w:t>
          </w:r>
          <w:r>
            <w:rPr>
              <w:rFonts w:cs="Arial"/>
              <w:caps w:val="0"/>
            </w:rPr>
            <w:t>elations</w:t>
          </w:r>
        </w:p>
      </w:tc>
    </w:tr>
  </w:tbl>
  <w:p w:rsidR="0067224D" w:rsidRDefault="0067224D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333333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78"/>
      <w:gridCol w:w="510"/>
    </w:tblGrid>
    <w:tr w:rsidR="0067224D" w:rsidRPr="00135D87" w:rsidTr="00E971AD">
      <w:trPr>
        <w:trHeight w:hRule="exact" w:val="740"/>
      </w:trPr>
      <w:tc>
        <w:tcPr>
          <w:tcW w:w="8278" w:type="dxa"/>
        </w:tcPr>
        <w:p w:rsidR="0067224D" w:rsidRPr="00135D87" w:rsidRDefault="0067224D" w:rsidP="00147DE6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caps w:val="0"/>
            </w:rPr>
            <w:t>References</w:t>
          </w:r>
        </w:p>
      </w:tc>
      <w:tc>
        <w:tcPr>
          <w:tcW w:w="510" w:type="dxa"/>
        </w:tcPr>
        <w:p w:rsidR="0067224D" w:rsidRPr="00135D87" w:rsidRDefault="0067224D" w:rsidP="00147DE6">
          <w:pPr>
            <w:pStyle w:val="Footer"/>
            <w:jc w:val="right"/>
            <w:rPr>
              <w:rFonts w:cs="Arial"/>
            </w:rPr>
          </w:pPr>
          <w:r w:rsidRPr="00135D87">
            <w:rPr>
              <w:rStyle w:val="PageNumber"/>
              <w:rFonts w:cs="Arial"/>
            </w:rPr>
            <w:fldChar w:fldCharType="begin"/>
          </w:r>
          <w:r w:rsidRPr="00135D87">
            <w:rPr>
              <w:rStyle w:val="PageNumber"/>
              <w:rFonts w:cs="Arial"/>
            </w:rPr>
            <w:instrText xml:space="preserve">PAGE  </w:instrText>
          </w:r>
          <w:r w:rsidRPr="00135D87">
            <w:rPr>
              <w:rStyle w:val="PageNumber"/>
              <w:rFonts w:cs="Arial"/>
            </w:rPr>
            <w:fldChar w:fldCharType="separate"/>
          </w:r>
          <w:r w:rsidR="00324CC5">
            <w:rPr>
              <w:rStyle w:val="PageNumber"/>
              <w:rFonts w:cs="Arial"/>
              <w:noProof/>
            </w:rPr>
            <w:t>187</w:t>
          </w:r>
          <w:r w:rsidRPr="00135D87">
            <w:rPr>
              <w:rStyle w:val="PageNumber"/>
              <w:rFonts w:cs="Arial"/>
            </w:rPr>
            <w:fldChar w:fldCharType="end"/>
          </w:r>
        </w:p>
      </w:tc>
    </w:tr>
  </w:tbl>
  <w:p w:rsidR="0067224D" w:rsidRPr="009A6431" w:rsidRDefault="0067224D" w:rsidP="001B53C3">
    <w:pPr>
      <w:pStyle w:val="FooterEnd"/>
    </w:pPr>
  </w:p>
  <w:p w:rsidR="0067224D" w:rsidRDefault="0067224D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4D" w:rsidRDefault="0067224D">
      <w:r>
        <w:separator/>
      </w:r>
    </w:p>
  </w:footnote>
  <w:footnote w:type="continuationSeparator" w:id="0">
    <w:p w:rsidR="0067224D" w:rsidRDefault="00672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67224D" w:rsidTr="00582C63">
      <w:tc>
        <w:tcPr>
          <w:tcW w:w="2155" w:type="dxa"/>
          <w:tcBorders>
            <w:top w:val="single" w:sz="24" w:space="0" w:color="86A20B"/>
          </w:tcBorders>
        </w:tcPr>
        <w:p w:rsidR="0067224D" w:rsidRDefault="0067224D" w:rsidP="007A1ADB">
          <w:pPr>
            <w:pStyle w:val="HeaderEven"/>
          </w:pPr>
        </w:p>
      </w:tc>
      <w:tc>
        <w:tcPr>
          <w:tcW w:w="6634" w:type="dxa"/>
          <w:tcBorders>
            <w:top w:val="dotted" w:sz="18" w:space="0" w:color="B2B2B2"/>
          </w:tcBorders>
        </w:tcPr>
        <w:p w:rsidR="0067224D" w:rsidRDefault="0067224D" w:rsidP="007A1ADB">
          <w:pPr>
            <w:pStyle w:val="HeaderEven"/>
          </w:pPr>
        </w:p>
      </w:tc>
    </w:tr>
  </w:tbl>
  <w:p w:rsidR="0067224D" w:rsidRDefault="0067224D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67224D" w:rsidTr="00582C63">
      <w:tc>
        <w:tcPr>
          <w:tcW w:w="6634" w:type="dxa"/>
          <w:tcBorders>
            <w:top w:val="dotted" w:sz="18" w:space="0" w:color="B2B2B2"/>
          </w:tcBorders>
        </w:tcPr>
        <w:p w:rsidR="0067224D" w:rsidRDefault="0067224D" w:rsidP="007A1ADB">
          <w:pPr>
            <w:pStyle w:val="HeaderOdd"/>
          </w:pPr>
        </w:p>
      </w:tc>
      <w:tc>
        <w:tcPr>
          <w:tcW w:w="2155" w:type="dxa"/>
          <w:tcBorders>
            <w:top w:val="single" w:sz="24" w:space="0" w:color="86A20B"/>
          </w:tcBorders>
        </w:tcPr>
        <w:p w:rsidR="0067224D" w:rsidRDefault="0067224D" w:rsidP="007A1ADB">
          <w:pPr>
            <w:pStyle w:val="HeaderOdd"/>
          </w:pPr>
        </w:p>
      </w:tc>
    </w:tr>
  </w:tbl>
  <w:p w:rsidR="0067224D" w:rsidRDefault="0067224D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0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1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5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7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28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9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1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3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4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5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6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7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1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39"/>
  </w:num>
  <w:num w:numId="4">
    <w:abstractNumId w:val="7"/>
  </w:num>
  <w:num w:numId="5">
    <w:abstractNumId w:val="5"/>
  </w:num>
  <w:num w:numId="6">
    <w:abstractNumId w:val="23"/>
  </w:num>
  <w:num w:numId="7">
    <w:abstractNumId w:val="3"/>
  </w:num>
  <w:num w:numId="8">
    <w:abstractNumId w:val="9"/>
  </w:num>
  <w:num w:numId="9">
    <w:abstractNumId w:val="2"/>
  </w:num>
  <w:num w:numId="10">
    <w:abstractNumId w:val="34"/>
  </w:num>
  <w:num w:numId="11">
    <w:abstractNumId w:val="4"/>
  </w:num>
  <w:num w:numId="12">
    <w:abstractNumId w:val="1"/>
  </w:num>
  <w:num w:numId="13">
    <w:abstractNumId w:val="0"/>
  </w:num>
  <w:num w:numId="14">
    <w:abstractNumId w:val="26"/>
  </w:num>
  <w:num w:numId="15">
    <w:abstractNumId w:val="40"/>
  </w:num>
  <w:num w:numId="16">
    <w:abstractNumId w:val="17"/>
  </w:num>
  <w:num w:numId="17">
    <w:abstractNumId w:val="16"/>
  </w:num>
  <w:num w:numId="18">
    <w:abstractNumId w:val="24"/>
  </w:num>
  <w:num w:numId="19">
    <w:abstractNumId w:val="12"/>
  </w:num>
  <w:num w:numId="20">
    <w:abstractNumId w:val="31"/>
  </w:num>
  <w:num w:numId="21">
    <w:abstractNumId w:val="33"/>
  </w:num>
  <w:num w:numId="22">
    <w:abstractNumId w:val="22"/>
  </w:num>
  <w:num w:numId="23">
    <w:abstractNumId w:val="25"/>
  </w:num>
  <w:num w:numId="24">
    <w:abstractNumId w:val="27"/>
  </w:num>
  <w:num w:numId="25">
    <w:abstractNumId w:val="38"/>
  </w:num>
  <w:num w:numId="26">
    <w:abstractNumId w:val="30"/>
  </w:num>
  <w:num w:numId="27">
    <w:abstractNumId w:val="35"/>
  </w:num>
  <w:num w:numId="28">
    <w:abstractNumId w:val="36"/>
  </w:num>
  <w:num w:numId="29">
    <w:abstractNumId w:val="28"/>
  </w:num>
  <w:num w:numId="30">
    <w:abstractNumId w:val="20"/>
  </w:num>
  <w:num w:numId="31">
    <w:abstractNumId w:val="41"/>
  </w:num>
  <w:num w:numId="32">
    <w:abstractNumId w:val="15"/>
  </w:num>
  <w:num w:numId="33">
    <w:abstractNumId w:val="8"/>
  </w:num>
  <w:num w:numId="34">
    <w:abstractNumId w:val="18"/>
  </w:num>
  <w:num w:numId="35">
    <w:abstractNumId w:val="37"/>
  </w:num>
  <w:num w:numId="36">
    <w:abstractNumId w:val="29"/>
  </w:num>
  <w:num w:numId="37">
    <w:abstractNumId w:val="13"/>
  </w:num>
  <w:num w:numId="38">
    <w:abstractNumId w:val="32"/>
  </w:num>
  <w:num w:numId="39">
    <w:abstractNumId w:val="14"/>
  </w:num>
  <w:num w:numId="40">
    <w:abstractNumId w:val="17"/>
  </w:num>
  <w:num w:numId="41">
    <w:abstractNumId w:val="9"/>
  </w:num>
  <w:num w:numId="42">
    <w:abstractNumId w:val="21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Strengthening Trans-Tasman Economic Relations"/>
  </w:docVars>
  <w:rsids>
    <w:rsidRoot w:val="00435288"/>
    <w:rsid w:val="000245AA"/>
    <w:rsid w:val="00030473"/>
    <w:rsid w:val="0003664B"/>
    <w:rsid w:val="0004111F"/>
    <w:rsid w:val="00041329"/>
    <w:rsid w:val="0005152B"/>
    <w:rsid w:val="00052481"/>
    <w:rsid w:val="000565B3"/>
    <w:rsid w:val="00063AD3"/>
    <w:rsid w:val="0007150B"/>
    <w:rsid w:val="0007380A"/>
    <w:rsid w:val="00076110"/>
    <w:rsid w:val="000861EB"/>
    <w:rsid w:val="000938F5"/>
    <w:rsid w:val="000A11FE"/>
    <w:rsid w:val="000A2F63"/>
    <w:rsid w:val="000A361B"/>
    <w:rsid w:val="000A39DB"/>
    <w:rsid w:val="000B3A2E"/>
    <w:rsid w:val="000B601B"/>
    <w:rsid w:val="000C207E"/>
    <w:rsid w:val="000C6F40"/>
    <w:rsid w:val="000E4F45"/>
    <w:rsid w:val="00110116"/>
    <w:rsid w:val="0011127A"/>
    <w:rsid w:val="0011690A"/>
    <w:rsid w:val="00126919"/>
    <w:rsid w:val="0012697F"/>
    <w:rsid w:val="00126EB8"/>
    <w:rsid w:val="001274D4"/>
    <w:rsid w:val="001363AA"/>
    <w:rsid w:val="00140032"/>
    <w:rsid w:val="00147DE6"/>
    <w:rsid w:val="00174CBF"/>
    <w:rsid w:val="00183E82"/>
    <w:rsid w:val="00191AE0"/>
    <w:rsid w:val="00192303"/>
    <w:rsid w:val="0019293B"/>
    <w:rsid w:val="001B53C3"/>
    <w:rsid w:val="001C0865"/>
    <w:rsid w:val="001C3ABA"/>
    <w:rsid w:val="001E7BE8"/>
    <w:rsid w:val="001F0248"/>
    <w:rsid w:val="001F3EB3"/>
    <w:rsid w:val="00202C2C"/>
    <w:rsid w:val="0021686E"/>
    <w:rsid w:val="00217ABA"/>
    <w:rsid w:val="002234D8"/>
    <w:rsid w:val="00223901"/>
    <w:rsid w:val="00242279"/>
    <w:rsid w:val="00245C82"/>
    <w:rsid w:val="00254BE4"/>
    <w:rsid w:val="002679EE"/>
    <w:rsid w:val="002840B8"/>
    <w:rsid w:val="00291B40"/>
    <w:rsid w:val="00291CB8"/>
    <w:rsid w:val="00293AE3"/>
    <w:rsid w:val="002B4008"/>
    <w:rsid w:val="002B6178"/>
    <w:rsid w:val="002C1737"/>
    <w:rsid w:val="002D0C82"/>
    <w:rsid w:val="002D0E8E"/>
    <w:rsid w:val="002E01DF"/>
    <w:rsid w:val="002F121F"/>
    <w:rsid w:val="00301189"/>
    <w:rsid w:val="0031017B"/>
    <w:rsid w:val="00312819"/>
    <w:rsid w:val="00323C43"/>
    <w:rsid w:val="00323E09"/>
    <w:rsid w:val="00324CC5"/>
    <w:rsid w:val="00333932"/>
    <w:rsid w:val="00335AE3"/>
    <w:rsid w:val="003518AA"/>
    <w:rsid w:val="00352165"/>
    <w:rsid w:val="00353063"/>
    <w:rsid w:val="00353182"/>
    <w:rsid w:val="003565D9"/>
    <w:rsid w:val="003602E1"/>
    <w:rsid w:val="0037026F"/>
    <w:rsid w:val="00371240"/>
    <w:rsid w:val="00374731"/>
    <w:rsid w:val="0038633E"/>
    <w:rsid w:val="003919F9"/>
    <w:rsid w:val="003C38B5"/>
    <w:rsid w:val="003C5D99"/>
    <w:rsid w:val="003E2F59"/>
    <w:rsid w:val="003E75CC"/>
    <w:rsid w:val="003F0789"/>
    <w:rsid w:val="00401882"/>
    <w:rsid w:val="004032D5"/>
    <w:rsid w:val="004100C8"/>
    <w:rsid w:val="00411DBD"/>
    <w:rsid w:val="00412ACE"/>
    <w:rsid w:val="004170A6"/>
    <w:rsid w:val="00431249"/>
    <w:rsid w:val="0043233E"/>
    <w:rsid w:val="00434C19"/>
    <w:rsid w:val="00435288"/>
    <w:rsid w:val="00450810"/>
    <w:rsid w:val="004532BB"/>
    <w:rsid w:val="00455C5C"/>
    <w:rsid w:val="00464738"/>
    <w:rsid w:val="00477144"/>
    <w:rsid w:val="0049459F"/>
    <w:rsid w:val="004A38DD"/>
    <w:rsid w:val="004A5356"/>
    <w:rsid w:val="004B17C3"/>
    <w:rsid w:val="004B43AE"/>
    <w:rsid w:val="004C0BAB"/>
    <w:rsid w:val="004C30ED"/>
    <w:rsid w:val="004D5675"/>
    <w:rsid w:val="004E2A3D"/>
    <w:rsid w:val="00523639"/>
    <w:rsid w:val="00551E10"/>
    <w:rsid w:val="00570155"/>
    <w:rsid w:val="005824C0"/>
    <w:rsid w:val="00582C63"/>
    <w:rsid w:val="00583C39"/>
    <w:rsid w:val="005909CF"/>
    <w:rsid w:val="00591E71"/>
    <w:rsid w:val="005A0D41"/>
    <w:rsid w:val="005B06B3"/>
    <w:rsid w:val="005B3D92"/>
    <w:rsid w:val="005C2C21"/>
    <w:rsid w:val="005C69C0"/>
    <w:rsid w:val="005C782E"/>
    <w:rsid w:val="005D07B2"/>
    <w:rsid w:val="005D5623"/>
    <w:rsid w:val="005E46BE"/>
    <w:rsid w:val="00607BF1"/>
    <w:rsid w:val="00630D4D"/>
    <w:rsid w:val="00632A74"/>
    <w:rsid w:val="00642395"/>
    <w:rsid w:val="006459DB"/>
    <w:rsid w:val="00646E54"/>
    <w:rsid w:val="00671264"/>
    <w:rsid w:val="0067224D"/>
    <w:rsid w:val="0069431D"/>
    <w:rsid w:val="006A2C63"/>
    <w:rsid w:val="006A42B0"/>
    <w:rsid w:val="006A4655"/>
    <w:rsid w:val="006A4A5B"/>
    <w:rsid w:val="006A7F7B"/>
    <w:rsid w:val="006B208F"/>
    <w:rsid w:val="006B2B3C"/>
    <w:rsid w:val="006C1D81"/>
    <w:rsid w:val="006C7038"/>
    <w:rsid w:val="006E73EF"/>
    <w:rsid w:val="006F3E1E"/>
    <w:rsid w:val="006F5DDC"/>
    <w:rsid w:val="00714D4D"/>
    <w:rsid w:val="007513DB"/>
    <w:rsid w:val="00751DBA"/>
    <w:rsid w:val="00751F8E"/>
    <w:rsid w:val="0075315F"/>
    <w:rsid w:val="0075322A"/>
    <w:rsid w:val="007604BB"/>
    <w:rsid w:val="00767FE8"/>
    <w:rsid w:val="0078286B"/>
    <w:rsid w:val="00785232"/>
    <w:rsid w:val="0079440C"/>
    <w:rsid w:val="007A1ADB"/>
    <w:rsid w:val="007A21EB"/>
    <w:rsid w:val="007C36C9"/>
    <w:rsid w:val="007C77E6"/>
    <w:rsid w:val="007D5DA1"/>
    <w:rsid w:val="007D5DFD"/>
    <w:rsid w:val="007D6401"/>
    <w:rsid w:val="007E01E4"/>
    <w:rsid w:val="007F7107"/>
    <w:rsid w:val="0081030F"/>
    <w:rsid w:val="0082087D"/>
    <w:rsid w:val="00821C16"/>
    <w:rsid w:val="00842933"/>
    <w:rsid w:val="00846578"/>
    <w:rsid w:val="0086082C"/>
    <w:rsid w:val="008632FA"/>
    <w:rsid w:val="00864ADC"/>
    <w:rsid w:val="00880153"/>
    <w:rsid w:val="00880F97"/>
    <w:rsid w:val="0088133A"/>
    <w:rsid w:val="0088622A"/>
    <w:rsid w:val="0089285E"/>
    <w:rsid w:val="0089436C"/>
    <w:rsid w:val="008A02BB"/>
    <w:rsid w:val="008A0D0F"/>
    <w:rsid w:val="008A47C2"/>
    <w:rsid w:val="008B3C4D"/>
    <w:rsid w:val="008B6CD9"/>
    <w:rsid w:val="008C0EEA"/>
    <w:rsid w:val="008C1717"/>
    <w:rsid w:val="008C4CDF"/>
    <w:rsid w:val="008C607A"/>
    <w:rsid w:val="008D365C"/>
    <w:rsid w:val="008D3C33"/>
    <w:rsid w:val="008E28C2"/>
    <w:rsid w:val="008E3C45"/>
    <w:rsid w:val="009030BF"/>
    <w:rsid w:val="00914368"/>
    <w:rsid w:val="009271FB"/>
    <w:rsid w:val="00931002"/>
    <w:rsid w:val="00931076"/>
    <w:rsid w:val="00931BDB"/>
    <w:rsid w:val="009345D9"/>
    <w:rsid w:val="00934B15"/>
    <w:rsid w:val="009406D1"/>
    <w:rsid w:val="0094298E"/>
    <w:rsid w:val="00942B62"/>
    <w:rsid w:val="00956A0C"/>
    <w:rsid w:val="00956BD9"/>
    <w:rsid w:val="00962489"/>
    <w:rsid w:val="00967D16"/>
    <w:rsid w:val="0098405C"/>
    <w:rsid w:val="00990C2C"/>
    <w:rsid w:val="0099184A"/>
    <w:rsid w:val="009C04C9"/>
    <w:rsid w:val="009C0A03"/>
    <w:rsid w:val="009C62F2"/>
    <w:rsid w:val="009C75DE"/>
    <w:rsid w:val="009D3CAD"/>
    <w:rsid w:val="009D6F0B"/>
    <w:rsid w:val="009F5BBD"/>
    <w:rsid w:val="009F696D"/>
    <w:rsid w:val="009F6BC6"/>
    <w:rsid w:val="00A06472"/>
    <w:rsid w:val="00A17328"/>
    <w:rsid w:val="00A23A20"/>
    <w:rsid w:val="00A268B9"/>
    <w:rsid w:val="00A2703A"/>
    <w:rsid w:val="00A3076E"/>
    <w:rsid w:val="00A33DFF"/>
    <w:rsid w:val="00A35115"/>
    <w:rsid w:val="00A554AB"/>
    <w:rsid w:val="00A65F82"/>
    <w:rsid w:val="00A67127"/>
    <w:rsid w:val="00A92B53"/>
    <w:rsid w:val="00A94FA6"/>
    <w:rsid w:val="00AA49A0"/>
    <w:rsid w:val="00AA6710"/>
    <w:rsid w:val="00AB0681"/>
    <w:rsid w:val="00AD520B"/>
    <w:rsid w:val="00AF4E73"/>
    <w:rsid w:val="00B1721F"/>
    <w:rsid w:val="00B21EDB"/>
    <w:rsid w:val="00B309AD"/>
    <w:rsid w:val="00B440AD"/>
    <w:rsid w:val="00B50719"/>
    <w:rsid w:val="00B53E7E"/>
    <w:rsid w:val="00B61C5F"/>
    <w:rsid w:val="00B624D4"/>
    <w:rsid w:val="00B6342E"/>
    <w:rsid w:val="00B64364"/>
    <w:rsid w:val="00B64F34"/>
    <w:rsid w:val="00B66F03"/>
    <w:rsid w:val="00B7113F"/>
    <w:rsid w:val="00B90547"/>
    <w:rsid w:val="00B90C64"/>
    <w:rsid w:val="00BA73B6"/>
    <w:rsid w:val="00BB2603"/>
    <w:rsid w:val="00BB4FCD"/>
    <w:rsid w:val="00BC3691"/>
    <w:rsid w:val="00BD13EA"/>
    <w:rsid w:val="00BD41DF"/>
    <w:rsid w:val="00BE3808"/>
    <w:rsid w:val="00BE7CAB"/>
    <w:rsid w:val="00C062E9"/>
    <w:rsid w:val="00C07B64"/>
    <w:rsid w:val="00C11D14"/>
    <w:rsid w:val="00C13721"/>
    <w:rsid w:val="00C3066D"/>
    <w:rsid w:val="00C543F4"/>
    <w:rsid w:val="00C55316"/>
    <w:rsid w:val="00C6291C"/>
    <w:rsid w:val="00C62A97"/>
    <w:rsid w:val="00C633CB"/>
    <w:rsid w:val="00C7310D"/>
    <w:rsid w:val="00C73E20"/>
    <w:rsid w:val="00C73F53"/>
    <w:rsid w:val="00C8280E"/>
    <w:rsid w:val="00C860E9"/>
    <w:rsid w:val="00C8762C"/>
    <w:rsid w:val="00C91BF3"/>
    <w:rsid w:val="00C9330E"/>
    <w:rsid w:val="00C94B4A"/>
    <w:rsid w:val="00CA00F9"/>
    <w:rsid w:val="00CA2961"/>
    <w:rsid w:val="00CB50D7"/>
    <w:rsid w:val="00CB6AF4"/>
    <w:rsid w:val="00CB7177"/>
    <w:rsid w:val="00CC1998"/>
    <w:rsid w:val="00CC4946"/>
    <w:rsid w:val="00CF0F55"/>
    <w:rsid w:val="00D270A4"/>
    <w:rsid w:val="00D27113"/>
    <w:rsid w:val="00D31FE9"/>
    <w:rsid w:val="00D33CF6"/>
    <w:rsid w:val="00D34E1B"/>
    <w:rsid w:val="00D376BA"/>
    <w:rsid w:val="00D41FD1"/>
    <w:rsid w:val="00D5568A"/>
    <w:rsid w:val="00D63D73"/>
    <w:rsid w:val="00D64546"/>
    <w:rsid w:val="00D66E1E"/>
    <w:rsid w:val="00D75722"/>
    <w:rsid w:val="00D76C9E"/>
    <w:rsid w:val="00D80C5A"/>
    <w:rsid w:val="00DA5BBA"/>
    <w:rsid w:val="00DB4D88"/>
    <w:rsid w:val="00DB67C9"/>
    <w:rsid w:val="00DC0C95"/>
    <w:rsid w:val="00DD1A81"/>
    <w:rsid w:val="00DD6580"/>
    <w:rsid w:val="00DE25DE"/>
    <w:rsid w:val="00DE3771"/>
    <w:rsid w:val="00DF28B9"/>
    <w:rsid w:val="00DF41D0"/>
    <w:rsid w:val="00E00C96"/>
    <w:rsid w:val="00E17C72"/>
    <w:rsid w:val="00E21BD8"/>
    <w:rsid w:val="00E21FC6"/>
    <w:rsid w:val="00E37861"/>
    <w:rsid w:val="00E431A9"/>
    <w:rsid w:val="00E47C1C"/>
    <w:rsid w:val="00E62208"/>
    <w:rsid w:val="00E63D8A"/>
    <w:rsid w:val="00E669E2"/>
    <w:rsid w:val="00E76135"/>
    <w:rsid w:val="00E85F1C"/>
    <w:rsid w:val="00E94C31"/>
    <w:rsid w:val="00E94E9E"/>
    <w:rsid w:val="00E971AD"/>
    <w:rsid w:val="00EC2844"/>
    <w:rsid w:val="00EE7B49"/>
    <w:rsid w:val="00EF35C7"/>
    <w:rsid w:val="00EF6C6C"/>
    <w:rsid w:val="00F01CAC"/>
    <w:rsid w:val="00F01DB4"/>
    <w:rsid w:val="00F056FC"/>
    <w:rsid w:val="00F10476"/>
    <w:rsid w:val="00F135D8"/>
    <w:rsid w:val="00F24868"/>
    <w:rsid w:val="00F2547D"/>
    <w:rsid w:val="00F26C6B"/>
    <w:rsid w:val="00F31299"/>
    <w:rsid w:val="00F3534A"/>
    <w:rsid w:val="00F40387"/>
    <w:rsid w:val="00F46337"/>
    <w:rsid w:val="00F5188E"/>
    <w:rsid w:val="00F54714"/>
    <w:rsid w:val="00F60448"/>
    <w:rsid w:val="00F62CEA"/>
    <w:rsid w:val="00F81DB6"/>
    <w:rsid w:val="00F83E29"/>
    <w:rsid w:val="00F85325"/>
    <w:rsid w:val="00FC4FDA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footer" w:uiPriority="99"/>
    <w:lsdException w:name="Body Text" w:uiPriority="8" w:qFormat="1"/>
    <w:lsdException w:name="Subtitle" w:qFormat="1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Single space"/>
    <w:uiPriority w:val="9"/>
    <w:qFormat/>
    <w:rsid w:val="008A0D0F"/>
    <w:rPr>
      <w:rFonts w:ascii="AvenirMaoriLight" w:eastAsia="Calibri" w:hAnsi="AvenirMaoriLight"/>
      <w:szCs w:val="22"/>
      <w:lang w:val="en-NZ" w:eastAsia="en-US"/>
    </w:rPr>
  </w:style>
  <w:style w:type="paragraph" w:styleId="Heading1">
    <w:name w:val="heading 1"/>
    <w:basedOn w:val="BodyText"/>
    <w:next w:val="BodyText"/>
    <w:rsid w:val="00F62CEA"/>
    <w:pPr>
      <w:keepNext/>
      <w:spacing w:before="160" w:after="1360" w:line="600" w:lineRule="exact"/>
      <w:ind w:left="907" w:hanging="907"/>
      <w:jc w:val="left"/>
      <w:outlineLvl w:val="0"/>
    </w:pPr>
    <w:rPr>
      <w:b/>
      <w:color w:val="86A20B"/>
      <w:sz w:val="52"/>
    </w:rPr>
  </w:style>
  <w:style w:type="paragraph" w:styleId="Heading2">
    <w:name w:val="heading 2"/>
    <w:basedOn w:val="Chapter"/>
    <w:next w:val="BodyText"/>
    <w:qFormat/>
    <w:rsid w:val="00F62CEA"/>
    <w:pPr>
      <w:spacing w:before="600" w:after="0" w:line="480" w:lineRule="exact"/>
      <w:ind w:left="907" w:hanging="907"/>
      <w:outlineLvl w:val="1"/>
    </w:pPr>
    <w:rPr>
      <w:color w:val="4298B5"/>
      <w:sz w:val="40"/>
    </w:rPr>
  </w:style>
  <w:style w:type="paragraph" w:styleId="Heading3">
    <w:name w:val="heading 3"/>
    <w:basedOn w:val="Heading2"/>
    <w:next w:val="BodyText"/>
    <w:qFormat/>
    <w:rsid w:val="00F62CEA"/>
    <w:pPr>
      <w:spacing w:before="560" w:line="380" w:lineRule="exact"/>
      <w:ind w:left="0" w:firstLine="0"/>
      <w:outlineLvl w:val="2"/>
    </w:pPr>
    <w:rPr>
      <w:color w:val="auto"/>
      <w:sz w:val="32"/>
    </w:rPr>
  </w:style>
  <w:style w:type="paragraph" w:styleId="Heading4">
    <w:name w:val="heading 4"/>
    <w:basedOn w:val="Heading3"/>
    <w:next w:val="BodyText"/>
    <w:qFormat/>
    <w:rsid w:val="00F62CEA"/>
    <w:pPr>
      <w:spacing w:before="480" w:line="360" w:lineRule="exact"/>
      <w:outlineLvl w:val="3"/>
    </w:pPr>
    <w:rPr>
      <w:b w:val="0"/>
      <w:i/>
      <w:sz w:val="28"/>
    </w:rPr>
  </w:style>
  <w:style w:type="paragraph" w:styleId="Heading5">
    <w:name w:val="heading 5"/>
    <w:basedOn w:val="Heading4"/>
    <w:next w:val="BodyText"/>
    <w:qFormat/>
    <w:rsid w:val="00F62CEA"/>
    <w:pPr>
      <w:spacing w:line="320" w:lineRule="exact"/>
      <w:outlineLvl w:val="4"/>
    </w:pPr>
    <w:rPr>
      <w:sz w:val="24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"/>
    <w:link w:val="BodyTextChar"/>
    <w:uiPriority w:val="8"/>
    <w:qFormat/>
    <w:rsid w:val="00E47C1C"/>
    <w:pPr>
      <w:spacing w:before="240" w:line="320" w:lineRule="atLeast"/>
      <w:jc w:val="both"/>
    </w:pPr>
    <w:rPr>
      <w:rFonts w:ascii="Arial" w:hAnsi="Arial"/>
      <w:color w:val="1C1C1C"/>
      <w:sz w:val="24"/>
    </w:rPr>
  </w:style>
  <w:style w:type="paragraph" w:styleId="Footer">
    <w:name w:val="footer"/>
    <w:basedOn w:val="BodyText"/>
    <w:link w:val="FooterChar"/>
    <w:uiPriority w:val="99"/>
    <w:rsid w:val="002B6178"/>
    <w:pPr>
      <w:spacing w:before="80" w:line="200" w:lineRule="exact"/>
      <w:ind w:right="6"/>
      <w:jc w:val="left"/>
    </w:pPr>
    <w:rPr>
      <w:caps/>
      <w:color w:val="333333"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3076E"/>
    <w:rPr>
      <w:rFonts w:ascii="Arial" w:hAnsi="Arial"/>
      <w:b/>
      <w:color w:val="333333"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/>
      <w:b/>
      <w:sz w:val="26"/>
      <w:szCs w:val="24"/>
      <w:lang w:val="en-AU" w:eastAsia="en-AU"/>
    </w:rPr>
  </w:style>
  <w:style w:type="paragraph" w:customStyle="1" w:styleId="BoxTitle">
    <w:name w:val="Box Title"/>
    <w:basedOn w:val="Caption"/>
    <w:next w:val="Normal"/>
    <w:rsid w:val="0005152B"/>
    <w:pPr>
      <w:spacing w:before="120" w:after="0" w:line="320" w:lineRule="exact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/>
      <w:szCs w:val="24"/>
      <w:lang w:val="en-AU"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67127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uiPriority w:val="99"/>
    <w:qFormat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67127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/>
      <w:b/>
      <w:caps/>
      <w:sz w:val="26"/>
      <w:szCs w:val="24"/>
      <w:lang w:val="en-AU"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OZNZQuestion">
    <w:name w:val="OZNZ Question"/>
    <w:basedOn w:val="Normal"/>
    <w:uiPriority w:val="99"/>
    <w:qFormat/>
    <w:rsid w:val="00291CB8"/>
    <w:pPr>
      <w:spacing w:line="320" w:lineRule="atLeast"/>
      <w:jc w:val="both"/>
    </w:pPr>
    <w:rPr>
      <w:rFonts w:ascii="Arial" w:eastAsia="Times New Roman" w:hAnsi="Arial" w:cs="Arial"/>
      <w:sz w:val="24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2B6178"/>
    <w:rPr>
      <w:rFonts w:ascii="Arial" w:hAnsi="Arial"/>
      <w:caps/>
      <w:color w:val="333333"/>
      <w:spacing w:val="-4"/>
      <w:sz w:val="16"/>
    </w:rPr>
  </w:style>
  <w:style w:type="character" w:customStyle="1" w:styleId="BodyTextChar">
    <w:name w:val="Body Text Char"/>
    <w:aliases w:val="Body Char"/>
    <w:basedOn w:val="DefaultParagraphFont"/>
    <w:link w:val="BodyText"/>
    <w:uiPriority w:val="8"/>
    <w:rsid w:val="00435288"/>
    <w:rPr>
      <w:rFonts w:ascii="Arial" w:hAnsi="Arial"/>
      <w:color w:val="1C1C1C"/>
      <w:sz w:val="24"/>
    </w:rPr>
  </w:style>
  <w:style w:type="character" w:styleId="Hyperlink">
    <w:name w:val="Hyperlink"/>
    <w:basedOn w:val="DefaultParagraphFont"/>
    <w:rsid w:val="00435288"/>
    <w:rPr>
      <w:color w:val="0000FF" w:themeColor="hyperlink"/>
      <w:u w:val="single"/>
    </w:rPr>
  </w:style>
  <w:style w:type="character" w:customStyle="1" w:styleId="ReferenceChar">
    <w:name w:val="Reference Char"/>
    <w:link w:val="Reference"/>
    <w:uiPriority w:val="99"/>
    <w:locked/>
    <w:rsid w:val="00435288"/>
    <w:rPr>
      <w:rFonts w:ascii="Arial" w:hAnsi="Arial"/>
      <w:color w:val="1C1C1C"/>
      <w:sz w:val="24"/>
    </w:rPr>
  </w:style>
  <w:style w:type="paragraph" w:customStyle="1" w:styleId="OZNZReference">
    <w:name w:val="OZNZ Reference"/>
    <w:basedOn w:val="Normal"/>
    <w:uiPriority w:val="99"/>
    <w:qFormat/>
    <w:rsid w:val="00435288"/>
    <w:pPr>
      <w:spacing w:before="120" w:line="320" w:lineRule="atLeast"/>
      <w:ind w:left="340" w:hanging="340"/>
      <w:jc w:val="both"/>
    </w:pPr>
    <w:rPr>
      <w:rFonts w:ascii="Arial" w:eastAsia="Times New Roman" w:hAnsi="Arial" w:cs="Arial"/>
      <w:sz w:val="24"/>
      <w:szCs w:val="24"/>
      <w:lang w:val="en-AU" w:eastAsia="en-AU"/>
    </w:rPr>
  </w:style>
  <w:style w:type="character" w:customStyle="1" w:styleId="doilink">
    <w:name w:val="doilink"/>
    <w:basedOn w:val="DefaultParagraphFont"/>
    <w:rsid w:val="00435288"/>
  </w:style>
  <w:style w:type="paragraph" w:styleId="CommentSubject">
    <w:name w:val="annotation subject"/>
    <w:basedOn w:val="CommentText"/>
    <w:next w:val="CommentText"/>
    <w:link w:val="CommentSubjectChar"/>
    <w:rsid w:val="0079440C"/>
    <w:pPr>
      <w:spacing w:before="0" w:line="240" w:lineRule="auto"/>
      <w:ind w:left="0" w:firstLine="0"/>
    </w:pPr>
    <w:rPr>
      <w:rFonts w:ascii="AvenirMaoriLight" w:eastAsia="Calibri" w:hAnsi="AvenirMaoriLight"/>
      <w:b/>
      <w:bCs/>
      <w:szCs w:val="20"/>
      <w:lang w:val="en-NZ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9440C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79440C"/>
    <w:rPr>
      <w:rFonts w:ascii="AvenirMaoriLight" w:eastAsia="Calibri" w:hAnsi="AvenirMaoriLight"/>
      <w:b/>
      <w:bCs/>
      <w:szCs w:val="24"/>
      <w:lang w:val="en-NZ" w:eastAsia="en-US"/>
    </w:rPr>
  </w:style>
  <w:style w:type="paragraph" w:styleId="Revision">
    <w:name w:val="Revision"/>
    <w:hidden/>
    <w:uiPriority w:val="99"/>
    <w:semiHidden/>
    <w:rsid w:val="004A5356"/>
    <w:rPr>
      <w:rFonts w:ascii="AvenirMaoriLight" w:eastAsia="Calibri" w:hAnsi="AvenirMaoriLight"/>
      <w:szCs w:val="22"/>
      <w:lang w:val="en-N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footer" w:uiPriority="99"/>
    <w:lsdException w:name="Body Text" w:uiPriority="8" w:qFormat="1"/>
    <w:lsdException w:name="Subtitle" w:qFormat="1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Single space"/>
    <w:uiPriority w:val="9"/>
    <w:qFormat/>
    <w:rsid w:val="008A0D0F"/>
    <w:rPr>
      <w:rFonts w:ascii="AvenirMaoriLight" w:eastAsia="Calibri" w:hAnsi="AvenirMaoriLight"/>
      <w:szCs w:val="22"/>
      <w:lang w:val="en-NZ" w:eastAsia="en-US"/>
    </w:rPr>
  </w:style>
  <w:style w:type="paragraph" w:styleId="Heading1">
    <w:name w:val="heading 1"/>
    <w:basedOn w:val="BodyText"/>
    <w:next w:val="BodyText"/>
    <w:rsid w:val="00F62CEA"/>
    <w:pPr>
      <w:keepNext/>
      <w:spacing w:before="160" w:after="1360" w:line="600" w:lineRule="exact"/>
      <w:ind w:left="907" w:hanging="907"/>
      <w:jc w:val="left"/>
      <w:outlineLvl w:val="0"/>
    </w:pPr>
    <w:rPr>
      <w:b/>
      <w:color w:val="86A20B"/>
      <w:sz w:val="52"/>
    </w:rPr>
  </w:style>
  <w:style w:type="paragraph" w:styleId="Heading2">
    <w:name w:val="heading 2"/>
    <w:basedOn w:val="Chapter"/>
    <w:next w:val="BodyText"/>
    <w:qFormat/>
    <w:rsid w:val="00F62CEA"/>
    <w:pPr>
      <w:spacing w:before="600" w:after="0" w:line="480" w:lineRule="exact"/>
      <w:ind w:left="907" w:hanging="907"/>
      <w:outlineLvl w:val="1"/>
    </w:pPr>
    <w:rPr>
      <w:color w:val="4298B5"/>
      <w:sz w:val="40"/>
    </w:rPr>
  </w:style>
  <w:style w:type="paragraph" w:styleId="Heading3">
    <w:name w:val="heading 3"/>
    <w:basedOn w:val="Heading2"/>
    <w:next w:val="BodyText"/>
    <w:qFormat/>
    <w:rsid w:val="00F62CEA"/>
    <w:pPr>
      <w:spacing w:before="560" w:line="380" w:lineRule="exact"/>
      <w:ind w:left="0" w:firstLine="0"/>
      <w:outlineLvl w:val="2"/>
    </w:pPr>
    <w:rPr>
      <w:color w:val="auto"/>
      <w:sz w:val="32"/>
    </w:rPr>
  </w:style>
  <w:style w:type="paragraph" w:styleId="Heading4">
    <w:name w:val="heading 4"/>
    <w:basedOn w:val="Heading3"/>
    <w:next w:val="BodyText"/>
    <w:qFormat/>
    <w:rsid w:val="00F62CEA"/>
    <w:pPr>
      <w:spacing w:before="480" w:line="360" w:lineRule="exact"/>
      <w:outlineLvl w:val="3"/>
    </w:pPr>
    <w:rPr>
      <w:b w:val="0"/>
      <w:i/>
      <w:sz w:val="28"/>
    </w:rPr>
  </w:style>
  <w:style w:type="paragraph" w:styleId="Heading5">
    <w:name w:val="heading 5"/>
    <w:basedOn w:val="Heading4"/>
    <w:next w:val="BodyText"/>
    <w:qFormat/>
    <w:rsid w:val="00F62CEA"/>
    <w:pPr>
      <w:spacing w:line="320" w:lineRule="exact"/>
      <w:outlineLvl w:val="4"/>
    </w:pPr>
    <w:rPr>
      <w:sz w:val="24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"/>
    <w:link w:val="BodyTextChar"/>
    <w:uiPriority w:val="8"/>
    <w:qFormat/>
    <w:rsid w:val="00E47C1C"/>
    <w:pPr>
      <w:spacing w:before="240" w:line="320" w:lineRule="atLeast"/>
      <w:jc w:val="both"/>
    </w:pPr>
    <w:rPr>
      <w:rFonts w:ascii="Arial" w:hAnsi="Arial"/>
      <w:color w:val="1C1C1C"/>
      <w:sz w:val="24"/>
    </w:rPr>
  </w:style>
  <w:style w:type="paragraph" w:styleId="Footer">
    <w:name w:val="footer"/>
    <w:basedOn w:val="BodyText"/>
    <w:link w:val="FooterChar"/>
    <w:uiPriority w:val="99"/>
    <w:rsid w:val="002B6178"/>
    <w:pPr>
      <w:spacing w:before="80" w:line="200" w:lineRule="exact"/>
      <w:ind w:right="6"/>
      <w:jc w:val="left"/>
    </w:pPr>
    <w:rPr>
      <w:caps/>
      <w:color w:val="333333"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3076E"/>
    <w:rPr>
      <w:rFonts w:ascii="Arial" w:hAnsi="Arial"/>
      <w:b/>
      <w:color w:val="333333"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/>
      <w:b/>
      <w:sz w:val="26"/>
      <w:szCs w:val="24"/>
      <w:lang w:val="en-AU" w:eastAsia="en-AU"/>
    </w:rPr>
  </w:style>
  <w:style w:type="paragraph" w:customStyle="1" w:styleId="BoxTitle">
    <w:name w:val="Box Title"/>
    <w:basedOn w:val="Caption"/>
    <w:next w:val="Normal"/>
    <w:rsid w:val="0005152B"/>
    <w:pPr>
      <w:spacing w:before="120" w:after="0" w:line="320" w:lineRule="exact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/>
      <w:szCs w:val="24"/>
      <w:lang w:val="en-AU"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67127"/>
    <w:rPr>
      <w:sz w:val="24"/>
    </w:rPr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uiPriority w:val="99"/>
    <w:qFormat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67127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/>
      <w:b/>
      <w:caps/>
      <w:sz w:val="26"/>
      <w:szCs w:val="24"/>
      <w:lang w:val="en-AU"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OZNZQuestion">
    <w:name w:val="OZNZ Question"/>
    <w:basedOn w:val="Normal"/>
    <w:uiPriority w:val="99"/>
    <w:qFormat/>
    <w:rsid w:val="00291CB8"/>
    <w:pPr>
      <w:spacing w:line="320" w:lineRule="atLeast"/>
      <w:jc w:val="both"/>
    </w:pPr>
    <w:rPr>
      <w:rFonts w:ascii="Arial" w:eastAsia="Times New Roman" w:hAnsi="Arial" w:cs="Arial"/>
      <w:sz w:val="24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2B6178"/>
    <w:rPr>
      <w:rFonts w:ascii="Arial" w:hAnsi="Arial"/>
      <w:caps/>
      <w:color w:val="333333"/>
      <w:spacing w:val="-4"/>
      <w:sz w:val="16"/>
    </w:rPr>
  </w:style>
  <w:style w:type="character" w:customStyle="1" w:styleId="BodyTextChar">
    <w:name w:val="Body Text Char"/>
    <w:aliases w:val="Body Char"/>
    <w:basedOn w:val="DefaultParagraphFont"/>
    <w:link w:val="BodyText"/>
    <w:uiPriority w:val="8"/>
    <w:rsid w:val="00435288"/>
    <w:rPr>
      <w:rFonts w:ascii="Arial" w:hAnsi="Arial"/>
      <w:color w:val="1C1C1C"/>
      <w:sz w:val="24"/>
    </w:rPr>
  </w:style>
  <w:style w:type="character" w:styleId="Hyperlink">
    <w:name w:val="Hyperlink"/>
    <w:basedOn w:val="DefaultParagraphFont"/>
    <w:rsid w:val="00435288"/>
    <w:rPr>
      <w:color w:val="0000FF" w:themeColor="hyperlink"/>
      <w:u w:val="single"/>
    </w:rPr>
  </w:style>
  <w:style w:type="character" w:customStyle="1" w:styleId="ReferenceChar">
    <w:name w:val="Reference Char"/>
    <w:link w:val="Reference"/>
    <w:uiPriority w:val="99"/>
    <w:locked/>
    <w:rsid w:val="00435288"/>
    <w:rPr>
      <w:rFonts w:ascii="Arial" w:hAnsi="Arial"/>
      <w:color w:val="1C1C1C"/>
      <w:sz w:val="24"/>
    </w:rPr>
  </w:style>
  <w:style w:type="paragraph" w:customStyle="1" w:styleId="OZNZReference">
    <w:name w:val="OZNZ Reference"/>
    <w:basedOn w:val="Normal"/>
    <w:uiPriority w:val="99"/>
    <w:qFormat/>
    <w:rsid w:val="00435288"/>
    <w:pPr>
      <w:spacing w:before="120" w:line="320" w:lineRule="atLeast"/>
      <w:ind w:left="340" w:hanging="340"/>
      <w:jc w:val="both"/>
    </w:pPr>
    <w:rPr>
      <w:rFonts w:ascii="Arial" w:eastAsia="Times New Roman" w:hAnsi="Arial" w:cs="Arial"/>
      <w:sz w:val="24"/>
      <w:szCs w:val="24"/>
      <w:lang w:val="en-AU" w:eastAsia="en-AU"/>
    </w:rPr>
  </w:style>
  <w:style w:type="character" w:customStyle="1" w:styleId="doilink">
    <w:name w:val="doilink"/>
    <w:basedOn w:val="DefaultParagraphFont"/>
    <w:rsid w:val="00435288"/>
  </w:style>
  <w:style w:type="paragraph" w:styleId="CommentSubject">
    <w:name w:val="annotation subject"/>
    <w:basedOn w:val="CommentText"/>
    <w:next w:val="CommentText"/>
    <w:link w:val="CommentSubjectChar"/>
    <w:rsid w:val="0079440C"/>
    <w:pPr>
      <w:spacing w:before="0" w:line="240" w:lineRule="auto"/>
      <w:ind w:left="0" w:firstLine="0"/>
    </w:pPr>
    <w:rPr>
      <w:rFonts w:ascii="AvenirMaoriLight" w:eastAsia="Calibri" w:hAnsi="AvenirMaoriLight"/>
      <w:b/>
      <w:bCs/>
      <w:szCs w:val="20"/>
      <w:lang w:val="en-NZ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9440C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79440C"/>
    <w:rPr>
      <w:rFonts w:ascii="AvenirMaoriLight" w:eastAsia="Calibri" w:hAnsi="AvenirMaoriLight"/>
      <w:b/>
      <w:bCs/>
      <w:szCs w:val="24"/>
      <w:lang w:val="en-NZ" w:eastAsia="en-US"/>
    </w:rPr>
  </w:style>
  <w:style w:type="paragraph" w:styleId="Revision">
    <w:name w:val="Revision"/>
    <w:hidden/>
    <w:uiPriority w:val="99"/>
    <w:semiHidden/>
    <w:rsid w:val="004A5356"/>
    <w:rPr>
      <w:rFonts w:ascii="AvenirMaoriLight" w:eastAsia="Calibri" w:hAnsi="AvenirMaoriLight"/>
      <w:szCs w:val="22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limatechange.gov.au/~/media/Files/minister/combet/2012/media/august/Combet-MediaRelease-20120828.pdf" TargetMode="External"/><Relationship Id="rId18" Type="http://schemas.openxmlformats.org/officeDocument/2006/relationships/hyperlink" Target="http://www.dfat.gov.au/geo/new_%20zealand/nz_country_brief.html" TargetMode="External"/><Relationship Id="rId26" Type="http://schemas.openxmlformats.org/officeDocument/2006/relationships/hyperlink" Target="http://www.pm.gov.au/press-office/transcript-joint-press-conference-melbourne-3" TargetMode="External"/><Relationship Id="rId39" Type="http://schemas.openxmlformats.org/officeDocument/2006/relationships/hyperlink" Target="http://www.oecd.org/dataoecd/41/40/44381810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mmi.gov.au/media/publications/statistics/popflows2009-10/pop-flows.pdf" TargetMode="External"/><Relationship Id="rId34" Type="http://schemas.openxmlformats.org/officeDocument/2006/relationships/hyperlink" Target="http://www.mfat.govt.nz/Treaties-and-International-Law/03-Treaty-making-process/2-National-Interest-Analyses/0-NZ-Australia-Social-Security.php" TargetMode="External"/><Relationship Id="rId42" Type="http://schemas.openxmlformats.org/officeDocument/2006/relationships/hyperlink" Target="http://www.stats.govt.nz/searchresults.aspx?q=Business%20Operations%20Survey" TargetMode="External"/><Relationship Id="rId47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finance.gov.au/publications/coag-future-regulatory-paper/docs/future_coag_regulatory_reform_agenda_stakeholder_consultation_paper.pdf" TargetMode="External"/><Relationship Id="rId17" Type="http://schemas.openxmlformats.org/officeDocument/2006/relationships/hyperlink" Target="http://www.bitre.gov.au/publications/2011/files/water_050.pdf" TargetMode="External"/><Relationship Id="rId25" Type="http://schemas.openxmlformats.org/officeDocument/2006/relationships/hyperlink" Target="http://www.pm.gov.au/press-office/landmark-agreement-achieve-world-standards-therapeutic-products" TargetMode="External"/><Relationship Id="rId33" Type="http://schemas.openxmlformats.org/officeDocument/2006/relationships/hyperlink" Target="http://www.mfat.govt.nz/Foreign-Relations/Australia/0-biosecurity-and-quarantine.php" TargetMode="External"/><Relationship Id="rId38" Type="http://schemas.openxmlformats.org/officeDocument/2006/relationships/hyperlink" Target="http://nzier.org.nz/sites/nzier.live.egressive.com/files/Net_fiscal_cost_of_sub-groups_%20of_the_Australian_population.pdf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tga.gov.au/about/international-anztpa-factsheet.htm" TargetMode="External"/><Relationship Id="rId20" Type="http://schemas.openxmlformats.org/officeDocument/2006/relationships/hyperlink" Target="http://www.immi.gov.au/media/fact-sheets/17nz.htm" TargetMode="External"/><Relationship Id="rId29" Type="http://schemas.openxmlformats.org/officeDocument/2006/relationships/hyperlink" Target="http://www.ibanz.co.nz/Folder?Action=View%20File&amp;Folder_id=81&amp;File=Code%20of%20Professional%20Conduct.pdf" TargetMode="External"/><Relationship Id="rId41" Type="http://schemas.openxmlformats.org/officeDocument/2006/relationships/hyperlink" Target="http://www.beehive.govt.nz/speech/remaking-trans-tasman-worl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bnz.govt.nz/speeches/4487002.html" TargetMode="External"/><Relationship Id="rId24" Type="http://schemas.openxmlformats.org/officeDocument/2006/relationships/hyperlink" Target="http://www.pm.gov.au/press-office/address-parliament-new-zealand-wellington" TargetMode="External"/><Relationship Id="rId32" Type="http://schemas.openxmlformats.org/officeDocument/2006/relationships/hyperlink" Target="http://www.tpk.govt.nz/documents/medp-discussiondocfinal-2012.pdf" TargetMode="External"/><Relationship Id="rId37" Type="http://schemas.openxmlformats.org/officeDocument/2006/relationships/hyperlink" Target="http://www.motu.org.nz/files/docs/Draft_Issues_Options_Paper_for_Circulation.pdf" TargetMode="External"/><Relationship Id="rId40" Type="http://schemas.openxmlformats.org/officeDocument/2006/relationships/hyperlink" Target="http://www.oecd.org/dataoecd/57/62/48127892.pdf" TargetMode="External"/><Relationship Id="rId45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dbcde.gov.au/broadband/%20national_broadband_network" TargetMode="External"/><Relationship Id="rId23" Type="http://schemas.openxmlformats.org/officeDocument/2006/relationships/hyperlink" Target="http://www.minister.immi.gov.au/media/media-releases/2010/ce10057.htm" TargetMode="External"/><Relationship Id="rId28" Type="http://schemas.openxmlformats.org/officeDocument/2006/relationships/hyperlink" Target="http://glossary.immigration.govt.nz/%20visafreecountries.htm" TargetMode="External"/><Relationship Id="rId36" Type="http://schemas.openxmlformats.org/officeDocument/2006/relationships/hyperlink" Target="http://www.socialreport.msd.govt.nz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bitre.gov.au/publications/ongoing/international_airlines-operated_flights_seats.aspx" TargetMode="External"/><Relationship Id="rId19" Type="http://schemas.openxmlformats.org/officeDocument/2006/relationships/hyperlink" Target="http://www.dfat.gov.au/fta/anzcerta/index.html" TargetMode="External"/><Relationship Id="rId31" Type="http://schemas.openxmlformats.org/officeDocument/2006/relationships/hyperlink" Target="http://www.treasury.govt.nz/publications/research-policy/wp/2008/08-03/twp08-03.pdf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mcom.govt.nz/taiwan-fair-trade-commission-22-february-2011/" TargetMode="External"/><Relationship Id="rId14" Type="http://schemas.openxmlformats.org/officeDocument/2006/relationships/hyperlink" Target="http://www.immi.gov.au/%20media/publications/research/pdf/%20skilled-migration-policies.pdf" TargetMode="External"/><Relationship Id="rId22" Type="http://schemas.openxmlformats.org/officeDocument/2006/relationships/hyperlink" Target="http://www.immi.gov.au/allforms/%20booklets/books5.htm" TargetMode="External"/><Relationship Id="rId27" Type="http://schemas.openxmlformats.org/officeDocument/2006/relationships/hyperlink" Target="http://asiancentury.dpmc.gov.au/" TargetMode="External"/><Relationship Id="rId30" Type="http://schemas.openxmlformats.org/officeDocument/2006/relationships/hyperlink" Target="http://www.beehive.govt.nz/speech/address-australian-parliament" TargetMode="External"/><Relationship Id="rId35" Type="http://schemas.openxmlformats.org/officeDocument/2006/relationships/hyperlink" Target="http://www.health.govt.nz/new-zealand-health-system/health-targets/how-my-dhb-performing/how-my-dhb-performing-2011-12" TargetMode="External"/><Relationship Id="rId43" Type="http://schemas.openxmlformats.org/officeDocument/2006/relationships/hyperlink" Target="http://www.tga.gov.au/about/international-anztpa-factsheet.htm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A29C-79FC-496C-A530-65327EF4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13</Pages>
  <Words>3180</Words>
  <Characters>27616</Characters>
  <Application>Microsoft Office Word</Application>
  <DocSecurity>0</DocSecurity>
  <Lines>230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Strengthening Trans-Tasman Economic Relations</dc:subject>
  <dc:creator>Australian and New Zealand Productivity Commissions</dc:creator>
  <dc:description>.</dc:description>
  <cp:lastModifiedBy>Cross, Michelle</cp:lastModifiedBy>
  <cp:revision>45</cp:revision>
  <cp:lastPrinted>2012-12-04T05:28:00Z</cp:lastPrinted>
  <dcterms:created xsi:type="dcterms:W3CDTF">2012-11-28T22:44:00Z</dcterms:created>
  <dcterms:modified xsi:type="dcterms:W3CDTF">2012-12-04T05:40:00Z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-493179439</vt:i4>
  </property>
  <property fmtid="{D5CDD505-2E9C-101B-9397-08002B2CF9AE}" pid="3" name="_NewReviewCycle">
    <vt:lpwstr/>
  </property>
  <property fmtid="{D5CDD505-2E9C-101B-9397-08002B2CF9AE}" pid="4" name="_EmailSubject">
    <vt:lpwstr>Web files for the OZ-NZ final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</Properties>
</file>