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4D19" w:rsidRDefault="00F9234C" w:rsidP="00CD5E6B">
      <w:pPr>
        <w:pStyle w:val="BodyText"/>
        <w:rPr>
          <w:b/>
          <w:szCs w:val="26"/>
        </w:rPr>
      </w:pPr>
      <w:r>
        <w:rPr>
          <w:noProof/>
          <w:lang w:eastAsia="en-AU"/>
        </w:rPr>
        <w:drawing>
          <wp:anchor distT="0" distB="0" distL="114300" distR="114300" simplePos="0" relativeHeight="251658240" behindDoc="0" locked="0" layoutInCell="1" allowOverlap="1">
            <wp:simplePos x="1152525" y="1057275"/>
            <wp:positionH relativeFrom="page">
              <wp:align>center</wp:align>
            </wp:positionH>
            <wp:positionV relativeFrom="page">
              <wp:align>bottom</wp:align>
            </wp:positionV>
            <wp:extent cx="7560000" cy="9972000"/>
            <wp:effectExtent l="0" t="0" r="3175" b="0"/>
            <wp:wrapNone/>
            <wp:docPr id="1" name="Picture 1" descr="Cover image for the Australian Government Productivity Commission position paper titled 'Australia's Automotive Manufacturing Industry'. Published January 2014. &#10;This is a position paper prepared for further public consultation and input.&#10;The Commission will finalise its report after these processes have taken pla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sition-paper-auto-cover-WEB.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60000" cy="9972000"/>
                    </a:xfrm>
                    <a:prstGeom prst="rect">
                      <a:avLst/>
                    </a:prstGeom>
                  </pic:spPr>
                </pic:pic>
              </a:graphicData>
            </a:graphic>
            <wp14:sizeRelH relativeFrom="margin">
              <wp14:pctWidth>0</wp14:pctWidth>
            </wp14:sizeRelH>
            <wp14:sizeRelV relativeFrom="margin">
              <wp14:pctHeight>0</wp14:pctHeight>
            </wp14:sizeRelV>
          </wp:anchor>
        </w:drawing>
      </w:r>
      <w:r w:rsidR="00B04D19">
        <w:br w:type="page"/>
      </w:r>
    </w:p>
    <w:p w:rsidR="003E7802" w:rsidRDefault="003E7802" w:rsidP="001D4B1F">
      <w:pPr>
        <w:pStyle w:val="TOC1"/>
      </w:pPr>
      <w:r w:rsidRPr="008C305F">
        <w:lastRenderedPageBreak/>
        <w:fldChar w:fldCharType="begin"/>
      </w:r>
      <w:r w:rsidRPr="008C305F">
        <w:instrText>SYMBOL 227 \f "Symbol"</w:instrText>
      </w:r>
      <w:r w:rsidRPr="008C305F">
        <w:fldChar w:fldCharType="end"/>
      </w:r>
      <w:r w:rsidRPr="008C305F">
        <w:t xml:space="preserve"> Commonwealth of Australia </w:t>
      </w:r>
      <w:r w:rsidR="00D74E25">
        <w:t>2014</w:t>
      </w:r>
    </w:p>
    <w:p w:rsidR="003E7802" w:rsidRPr="00F4234E" w:rsidRDefault="003E7802" w:rsidP="00F4234E">
      <w:pPr>
        <w:pStyle w:val="BodyText"/>
      </w:pPr>
      <w:bookmarkStart w:id="0" w:name="ISSN"/>
      <w:bookmarkEnd w:id="0"/>
      <w:r w:rsidRPr="00F4234E">
        <w:t>This work is copyright. Apart from any use as permitted under the</w:t>
      </w:r>
      <w:r w:rsidR="00766DFB">
        <w:rPr>
          <w:i/>
        </w:rPr>
        <w:t xml:space="preserve"> Copyright Act </w:t>
      </w:r>
      <w:r w:rsidRPr="00F4234E">
        <w:rPr>
          <w:i/>
        </w:rPr>
        <w:t>1968</w:t>
      </w:r>
      <w:r w:rsidRPr="00F4234E">
        <w:t xml:space="preserve">, the work may be reproduced in whole or in part for study or training purposes, subject to the inclusion of an acknowledgment of the source. Reproduction for commercial use or sale requires prior written permission from the </w:t>
      </w:r>
      <w:r w:rsidR="009B12EF" w:rsidRPr="00F4234E">
        <w:t>Productivity Commission</w:t>
      </w:r>
      <w:r w:rsidRPr="00F4234E">
        <w:t xml:space="preserve">. Requests and inquiries concerning reproduction and rights should be addressed to </w:t>
      </w:r>
      <w:r w:rsidR="009B12EF" w:rsidRPr="00F4234E">
        <w:t>Media and Publications (see below)</w:t>
      </w:r>
      <w:r w:rsidR="00734127" w:rsidRPr="00F4234E">
        <w:t>.</w:t>
      </w:r>
    </w:p>
    <w:p w:rsidR="003E7802" w:rsidRPr="00F4234E" w:rsidRDefault="003E7802" w:rsidP="00F4234E">
      <w:pPr>
        <w:pStyle w:val="BodyText"/>
        <w:rPr>
          <w:i/>
        </w:rPr>
      </w:pPr>
      <w:r w:rsidRPr="00F4234E">
        <w:rPr>
          <w:i/>
        </w:rPr>
        <w:t xml:space="preserve">This publication is available from the Productivity Commission website at </w:t>
      </w:r>
      <w:proofErr w:type="spellStart"/>
      <w:r w:rsidRPr="00F4234E">
        <w:rPr>
          <w:i/>
        </w:rPr>
        <w:t>www.pc.gov.au</w:t>
      </w:r>
      <w:proofErr w:type="spellEnd"/>
      <w:r w:rsidRPr="00F4234E">
        <w:rPr>
          <w:i/>
        </w:rPr>
        <w:t>. If you require part or all of this publication in a different format, please contact Me</w:t>
      </w:r>
      <w:r w:rsidR="00734127" w:rsidRPr="00F4234E">
        <w:rPr>
          <w:i/>
        </w:rPr>
        <w:t>dia and Publications.</w:t>
      </w:r>
    </w:p>
    <w:p w:rsidR="003E7802" w:rsidRDefault="003E7802" w:rsidP="003E7802">
      <w:pPr>
        <w:pStyle w:val="BodyText"/>
        <w:spacing w:before="320"/>
        <w:rPr>
          <w:b/>
          <w:sz w:val="24"/>
        </w:rPr>
      </w:pPr>
      <w:r>
        <w:rPr>
          <w:b/>
          <w:sz w:val="24"/>
        </w:rPr>
        <w:t>Publications Inquiries:</w:t>
      </w:r>
    </w:p>
    <w:p w:rsidR="003E7802" w:rsidRDefault="003E7802" w:rsidP="00C57697">
      <w:pPr>
        <w:pStyle w:val="BodyText"/>
        <w:spacing w:before="40" w:line="240" w:lineRule="auto"/>
        <w:rPr>
          <w:sz w:val="24"/>
        </w:rPr>
      </w:pPr>
      <w:r>
        <w:rPr>
          <w:sz w:val="24"/>
        </w:rPr>
        <w:t xml:space="preserve">Media and </w:t>
      </w:r>
      <w:r w:rsidRPr="00FD4728">
        <w:rPr>
          <w:snapToGrid w:val="0"/>
          <w:sz w:val="24"/>
        </w:rPr>
        <w:t>Publications</w:t>
      </w:r>
    </w:p>
    <w:p w:rsidR="003E7802" w:rsidRDefault="003E7802" w:rsidP="003E7802">
      <w:pPr>
        <w:pStyle w:val="BodyText"/>
        <w:spacing w:before="0" w:line="240" w:lineRule="auto"/>
        <w:rPr>
          <w:sz w:val="24"/>
        </w:rPr>
      </w:pPr>
      <w:r>
        <w:rPr>
          <w:sz w:val="24"/>
        </w:rPr>
        <w:t xml:space="preserve">Productivity </w:t>
      </w:r>
      <w:r w:rsidRPr="00FD4728">
        <w:rPr>
          <w:snapToGrid w:val="0"/>
          <w:sz w:val="24"/>
        </w:rPr>
        <w:t>Commission</w:t>
      </w:r>
    </w:p>
    <w:p w:rsidR="003E7802" w:rsidRDefault="003E7802" w:rsidP="003E7802">
      <w:pPr>
        <w:pStyle w:val="BodyText"/>
        <w:spacing w:before="0" w:line="240" w:lineRule="auto"/>
        <w:rPr>
          <w:sz w:val="24"/>
        </w:rPr>
      </w:pPr>
      <w:r>
        <w:rPr>
          <w:sz w:val="24"/>
        </w:rPr>
        <w:t xml:space="preserve">Locked Bag 2 Collins </w:t>
      </w:r>
      <w:r w:rsidRPr="00FD4728">
        <w:rPr>
          <w:snapToGrid w:val="0"/>
          <w:sz w:val="24"/>
        </w:rPr>
        <w:t>Street</w:t>
      </w:r>
      <w:r>
        <w:rPr>
          <w:sz w:val="24"/>
        </w:rPr>
        <w:t xml:space="preserve"> East</w:t>
      </w:r>
    </w:p>
    <w:p w:rsidR="003E7802" w:rsidRDefault="003E7802" w:rsidP="003E7802">
      <w:pPr>
        <w:pStyle w:val="BodyText"/>
        <w:spacing w:before="0" w:after="120" w:line="240" w:lineRule="auto"/>
        <w:rPr>
          <w:sz w:val="24"/>
        </w:rPr>
      </w:pPr>
      <w:r>
        <w:rPr>
          <w:sz w:val="24"/>
        </w:rPr>
        <w:t xml:space="preserve">Melbourne    VIC    </w:t>
      </w:r>
      <w:r w:rsidRPr="00FD4728">
        <w:rPr>
          <w:snapToGrid w:val="0"/>
          <w:sz w:val="24"/>
        </w:rPr>
        <w:t>8003</w:t>
      </w:r>
    </w:p>
    <w:p w:rsidR="003E7802" w:rsidRPr="00FD4728" w:rsidRDefault="003E7802" w:rsidP="003E7802">
      <w:pPr>
        <w:pStyle w:val="BodyText"/>
        <w:tabs>
          <w:tab w:val="left" w:pos="1134"/>
        </w:tabs>
        <w:spacing w:before="0" w:line="240" w:lineRule="auto"/>
        <w:rPr>
          <w:sz w:val="24"/>
          <w:szCs w:val="24"/>
        </w:rPr>
      </w:pPr>
      <w:r w:rsidRPr="00FD4728">
        <w:rPr>
          <w:sz w:val="24"/>
          <w:szCs w:val="24"/>
        </w:rPr>
        <w:t>Tel:</w:t>
      </w:r>
      <w:r w:rsidRPr="00FD4728">
        <w:rPr>
          <w:sz w:val="24"/>
          <w:szCs w:val="24"/>
        </w:rPr>
        <w:tab/>
        <w:t>(03) 9653 2244</w:t>
      </w:r>
    </w:p>
    <w:p w:rsidR="003E7802" w:rsidRDefault="003E7802" w:rsidP="003E7802">
      <w:pPr>
        <w:pStyle w:val="BodyText"/>
        <w:tabs>
          <w:tab w:val="left" w:pos="1134"/>
        </w:tabs>
        <w:spacing w:before="0" w:line="240" w:lineRule="auto"/>
        <w:jc w:val="left"/>
      </w:pPr>
      <w:r w:rsidRPr="00FD4728">
        <w:rPr>
          <w:sz w:val="24"/>
          <w:szCs w:val="24"/>
        </w:rPr>
        <w:t>Fax:</w:t>
      </w:r>
      <w:r w:rsidRPr="00FD4728">
        <w:rPr>
          <w:sz w:val="24"/>
          <w:szCs w:val="24"/>
        </w:rPr>
        <w:tab/>
        <w:t>(03) 9653 2303</w:t>
      </w:r>
      <w:r w:rsidRPr="00FD4728">
        <w:rPr>
          <w:sz w:val="24"/>
          <w:szCs w:val="24"/>
        </w:rPr>
        <w:br/>
      </w:r>
      <w:r w:rsidRPr="008F04C9">
        <w:rPr>
          <w:sz w:val="24"/>
          <w:szCs w:val="24"/>
        </w:rPr>
        <w:t>Email:</w:t>
      </w:r>
      <w:r w:rsidRPr="008F04C9">
        <w:rPr>
          <w:sz w:val="24"/>
          <w:szCs w:val="24"/>
        </w:rPr>
        <w:tab/>
      </w:r>
      <w:proofErr w:type="spellStart"/>
      <w:r w:rsidRPr="008F04C9">
        <w:rPr>
          <w:sz w:val="24"/>
          <w:szCs w:val="24"/>
        </w:rPr>
        <w:t>maps@pc.gov.au</w:t>
      </w:r>
      <w:proofErr w:type="spellEnd"/>
    </w:p>
    <w:p w:rsidR="003E7802" w:rsidRDefault="003E7802" w:rsidP="003E7802">
      <w:pPr>
        <w:pStyle w:val="BodyText"/>
        <w:spacing w:before="320"/>
        <w:rPr>
          <w:b/>
          <w:sz w:val="24"/>
        </w:rPr>
      </w:pPr>
      <w:r>
        <w:rPr>
          <w:b/>
          <w:sz w:val="24"/>
        </w:rPr>
        <w:t>General Inquiries:</w:t>
      </w:r>
    </w:p>
    <w:p w:rsidR="003E7802" w:rsidRPr="008F04C9" w:rsidRDefault="003E7802" w:rsidP="00C57697">
      <w:pPr>
        <w:pStyle w:val="BodyText"/>
        <w:tabs>
          <w:tab w:val="left" w:pos="1134"/>
        </w:tabs>
        <w:spacing w:before="40" w:line="240" w:lineRule="auto"/>
        <w:rPr>
          <w:sz w:val="24"/>
          <w:szCs w:val="24"/>
        </w:rPr>
      </w:pPr>
      <w:r w:rsidRPr="008F04C9">
        <w:rPr>
          <w:sz w:val="24"/>
          <w:szCs w:val="24"/>
        </w:rPr>
        <w:t>Tel:</w:t>
      </w:r>
      <w:r w:rsidRPr="008F04C9">
        <w:rPr>
          <w:sz w:val="24"/>
          <w:szCs w:val="24"/>
        </w:rPr>
        <w:tab/>
        <w:t>(03) 9653 2100 or (02) 6240 3200</w:t>
      </w:r>
    </w:p>
    <w:p w:rsidR="003E7802" w:rsidRPr="008F04C9" w:rsidRDefault="003E7802" w:rsidP="003E7802">
      <w:pPr>
        <w:pStyle w:val="BodyText"/>
        <w:spacing w:before="360" w:line="240" w:lineRule="auto"/>
        <w:rPr>
          <w:b/>
          <w:sz w:val="24"/>
          <w:szCs w:val="24"/>
        </w:rPr>
      </w:pPr>
      <w:r w:rsidRPr="008F04C9">
        <w:rPr>
          <w:b/>
          <w:sz w:val="24"/>
          <w:szCs w:val="24"/>
        </w:rPr>
        <w:t>An appropriate citation for this paper is:</w:t>
      </w:r>
    </w:p>
    <w:p w:rsidR="00657C68" w:rsidRDefault="00657C68" w:rsidP="00C57697">
      <w:pPr>
        <w:pStyle w:val="BodyText"/>
        <w:spacing w:before="40" w:after="120" w:line="240" w:lineRule="auto"/>
        <w:rPr>
          <w:sz w:val="24"/>
          <w:szCs w:val="24"/>
        </w:rPr>
      </w:pPr>
      <w:r>
        <w:rPr>
          <w:sz w:val="24"/>
          <w:szCs w:val="24"/>
        </w:rPr>
        <w:t>Productivity Commission 201</w:t>
      </w:r>
      <w:r w:rsidR="00D804D0">
        <w:rPr>
          <w:sz w:val="24"/>
          <w:szCs w:val="24"/>
        </w:rPr>
        <w:t>4</w:t>
      </w:r>
      <w:r>
        <w:rPr>
          <w:sz w:val="24"/>
          <w:szCs w:val="24"/>
        </w:rPr>
        <w:t xml:space="preserve">, </w:t>
      </w:r>
      <w:r>
        <w:rPr>
          <w:i/>
          <w:sz w:val="24"/>
          <w:szCs w:val="24"/>
        </w:rPr>
        <w:t>Australia</w:t>
      </w:r>
      <w:r w:rsidR="00D12A85">
        <w:rPr>
          <w:i/>
          <w:sz w:val="24"/>
          <w:szCs w:val="24"/>
        </w:rPr>
        <w:t>’s</w:t>
      </w:r>
      <w:r>
        <w:rPr>
          <w:i/>
          <w:sz w:val="24"/>
          <w:szCs w:val="24"/>
        </w:rPr>
        <w:t xml:space="preserve"> Automotive Manufacturing Industry, </w:t>
      </w:r>
      <w:r w:rsidR="009128BD">
        <w:rPr>
          <w:sz w:val="24"/>
          <w:szCs w:val="24"/>
        </w:rPr>
        <w:t>Position Paper</w:t>
      </w:r>
      <w:r>
        <w:rPr>
          <w:sz w:val="24"/>
          <w:szCs w:val="24"/>
        </w:rPr>
        <w:t>, Canberra.</w:t>
      </w:r>
    </w:p>
    <w:p w:rsidR="00657C68" w:rsidRDefault="00657C68" w:rsidP="00657C68">
      <w:pPr>
        <w:pStyle w:val="BodyText"/>
        <w:spacing w:before="160" w:after="120" w:line="240" w:lineRule="auto"/>
        <w:rPr>
          <w:sz w:val="24"/>
          <w:szCs w:val="24"/>
        </w:rPr>
      </w:pPr>
    </w:p>
    <w:p w:rsidR="003E7802" w:rsidRPr="00DC75C7" w:rsidRDefault="003E7802" w:rsidP="00D804D0">
      <w:pPr>
        <w:pStyle w:val="PCBoxHeading"/>
        <w:pBdr>
          <w:top w:val="single" w:sz="4" w:space="8" w:color="auto"/>
          <w:bottom w:val="single" w:sz="4" w:space="8" w:color="auto"/>
        </w:pBdr>
        <w:ind w:left="142" w:right="142"/>
      </w:pPr>
      <w:r w:rsidRPr="00DC75C7">
        <w:t>The Productivity Commission</w:t>
      </w:r>
    </w:p>
    <w:p w:rsidR="003E7802" w:rsidRPr="00BB5DCF" w:rsidRDefault="003E7802" w:rsidP="00D804D0">
      <w:pPr>
        <w:pStyle w:val="PCBoxtext"/>
        <w:pBdr>
          <w:top w:val="single" w:sz="4" w:space="8" w:color="auto"/>
          <w:bottom w:val="single" w:sz="4" w:space="8" w:color="auto"/>
        </w:pBdr>
        <w:ind w:left="142" w:right="142"/>
      </w:pPr>
      <w:r w:rsidRPr="00BB5DCF">
        <w:t>The Productivity Commission is the Australian Government’s independent research and advisory body on a range of economic, social and environmental issues affecting the welfare of Australians. Its role, expressed most simply, is to help governments make better policies, in the long term interest of the Australian community.</w:t>
      </w:r>
    </w:p>
    <w:p w:rsidR="003E7802" w:rsidRPr="00BB5DCF" w:rsidRDefault="003E7802" w:rsidP="00D804D0">
      <w:pPr>
        <w:pStyle w:val="PCBoxtext"/>
        <w:pBdr>
          <w:top w:val="single" w:sz="4" w:space="8" w:color="auto"/>
          <w:bottom w:val="single" w:sz="4" w:space="8" w:color="auto"/>
        </w:pBdr>
        <w:ind w:left="142" w:right="142"/>
      </w:pPr>
      <w:r w:rsidRPr="00BB5DCF">
        <w:t>The Commission’s independence is underpinned by an Act of Parliament. Its processes and outputs are open to public scrutiny and are driven by concern for the wellbeing of the community as a whole.</w:t>
      </w:r>
    </w:p>
    <w:p w:rsidR="00735FEA" w:rsidRPr="00BB5DCF" w:rsidRDefault="003E7802" w:rsidP="00D804D0">
      <w:pPr>
        <w:pStyle w:val="BodyText"/>
        <w:pBdr>
          <w:top w:val="single" w:sz="4" w:space="8" w:color="auto"/>
          <w:left w:val="single" w:sz="4" w:space="8" w:color="auto"/>
          <w:bottom w:val="single" w:sz="4" w:space="8" w:color="auto"/>
          <w:right w:val="single" w:sz="4" w:space="8" w:color="auto"/>
        </w:pBdr>
        <w:spacing w:before="160" w:line="240" w:lineRule="auto"/>
        <w:ind w:left="142" w:right="142"/>
        <w:rPr>
          <w:sz w:val="24"/>
          <w:szCs w:val="24"/>
        </w:rPr>
      </w:pPr>
      <w:r w:rsidRPr="00BB5DCF">
        <w:rPr>
          <w:sz w:val="24"/>
          <w:szCs w:val="24"/>
        </w:rPr>
        <w:t>Further information on the Productivity Commission can be obtained from the Commission’s website (</w:t>
      </w:r>
      <w:proofErr w:type="spellStart"/>
      <w:r w:rsidRPr="00BB5DCF">
        <w:rPr>
          <w:sz w:val="24"/>
          <w:szCs w:val="24"/>
        </w:rPr>
        <w:t>www.pc.gov.au</w:t>
      </w:r>
      <w:proofErr w:type="spellEnd"/>
      <w:r w:rsidRPr="00BB5DCF">
        <w:rPr>
          <w:sz w:val="24"/>
          <w:szCs w:val="24"/>
        </w:rPr>
        <w:t xml:space="preserve">) or by contacting Media and Publications on (03) 9653 2244 or email: </w:t>
      </w:r>
      <w:proofErr w:type="spellStart"/>
      <w:r w:rsidRPr="00BB5DCF">
        <w:rPr>
          <w:sz w:val="24"/>
          <w:szCs w:val="24"/>
        </w:rPr>
        <w:t>maps@pc.gov.au</w:t>
      </w:r>
      <w:proofErr w:type="spellEnd"/>
    </w:p>
    <w:p w:rsidR="00735FEA" w:rsidRDefault="00735FEA">
      <w:pPr>
        <w:pStyle w:val="BodyText"/>
        <w:sectPr w:rsidR="00735FEA" w:rsidSect="008F7C50">
          <w:headerReference w:type="even" r:id="rId10"/>
          <w:headerReference w:type="default" r:id="rId11"/>
          <w:footerReference w:type="even" r:id="rId12"/>
          <w:footerReference w:type="default" r:id="rId13"/>
          <w:headerReference w:type="first" r:id="rId14"/>
          <w:footerReference w:type="first" r:id="rId15"/>
          <w:type w:val="oddPage"/>
          <w:pgSz w:w="11907" w:h="16840" w:code="9"/>
          <w:pgMar w:top="1418" w:right="1304" w:bottom="567" w:left="1814" w:header="1701" w:footer="567" w:gutter="0"/>
          <w:pgNumType w:fmt="lowerRoman" w:start="1"/>
          <w:cols w:space="720"/>
          <w:titlePg/>
        </w:sectPr>
      </w:pPr>
      <w:bookmarkStart w:id="1" w:name="cov"/>
      <w:bookmarkEnd w:id="1"/>
    </w:p>
    <w:p w:rsidR="00921E6B" w:rsidRDefault="00921E6B" w:rsidP="003A2DFC">
      <w:pPr>
        <w:pStyle w:val="Heading1"/>
      </w:pPr>
      <w:bookmarkStart w:id="2" w:name="_Toc378768451"/>
      <w:bookmarkStart w:id="3" w:name="_Toc378770932"/>
      <w:bookmarkStart w:id="4" w:name="_Toc378771389"/>
      <w:r>
        <w:lastRenderedPageBreak/>
        <w:t>Opportunity for further comment</w:t>
      </w:r>
    </w:p>
    <w:p w:rsidR="00921E6B" w:rsidRDefault="00921E6B" w:rsidP="00921E6B">
      <w:pPr>
        <w:pStyle w:val="BodyText"/>
      </w:pPr>
      <w:r>
        <w:t xml:space="preserve">You are invited to examine this position paper and provide written comment or attend a public hearing. The deadline for all written submissions is Thursday 13 February 2014. The Commission will hold public hearings during February 2014. </w:t>
      </w:r>
    </w:p>
    <w:p w:rsidR="00921E6B" w:rsidRDefault="00921E6B" w:rsidP="00921E6B">
      <w:pPr>
        <w:pStyle w:val="BodyText"/>
      </w:pPr>
      <w:r>
        <w:t xml:space="preserve">The final report will be prepared after submissions have been received and public hearings have been held, and will be forwarded to the Australian Government in March 2014. </w:t>
      </w:r>
    </w:p>
    <w:p w:rsidR="00572934" w:rsidRDefault="00572934" w:rsidP="00905A5E">
      <w:pPr>
        <w:pStyle w:val="BodyText"/>
        <w:rPr>
          <w:rFonts w:eastAsiaTheme="minorEastAsia"/>
          <w:noProof/>
          <w:lang w:eastAsia="en-AU"/>
        </w:rPr>
      </w:pPr>
      <w:r>
        <w:t xml:space="preserve">Further information on how to provide a </w:t>
      </w:r>
      <w:r w:rsidR="00905A5E">
        <w:t xml:space="preserve">written </w:t>
      </w:r>
      <w:r>
        <w:t xml:space="preserve">submission or register </w:t>
      </w:r>
      <w:r w:rsidR="00905A5E">
        <w:t xml:space="preserve">your </w:t>
      </w:r>
      <w:r>
        <w:t>at</w:t>
      </w:r>
      <w:r w:rsidR="00905A5E">
        <w:t>tendance at the public hearings</w:t>
      </w:r>
      <w:r w:rsidR="008D0C46">
        <w:t xml:space="preserve"> (a</w:t>
      </w:r>
      <w:r w:rsidR="009670CB">
        <w:t>s a participant or an observer)</w:t>
      </w:r>
      <w:r w:rsidR="008D0C46">
        <w:t xml:space="preserve"> </w:t>
      </w:r>
      <w:r w:rsidR="00905A5E">
        <w:t xml:space="preserve">is available on the inquiry </w:t>
      </w:r>
      <w:r>
        <w:t xml:space="preserve">website </w:t>
      </w:r>
      <w:r w:rsidRPr="00FE5F4C">
        <w:rPr>
          <w:noProof/>
          <w:lang w:eastAsia="en-AU"/>
        </w:rPr>
        <w:t>www.pc.gov.au/projects/inquiry/automotive</w:t>
      </w:r>
      <w:r w:rsidR="00E01356" w:rsidRPr="00E01356">
        <w:rPr>
          <w:rStyle w:val="Hyperlink"/>
          <w:noProof/>
          <w:u w:val="none"/>
          <w:lang w:eastAsia="en-AU"/>
        </w:rPr>
        <w:t>.</w:t>
      </w:r>
    </w:p>
    <w:p w:rsidR="008D15F9" w:rsidRDefault="008D15F9" w:rsidP="008D15F9">
      <w:pPr>
        <w:pStyle w:val="BodyText"/>
        <w:spacing w:before="560" w:after="80"/>
        <w:rPr>
          <w:rFonts w:ascii="Arial" w:hAnsi="Arial" w:cs="Arial"/>
          <w:b/>
        </w:rPr>
      </w:pPr>
      <w:r w:rsidRPr="00B146AA">
        <w:rPr>
          <w:rFonts w:ascii="Arial" w:hAnsi="Arial" w:cs="Arial"/>
          <w:b/>
        </w:rPr>
        <w:t>Public hearing date</w:t>
      </w:r>
      <w:r>
        <w:rPr>
          <w:rFonts w:ascii="Arial" w:hAnsi="Arial" w:cs="Arial"/>
          <w:b/>
        </w:rPr>
        <w:t>s</w:t>
      </w:r>
      <w:r w:rsidRPr="00B146AA">
        <w:rPr>
          <w:rFonts w:ascii="Arial" w:hAnsi="Arial" w:cs="Arial"/>
          <w:b/>
        </w:rPr>
        <w:t xml:space="preserve"> and venue</w:t>
      </w:r>
      <w:r>
        <w:rPr>
          <w:rFonts w:ascii="Arial" w:hAnsi="Arial" w:cs="Arial"/>
          <w:b/>
        </w:rPr>
        <w:t>s</w:t>
      </w:r>
    </w:p>
    <w:tbl>
      <w:tblPr>
        <w:tblW w:w="5000" w:type="pct"/>
        <w:tblCellMar>
          <w:left w:w="0" w:type="dxa"/>
          <w:right w:w="0" w:type="dxa"/>
        </w:tblCellMar>
        <w:tblLook w:val="01E0" w:firstRow="1" w:lastRow="1" w:firstColumn="1" w:lastColumn="1" w:noHBand="0" w:noVBand="0"/>
      </w:tblPr>
      <w:tblGrid>
        <w:gridCol w:w="1276"/>
        <w:gridCol w:w="1276"/>
        <w:gridCol w:w="1843"/>
        <w:gridCol w:w="4394"/>
      </w:tblGrid>
      <w:tr w:rsidR="008D15F9" w:rsidRPr="009D5BAA" w:rsidTr="008D15F9">
        <w:trPr>
          <w:trHeight w:val="56"/>
        </w:trPr>
        <w:tc>
          <w:tcPr>
            <w:tcW w:w="1276" w:type="dxa"/>
            <w:tcBorders>
              <w:top w:val="single" w:sz="6" w:space="0" w:color="auto"/>
              <w:bottom w:val="single" w:sz="6" w:space="0" w:color="auto"/>
            </w:tcBorders>
            <w:shd w:val="clear" w:color="auto" w:fill="auto"/>
          </w:tcPr>
          <w:p w:rsidR="008D15F9" w:rsidRPr="007C79E4" w:rsidRDefault="008D15F9" w:rsidP="00C30430">
            <w:pPr>
              <w:pStyle w:val="BodyText"/>
              <w:spacing w:before="80" w:after="80" w:line="240" w:lineRule="exact"/>
              <w:ind w:right="113"/>
              <w:rPr>
                <w:rFonts w:ascii="Arial" w:hAnsi="Arial" w:cs="Arial"/>
                <w:i/>
                <w:sz w:val="20"/>
              </w:rPr>
            </w:pPr>
            <w:r w:rsidRPr="007C79E4">
              <w:rPr>
                <w:rFonts w:ascii="Arial" w:hAnsi="Arial" w:cs="Arial"/>
                <w:i/>
                <w:sz w:val="20"/>
              </w:rPr>
              <w:t>Location</w:t>
            </w:r>
          </w:p>
        </w:tc>
        <w:tc>
          <w:tcPr>
            <w:tcW w:w="1276" w:type="dxa"/>
            <w:tcBorders>
              <w:top w:val="single" w:sz="6" w:space="0" w:color="auto"/>
              <w:bottom w:val="single" w:sz="6" w:space="0" w:color="auto"/>
            </w:tcBorders>
          </w:tcPr>
          <w:p w:rsidR="008D15F9" w:rsidRPr="007C79E4" w:rsidRDefault="008D15F9" w:rsidP="00C30430">
            <w:pPr>
              <w:pStyle w:val="BodyText"/>
              <w:spacing w:before="80" w:after="80" w:line="240" w:lineRule="exact"/>
              <w:ind w:right="113"/>
              <w:rPr>
                <w:rFonts w:ascii="Arial" w:hAnsi="Arial" w:cs="Arial"/>
                <w:i/>
                <w:sz w:val="20"/>
              </w:rPr>
            </w:pPr>
            <w:r w:rsidRPr="007C79E4">
              <w:rPr>
                <w:rFonts w:ascii="Arial" w:hAnsi="Arial" w:cs="Arial"/>
                <w:i/>
                <w:sz w:val="20"/>
              </w:rPr>
              <w:t>Date</w:t>
            </w:r>
          </w:p>
        </w:tc>
        <w:tc>
          <w:tcPr>
            <w:tcW w:w="1843" w:type="dxa"/>
            <w:tcBorders>
              <w:top w:val="single" w:sz="6" w:space="0" w:color="auto"/>
              <w:bottom w:val="single" w:sz="6" w:space="0" w:color="auto"/>
            </w:tcBorders>
            <w:shd w:val="clear" w:color="auto" w:fill="auto"/>
          </w:tcPr>
          <w:p w:rsidR="008D15F9" w:rsidRPr="007C79E4" w:rsidRDefault="008D15F9" w:rsidP="00C30430">
            <w:pPr>
              <w:pStyle w:val="BodyText"/>
              <w:spacing w:before="80" w:after="80" w:line="240" w:lineRule="exact"/>
              <w:ind w:right="113"/>
              <w:rPr>
                <w:rFonts w:ascii="Arial" w:hAnsi="Arial" w:cs="Arial"/>
                <w:i/>
                <w:sz w:val="20"/>
              </w:rPr>
            </w:pPr>
          </w:p>
        </w:tc>
        <w:tc>
          <w:tcPr>
            <w:tcW w:w="4394" w:type="dxa"/>
            <w:tcBorders>
              <w:top w:val="single" w:sz="6" w:space="0" w:color="auto"/>
              <w:bottom w:val="single" w:sz="6" w:space="0" w:color="auto"/>
            </w:tcBorders>
            <w:shd w:val="clear" w:color="auto" w:fill="auto"/>
          </w:tcPr>
          <w:p w:rsidR="008D15F9" w:rsidRPr="007C79E4" w:rsidRDefault="008D15F9" w:rsidP="00C30430">
            <w:pPr>
              <w:pStyle w:val="BodyText"/>
              <w:spacing w:before="80" w:after="80" w:line="240" w:lineRule="exact"/>
              <w:ind w:right="113"/>
              <w:rPr>
                <w:rFonts w:ascii="Arial" w:hAnsi="Arial" w:cs="Arial"/>
                <w:i/>
                <w:sz w:val="20"/>
              </w:rPr>
            </w:pPr>
            <w:r w:rsidRPr="007C79E4">
              <w:rPr>
                <w:rFonts w:ascii="Arial" w:hAnsi="Arial" w:cs="Arial"/>
                <w:i/>
                <w:sz w:val="20"/>
              </w:rPr>
              <w:t>Venue</w:t>
            </w:r>
          </w:p>
        </w:tc>
      </w:tr>
      <w:tr w:rsidR="008D15F9" w:rsidRPr="008D15F9" w:rsidTr="008D15F9">
        <w:trPr>
          <w:trHeight w:val="87"/>
        </w:trPr>
        <w:tc>
          <w:tcPr>
            <w:tcW w:w="1276" w:type="dxa"/>
            <w:tcBorders>
              <w:top w:val="single" w:sz="6" w:space="0" w:color="auto"/>
            </w:tcBorders>
            <w:shd w:val="clear" w:color="auto" w:fill="auto"/>
          </w:tcPr>
          <w:p w:rsidR="008D15F9" w:rsidRPr="00FB00F0" w:rsidRDefault="008D15F9" w:rsidP="008D15F9">
            <w:pPr>
              <w:pStyle w:val="BodyText"/>
              <w:spacing w:before="40" w:after="40" w:line="240" w:lineRule="exact"/>
              <w:ind w:right="113"/>
              <w:jc w:val="left"/>
              <w:rPr>
                <w:rFonts w:ascii="Arial" w:hAnsi="Arial" w:cs="Arial"/>
                <w:sz w:val="20"/>
              </w:rPr>
            </w:pPr>
            <w:r w:rsidRPr="00FB00F0">
              <w:rPr>
                <w:rFonts w:ascii="Arial" w:hAnsi="Arial" w:cs="Arial"/>
                <w:sz w:val="20"/>
              </w:rPr>
              <w:t xml:space="preserve">Melbourne </w:t>
            </w:r>
          </w:p>
        </w:tc>
        <w:tc>
          <w:tcPr>
            <w:tcW w:w="1276" w:type="dxa"/>
            <w:tcBorders>
              <w:top w:val="single" w:sz="6" w:space="0" w:color="auto"/>
            </w:tcBorders>
          </w:tcPr>
          <w:p w:rsidR="008D15F9" w:rsidRPr="009D5BAA" w:rsidRDefault="008D15F9" w:rsidP="008D15F9">
            <w:pPr>
              <w:pStyle w:val="BodyText"/>
              <w:spacing w:before="40" w:after="40" w:line="240" w:lineRule="exact"/>
              <w:ind w:right="113"/>
              <w:jc w:val="left"/>
              <w:rPr>
                <w:rFonts w:ascii="Arial" w:hAnsi="Arial" w:cs="Arial"/>
                <w:sz w:val="20"/>
              </w:rPr>
            </w:pPr>
            <w:r w:rsidRPr="00FB00F0">
              <w:rPr>
                <w:rFonts w:ascii="Arial" w:hAnsi="Arial" w:cs="Arial"/>
                <w:sz w:val="20"/>
              </w:rPr>
              <w:t>Wednesday</w:t>
            </w:r>
          </w:p>
        </w:tc>
        <w:tc>
          <w:tcPr>
            <w:tcW w:w="1843" w:type="dxa"/>
            <w:tcBorders>
              <w:top w:val="single" w:sz="6" w:space="0" w:color="auto"/>
            </w:tcBorders>
            <w:shd w:val="clear" w:color="auto" w:fill="auto"/>
          </w:tcPr>
          <w:p w:rsidR="008D15F9" w:rsidRPr="00FB00F0" w:rsidRDefault="008D15F9" w:rsidP="008D15F9">
            <w:pPr>
              <w:pStyle w:val="BodyText"/>
              <w:spacing w:before="40" w:after="40" w:line="240" w:lineRule="exact"/>
              <w:ind w:right="113"/>
              <w:jc w:val="left"/>
              <w:rPr>
                <w:rFonts w:ascii="Arial" w:hAnsi="Arial" w:cs="Arial"/>
                <w:sz w:val="20"/>
              </w:rPr>
            </w:pPr>
            <w:r w:rsidRPr="00FB00F0">
              <w:rPr>
                <w:rFonts w:ascii="Arial" w:hAnsi="Arial" w:cs="Arial"/>
                <w:sz w:val="20"/>
              </w:rPr>
              <w:t>19 February 2014</w:t>
            </w:r>
          </w:p>
        </w:tc>
        <w:tc>
          <w:tcPr>
            <w:tcW w:w="4394" w:type="dxa"/>
            <w:tcBorders>
              <w:top w:val="single" w:sz="6" w:space="0" w:color="auto"/>
            </w:tcBorders>
            <w:shd w:val="clear" w:color="auto" w:fill="auto"/>
          </w:tcPr>
          <w:p w:rsidR="008D15F9" w:rsidRPr="00FB00F0" w:rsidRDefault="008D15F9" w:rsidP="008D15F9">
            <w:pPr>
              <w:pStyle w:val="BodyText"/>
              <w:spacing w:before="40" w:after="40" w:line="240" w:lineRule="exact"/>
              <w:ind w:right="113"/>
              <w:jc w:val="left"/>
              <w:rPr>
                <w:rFonts w:ascii="Arial" w:hAnsi="Arial" w:cs="Arial"/>
                <w:sz w:val="20"/>
              </w:rPr>
            </w:pPr>
            <w:r w:rsidRPr="00FB00F0">
              <w:rPr>
                <w:rFonts w:ascii="Arial" w:hAnsi="Arial" w:cs="Arial"/>
                <w:sz w:val="20"/>
              </w:rPr>
              <w:t xml:space="preserve">Productivity Commission - Rattigan Room </w:t>
            </w:r>
            <w:r>
              <w:rPr>
                <w:rFonts w:ascii="Arial" w:hAnsi="Arial" w:cs="Arial"/>
                <w:sz w:val="20"/>
              </w:rPr>
              <w:br/>
            </w:r>
            <w:r w:rsidRPr="00FB00F0">
              <w:rPr>
                <w:rFonts w:ascii="Arial" w:hAnsi="Arial" w:cs="Arial"/>
                <w:sz w:val="20"/>
              </w:rPr>
              <w:t xml:space="preserve">Level 12, 530 Collins St, Melbourne </w:t>
            </w:r>
          </w:p>
        </w:tc>
      </w:tr>
      <w:tr w:rsidR="008D15F9" w:rsidRPr="009D5BAA" w:rsidTr="008D15F9">
        <w:trPr>
          <w:trHeight w:val="97"/>
        </w:trPr>
        <w:tc>
          <w:tcPr>
            <w:tcW w:w="1276" w:type="dxa"/>
            <w:tcBorders>
              <w:bottom w:val="single" w:sz="6" w:space="0" w:color="auto"/>
            </w:tcBorders>
            <w:shd w:val="clear" w:color="auto" w:fill="auto"/>
          </w:tcPr>
          <w:p w:rsidR="008D15F9" w:rsidRPr="009D5BAA" w:rsidRDefault="008D15F9" w:rsidP="00C30430">
            <w:pPr>
              <w:pStyle w:val="BodyText"/>
              <w:spacing w:before="40" w:after="40" w:line="240" w:lineRule="exact"/>
              <w:ind w:right="113"/>
              <w:jc w:val="left"/>
              <w:rPr>
                <w:rFonts w:ascii="Arial" w:hAnsi="Arial" w:cs="Arial"/>
                <w:sz w:val="20"/>
              </w:rPr>
            </w:pPr>
            <w:r w:rsidRPr="00FB00F0">
              <w:rPr>
                <w:rFonts w:ascii="Arial" w:hAnsi="Arial" w:cs="Arial"/>
                <w:sz w:val="20"/>
              </w:rPr>
              <w:t>Adelaide</w:t>
            </w:r>
          </w:p>
        </w:tc>
        <w:tc>
          <w:tcPr>
            <w:tcW w:w="1276" w:type="dxa"/>
            <w:tcBorders>
              <w:bottom w:val="single" w:sz="6" w:space="0" w:color="auto"/>
            </w:tcBorders>
          </w:tcPr>
          <w:p w:rsidR="008D15F9" w:rsidRPr="009D5BAA" w:rsidRDefault="008D15F9" w:rsidP="00B63EAB">
            <w:pPr>
              <w:pStyle w:val="BodyText"/>
              <w:tabs>
                <w:tab w:val="left" w:pos="1000"/>
              </w:tabs>
              <w:spacing w:before="40" w:after="40" w:line="240" w:lineRule="exact"/>
              <w:ind w:right="113"/>
              <w:jc w:val="left"/>
              <w:rPr>
                <w:rFonts w:ascii="Arial" w:hAnsi="Arial" w:cs="Arial"/>
                <w:sz w:val="20"/>
              </w:rPr>
            </w:pPr>
            <w:r w:rsidRPr="00FB00F0">
              <w:rPr>
                <w:rFonts w:ascii="Arial" w:hAnsi="Arial" w:cs="Arial"/>
                <w:sz w:val="20"/>
              </w:rPr>
              <w:t>Thursday</w:t>
            </w:r>
          </w:p>
        </w:tc>
        <w:tc>
          <w:tcPr>
            <w:tcW w:w="1843" w:type="dxa"/>
            <w:tcBorders>
              <w:bottom w:val="single" w:sz="6" w:space="0" w:color="auto"/>
            </w:tcBorders>
            <w:shd w:val="clear" w:color="auto" w:fill="auto"/>
          </w:tcPr>
          <w:p w:rsidR="008D15F9" w:rsidRPr="009D5BAA" w:rsidRDefault="008D15F9" w:rsidP="00C30430">
            <w:pPr>
              <w:pStyle w:val="BodyText"/>
              <w:tabs>
                <w:tab w:val="left" w:pos="1000"/>
                <w:tab w:val="left" w:pos="1181"/>
              </w:tabs>
              <w:spacing w:before="40" w:after="40" w:line="240" w:lineRule="exact"/>
              <w:ind w:right="113"/>
              <w:jc w:val="left"/>
              <w:rPr>
                <w:rFonts w:ascii="Arial" w:hAnsi="Arial" w:cs="Arial"/>
                <w:sz w:val="20"/>
              </w:rPr>
            </w:pPr>
            <w:r w:rsidRPr="00FB00F0">
              <w:rPr>
                <w:rFonts w:ascii="Arial" w:hAnsi="Arial" w:cs="Arial"/>
                <w:sz w:val="20"/>
              </w:rPr>
              <w:t>20 February 2014</w:t>
            </w:r>
          </w:p>
        </w:tc>
        <w:tc>
          <w:tcPr>
            <w:tcW w:w="4394" w:type="dxa"/>
            <w:tcBorders>
              <w:bottom w:val="single" w:sz="6" w:space="0" w:color="auto"/>
            </w:tcBorders>
            <w:shd w:val="clear" w:color="auto" w:fill="auto"/>
          </w:tcPr>
          <w:p w:rsidR="008D15F9" w:rsidRPr="009D5BAA" w:rsidRDefault="008D15F9" w:rsidP="00C30430">
            <w:pPr>
              <w:pStyle w:val="BodyText"/>
              <w:spacing w:before="40" w:after="40" w:line="240" w:lineRule="exact"/>
              <w:ind w:right="113"/>
              <w:jc w:val="left"/>
              <w:rPr>
                <w:rFonts w:ascii="Arial" w:hAnsi="Arial" w:cs="Arial"/>
                <w:sz w:val="20"/>
              </w:rPr>
            </w:pPr>
            <w:r w:rsidRPr="00FB00F0">
              <w:rPr>
                <w:rFonts w:ascii="Arial" w:hAnsi="Arial" w:cs="Arial"/>
                <w:sz w:val="20"/>
              </w:rPr>
              <w:t xml:space="preserve">Stamford Plaza Hotel – Boulevard Room </w:t>
            </w:r>
            <w:r>
              <w:rPr>
                <w:rFonts w:ascii="Arial" w:hAnsi="Arial" w:cs="Arial"/>
                <w:sz w:val="20"/>
              </w:rPr>
              <w:br/>
            </w:r>
            <w:r w:rsidRPr="00FB00F0">
              <w:rPr>
                <w:rFonts w:ascii="Arial" w:hAnsi="Arial" w:cs="Arial"/>
                <w:sz w:val="20"/>
              </w:rPr>
              <w:t>150 North Terrace, Adelaide</w:t>
            </w:r>
          </w:p>
        </w:tc>
      </w:tr>
    </w:tbl>
    <w:p w:rsidR="00572934" w:rsidRDefault="00572934" w:rsidP="00921E6B">
      <w:pPr>
        <w:pStyle w:val="BodyText"/>
      </w:pPr>
      <w:bookmarkStart w:id="5" w:name="Abbreviations"/>
      <w:bookmarkStart w:id="6" w:name="EndContents"/>
      <w:bookmarkStart w:id="7" w:name="RDnote"/>
      <w:bookmarkStart w:id="8" w:name="Glossary"/>
      <w:bookmarkEnd w:id="5"/>
      <w:bookmarkEnd w:id="6"/>
      <w:bookmarkEnd w:id="7"/>
      <w:bookmarkEnd w:id="8"/>
    </w:p>
    <w:p w:rsidR="00921E6B" w:rsidRDefault="00921E6B" w:rsidP="00921E6B">
      <w:pPr>
        <w:pStyle w:val="BodyText"/>
        <w:rPr>
          <w:kern w:val="28"/>
          <w:sz w:val="52"/>
        </w:rPr>
      </w:pPr>
      <w:r>
        <w:br w:type="page"/>
      </w:r>
    </w:p>
    <w:p w:rsidR="00921E6B" w:rsidRDefault="00921E6B" w:rsidP="00566281">
      <w:pPr>
        <w:pStyle w:val="Heading1"/>
        <w:pageBreakBefore/>
      </w:pPr>
      <w:r>
        <w:lastRenderedPageBreak/>
        <w:t>Terms of reference</w:t>
      </w:r>
    </w:p>
    <w:bookmarkEnd w:id="2"/>
    <w:bookmarkEnd w:id="3"/>
    <w:bookmarkEnd w:id="4"/>
    <w:p w:rsidR="00F23021" w:rsidRPr="00322D74" w:rsidRDefault="00F23021" w:rsidP="00F23021">
      <w:pPr>
        <w:pStyle w:val="BodyText"/>
        <w:jc w:val="center"/>
        <w:rPr>
          <w:caps/>
        </w:rPr>
      </w:pPr>
      <w:r w:rsidRPr="00322D74">
        <w:rPr>
          <w:caps/>
        </w:rPr>
        <w:t>Review of the Australian Automotive Manufacturing Industry</w:t>
      </w:r>
    </w:p>
    <w:p w:rsidR="00F23021" w:rsidRDefault="00F23021" w:rsidP="00F23021">
      <w:pPr>
        <w:pStyle w:val="BodyText"/>
        <w:jc w:val="center"/>
      </w:pPr>
      <w:r>
        <w:rPr>
          <w:b/>
          <w:bCs/>
          <w:i/>
          <w:iCs/>
          <w:szCs w:val="24"/>
        </w:rPr>
        <w:t>Productivity Commission Act 1998</w:t>
      </w:r>
    </w:p>
    <w:p w:rsidR="00F23021" w:rsidRPr="00322D74" w:rsidRDefault="00F23021" w:rsidP="00F23021">
      <w:pPr>
        <w:pStyle w:val="BodyText"/>
      </w:pPr>
      <w:r w:rsidRPr="00322D74">
        <w:t>I, Joseph Benedict Hockey, Treasurer, pursuant to Parts 2 and 3 of the Productivity Commission Act 1998, hereby request that the Productivity Commission undertake an inquiry into public support for Australia’s automotive manufacturing industry, including passenger motor vehicle and automotive component production.</w:t>
      </w:r>
    </w:p>
    <w:p w:rsidR="00F23021" w:rsidRPr="00322D74" w:rsidRDefault="00F23021" w:rsidP="00F23021">
      <w:pPr>
        <w:pStyle w:val="BodyText"/>
        <w:jc w:val="left"/>
        <w:rPr>
          <w:b/>
          <w:bCs/>
          <w:iCs/>
          <w:szCs w:val="24"/>
        </w:rPr>
      </w:pPr>
      <w:r w:rsidRPr="00322D74">
        <w:rPr>
          <w:b/>
          <w:bCs/>
          <w:iCs/>
          <w:szCs w:val="24"/>
        </w:rPr>
        <w:t>Background</w:t>
      </w:r>
    </w:p>
    <w:p w:rsidR="00F23021" w:rsidRPr="00322D74" w:rsidRDefault="00F23021" w:rsidP="00F23021">
      <w:pPr>
        <w:pStyle w:val="BodyText"/>
      </w:pPr>
      <w:r w:rsidRPr="00322D74">
        <w:t>Australian and State Government support for the automotive manufacturing industry is provided through the current Automotive Transformation Scheme, which provides assistance in respect of production and support for research and development and capital investment, through ad hoc grants provided to vehicle and component manufacturers, through tariffs and through relief from some state taxes.</w:t>
      </w:r>
    </w:p>
    <w:p w:rsidR="00F23021" w:rsidRPr="00322D74" w:rsidRDefault="00F23021" w:rsidP="00F23021">
      <w:pPr>
        <w:pStyle w:val="BodyText"/>
      </w:pPr>
      <w:r w:rsidRPr="00322D74">
        <w:t xml:space="preserve">With the withdrawal of some manufacturers from local production in Australia, </w:t>
      </w:r>
      <w:r>
        <w:t xml:space="preserve">recent uncertainty surrounding tax policies affecting the industry, </w:t>
      </w:r>
      <w:r w:rsidRPr="00322D74">
        <w:t xml:space="preserve">variability in exchange rates and the increasing openness of Australia’s automotive retail market, the circumstances under which assistance is provided to the industry warrant review. </w:t>
      </w:r>
    </w:p>
    <w:p w:rsidR="00F23021" w:rsidRPr="00322D74" w:rsidRDefault="00F23021" w:rsidP="00F23021">
      <w:pPr>
        <w:pStyle w:val="BodyText"/>
        <w:jc w:val="left"/>
        <w:rPr>
          <w:b/>
          <w:bCs/>
          <w:iCs/>
          <w:szCs w:val="24"/>
        </w:rPr>
      </w:pPr>
      <w:r w:rsidRPr="00322D74">
        <w:rPr>
          <w:b/>
          <w:bCs/>
          <w:iCs/>
          <w:szCs w:val="24"/>
        </w:rPr>
        <w:t>Scope of the Inquiry</w:t>
      </w:r>
    </w:p>
    <w:p w:rsidR="00F23021" w:rsidRDefault="00F23021" w:rsidP="00F23021">
      <w:pPr>
        <w:pStyle w:val="BodyText"/>
      </w:pPr>
      <w:r>
        <w:t>The Australian Government desires an internationally competitive and globally integrated automotive manufacturing sector and wishes to ensure that any support for the local automotive manufacturing industry is accountable, transparent and targeted at the long-term sustainability of the sector. In consultation with a broad range of stakeholders, and in the context of the Australian Government’s desire to improve the overall performance of the Australian economy,</w:t>
      </w:r>
      <w:r w:rsidDel="00847F15">
        <w:t xml:space="preserve"> </w:t>
      </w:r>
      <w:r>
        <w:t>the Commission should, in its Review of the Australian Automotive Manufacturing Industry (the ‘Review’):</w:t>
      </w:r>
    </w:p>
    <w:p w:rsidR="00F23021" w:rsidRDefault="00F23021" w:rsidP="00F23021">
      <w:pPr>
        <w:pStyle w:val="BodyText"/>
      </w:pPr>
    </w:p>
    <w:p w:rsidR="00F23021" w:rsidRDefault="00F23021" w:rsidP="00F23021">
      <w:pPr>
        <w:pStyle w:val="ListNumber"/>
        <w:numPr>
          <w:ilvl w:val="0"/>
          <w:numId w:val="25"/>
        </w:numPr>
      </w:pPr>
      <w:r>
        <w:lastRenderedPageBreak/>
        <w:t>Examine national and international market and regulatory factors affecting:</w:t>
      </w:r>
    </w:p>
    <w:p w:rsidR="00F23021" w:rsidRDefault="00F23021" w:rsidP="00F23021">
      <w:pPr>
        <w:pStyle w:val="ListBullet2"/>
        <w:tabs>
          <w:tab w:val="num" w:pos="680"/>
        </w:tabs>
      </w:pPr>
      <w:r>
        <w:t xml:space="preserve">the Australian automotive manufacturing industry’s current structure, productivity, investment, profitability, international competitiveness, exports, workforce structure and practices, skills levels and long-term sustainability; </w:t>
      </w:r>
    </w:p>
    <w:p w:rsidR="00F23021" w:rsidRDefault="00F23021" w:rsidP="00F23021">
      <w:pPr>
        <w:pStyle w:val="ListBullet2"/>
        <w:tabs>
          <w:tab w:val="num" w:pos="680"/>
        </w:tabs>
      </w:pPr>
      <w:r>
        <w:t xml:space="preserve">Australia’s attractiveness as an investment location for all phases of automotive manufacturing activity, from research and development through to production of components and vehicles; </w:t>
      </w:r>
    </w:p>
    <w:p w:rsidR="00F23021" w:rsidRDefault="00F23021" w:rsidP="00F23021">
      <w:pPr>
        <w:pStyle w:val="ListBullet2"/>
        <w:tabs>
          <w:tab w:val="num" w:pos="680"/>
        </w:tabs>
      </w:pPr>
      <w:r>
        <w:t>domestic and international demand for Australian design and engineering services, vehicles and automotive products; and</w:t>
      </w:r>
    </w:p>
    <w:p w:rsidR="00F23021" w:rsidRDefault="00F23021" w:rsidP="00F23021">
      <w:pPr>
        <w:pStyle w:val="ListBullet2"/>
        <w:tabs>
          <w:tab w:val="num" w:pos="680"/>
        </w:tabs>
      </w:pPr>
      <w:r>
        <w:t>consumer preferences, including consumer demand for new products and technologies.</w:t>
      </w:r>
    </w:p>
    <w:p w:rsidR="00F23021" w:rsidRDefault="00F23021" w:rsidP="00F23021">
      <w:pPr>
        <w:pStyle w:val="ListNumber"/>
        <w:numPr>
          <w:ilvl w:val="0"/>
          <w:numId w:val="25"/>
        </w:numPr>
      </w:pPr>
      <w:r>
        <w:t>In examining these factors, take into account the following matters:</w:t>
      </w:r>
    </w:p>
    <w:p w:rsidR="00F23021" w:rsidRDefault="00F23021" w:rsidP="00F23021">
      <w:pPr>
        <w:pStyle w:val="ListBullet2"/>
        <w:tabs>
          <w:tab w:val="num" w:pos="680"/>
        </w:tabs>
      </w:pPr>
      <w:r>
        <w:t xml:space="preserve">international automotive industry assistance arrangements, including reporting on and quantifying tariff, non-tariff barriers and budgetary assistance provided by major and emerging automotive-producing countries and the barriers and opportunities for Australian manufacturers and suppliers; </w:t>
      </w:r>
    </w:p>
    <w:p w:rsidR="00F23021" w:rsidRDefault="00F23021" w:rsidP="00F23021">
      <w:pPr>
        <w:pStyle w:val="ListBullet2"/>
        <w:tabs>
          <w:tab w:val="num" w:pos="680"/>
        </w:tabs>
      </w:pPr>
      <w:r>
        <w:t>the impact of current workplace arrangements in the industry, domestic industry assistance, government vehicle purchasing policies, the Government’s broader deregulation agenda and the taxation environment (noting fair work laws and taxation reform are subject to separate comprehensive review processes); and</w:t>
      </w:r>
    </w:p>
    <w:p w:rsidR="00F23021" w:rsidRDefault="00F23021" w:rsidP="00F23021">
      <w:pPr>
        <w:pStyle w:val="ListBullet2"/>
        <w:tabs>
          <w:tab w:val="num" w:pos="680"/>
        </w:tabs>
      </w:pPr>
      <w:r>
        <w:t>the spill-over benefits of the automotive sector, such as technology diffusion.</w:t>
      </w:r>
    </w:p>
    <w:p w:rsidR="00F23021" w:rsidRDefault="00F23021" w:rsidP="00F23021">
      <w:pPr>
        <w:pStyle w:val="ListNumber"/>
        <w:numPr>
          <w:ilvl w:val="0"/>
          <w:numId w:val="25"/>
        </w:numPr>
      </w:pPr>
      <w:r>
        <w:t xml:space="preserve">Taking into account all of the above, identify and evaluate possible alternative public support mechanisms that: </w:t>
      </w:r>
    </w:p>
    <w:p w:rsidR="00F23021" w:rsidRDefault="00F23021" w:rsidP="00F23021">
      <w:pPr>
        <w:pStyle w:val="ListBullet2"/>
        <w:tabs>
          <w:tab w:val="num" w:pos="680"/>
        </w:tabs>
      </w:pPr>
      <w:r>
        <w:t>improve the long</w:t>
      </w:r>
      <w:r>
        <w:noBreakHyphen/>
        <w:t>term profitability, sustainability and productivity of the industry;</w:t>
      </w:r>
    </w:p>
    <w:p w:rsidR="00F23021" w:rsidRDefault="00F23021" w:rsidP="00F23021">
      <w:pPr>
        <w:pStyle w:val="ListBullet2"/>
        <w:tabs>
          <w:tab w:val="num" w:pos="680"/>
        </w:tabs>
      </w:pPr>
      <w:r>
        <w:t xml:space="preserve">facilitate research into, and the development of, innovative alternative vehicle and component technologies by the industry; </w:t>
      </w:r>
    </w:p>
    <w:p w:rsidR="00F23021" w:rsidRDefault="00F23021" w:rsidP="00F23021">
      <w:pPr>
        <w:pStyle w:val="ListBullet2"/>
        <w:tabs>
          <w:tab w:val="num" w:pos="680"/>
        </w:tabs>
      </w:pPr>
      <w:r>
        <w:t>contribute to national productivity growth;</w:t>
      </w:r>
    </w:p>
    <w:p w:rsidR="00F23021" w:rsidRDefault="00F23021" w:rsidP="00F23021">
      <w:pPr>
        <w:pStyle w:val="ListBullet2"/>
        <w:tabs>
          <w:tab w:val="num" w:pos="680"/>
        </w:tabs>
      </w:pPr>
      <w:r>
        <w:t>promote mutual obligation, accountability and transparency; and</w:t>
      </w:r>
    </w:p>
    <w:p w:rsidR="00F23021" w:rsidRDefault="00F23021" w:rsidP="00F23021">
      <w:pPr>
        <w:pStyle w:val="ListBullet2"/>
        <w:tabs>
          <w:tab w:val="num" w:pos="680"/>
        </w:tabs>
      </w:pPr>
      <w:r>
        <w:t xml:space="preserve">are </w:t>
      </w:r>
      <w:r w:rsidRPr="00390F5C">
        <w:t>consistent with Australia’s international trade</w:t>
      </w:r>
      <w:r>
        <w:t xml:space="preserve"> obligations.</w:t>
      </w:r>
    </w:p>
    <w:p w:rsidR="00F23021" w:rsidRDefault="00F23021" w:rsidP="00F23021">
      <w:pPr>
        <w:pStyle w:val="ListNumber"/>
        <w:numPr>
          <w:ilvl w:val="0"/>
          <w:numId w:val="0"/>
        </w:numPr>
        <w:ind w:left="340"/>
      </w:pPr>
      <w:r>
        <w:t xml:space="preserve">Including: </w:t>
      </w:r>
    </w:p>
    <w:p w:rsidR="00F23021" w:rsidRDefault="00F23021" w:rsidP="00F23021">
      <w:pPr>
        <w:pStyle w:val="ListBullet2"/>
        <w:tabs>
          <w:tab w:val="num" w:pos="680"/>
        </w:tabs>
      </w:pPr>
      <w:r>
        <w:t>retargeting of assistance, including within the Automotive Transformation Scheme; and</w:t>
      </w:r>
    </w:p>
    <w:p w:rsidR="00F23021" w:rsidRDefault="00F23021" w:rsidP="00F23021">
      <w:pPr>
        <w:pStyle w:val="ListBullet2"/>
        <w:tabs>
          <w:tab w:val="num" w:pos="680"/>
        </w:tabs>
      </w:pPr>
      <w:r>
        <w:lastRenderedPageBreak/>
        <w:t>introducing more internationally-competitive workplace, regulatory and taxation policies; and</w:t>
      </w:r>
    </w:p>
    <w:p w:rsidR="00F23021" w:rsidRDefault="00F23021" w:rsidP="00F23021">
      <w:pPr>
        <w:pStyle w:val="ListBullet2"/>
        <w:tabs>
          <w:tab w:val="num" w:pos="680"/>
        </w:tabs>
      </w:pPr>
      <w:r>
        <w:t>identifying any significant transition issues or adjustment costs that may arise from alternative support mechanisms or policy changes and how they might be best managed.</w:t>
      </w:r>
    </w:p>
    <w:p w:rsidR="00F23021" w:rsidRDefault="00F23021" w:rsidP="00F23021">
      <w:pPr>
        <w:pStyle w:val="ListNumber"/>
        <w:numPr>
          <w:ilvl w:val="0"/>
          <w:numId w:val="25"/>
        </w:numPr>
      </w:pPr>
      <w:r>
        <w:t xml:space="preserve">Assess the significance of the capabilities within the industry, its direct employment and economic benefits, its secondary impacts on other sectors of the economy, and quantify the costs and benefits, including at </w:t>
      </w:r>
      <w:r w:rsidRPr="00390F5C">
        <w:t xml:space="preserve">the </w:t>
      </w:r>
      <w:proofErr w:type="spellStart"/>
      <w:r w:rsidRPr="00390F5C">
        <w:t>economy-wide</w:t>
      </w:r>
      <w:proofErr w:type="spellEnd"/>
      <w:r w:rsidRPr="00390F5C">
        <w:t xml:space="preserve"> and regional </w:t>
      </w:r>
      <w:r>
        <w:t>level,</w:t>
      </w:r>
      <w:r w:rsidRPr="00390F5C">
        <w:t xml:space="preserve"> of </w:t>
      </w:r>
      <w:r>
        <w:t xml:space="preserve">existing and </w:t>
      </w:r>
      <w:r w:rsidRPr="00390F5C">
        <w:t>alternative assistance mechanisms</w:t>
      </w:r>
      <w:r>
        <w:t xml:space="preserve">. </w:t>
      </w:r>
    </w:p>
    <w:p w:rsidR="00F23021" w:rsidRPr="00322D74" w:rsidRDefault="00F23021" w:rsidP="00F23021">
      <w:pPr>
        <w:pStyle w:val="BodyText"/>
        <w:jc w:val="left"/>
        <w:rPr>
          <w:b/>
          <w:bCs/>
          <w:iCs/>
          <w:szCs w:val="24"/>
        </w:rPr>
      </w:pPr>
      <w:r w:rsidRPr="00322D74">
        <w:rPr>
          <w:b/>
          <w:bCs/>
          <w:iCs/>
          <w:szCs w:val="24"/>
        </w:rPr>
        <w:t>Process</w:t>
      </w:r>
    </w:p>
    <w:p w:rsidR="00F23021" w:rsidRDefault="00F23021" w:rsidP="00F23021">
      <w:pPr>
        <w:pStyle w:val="BodyText"/>
      </w:pPr>
      <w:r w:rsidRPr="00E327C7">
        <w:t xml:space="preserve">The Commission </w:t>
      </w:r>
      <w:r>
        <w:t xml:space="preserve">is to undertake an appropriate public consultation process, inviting public submissions and releasing a preliminary findings report to the public. </w:t>
      </w:r>
    </w:p>
    <w:p w:rsidR="00F23021" w:rsidRDefault="00F23021" w:rsidP="00F23021">
      <w:pPr>
        <w:pStyle w:val="BodyText"/>
      </w:pPr>
      <w:r>
        <w:t>The preliminary findings report should be released by 20 December 2013, with the Final report due to the Government by 31 March 2014.</w:t>
      </w:r>
    </w:p>
    <w:p w:rsidR="00F23021" w:rsidRDefault="00F23021" w:rsidP="00F23021">
      <w:pPr>
        <w:spacing w:after="200"/>
      </w:pPr>
      <w:r>
        <w:br/>
      </w:r>
      <w:r>
        <w:br/>
      </w:r>
    </w:p>
    <w:p w:rsidR="00F23021" w:rsidRDefault="00F23021" w:rsidP="00F23021">
      <w:pPr>
        <w:pStyle w:val="BodyText"/>
        <w:jc w:val="left"/>
        <w:rPr>
          <w:rStyle w:val="Strong"/>
        </w:rPr>
      </w:pPr>
      <w:r w:rsidRPr="00052F88">
        <w:rPr>
          <w:rStyle w:val="Strong"/>
        </w:rPr>
        <w:t>J. B. HOCKEY</w:t>
      </w:r>
      <w:r w:rsidRPr="00052F88">
        <w:rPr>
          <w:rStyle w:val="Strong"/>
        </w:rPr>
        <w:br/>
        <w:t>Treasurer</w:t>
      </w:r>
    </w:p>
    <w:p w:rsidR="00F23021" w:rsidRPr="00052F88" w:rsidRDefault="00F23021" w:rsidP="00F23021">
      <w:pPr>
        <w:pStyle w:val="BodyText"/>
        <w:rPr>
          <w:rStyle w:val="Strong"/>
        </w:rPr>
      </w:pPr>
      <w:r w:rsidRPr="00507250">
        <w:rPr>
          <w:rStyle w:val="Strong"/>
        </w:rPr>
        <w:t>[Received</w:t>
      </w:r>
      <w:r w:rsidRPr="00052F88">
        <w:rPr>
          <w:rStyle w:val="Strong"/>
        </w:rPr>
        <w:t xml:space="preserve"> </w:t>
      </w:r>
      <w:r>
        <w:rPr>
          <w:rStyle w:val="Strong"/>
        </w:rPr>
        <w:t>30 October 2013]</w:t>
      </w:r>
    </w:p>
    <w:p w:rsidR="00F23021" w:rsidRDefault="00F23021" w:rsidP="00F23021">
      <w:pPr>
        <w:pStyle w:val="BodyText"/>
      </w:pPr>
    </w:p>
    <w:p w:rsidR="008C5989" w:rsidRDefault="008C5989" w:rsidP="006817C9">
      <w:pPr>
        <w:pStyle w:val="BodyText"/>
      </w:pPr>
    </w:p>
    <w:p w:rsidR="008C5989" w:rsidRDefault="008C5989" w:rsidP="006817C9">
      <w:pPr>
        <w:pStyle w:val="BodyText"/>
        <w:sectPr w:rsidR="008C5989" w:rsidSect="006817C9">
          <w:headerReference w:type="even" r:id="rId16"/>
          <w:headerReference w:type="default" r:id="rId17"/>
          <w:footerReference w:type="even" r:id="rId18"/>
          <w:footerReference w:type="default" r:id="rId19"/>
          <w:headerReference w:type="first" r:id="rId20"/>
          <w:type w:val="oddPage"/>
          <w:pgSz w:w="11907" w:h="16840" w:code="9"/>
          <w:pgMar w:top="1985" w:right="1304" w:bottom="1418" w:left="1814" w:header="1701" w:footer="567" w:gutter="0"/>
          <w:pgNumType w:fmt="lowerRoman"/>
          <w:cols w:space="720"/>
        </w:sectPr>
      </w:pPr>
    </w:p>
    <w:p w:rsidR="007177E9" w:rsidRDefault="00735FEA" w:rsidP="003A2DFC">
      <w:pPr>
        <w:pStyle w:val="Heading1"/>
        <w:rPr>
          <w:noProof/>
        </w:rPr>
      </w:pPr>
      <w:bookmarkStart w:id="9" w:name="Contents"/>
      <w:bookmarkEnd w:id="9"/>
      <w:r w:rsidRPr="00B153C3">
        <w:lastRenderedPageBreak/>
        <w:t>Contents</w:t>
      </w:r>
      <w:bookmarkStart w:id="10" w:name="InsertContents"/>
      <w:bookmarkEnd w:id="10"/>
    </w:p>
    <w:p w:rsidR="007177E9" w:rsidRDefault="007177E9">
      <w:pPr>
        <w:pStyle w:val="TOC1"/>
        <w:rPr>
          <w:rFonts w:asciiTheme="minorHAnsi" w:eastAsiaTheme="minorEastAsia" w:hAnsiTheme="minorHAnsi" w:cstheme="minorBidi"/>
          <w:b w:val="0"/>
          <w:noProof/>
          <w:sz w:val="22"/>
          <w:szCs w:val="22"/>
          <w:lang w:eastAsia="en-AU"/>
        </w:rPr>
      </w:pPr>
      <w:r>
        <w:rPr>
          <w:noProof/>
        </w:rPr>
        <w:t>Terms of reference</w:t>
      </w:r>
      <w:r>
        <w:rPr>
          <w:noProof/>
        </w:rPr>
        <w:tab/>
      </w:r>
      <w:r w:rsidR="003F32C6">
        <w:rPr>
          <w:noProof/>
        </w:rPr>
        <w:t>i</w:t>
      </w:r>
      <w:r w:rsidR="00E01356">
        <w:rPr>
          <w:noProof/>
        </w:rPr>
        <w:t>v</w:t>
      </w:r>
    </w:p>
    <w:p w:rsidR="007177E9" w:rsidRDefault="007177E9">
      <w:pPr>
        <w:pStyle w:val="TOC1"/>
        <w:rPr>
          <w:rFonts w:asciiTheme="minorHAnsi" w:eastAsiaTheme="minorEastAsia" w:hAnsiTheme="minorHAnsi" w:cstheme="minorBidi"/>
          <w:b w:val="0"/>
          <w:noProof/>
          <w:sz w:val="22"/>
          <w:szCs w:val="22"/>
          <w:lang w:eastAsia="en-AU"/>
        </w:rPr>
      </w:pPr>
      <w:r>
        <w:rPr>
          <w:noProof/>
        </w:rPr>
        <w:t>Overview</w:t>
      </w:r>
      <w:r>
        <w:rPr>
          <w:noProof/>
        </w:rPr>
        <w:tab/>
        <w:t>1</w:t>
      </w:r>
    </w:p>
    <w:p w:rsidR="007177E9" w:rsidRDefault="007177E9">
      <w:pPr>
        <w:pStyle w:val="TOC1"/>
        <w:rPr>
          <w:rFonts w:asciiTheme="minorHAnsi" w:eastAsiaTheme="minorEastAsia" w:hAnsiTheme="minorHAnsi" w:cstheme="minorBidi"/>
          <w:b w:val="0"/>
          <w:noProof/>
          <w:sz w:val="22"/>
          <w:szCs w:val="22"/>
          <w:lang w:eastAsia="en-AU"/>
        </w:rPr>
      </w:pPr>
      <w:r>
        <w:rPr>
          <w:noProof/>
        </w:rPr>
        <w:t>Draft proposals, draft findings and information requests</w:t>
      </w:r>
      <w:r>
        <w:rPr>
          <w:noProof/>
        </w:rPr>
        <w:tab/>
        <w:t>27</w:t>
      </w:r>
    </w:p>
    <w:p w:rsidR="007177E9" w:rsidRDefault="007177E9">
      <w:pPr>
        <w:pStyle w:val="TOC1"/>
        <w:rPr>
          <w:rFonts w:asciiTheme="minorHAnsi" w:eastAsiaTheme="minorEastAsia" w:hAnsiTheme="minorHAnsi" w:cstheme="minorBidi"/>
          <w:b w:val="0"/>
          <w:noProof/>
          <w:sz w:val="22"/>
          <w:szCs w:val="22"/>
          <w:lang w:eastAsia="en-AU"/>
        </w:rPr>
      </w:pPr>
      <w:r>
        <w:rPr>
          <w:noProof/>
        </w:rPr>
        <w:t>1</w:t>
      </w:r>
      <w:r>
        <w:rPr>
          <w:rFonts w:asciiTheme="minorHAnsi" w:eastAsiaTheme="minorEastAsia" w:hAnsiTheme="minorHAnsi" w:cstheme="minorBidi"/>
          <w:b w:val="0"/>
          <w:noProof/>
          <w:sz w:val="22"/>
          <w:szCs w:val="22"/>
          <w:lang w:eastAsia="en-AU"/>
        </w:rPr>
        <w:tab/>
      </w:r>
      <w:r>
        <w:rPr>
          <w:noProof/>
        </w:rPr>
        <w:t>About the inquiry</w:t>
      </w:r>
      <w:r>
        <w:rPr>
          <w:noProof/>
        </w:rPr>
        <w:tab/>
        <w:t>33</w:t>
      </w:r>
    </w:p>
    <w:p w:rsidR="007177E9" w:rsidRDefault="007177E9">
      <w:pPr>
        <w:pStyle w:val="TOC2"/>
        <w:tabs>
          <w:tab w:val="left" w:pos="1190"/>
        </w:tabs>
        <w:rPr>
          <w:rFonts w:asciiTheme="minorHAnsi" w:eastAsiaTheme="minorEastAsia" w:hAnsiTheme="minorHAnsi" w:cstheme="minorBidi"/>
          <w:noProof/>
          <w:sz w:val="22"/>
          <w:szCs w:val="22"/>
          <w:lang w:eastAsia="en-AU"/>
        </w:rPr>
      </w:pPr>
      <w:r>
        <w:rPr>
          <w:noProof/>
        </w:rPr>
        <w:t>1.1</w:t>
      </w:r>
      <w:r>
        <w:rPr>
          <w:rFonts w:asciiTheme="minorHAnsi" w:eastAsiaTheme="minorEastAsia" w:hAnsiTheme="minorHAnsi" w:cstheme="minorBidi"/>
          <w:noProof/>
          <w:sz w:val="22"/>
          <w:szCs w:val="22"/>
          <w:lang w:eastAsia="en-AU"/>
        </w:rPr>
        <w:tab/>
      </w:r>
      <w:r>
        <w:rPr>
          <w:noProof/>
        </w:rPr>
        <w:t>The Commission’s task</w:t>
      </w:r>
      <w:r>
        <w:rPr>
          <w:noProof/>
        </w:rPr>
        <w:tab/>
        <w:t>33</w:t>
      </w:r>
    </w:p>
    <w:p w:rsidR="007177E9" w:rsidRDefault="007177E9">
      <w:pPr>
        <w:pStyle w:val="TOC2"/>
        <w:tabs>
          <w:tab w:val="left" w:pos="1190"/>
        </w:tabs>
        <w:rPr>
          <w:rFonts w:asciiTheme="minorHAnsi" w:eastAsiaTheme="minorEastAsia" w:hAnsiTheme="minorHAnsi" w:cstheme="minorBidi"/>
          <w:noProof/>
          <w:sz w:val="22"/>
          <w:szCs w:val="22"/>
          <w:lang w:eastAsia="en-AU"/>
        </w:rPr>
      </w:pPr>
      <w:r>
        <w:rPr>
          <w:noProof/>
        </w:rPr>
        <w:t>1.2</w:t>
      </w:r>
      <w:r>
        <w:rPr>
          <w:rFonts w:asciiTheme="minorHAnsi" w:eastAsiaTheme="minorEastAsia" w:hAnsiTheme="minorHAnsi" w:cstheme="minorBidi"/>
          <w:noProof/>
          <w:sz w:val="22"/>
          <w:szCs w:val="22"/>
          <w:lang w:eastAsia="en-AU"/>
        </w:rPr>
        <w:tab/>
      </w:r>
      <w:r>
        <w:rPr>
          <w:noProof/>
        </w:rPr>
        <w:t>Scope of the inquiry</w:t>
      </w:r>
      <w:r>
        <w:rPr>
          <w:noProof/>
        </w:rPr>
        <w:tab/>
        <w:t>33</w:t>
      </w:r>
    </w:p>
    <w:p w:rsidR="007177E9" w:rsidRDefault="007177E9">
      <w:pPr>
        <w:pStyle w:val="TOC2"/>
        <w:tabs>
          <w:tab w:val="left" w:pos="1190"/>
        </w:tabs>
        <w:rPr>
          <w:rFonts w:asciiTheme="minorHAnsi" w:eastAsiaTheme="minorEastAsia" w:hAnsiTheme="minorHAnsi" w:cstheme="minorBidi"/>
          <w:noProof/>
          <w:sz w:val="22"/>
          <w:szCs w:val="22"/>
          <w:lang w:eastAsia="en-AU"/>
        </w:rPr>
      </w:pPr>
      <w:r>
        <w:rPr>
          <w:noProof/>
        </w:rPr>
        <w:t>1.3</w:t>
      </w:r>
      <w:r>
        <w:rPr>
          <w:rFonts w:asciiTheme="minorHAnsi" w:eastAsiaTheme="minorEastAsia" w:hAnsiTheme="minorHAnsi" w:cstheme="minorBidi"/>
          <w:noProof/>
          <w:sz w:val="22"/>
          <w:szCs w:val="22"/>
          <w:lang w:eastAsia="en-AU"/>
        </w:rPr>
        <w:tab/>
      </w:r>
      <w:r>
        <w:rPr>
          <w:noProof/>
        </w:rPr>
        <w:t>The Commission’s approach</w:t>
      </w:r>
      <w:r>
        <w:rPr>
          <w:noProof/>
        </w:rPr>
        <w:tab/>
        <w:t>34</w:t>
      </w:r>
    </w:p>
    <w:p w:rsidR="007177E9" w:rsidRDefault="007177E9">
      <w:pPr>
        <w:pStyle w:val="TOC1"/>
        <w:rPr>
          <w:rFonts w:asciiTheme="minorHAnsi" w:eastAsiaTheme="minorEastAsia" w:hAnsiTheme="minorHAnsi" w:cstheme="minorBidi"/>
          <w:b w:val="0"/>
          <w:noProof/>
          <w:sz w:val="22"/>
          <w:szCs w:val="22"/>
          <w:lang w:eastAsia="en-AU"/>
        </w:rPr>
      </w:pPr>
      <w:r>
        <w:rPr>
          <w:noProof/>
        </w:rPr>
        <w:t>2</w:t>
      </w:r>
      <w:r>
        <w:rPr>
          <w:rFonts w:asciiTheme="minorHAnsi" w:eastAsiaTheme="minorEastAsia" w:hAnsiTheme="minorHAnsi" w:cstheme="minorBidi"/>
          <w:b w:val="0"/>
          <w:noProof/>
          <w:sz w:val="22"/>
          <w:szCs w:val="22"/>
          <w:lang w:eastAsia="en-AU"/>
        </w:rPr>
        <w:tab/>
      </w:r>
      <w:r>
        <w:rPr>
          <w:noProof/>
        </w:rPr>
        <w:t>The role of government</w:t>
      </w:r>
      <w:r>
        <w:rPr>
          <w:noProof/>
        </w:rPr>
        <w:tab/>
        <w:t>39</w:t>
      </w:r>
    </w:p>
    <w:p w:rsidR="007177E9" w:rsidRDefault="007177E9">
      <w:pPr>
        <w:pStyle w:val="TOC2"/>
        <w:tabs>
          <w:tab w:val="left" w:pos="1190"/>
        </w:tabs>
        <w:rPr>
          <w:rFonts w:asciiTheme="minorHAnsi" w:eastAsiaTheme="minorEastAsia" w:hAnsiTheme="minorHAnsi" w:cstheme="minorBidi"/>
          <w:noProof/>
          <w:sz w:val="22"/>
          <w:szCs w:val="22"/>
          <w:lang w:eastAsia="en-AU"/>
        </w:rPr>
      </w:pPr>
      <w:r>
        <w:rPr>
          <w:noProof/>
        </w:rPr>
        <w:t>2.1</w:t>
      </w:r>
      <w:r>
        <w:rPr>
          <w:rFonts w:asciiTheme="minorHAnsi" w:eastAsiaTheme="minorEastAsia" w:hAnsiTheme="minorHAnsi" w:cstheme="minorBidi"/>
          <w:noProof/>
          <w:sz w:val="22"/>
          <w:szCs w:val="22"/>
          <w:lang w:eastAsia="en-AU"/>
        </w:rPr>
        <w:tab/>
      </w:r>
      <w:r>
        <w:rPr>
          <w:noProof/>
        </w:rPr>
        <w:t>Past and present assistance arrangements</w:t>
      </w:r>
      <w:r>
        <w:rPr>
          <w:noProof/>
        </w:rPr>
        <w:tab/>
        <w:t>40</w:t>
      </w:r>
    </w:p>
    <w:p w:rsidR="007177E9" w:rsidRDefault="007177E9">
      <w:pPr>
        <w:pStyle w:val="TOC2"/>
        <w:tabs>
          <w:tab w:val="left" w:pos="1190"/>
        </w:tabs>
        <w:rPr>
          <w:rFonts w:asciiTheme="minorHAnsi" w:eastAsiaTheme="minorEastAsia" w:hAnsiTheme="minorHAnsi" w:cstheme="minorBidi"/>
          <w:noProof/>
          <w:sz w:val="22"/>
          <w:szCs w:val="22"/>
          <w:lang w:eastAsia="en-AU"/>
        </w:rPr>
      </w:pPr>
      <w:r>
        <w:rPr>
          <w:noProof/>
        </w:rPr>
        <w:t>2.2</w:t>
      </w:r>
      <w:r>
        <w:rPr>
          <w:rFonts w:asciiTheme="minorHAnsi" w:eastAsiaTheme="minorEastAsia" w:hAnsiTheme="minorHAnsi" w:cstheme="minorBidi"/>
          <w:noProof/>
          <w:sz w:val="22"/>
          <w:szCs w:val="22"/>
          <w:lang w:eastAsia="en-AU"/>
        </w:rPr>
        <w:tab/>
      </w:r>
      <w:r>
        <w:rPr>
          <w:noProof/>
        </w:rPr>
        <w:t>Is there an ongoing role for government assistance for the automotive manufacturing industry?</w:t>
      </w:r>
      <w:r>
        <w:rPr>
          <w:noProof/>
        </w:rPr>
        <w:tab/>
        <w:t>50</w:t>
      </w:r>
    </w:p>
    <w:p w:rsidR="007177E9" w:rsidRDefault="007177E9">
      <w:pPr>
        <w:pStyle w:val="TOC2"/>
        <w:tabs>
          <w:tab w:val="left" w:pos="1190"/>
        </w:tabs>
        <w:rPr>
          <w:rFonts w:asciiTheme="minorHAnsi" w:eastAsiaTheme="minorEastAsia" w:hAnsiTheme="minorHAnsi" w:cstheme="minorBidi"/>
          <w:noProof/>
          <w:sz w:val="22"/>
          <w:szCs w:val="22"/>
          <w:lang w:eastAsia="en-AU"/>
        </w:rPr>
      </w:pPr>
      <w:r>
        <w:rPr>
          <w:noProof/>
        </w:rPr>
        <w:t>2.3</w:t>
      </w:r>
      <w:r>
        <w:rPr>
          <w:rFonts w:asciiTheme="minorHAnsi" w:eastAsiaTheme="minorEastAsia" w:hAnsiTheme="minorHAnsi" w:cstheme="minorBidi"/>
          <w:noProof/>
          <w:sz w:val="22"/>
          <w:szCs w:val="22"/>
          <w:lang w:eastAsia="en-AU"/>
        </w:rPr>
        <w:tab/>
      </w:r>
      <w:r>
        <w:rPr>
          <w:noProof/>
        </w:rPr>
        <w:t>How do other government policies affect the automotive manufacturing industry?</w:t>
      </w:r>
      <w:r>
        <w:rPr>
          <w:noProof/>
        </w:rPr>
        <w:tab/>
        <w:t>65</w:t>
      </w:r>
    </w:p>
    <w:p w:rsidR="007177E9" w:rsidRDefault="007177E9">
      <w:pPr>
        <w:pStyle w:val="TOC1"/>
        <w:rPr>
          <w:rFonts w:asciiTheme="minorHAnsi" w:eastAsiaTheme="minorEastAsia" w:hAnsiTheme="minorHAnsi" w:cstheme="minorBidi"/>
          <w:b w:val="0"/>
          <w:noProof/>
          <w:sz w:val="22"/>
          <w:szCs w:val="22"/>
          <w:lang w:eastAsia="en-AU"/>
        </w:rPr>
      </w:pPr>
      <w:r>
        <w:rPr>
          <w:noProof/>
        </w:rPr>
        <w:t>3</w:t>
      </w:r>
      <w:r>
        <w:rPr>
          <w:rFonts w:asciiTheme="minorHAnsi" w:eastAsiaTheme="minorEastAsia" w:hAnsiTheme="minorHAnsi" w:cstheme="minorBidi"/>
          <w:b w:val="0"/>
          <w:noProof/>
          <w:sz w:val="22"/>
          <w:szCs w:val="22"/>
          <w:lang w:eastAsia="en-AU"/>
        </w:rPr>
        <w:tab/>
      </w:r>
      <w:r>
        <w:rPr>
          <w:noProof/>
        </w:rPr>
        <w:t>Implications for assistance schemes</w:t>
      </w:r>
      <w:r>
        <w:rPr>
          <w:noProof/>
        </w:rPr>
        <w:tab/>
        <w:t>75</w:t>
      </w:r>
    </w:p>
    <w:p w:rsidR="007177E9" w:rsidRDefault="007177E9">
      <w:pPr>
        <w:pStyle w:val="TOC2"/>
        <w:tabs>
          <w:tab w:val="left" w:pos="1190"/>
        </w:tabs>
        <w:rPr>
          <w:rFonts w:asciiTheme="minorHAnsi" w:eastAsiaTheme="minorEastAsia" w:hAnsiTheme="minorHAnsi" w:cstheme="minorBidi"/>
          <w:noProof/>
          <w:sz w:val="22"/>
          <w:szCs w:val="22"/>
          <w:lang w:eastAsia="en-AU"/>
        </w:rPr>
      </w:pPr>
      <w:r>
        <w:rPr>
          <w:noProof/>
        </w:rPr>
        <w:t>3.1</w:t>
      </w:r>
      <w:r>
        <w:rPr>
          <w:rFonts w:asciiTheme="minorHAnsi" w:eastAsiaTheme="minorEastAsia" w:hAnsiTheme="minorHAnsi" w:cstheme="minorBidi"/>
          <w:noProof/>
          <w:sz w:val="22"/>
          <w:szCs w:val="22"/>
          <w:lang w:eastAsia="en-AU"/>
        </w:rPr>
        <w:tab/>
      </w:r>
      <w:r>
        <w:rPr>
          <w:noProof/>
        </w:rPr>
        <w:t>The Automotive Transformation Scheme</w:t>
      </w:r>
      <w:r>
        <w:rPr>
          <w:noProof/>
        </w:rPr>
        <w:tab/>
        <w:t>76</w:t>
      </w:r>
    </w:p>
    <w:p w:rsidR="007177E9" w:rsidRDefault="007177E9">
      <w:pPr>
        <w:pStyle w:val="TOC2"/>
        <w:tabs>
          <w:tab w:val="left" w:pos="1190"/>
        </w:tabs>
        <w:rPr>
          <w:rFonts w:asciiTheme="minorHAnsi" w:eastAsiaTheme="minorEastAsia" w:hAnsiTheme="minorHAnsi" w:cstheme="minorBidi"/>
          <w:noProof/>
          <w:sz w:val="22"/>
          <w:szCs w:val="22"/>
          <w:lang w:eastAsia="en-AU"/>
        </w:rPr>
      </w:pPr>
      <w:r>
        <w:rPr>
          <w:noProof/>
        </w:rPr>
        <w:t>3.2</w:t>
      </w:r>
      <w:r>
        <w:rPr>
          <w:rFonts w:asciiTheme="minorHAnsi" w:eastAsiaTheme="minorEastAsia" w:hAnsiTheme="minorHAnsi" w:cstheme="minorBidi"/>
          <w:noProof/>
          <w:sz w:val="22"/>
          <w:szCs w:val="22"/>
          <w:lang w:eastAsia="en-AU"/>
        </w:rPr>
        <w:tab/>
      </w:r>
      <w:r>
        <w:rPr>
          <w:noProof/>
        </w:rPr>
        <w:t>Other budgetary assistance programs</w:t>
      </w:r>
      <w:r>
        <w:rPr>
          <w:noProof/>
        </w:rPr>
        <w:tab/>
        <w:t>89</w:t>
      </w:r>
    </w:p>
    <w:p w:rsidR="007177E9" w:rsidRDefault="007177E9">
      <w:pPr>
        <w:pStyle w:val="TOC2"/>
        <w:tabs>
          <w:tab w:val="left" w:pos="1190"/>
        </w:tabs>
        <w:rPr>
          <w:rFonts w:asciiTheme="minorHAnsi" w:eastAsiaTheme="minorEastAsia" w:hAnsiTheme="minorHAnsi" w:cstheme="minorBidi"/>
          <w:noProof/>
          <w:sz w:val="22"/>
          <w:szCs w:val="22"/>
          <w:lang w:eastAsia="en-AU"/>
        </w:rPr>
      </w:pPr>
      <w:r>
        <w:rPr>
          <w:noProof/>
        </w:rPr>
        <w:t>3.3</w:t>
      </w:r>
      <w:r>
        <w:rPr>
          <w:rFonts w:asciiTheme="minorHAnsi" w:eastAsiaTheme="minorEastAsia" w:hAnsiTheme="minorHAnsi" w:cstheme="minorBidi"/>
          <w:noProof/>
          <w:sz w:val="22"/>
          <w:szCs w:val="22"/>
          <w:lang w:eastAsia="en-AU"/>
        </w:rPr>
        <w:tab/>
      </w:r>
      <w:r>
        <w:rPr>
          <w:noProof/>
        </w:rPr>
        <w:t>Other policy relevant arrangements</w:t>
      </w:r>
      <w:r>
        <w:rPr>
          <w:noProof/>
        </w:rPr>
        <w:tab/>
        <w:t>93</w:t>
      </w:r>
    </w:p>
    <w:p w:rsidR="007177E9" w:rsidRDefault="007177E9">
      <w:pPr>
        <w:pStyle w:val="TOC1"/>
        <w:rPr>
          <w:rFonts w:asciiTheme="minorHAnsi" w:eastAsiaTheme="minorEastAsia" w:hAnsiTheme="minorHAnsi" w:cstheme="minorBidi"/>
          <w:b w:val="0"/>
          <w:noProof/>
          <w:sz w:val="22"/>
          <w:szCs w:val="22"/>
          <w:lang w:eastAsia="en-AU"/>
        </w:rPr>
      </w:pPr>
      <w:r>
        <w:rPr>
          <w:noProof/>
        </w:rPr>
        <w:t>4</w:t>
      </w:r>
      <w:r>
        <w:rPr>
          <w:rFonts w:asciiTheme="minorHAnsi" w:eastAsiaTheme="minorEastAsia" w:hAnsiTheme="minorHAnsi" w:cstheme="minorBidi"/>
          <w:b w:val="0"/>
          <w:noProof/>
          <w:sz w:val="22"/>
          <w:szCs w:val="22"/>
          <w:lang w:eastAsia="en-AU"/>
        </w:rPr>
        <w:tab/>
      </w:r>
      <w:r>
        <w:rPr>
          <w:noProof/>
        </w:rPr>
        <w:t>Adjustment costs for automotive manufacturing employees</w:t>
      </w:r>
      <w:r>
        <w:rPr>
          <w:noProof/>
        </w:rPr>
        <w:tab/>
        <w:t>111</w:t>
      </w:r>
    </w:p>
    <w:p w:rsidR="007177E9" w:rsidRDefault="007177E9">
      <w:pPr>
        <w:pStyle w:val="TOC2"/>
        <w:tabs>
          <w:tab w:val="left" w:pos="1190"/>
        </w:tabs>
        <w:rPr>
          <w:rFonts w:asciiTheme="minorHAnsi" w:eastAsiaTheme="minorEastAsia" w:hAnsiTheme="minorHAnsi" w:cstheme="minorBidi"/>
          <w:noProof/>
          <w:sz w:val="22"/>
          <w:szCs w:val="22"/>
          <w:lang w:eastAsia="en-AU"/>
        </w:rPr>
      </w:pPr>
      <w:r>
        <w:rPr>
          <w:noProof/>
        </w:rPr>
        <w:t>4.1</w:t>
      </w:r>
      <w:r>
        <w:rPr>
          <w:rFonts w:asciiTheme="minorHAnsi" w:eastAsiaTheme="minorEastAsia" w:hAnsiTheme="minorHAnsi" w:cstheme="minorBidi"/>
          <w:noProof/>
          <w:sz w:val="22"/>
          <w:szCs w:val="22"/>
          <w:lang w:eastAsia="en-AU"/>
        </w:rPr>
        <w:tab/>
      </w:r>
      <w:r>
        <w:rPr>
          <w:noProof/>
        </w:rPr>
        <w:t>An industry in transition</w:t>
      </w:r>
      <w:r>
        <w:rPr>
          <w:noProof/>
        </w:rPr>
        <w:tab/>
        <w:t>112</w:t>
      </w:r>
    </w:p>
    <w:p w:rsidR="007177E9" w:rsidRDefault="007177E9">
      <w:pPr>
        <w:pStyle w:val="TOC2"/>
        <w:tabs>
          <w:tab w:val="left" w:pos="1190"/>
        </w:tabs>
        <w:rPr>
          <w:rFonts w:asciiTheme="minorHAnsi" w:eastAsiaTheme="minorEastAsia" w:hAnsiTheme="minorHAnsi" w:cstheme="minorBidi"/>
          <w:noProof/>
          <w:sz w:val="22"/>
          <w:szCs w:val="22"/>
          <w:lang w:eastAsia="en-AU"/>
        </w:rPr>
      </w:pPr>
      <w:r>
        <w:rPr>
          <w:noProof/>
        </w:rPr>
        <w:t>4.2</w:t>
      </w:r>
      <w:r>
        <w:rPr>
          <w:rFonts w:asciiTheme="minorHAnsi" w:eastAsiaTheme="minorEastAsia" w:hAnsiTheme="minorHAnsi" w:cstheme="minorBidi"/>
          <w:noProof/>
          <w:sz w:val="22"/>
          <w:szCs w:val="22"/>
          <w:lang w:eastAsia="en-AU"/>
        </w:rPr>
        <w:tab/>
      </w:r>
      <w:r>
        <w:rPr>
          <w:noProof/>
        </w:rPr>
        <w:t>Costs of industry adjustment for employees</w:t>
      </w:r>
      <w:r>
        <w:rPr>
          <w:noProof/>
        </w:rPr>
        <w:tab/>
        <w:t>116</w:t>
      </w:r>
    </w:p>
    <w:p w:rsidR="00172A1C" w:rsidRDefault="007177E9">
      <w:pPr>
        <w:pStyle w:val="TOC2"/>
        <w:tabs>
          <w:tab w:val="left" w:pos="1190"/>
        </w:tabs>
        <w:rPr>
          <w:noProof/>
        </w:rPr>
      </w:pPr>
      <w:r>
        <w:rPr>
          <w:noProof/>
        </w:rPr>
        <w:t>4.3</w:t>
      </w:r>
      <w:r>
        <w:rPr>
          <w:rFonts w:asciiTheme="minorHAnsi" w:eastAsiaTheme="minorEastAsia" w:hAnsiTheme="minorHAnsi" w:cstheme="minorBidi"/>
          <w:noProof/>
          <w:sz w:val="22"/>
          <w:szCs w:val="22"/>
          <w:lang w:eastAsia="en-AU"/>
        </w:rPr>
        <w:tab/>
      </w:r>
      <w:r>
        <w:rPr>
          <w:noProof/>
        </w:rPr>
        <w:t>Preliminary evaluation of adjustment costs in the automotive manufacturing industry</w:t>
      </w:r>
      <w:r>
        <w:rPr>
          <w:noProof/>
        </w:rPr>
        <w:tab/>
        <w:t>119</w:t>
      </w:r>
    </w:p>
    <w:p w:rsidR="00172A1C" w:rsidRDefault="00172A1C">
      <w:pPr>
        <w:rPr>
          <w:noProof/>
          <w:szCs w:val="26"/>
        </w:rPr>
      </w:pPr>
      <w:r>
        <w:rPr>
          <w:noProof/>
        </w:rPr>
        <w:br w:type="page"/>
      </w:r>
    </w:p>
    <w:p w:rsidR="007177E9" w:rsidRDefault="007177E9" w:rsidP="003A2DFC">
      <w:pPr>
        <w:pStyle w:val="TOC1"/>
        <w:keepNext/>
        <w:rPr>
          <w:rFonts w:asciiTheme="minorHAnsi" w:eastAsiaTheme="minorEastAsia" w:hAnsiTheme="minorHAnsi" w:cstheme="minorBidi"/>
          <w:b w:val="0"/>
          <w:noProof/>
          <w:sz w:val="22"/>
          <w:szCs w:val="22"/>
          <w:lang w:eastAsia="en-AU"/>
        </w:rPr>
      </w:pPr>
      <w:r>
        <w:rPr>
          <w:noProof/>
        </w:rPr>
        <w:lastRenderedPageBreak/>
        <w:t>5</w:t>
      </w:r>
      <w:r>
        <w:rPr>
          <w:rFonts w:asciiTheme="minorHAnsi" w:eastAsiaTheme="minorEastAsia" w:hAnsiTheme="minorHAnsi" w:cstheme="minorBidi"/>
          <w:b w:val="0"/>
          <w:noProof/>
          <w:sz w:val="22"/>
          <w:szCs w:val="22"/>
          <w:lang w:eastAsia="en-AU"/>
        </w:rPr>
        <w:tab/>
      </w:r>
      <w:r>
        <w:rPr>
          <w:noProof/>
        </w:rPr>
        <w:t>Adjustment assistance for employees and regions</w:t>
      </w:r>
      <w:r>
        <w:rPr>
          <w:noProof/>
        </w:rPr>
        <w:tab/>
        <w:t>131</w:t>
      </w:r>
    </w:p>
    <w:p w:rsidR="007177E9" w:rsidRPr="00172A1C" w:rsidRDefault="007177E9" w:rsidP="00172A1C">
      <w:pPr>
        <w:pStyle w:val="TOC2"/>
        <w:rPr>
          <w:rFonts w:eastAsiaTheme="minorEastAsia"/>
        </w:rPr>
      </w:pPr>
      <w:r w:rsidRPr="00172A1C">
        <w:t>5.1</w:t>
      </w:r>
      <w:r w:rsidRPr="00172A1C">
        <w:rPr>
          <w:rFonts w:eastAsiaTheme="minorEastAsia"/>
        </w:rPr>
        <w:tab/>
      </w:r>
      <w:r w:rsidRPr="00172A1C">
        <w:t>The role of generally available safety net measures</w:t>
      </w:r>
      <w:r w:rsidRPr="00172A1C">
        <w:tab/>
        <w:t>132</w:t>
      </w:r>
    </w:p>
    <w:p w:rsidR="007177E9" w:rsidRPr="00172A1C" w:rsidRDefault="007177E9" w:rsidP="00172A1C">
      <w:pPr>
        <w:pStyle w:val="TOC2"/>
        <w:rPr>
          <w:rFonts w:eastAsiaTheme="minorEastAsia"/>
        </w:rPr>
      </w:pPr>
      <w:r w:rsidRPr="00172A1C">
        <w:t>5.2</w:t>
      </w:r>
      <w:r w:rsidRPr="00172A1C">
        <w:rPr>
          <w:rFonts w:eastAsiaTheme="minorEastAsia"/>
        </w:rPr>
        <w:tab/>
      </w:r>
      <w:r w:rsidRPr="00172A1C">
        <w:t>Rationales for special adjustment assistance</w:t>
      </w:r>
      <w:r w:rsidRPr="00172A1C">
        <w:tab/>
        <w:t>133</w:t>
      </w:r>
    </w:p>
    <w:p w:rsidR="007177E9" w:rsidRPr="00172A1C" w:rsidRDefault="007177E9" w:rsidP="00172A1C">
      <w:pPr>
        <w:pStyle w:val="TOC2"/>
        <w:rPr>
          <w:rFonts w:eastAsiaTheme="minorEastAsia"/>
        </w:rPr>
      </w:pPr>
      <w:r w:rsidRPr="00172A1C">
        <w:t xml:space="preserve">5.3 </w:t>
      </w:r>
      <w:r w:rsidRPr="00172A1C">
        <w:rPr>
          <w:rFonts w:eastAsiaTheme="minorEastAsia"/>
        </w:rPr>
        <w:tab/>
      </w:r>
      <w:r w:rsidRPr="00172A1C">
        <w:t>Current and proposed special assistance packages for automotive manufacturing employees</w:t>
      </w:r>
      <w:r w:rsidRPr="00172A1C">
        <w:tab/>
        <w:t>136</w:t>
      </w:r>
    </w:p>
    <w:p w:rsidR="007177E9" w:rsidRPr="00172A1C" w:rsidRDefault="007177E9" w:rsidP="00172A1C">
      <w:pPr>
        <w:pStyle w:val="TOC2"/>
        <w:rPr>
          <w:rFonts w:eastAsiaTheme="minorEastAsia"/>
        </w:rPr>
      </w:pPr>
      <w:r w:rsidRPr="00172A1C">
        <w:t>5.4</w:t>
      </w:r>
      <w:r w:rsidRPr="00172A1C">
        <w:rPr>
          <w:rFonts w:eastAsiaTheme="minorEastAsia"/>
        </w:rPr>
        <w:tab/>
      </w:r>
      <w:r w:rsidRPr="00172A1C">
        <w:t>Can special adjustment packages cost</w:t>
      </w:r>
      <w:r w:rsidRPr="00172A1C">
        <w:noBreakHyphen/>
        <w:t>effectively facilitate adjustment?</w:t>
      </w:r>
      <w:r w:rsidRPr="00172A1C">
        <w:tab/>
        <w:t>140</w:t>
      </w:r>
    </w:p>
    <w:p w:rsidR="007177E9" w:rsidRDefault="007177E9">
      <w:pPr>
        <w:pStyle w:val="TOC1"/>
        <w:rPr>
          <w:rFonts w:asciiTheme="minorHAnsi" w:eastAsiaTheme="minorEastAsia" w:hAnsiTheme="minorHAnsi" w:cstheme="minorBidi"/>
          <w:b w:val="0"/>
          <w:noProof/>
          <w:sz w:val="22"/>
          <w:szCs w:val="22"/>
          <w:lang w:eastAsia="en-AU"/>
        </w:rPr>
      </w:pPr>
      <w:r>
        <w:rPr>
          <w:noProof/>
        </w:rPr>
        <w:t>A</w:t>
      </w:r>
      <w:r>
        <w:rPr>
          <w:rFonts w:asciiTheme="minorHAnsi" w:eastAsiaTheme="minorEastAsia" w:hAnsiTheme="minorHAnsi" w:cstheme="minorBidi"/>
          <w:b w:val="0"/>
          <w:noProof/>
          <w:sz w:val="22"/>
          <w:szCs w:val="22"/>
          <w:lang w:eastAsia="en-AU"/>
        </w:rPr>
        <w:tab/>
      </w:r>
      <w:r>
        <w:rPr>
          <w:noProof/>
        </w:rPr>
        <w:t>Conduct of the inquiry</w:t>
      </w:r>
      <w:r>
        <w:rPr>
          <w:noProof/>
        </w:rPr>
        <w:tab/>
        <w:t>153</w:t>
      </w:r>
    </w:p>
    <w:p w:rsidR="007177E9" w:rsidRDefault="007177E9">
      <w:pPr>
        <w:pStyle w:val="TOC1"/>
        <w:rPr>
          <w:rFonts w:asciiTheme="minorHAnsi" w:eastAsiaTheme="minorEastAsia" w:hAnsiTheme="minorHAnsi" w:cstheme="minorBidi"/>
          <w:b w:val="0"/>
          <w:noProof/>
          <w:sz w:val="22"/>
          <w:szCs w:val="22"/>
          <w:lang w:eastAsia="en-AU"/>
        </w:rPr>
      </w:pPr>
      <w:r>
        <w:rPr>
          <w:noProof/>
        </w:rPr>
        <w:t>B</w:t>
      </w:r>
      <w:r>
        <w:rPr>
          <w:rFonts w:asciiTheme="minorHAnsi" w:eastAsiaTheme="minorEastAsia" w:hAnsiTheme="minorHAnsi" w:cstheme="minorBidi"/>
          <w:b w:val="0"/>
          <w:noProof/>
          <w:sz w:val="22"/>
          <w:szCs w:val="22"/>
          <w:lang w:eastAsia="en-AU"/>
        </w:rPr>
        <w:tab/>
      </w:r>
      <w:r>
        <w:rPr>
          <w:noProof/>
        </w:rPr>
        <w:t>International assistance arrangements</w:t>
      </w:r>
      <w:r>
        <w:rPr>
          <w:noProof/>
        </w:rPr>
        <w:tab/>
        <w:t>163</w:t>
      </w:r>
    </w:p>
    <w:p w:rsidR="007177E9" w:rsidRPr="000A5186" w:rsidRDefault="007177E9" w:rsidP="000A5186">
      <w:pPr>
        <w:pStyle w:val="TOC1"/>
        <w:rPr>
          <w:rFonts w:asciiTheme="minorHAnsi" w:eastAsiaTheme="minorEastAsia" w:hAnsiTheme="minorHAnsi" w:cstheme="minorBidi"/>
          <w:noProof/>
          <w:vanish/>
          <w:sz w:val="22"/>
          <w:szCs w:val="22"/>
          <w:lang w:eastAsia="en-AU"/>
        </w:rPr>
      </w:pPr>
      <w:r>
        <w:rPr>
          <w:noProof/>
        </w:rPr>
        <w:t>References</w:t>
      </w:r>
      <w:r>
        <w:rPr>
          <w:noProof/>
        </w:rPr>
        <w:tab/>
        <w:t>183</w:t>
      </w:r>
    </w:p>
    <w:sectPr w:rsidR="007177E9" w:rsidRPr="000A5186" w:rsidSect="00C55A45">
      <w:headerReference w:type="even" r:id="rId21"/>
      <w:headerReference w:type="default" r:id="rId22"/>
      <w:footerReference w:type="even" r:id="rId23"/>
      <w:footerReference w:type="default" r:id="rId24"/>
      <w:headerReference w:type="first" r:id="rId25"/>
      <w:pgSz w:w="11907" w:h="16840" w:code="9"/>
      <w:pgMar w:top="1332" w:right="1304" w:bottom="1418" w:left="1814" w:header="1701" w:footer="56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5989" w:rsidRDefault="008C5989">
      <w:r>
        <w:separator/>
      </w:r>
    </w:p>
    <w:p w:rsidR="008C5989" w:rsidRDefault="008C5989"/>
    <w:p w:rsidR="008C5989" w:rsidRDefault="008C5989"/>
  </w:endnote>
  <w:endnote w:type="continuationSeparator" w:id="0">
    <w:p w:rsidR="008C5989" w:rsidRDefault="008C5989">
      <w:r>
        <w:continuationSeparator/>
      </w:r>
    </w:p>
    <w:p w:rsidR="008C5989" w:rsidRDefault="008C5989"/>
    <w:p w:rsidR="008C5989" w:rsidRDefault="008C59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oudyOlSt BT">
    <w:altName w:val="Georgia"/>
    <w:charset w:val="00"/>
    <w:family w:val="roman"/>
    <w:pitch w:val="variable"/>
    <w:sig w:usb0="00000087" w:usb1="00000000" w:usb2="00000000" w:usb3="00000000" w:csb0="0000001B"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AAC" w:rsidRDefault="00A81AA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AAC" w:rsidRDefault="00A81AA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AAC" w:rsidRDefault="00A81AAC">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8C5989">
      <w:trPr>
        <w:trHeight w:hRule="exact" w:val="740"/>
      </w:trPr>
      <w:tc>
        <w:tcPr>
          <w:tcW w:w="510" w:type="dxa"/>
          <w:tcBorders>
            <w:top w:val="single" w:sz="6" w:space="0" w:color="auto"/>
          </w:tcBorders>
        </w:tcPr>
        <w:p w:rsidR="008C5989" w:rsidRPr="008206EE" w:rsidRDefault="008C5989">
          <w:pPr>
            <w:pStyle w:val="Footer"/>
            <w:rPr>
              <w:rStyle w:val="PageNumber"/>
              <w:caps w:val="0"/>
            </w:rPr>
          </w:pPr>
          <w:r w:rsidRPr="008206EE">
            <w:rPr>
              <w:rStyle w:val="PageNumber"/>
              <w:caps w:val="0"/>
            </w:rPr>
            <w:fldChar w:fldCharType="begin"/>
          </w:r>
          <w:r w:rsidRPr="008206EE">
            <w:rPr>
              <w:rStyle w:val="PageNumber"/>
              <w:caps w:val="0"/>
            </w:rPr>
            <w:instrText xml:space="preserve"> PAGE   \* MERGEFORMAT </w:instrText>
          </w:r>
          <w:r w:rsidRPr="008206EE">
            <w:rPr>
              <w:rStyle w:val="PageNumber"/>
              <w:caps w:val="0"/>
            </w:rPr>
            <w:fldChar w:fldCharType="separate"/>
          </w:r>
          <w:r w:rsidR="00A81AAC">
            <w:rPr>
              <w:rStyle w:val="PageNumber"/>
              <w:caps w:val="0"/>
              <w:noProof/>
            </w:rPr>
            <w:t>vi</w:t>
          </w:r>
          <w:r w:rsidRPr="008206EE">
            <w:rPr>
              <w:rStyle w:val="PageNumber"/>
              <w:caps w:val="0"/>
              <w:noProof/>
            </w:rPr>
            <w:fldChar w:fldCharType="end"/>
          </w:r>
        </w:p>
      </w:tc>
      <w:tc>
        <w:tcPr>
          <w:tcW w:w="1644" w:type="dxa"/>
          <w:tcBorders>
            <w:top w:val="single" w:sz="6" w:space="0" w:color="auto"/>
          </w:tcBorders>
        </w:tcPr>
        <w:p w:rsidR="008C5989" w:rsidRPr="00603344" w:rsidRDefault="006E56DC" w:rsidP="006817C9">
          <w:pPr>
            <w:pStyle w:val="Footer"/>
          </w:pPr>
          <w:fldSimple w:instr=" STYLEREF &quot;Heading 1&quot; \* MERGEFORMAT ">
            <w:r w:rsidR="00A81AAC">
              <w:rPr>
                <w:noProof/>
              </w:rPr>
              <w:t>Terms of reference</w:t>
            </w:r>
          </w:fldSimple>
        </w:p>
      </w:tc>
      <w:tc>
        <w:tcPr>
          <w:tcW w:w="6634" w:type="dxa"/>
        </w:tcPr>
        <w:p w:rsidR="008C5989" w:rsidRPr="00603344" w:rsidRDefault="008C5989">
          <w:pPr>
            <w:pStyle w:val="Footer"/>
            <w:rPr>
              <w:caps w:val="0"/>
            </w:rPr>
          </w:pPr>
        </w:p>
      </w:tc>
    </w:tr>
  </w:tbl>
  <w:p w:rsidR="008C5989" w:rsidRDefault="008C5989">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8C5989" w:rsidTr="006817C9">
      <w:trPr>
        <w:trHeight w:hRule="exact" w:val="740"/>
      </w:trPr>
      <w:tc>
        <w:tcPr>
          <w:tcW w:w="6634" w:type="dxa"/>
        </w:tcPr>
        <w:p w:rsidR="008C5989" w:rsidRPr="00B3203C" w:rsidRDefault="008C5989">
          <w:pPr>
            <w:pStyle w:val="Footer"/>
          </w:pPr>
        </w:p>
      </w:tc>
      <w:tc>
        <w:tcPr>
          <w:tcW w:w="1644" w:type="dxa"/>
          <w:tcBorders>
            <w:top w:val="single" w:sz="6" w:space="0" w:color="auto"/>
          </w:tcBorders>
        </w:tcPr>
        <w:p w:rsidR="008C5989" w:rsidRPr="00B3203C" w:rsidRDefault="008C5989" w:rsidP="006817C9">
          <w:pPr>
            <w:pStyle w:val="Footer"/>
            <w:rPr>
              <w:rStyle w:val="PageNumber"/>
              <w:noProof/>
            </w:rPr>
          </w:pPr>
          <w:r w:rsidRPr="00B3203C">
            <w:rPr>
              <w:noProof/>
            </w:rPr>
            <w:fldChar w:fldCharType="begin"/>
          </w:r>
          <w:r w:rsidRPr="00B3203C">
            <w:rPr>
              <w:noProof/>
            </w:rPr>
            <w:instrText xml:space="preserve"> STYLEREF "Heading 1" \* MERGEFORMAT </w:instrText>
          </w:r>
          <w:r w:rsidRPr="00B3203C">
            <w:rPr>
              <w:noProof/>
            </w:rPr>
            <w:fldChar w:fldCharType="separate"/>
          </w:r>
          <w:r w:rsidR="00A81AAC">
            <w:rPr>
              <w:noProof/>
            </w:rPr>
            <w:t>Terms of reference</w:t>
          </w:r>
          <w:r w:rsidRPr="00B3203C">
            <w:rPr>
              <w:noProof/>
            </w:rPr>
            <w:fldChar w:fldCharType="end"/>
          </w:r>
        </w:p>
      </w:tc>
      <w:tc>
        <w:tcPr>
          <w:tcW w:w="510" w:type="dxa"/>
          <w:tcBorders>
            <w:top w:val="single" w:sz="6" w:space="0" w:color="auto"/>
          </w:tcBorders>
        </w:tcPr>
        <w:p w:rsidR="008C5989" w:rsidRPr="00C55A45" w:rsidRDefault="008C5989">
          <w:pPr>
            <w:pStyle w:val="Footer"/>
            <w:jc w:val="right"/>
            <w:rPr>
              <w:rStyle w:val="PageNumber"/>
              <w:caps w:val="0"/>
              <w:noProof/>
            </w:rPr>
          </w:pPr>
          <w:r w:rsidRPr="00C55A45">
            <w:rPr>
              <w:rStyle w:val="PageNumber"/>
              <w:caps w:val="0"/>
              <w:noProof/>
            </w:rPr>
            <w:fldChar w:fldCharType="begin"/>
          </w:r>
          <w:r w:rsidRPr="00C55A45">
            <w:rPr>
              <w:rStyle w:val="PageNumber"/>
              <w:caps w:val="0"/>
              <w:noProof/>
            </w:rPr>
            <w:instrText xml:space="preserve"> PAGE   \* MERGEFORMAT </w:instrText>
          </w:r>
          <w:r w:rsidRPr="00C55A45">
            <w:rPr>
              <w:rStyle w:val="PageNumber"/>
              <w:caps w:val="0"/>
              <w:noProof/>
            </w:rPr>
            <w:fldChar w:fldCharType="separate"/>
          </w:r>
          <w:r w:rsidR="00A81AAC">
            <w:rPr>
              <w:rStyle w:val="PageNumber"/>
              <w:caps w:val="0"/>
              <w:noProof/>
            </w:rPr>
            <w:t>v</w:t>
          </w:r>
          <w:r w:rsidRPr="00C55A45">
            <w:rPr>
              <w:rStyle w:val="PageNumber"/>
              <w:caps w:val="0"/>
              <w:noProof/>
            </w:rPr>
            <w:fldChar w:fldCharType="end"/>
          </w:r>
        </w:p>
      </w:tc>
    </w:tr>
  </w:tbl>
  <w:p w:rsidR="008C5989" w:rsidRDefault="008C5989">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758"/>
      <w:gridCol w:w="6634"/>
    </w:tblGrid>
    <w:tr w:rsidR="00D37AC2" w:rsidTr="008F7DB7">
      <w:trPr>
        <w:trHeight w:hRule="exact" w:val="740"/>
      </w:trPr>
      <w:tc>
        <w:tcPr>
          <w:tcW w:w="510" w:type="dxa"/>
          <w:tcBorders>
            <w:top w:val="single" w:sz="6" w:space="0" w:color="auto"/>
          </w:tcBorders>
        </w:tcPr>
        <w:p w:rsidR="00D37AC2" w:rsidRPr="00C55A45" w:rsidRDefault="00D37AC2">
          <w:pPr>
            <w:pStyle w:val="Footer"/>
            <w:rPr>
              <w:rStyle w:val="PageNumber"/>
              <w:caps w:val="0"/>
              <w:noProof/>
            </w:rPr>
          </w:pPr>
          <w:r w:rsidRPr="00C55A45">
            <w:rPr>
              <w:rStyle w:val="PageNumber"/>
              <w:caps w:val="0"/>
              <w:noProof/>
            </w:rPr>
            <w:fldChar w:fldCharType="begin"/>
          </w:r>
          <w:r w:rsidRPr="00C55A45">
            <w:rPr>
              <w:rStyle w:val="PageNumber"/>
              <w:caps w:val="0"/>
              <w:noProof/>
            </w:rPr>
            <w:instrText xml:space="preserve"> PAGE   \* MERGEFORMAT </w:instrText>
          </w:r>
          <w:r w:rsidRPr="00C55A45">
            <w:rPr>
              <w:rStyle w:val="PageNumber"/>
              <w:caps w:val="0"/>
              <w:noProof/>
            </w:rPr>
            <w:fldChar w:fldCharType="separate"/>
          </w:r>
          <w:r w:rsidR="00A81AAC">
            <w:rPr>
              <w:rStyle w:val="PageNumber"/>
              <w:caps w:val="0"/>
              <w:noProof/>
            </w:rPr>
            <w:t>viii</w:t>
          </w:r>
          <w:r w:rsidRPr="00C55A45">
            <w:rPr>
              <w:rStyle w:val="PageNumber"/>
              <w:caps w:val="0"/>
              <w:noProof/>
            </w:rPr>
            <w:fldChar w:fldCharType="end"/>
          </w:r>
        </w:p>
      </w:tc>
      <w:tc>
        <w:tcPr>
          <w:tcW w:w="1758" w:type="dxa"/>
          <w:tcBorders>
            <w:top w:val="single" w:sz="6" w:space="0" w:color="auto"/>
          </w:tcBorders>
        </w:tcPr>
        <w:p w:rsidR="00CA3E09" w:rsidRDefault="00C82519" w:rsidP="00CA3E09">
          <w:pPr>
            <w:pStyle w:val="Footer"/>
          </w:pPr>
          <w:r>
            <w:t>contents</w:t>
          </w:r>
        </w:p>
        <w:p w:rsidR="00C82519" w:rsidRDefault="00C82519" w:rsidP="00CA3E09">
          <w:pPr>
            <w:pStyle w:val="Footer"/>
            <w:rPr>
              <w:noProof/>
            </w:rPr>
          </w:pPr>
        </w:p>
      </w:tc>
      <w:tc>
        <w:tcPr>
          <w:tcW w:w="6634" w:type="dxa"/>
        </w:tcPr>
        <w:p w:rsidR="00D37AC2" w:rsidRDefault="00D37AC2">
          <w:pPr>
            <w:pStyle w:val="Footer"/>
            <w:rPr>
              <w:caps w:val="0"/>
            </w:rPr>
          </w:pPr>
        </w:p>
      </w:tc>
    </w:tr>
  </w:tbl>
  <w:p w:rsidR="00D37AC2" w:rsidRDefault="00D37AC2">
    <w:pPr>
      <w:pStyle w:val="FooterEnd"/>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63"/>
      <w:gridCol w:w="1615"/>
      <w:gridCol w:w="510"/>
    </w:tblGrid>
    <w:tr w:rsidR="00D37AC2">
      <w:trPr>
        <w:trHeight w:hRule="exact" w:val="740"/>
      </w:trPr>
      <w:tc>
        <w:tcPr>
          <w:tcW w:w="6663" w:type="dxa"/>
        </w:tcPr>
        <w:p w:rsidR="00D37AC2" w:rsidRDefault="00D37AC2">
          <w:pPr>
            <w:pStyle w:val="Footer"/>
          </w:pPr>
        </w:p>
      </w:tc>
      <w:tc>
        <w:tcPr>
          <w:tcW w:w="1615" w:type="dxa"/>
          <w:tcBorders>
            <w:top w:val="single" w:sz="6" w:space="0" w:color="auto"/>
          </w:tcBorders>
        </w:tcPr>
        <w:p w:rsidR="00D37AC2" w:rsidRDefault="00185742">
          <w:pPr>
            <w:pStyle w:val="Footer"/>
            <w:rPr>
              <w:rStyle w:val="PageNumber"/>
              <w:b w:val="0"/>
            </w:rPr>
          </w:pPr>
          <w:r>
            <w:t>contents</w:t>
          </w:r>
        </w:p>
      </w:tc>
      <w:tc>
        <w:tcPr>
          <w:tcW w:w="510" w:type="dxa"/>
          <w:tcBorders>
            <w:top w:val="single" w:sz="6" w:space="0" w:color="auto"/>
          </w:tcBorders>
        </w:tcPr>
        <w:p w:rsidR="00D37AC2" w:rsidRPr="00E15FDC" w:rsidRDefault="00D37AC2">
          <w:pPr>
            <w:pStyle w:val="Footer"/>
            <w:jc w:val="right"/>
            <w:rPr>
              <w:rStyle w:val="PageNumber"/>
              <w:caps w:val="0"/>
            </w:rPr>
          </w:pPr>
          <w:r w:rsidRPr="00E15FDC">
            <w:rPr>
              <w:rStyle w:val="PageNumber"/>
              <w:caps w:val="0"/>
            </w:rPr>
            <w:fldChar w:fldCharType="begin"/>
          </w:r>
          <w:r w:rsidRPr="00E15FDC">
            <w:rPr>
              <w:rStyle w:val="PageNumber"/>
              <w:caps w:val="0"/>
            </w:rPr>
            <w:instrText xml:space="preserve"> PAGE   \* MERGEFORMAT </w:instrText>
          </w:r>
          <w:r w:rsidRPr="00E15FDC">
            <w:rPr>
              <w:rStyle w:val="PageNumber"/>
              <w:caps w:val="0"/>
            </w:rPr>
            <w:fldChar w:fldCharType="separate"/>
          </w:r>
          <w:r w:rsidR="00A81AAC">
            <w:rPr>
              <w:rStyle w:val="PageNumber"/>
              <w:caps w:val="0"/>
              <w:noProof/>
            </w:rPr>
            <w:t>vii</w:t>
          </w:r>
          <w:r w:rsidRPr="00E15FDC">
            <w:rPr>
              <w:rStyle w:val="PageNumber"/>
              <w:caps w:val="0"/>
              <w:noProof/>
            </w:rPr>
            <w:fldChar w:fldCharType="end"/>
          </w:r>
        </w:p>
      </w:tc>
    </w:tr>
  </w:tbl>
  <w:p w:rsidR="00D37AC2" w:rsidRDefault="00D37AC2" w:rsidP="00B9533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5989" w:rsidRDefault="008C5989">
      <w:r>
        <w:separator/>
      </w:r>
    </w:p>
    <w:p w:rsidR="008C5989" w:rsidRDefault="008C5989"/>
    <w:p w:rsidR="008C5989" w:rsidRDefault="008C5989"/>
  </w:footnote>
  <w:footnote w:type="continuationSeparator" w:id="0">
    <w:p w:rsidR="008C5989" w:rsidRDefault="008C5989">
      <w:r>
        <w:continuationSeparator/>
      </w:r>
    </w:p>
    <w:p w:rsidR="008C5989" w:rsidRDefault="008C5989"/>
    <w:p w:rsidR="008C5989" w:rsidRDefault="008C598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AAC" w:rsidRDefault="00A81AAC" w:rsidP="00A81AAC">
    <w:pPr>
      <w:pStyle w:val="Header"/>
      <w:jc w:val="center"/>
    </w:pPr>
    <w:r>
      <w:rPr>
        <w:color w:val="F79646" w:themeColor="accent6"/>
        <w:sz w:val="14"/>
        <w:szCs w:val="14"/>
      </w:rPr>
      <w:t>draft report: For final outcomes of this project refer to the inquiry report.</w:t>
    </w: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23258" o:spid="_x0000_s61442" type="#_x0000_t136" style="position:absolute;left:0;text-align:left;margin-left:0;margin-top:0;width:442.55pt;height:177pt;rotation:315;z-index:-251655168;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AAC" w:rsidRDefault="00A81AA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23259" o:spid="_x0000_s61443" type="#_x0000_t136" style="position:absolute;margin-left:0;margin-top:0;width:442.55pt;height:177pt;rotation:315;z-index:-251653120;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AAC" w:rsidRDefault="00A81AA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23257" o:spid="_x0000_s61441" type="#_x0000_t136" style="position:absolute;margin-left:0;margin-top:0;width:442.55pt;height:177pt;rotation:315;z-index:-251657216;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8C5989">
      <w:tc>
        <w:tcPr>
          <w:tcW w:w="2155" w:type="dxa"/>
          <w:tcBorders>
            <w:top w:val="single" w:sz="24" w:space="0" w:color="auto"/>
          </w:tcBorders>
        </w:tcPr>
        <w:p w:rsidR="008C5989" w:rsidRDefault="00A81AA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23261" o:spid="_x0000_s61445" type="#_x0000_t136" style="position:absolute;margin-left:0;margin-top:0;width:442.55pt;height:177pt;rotation:315;z-index:-251649024;mso-position-horizontal:center;mso-position-horizontal-relative:margin;mso-position-vertical:center;mso-position-vertical-relative:margin" o:allowincell="f" fillcolor="silver" stroked="f">
                <v:fill opacity=".5"/>
                <v:textpath style="font-family:&quot;Arial&quot;;font-size:1pt" string="DRAFT"/>
              </v:shape>
            </w:pict>
          </w:r>
        </w:p>
      </w:tc>
      <w:tc>
        <w:tcPr>
          <w:tcW w:w="6634" w:type="dxa"/>
          <w:tcBorders>
            <w:top w:val="single" w:sz="6" w:space="0" w:color="auto"/>
          </w:tcBorders>
        </w:tcPr>
        <w:p w:rsidR="008C5989" w:rsidRDefault="00A81AAC">
          <w:pPr>
            <w:pStyle w:val="Header"/>
          </w:pPr>
          <w:r>
            <w:rPr>
              <w:color w:val="F79646" w:themeColor="accent6"/>
              <w:sz w:val="14"/>
              <w:szCs w:val="14"/>
            </w:rPr>
            <w:t>draft report: For final outcomes of this project refer to the inquiry report.</w:t>
          </w:r>
        </w:p>
      </w:tc>
    </w:tr>
  </w:tbl>
  <w:p w:rsidR="008C5989" w:rsidRDefault="008C5989">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8C5989" w:rsidTr="006817C9">
      <w:tc>
        <w:tcPr>
          <w:tcW w:w="6634" w:type="dxa"/>
          <w:tcBorders>
            <w:top w:val="single" w:sz="6" w:space="0" w:color="auto"/>
          </w:tcBorders>
        </w:tcPr>
        <w:p w:rsidR="008C5989" w:rsidRDefault="00A81AAC" w:rsidP="006817C9">
          <w:pPr>
            <w:pStyle w:val="HeaderOdd"/>
          </w:pPr>
          <w:r>
            <w:rPr>
              <w:color w:val="F79646" w:themeColor="accent6"/>
              <w:sz w:val="14"/>
              <w:szCs w:val="14"/>
            </w:rPr>
            <w:t>draft report: For final outcomes of this project refer to the inquiry report.</w:t>
          </w: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23262" o:spid="_x0000_s61446" type="#_x0000_t136" style="position:absolute;margin-left:0;margin-top:0;width:442.55pt;height:177pt;rotation:315;z-index:-251646976;mso-position-horizontal:center;mso-position-horizontal-relative:margin;mso-position-vertical:center;mso-position-vertical-relative:margin" o:allowincell="f" fillcolor="silver" stroked="f">
                <v:fill opacity=".5"/>
                <v:textpath style="font-family:&quot;Arial&quot;;font-size:1pt" string="DRAFT"/>
              </v:shape>
            </w:pict>
          </w:r>
        </w:p>
      </w:tc>
      <w:tc>
        <w:tcPr>
          <w:tcW w:w="2155" w:type="dxa"/>
          <w:tcBorders>
            <w:top w:val="single" w:sz="24" w:space="0" w:color="auto"/>
          </w:tcBorders>
        </w:tcPr>
        <w:p w:rsidR="008C5989" w:rsidRDefault="008C5989" w:rsidP="006817C9">
          <w:pPr>
            <w:pStyle w:val="HeaderOdd"/>
          </w:pPr>
        </w:p>
      </w:tc>
    </w:tr>
  </w:tbl>
  <w:p w:rsidR="008C5989" w:rsidRPr="005C68FE" w:rsidRDefault="008C5989" w:rsidP="006817C9">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AAC" w:rsidRDefault="00A81AA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23260" o:spid="_x0000_s61444" type="#_x0000_t136" style="position:absolute;margin-left:0;margin-top:0;width:442.55pt;height:177pt;rotation:315;z-index:-251651072;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D37AC2" w:rsidTr="005C68FE">
      <w:tc>
        <w:tcPr>
          <w:tcW w:w="2155" w:type="dxa"/>
          <w:tcBorders>
            <w:top w:val="single" w:sz="24" w:space="0" w:color="auto"/>
          </w:tcBorders>
        </w:tcPr>
        <w:p w:rsidR="00D37AC2" w:rsidRDefault="00A81AAC" w:rsidP="005C68FE">
          <w:pPr>
            <w:pStyle w:val="HeaderEven"/>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23264" o:spid="_x0000_s61448" type="#_x0000_t136" style="position:absolute;margin-left:0;margin-top:0;width:442.55pt;height:177pt;rotation:315;z-index:-251642880;mso-position-horizontal:center;mso-position-horizontal-relative:margin;mso-position-vertical:center;mso-position-vertical-relative:margin" o:allowincell="f" fillcolor="silver" stroked="f">
                <v:fill opacity=".5"/>
                <v:textpath style="font-family:&quot;Arial&quot;;font-size:1pt" string="DRAFT"/>
              </v:shape>
            </w:pict>
          </w:r>
        </w:p>
      </w:tc>
      <w:tc>
        <w:tcPr>
          <w:tcW w:w="6634" w:type="dxa"/>
          <w:tcBorders>
            <w:top w:val="single" w:sz="6" w:space="0" w:color="auto"/>
          </w:tcBorders>
        </w:tcPr>
        <w:p w:rsidR="00D37AC2" w:rsidRDefault="00A81AAC" w:rsidP="005C68FE">
          <w:pPr>
            <w:pStyle w:val="HeaderEven"/>
          </w:pPr>
          <w:r>
            <w:rPr>
              <w:color w:val="F79646" w:themeColor="accent6"/>
              <w:sz w:val="14"/>
              <w:szCs w:val="14"/>
            </w:rPr>
            <w:t>draft report: For final outcomes of this project refer to the inquiry report.</w:t>
          </w:r>
          <w:bookmarkStart w:id="11" w:name="_GoBack"/>
          <w:bookmarkEnd w:id="11"/>
        </w:p>
      </w:tc>
    </w:tr>
  </w:tbl>
  <w:p w:rsidR="00D37AC2" w:rsidRDefault="00D37AC2" w:rsidP="00D732FE">
    <w:pPr>
      <w:pStyle w:val="HeaderEnd"/>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37AC2">
      <w:tc>
        <w:tcPr>
          <w:tcW w:w="6634" w:type="dxa"/>
          <w:tcBorders>
            <w:top w:val="single" w:sz="6" w:space="0" w:color="auto"/>
          </w:tcBorders>
        </w:tcPr>
        <w:p w:rsidR="00D37AC2" w:rsidRDefault="00A81AAC">
          <w:pPr>
            <w:pStyle w:val="HeaderOdd"/>
          </w:pPr>
          <w:r>
            <w:rPr>
              <w:color w:val="F79646" w:themeColor="accent6"/>
              <w:sz w:val="14"/>
              <w:szCs w:val="14"/>
            </w:rPr>
            <w:t>draft report: For final outcomes of this project refer to the inquiry report.</w:t>
          </w: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23265" o:spid="_x0000_s61449" type="#_x0000_t136" style="position:absolute;margin-left:0;margin-top:0;width:442.55pt;height:177pt;rotation:315;z-index:-251640832;mso-position-horizontal:center;mso-position-horizontal-relative:margin;mso-position-vertical:center;mso-position-vertical-relative:margin" o:allowincell="f" fillcolor="silver" stroked="f">
                <v:fill opacity=".5"/>
                <v:textpath style="font-family:&quot;Arial&quot;;font-size:1pt" string="DRAFT"/>
              </v:shape>
            </w:pict>
          </w:r>
        </w:p>
      </w:tc>
      <w:tc>
        <w:tcPr>
          <w:tcW w:w="2155" w:type="dxa"/>
          <w:tcBorders>
            <w:top w:val="single" w:sz="24" w:space="0" w:color="auto"/>
          </w:tcBorders>
        </w:tcPr>
        <w:p w:rsidR="00D37AC2" w:rsidRDefault="00D37AC2">
          <w:pPr>
            <w:pStyle w:val="HeaderOdd"/>
          </w:pPr>
        </w:p>
      </w:tc>
    </w:tr>
  </w:tbl>
  <w:p w:rsidR="00D37AC2" w:rsidRDefault="00D37AC2" w:rsidP="00B95339">
    <w:pPr>
      <w:pStyle w:val="HeaderEnd"/>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AAC" w:rsidRDefault="00A81AA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23263" o:spid="_x0000_s61447" type="#_x0000_t136" style="position:absolute;margin-left:0;margin-top:0;width:442.55pt;height:177pt;rotation:315;z-index:-251644928;mso-position-horizontal:center;mso-position-horizontal-relative:margin;mso-position-vertical:center;mso-position-vertical-relative:margin" o:allowincell="f" fillcolor="silver" stroked="f">
          <v:fill opacity=".5"/>
          <v:textpath style="font-family:&quot;Arial&quot;;font-size:1pt" string="DRAF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DEC02068"/>
    <w:lvl w:ilvl="0">
      <w:numFmt w:val="bullet"/>
      <w:pStyle w:val="ListBullet2"/>
      <w:lvlText w:val="–"/>
      <w:lvlJc w:val="left"/>
      <w:pPr>
        <w:tabs>
          <w:tab w:val="num" w:pos="644"/>
        </w:tabs>
        <w:ind w:left="340" w:hanging="56"/>
      </w:pPr>
      <w:rPr>
        <w:rFonts w:ascii="Times New Roman" w:hAnsi="Times New Roman" w:hint="default"/>
      </w:rPr>
    </w:lvl>
  </w:abstractNum>
  <w:abstractNum w:abstractNumId="8">
    <w:nsid w:val="06214B87"/>
    <w:multiLevelType w:val="singleLevel"/>
    <w:tmpl w:val="E7705C56"/>
    <w:lvl w:ilvl="0">
      <w:numFmt w:val="bullet"/>
      <w:pStyle w:val="BoxListBullet2"/>
      <w:lvlText w:val="–"/>
      <w:lvlJc w:val="left"/>
      <w:pPr>
        <w:tabs>
          <w:tab w:val="num" w:pos="360"/>
        </w:tabs>
        <w:ind w:left="284" w:hanging="284"/>
      </w:pPr>
      <w:rPr>
        <w:rFonts w:ascii="Times New Roman" w:hAnsi="Times New Roman" w:hint="default"/>
      </w:rPr>
    </w:lvl>
  </w:abstractNum>
  <w:abstractNum w:abstractNumId="9">
    <w:nsid w:val="0E116344"/>
    <w:multiLevelType w:val="multilevel"/>
    <w:tmpl w:val="3B188B36"/>
    <w:lvl w:ilvl="0">
      <w:start w:val="1"/>
      <w:numFmt w:val="decimal"/>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AB25CDE"/>
    <w:multiLevelType w:val="singleLevel"/>
    <w:tmpl w:val="3086CA22"/>
    <w:lvl w:ilvl="0">
      <w:start w:val="1"/>
      <w:numFmt w:val="decimal"/>
      <w:lvlText w:val="%1."/>
      <w:legacy w:legacy="1" w:legacySpace="0" w:legacyIndent="340"/>
      <w:lvlJc w:val="left"/>
      <w:pPr>
        <w:ind w:left="340" w:hanging="340"/>
      </w:pPr>
    </w:lvl>
  </w:abstractNum>
  <w:abstractNum w:abstractNumId="13">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4">
    <w:nsid w:val="2F1F7586"/>
    <w:multiLevelType w:val="hybridMultilevel"/>
    <w:tmpl w:val="C956622A"/>
    <w:lvl w:ilvl="0" w:tplc="8D90534E">
      <w:start w:val="1"/>
      <w:numFmt w:val="decimal"/>
      <w:pStyle w:val="BoxListNumber"/>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30E90CE4"/>
    <w:multiLevelType w:val="singleLevel"/>
    <w:tmpl w:val="5FA21F84"/>
    <w:lvl w:ilvl="0">
      <w:start w:val="1"/>
      <w:numFmt w:val="bullet"/>
      <w:pStyle w:val="BoxListBullet"/>
      <w:lvlText w:val=""/>
      <w:lvlJc w:val="left"/>
      <w:pPr>
        <w:tabs>
          <w:tab w:val="num" w:pos="360"/>
        </w:tabs>
        <w:ind w:left="284" w:hanging="284"/>
      </w:pPr>
      <w:rPr>
        <w:rFonts w:ascii="Symbol" w:hAnsi="Symbol" w:hint="default"/>
        <w:sz w:val="18"/>
      </w:rPr>
    </w:lvl>
  </w:abstractNum>
  <w:abstractNum w:abstractNumId="16">
    <w:nsid w:val="54382D6E"/>
    <w:multiLevelType w:val="singleLevel"/>
    <w:tmpl w:val="B7BC21DE"/>
    <w:lvl w:ilvl="0">
      <w:numFmt w:val="bullet"/>
      <w:pStyle w:val="ListBullet"/>
      <w:lvlText w:val=""/>
      <w:lvlJc w:val="left"/>
      <w:pPr>
        <w:tabs>
          <w:tab w:val="num" w:pos="360"/>
        </w:tabs>
        <w:ind w:left="340" w:hanging="340"/>
      </w:pPr>
      <w:rPr>
        <w:rFonts w:ascii="Symbol" w:hAnsi="Symbol" w:hint="default"/>
        <w:sz w:val="18"/>
      </w:rPr>
    </w:lvl>
  </w:abstractNum>
  <w:abstractNum w:abstractNumId="17">
    <w:nsid w:val="543E1FD6"/>
    <w:multiLevelType w:val="singleLevel"/>
    <w:tmpl w:val="D4A092D6"/>
    <w:lvl w:ilvl="0">
      <w:start w:val="1"/>
      <w:numFmt w:val="bullet"/>
      <w:pStyle w:val="TableBullet"/>
      <w:lvlText w:val=""/>
      <w:lvlJc w:val="left"/>
      <w:pPr>
        <w:tabs>
          <w:tab w:val="num" w:pos="360"/>
        </w:tabs>
        <w:ind w:left="170" w:hanging="170"/>
      </w:pPr>
      <w:rPr>
        <w:rFonts w:ascii="Symbol" w:hAnsi="Symbol" w:hint="default"/>
        <w:b w:val="0"/>
        <w:i w:val="0"/>
        <w:sz w:val="18"/>
      </w:rPr>
    </w:lvl>
  </w:abstractNum>
  <w:abstractNum w:abstractNumId="18">
    <w:nsid w:val="56107838"/>
    <w:multiLevelType w:val="singleLevel"/>
    <w:tmpl w:val="98765266"/>
    <w:lvl w:ilvl="0">
      <w:start w:val="1"/>
      <w:numFmt w:val="bullet"/>
      <w:pStyle w:val="QuoteBullet"/>
      <w:lvlText w:val=""/>
      <w:lvlJc w:val="left"/>
      <w:pPr>
        <w:tabs>
          <w:tab w:val="num" w:pos="360"/>
        </w:tabs>
        <w:ind w:left="360" w:hanging="360"/>
      </w:pPr>
      <w:rPr>
        <w:rFonts w:ascii="Symbol" w:hAnsi="Symbol" w:hint="default"/>
        <w:sz w:val="18"/>
      </w:rPr>
    </w:lvl>
  </w:abstractNum>
  <w:abstractNum w:abstractNumId="19">
    <w:nsid w:val="643516F3"/>
    <w:multiLevelType w:val="singleLevel"/>
    <w:tmpl w:val="456CB25C"/>
    <w:lvl w:ilvl="0">
      <w:start w:val="1"/>
      <w:numFmt w:val="bullet"/>
      <w:pStyle w:val="ListBullet3"/>
      <w:lvlText w:val=""/>
      <w:lvlJc w:val="left"/>
      <w:pPr>
        <w:tabs>
          <w:tab w:val="num" w:pos="360"/>
        </w:tabs>
        <w:ind w:left="340" w:hanging="340"/>
      </w:pPr>
      <w:rPr>
        <w:rFonts w:ascii="MT Extra" w:hAnsi="MT Extra" w:hint="default"/>
        <w:b w:val="0"/>
        <w:i w:val="0"/>
        <w:sz w:val="16"/>
      </w:rPr>
    </w:lvl>
  </w:abstractNum>
  <w:abstractNum w:abstractNumId="20">
    <w:nsid w:val="6B740744"/>
    <w:multiLevelType w:val="singleLevel"/>
    <w:tmpl w:val="B4744B66"/>
    <w:lvl w:ilvl="0">
      <w:start w:val="1"/>
      <w:numFmt w:val="decimal"/>
      <w:lvlText w:val="%1."/>
      <w:legacy w:legacy="1" w:legacySpace="0" w:legacyIndent="340"/>
      <w:lvlJc w:val="left"/>
      <w:pPr>
        <w:ind w:left="340" w:hanging="340"/>
      </w:pPr>
    </w:lvl>
  </w:abstractNum>
  <w:abstractNum w:abstractNumId="21">
    <w:nsid w:val="7A1373DF"/>
    <w:multiLevelType w:val="singleLevel"/>
    <w:tmpl w:val="798200E0"/>
    <w:lvl w:ilvl="0">
      <w:start w:val="1"/>
      <w:numFmt w:val="bullet"/>
      <w:pStyle w:val="FindingBullet"/>
      <w:lvlText w:val=""/>
      <w:lvlJc w:val="left"/>
      <w:pPr>
        <w:tabs>
          <w:tab w:val="num" w:pos="360"/>
        </w:tabs>
        <w:ind w:left="340" w:hanging="340"/>
      </w:pPr>
      <w:rPr>
        <w:rFonts w:ascii="Symbol" w:hAnsi="Symbol" w:hint="default"/>
        <w:b w:val="0"/>
        <w:i w:val="0"/>
        <w:sz w:val="18"/>
      </w:rPr>
    </w:lvl>
  </w:abstractNum>
  <w:abstractNum w:abstractNumId="22">
    <w:nsid w:val="7BFA7D75"/>
    <w:multiLevelType w:val="singleLevel"/>
    <w:tmpl w:val="FE48DC38"/>
    <w:lvl w:ilvl="0">
      <w:start w:val="1"/>
      <w:numFmt w:val="bullet"/>
      <w:pStyle w:val="RecBullet"/>
      <w:lvlText w:val=""/>
      <w:lvlJc w:val="left"/>
      <w:pPr>
        <w:tabs>
          <w:tab w:val="num" w:pos="36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0"/>
  </w:num>
  <w:num w:numId="13">
    <w:abstractNumId w:val="15"/>
  </w:num>
  <w:num w:numId="14">
    <w:abstractNumId w:val="8"/>
  </w:num>
  <w:num w:numId="15">
    <w:abstractNumId w:val="21"/>
  </w:num>
  <w:num w:numId="16">
    <w:abstractNumId w:val="16"/>
  </w:num>
  <w:num w:numId="17">
    <w:abstractNumId w:val="7"/>
  </w:num>
  <w:num w:numId="18">
    <w:abstractNumId w:val="19"/>
  </w:num>
  <w:num w:numId="19">
    <w:abstractNumId w:val="18"/>
  </w:num>
  <w:num w:numId="20">
    <w:abstractNumId w:val="22"/>
  </w:num>
  <w:num w:numId="21">
    <w:abstractNumId w:val="13"/>
  </w:num>
  <w:num w:numId="22">
    <w:abstractNumId w:val="11"/>
  </w:num>
  <w:num w:numId="23">
    <w:abstractNumId w:val="17"/>
  </w:num>
  <w:num w:numId="24">
    <w:abstractNumId w:val="12"/>
  </w:num>
  <w:num w:numId="25">
    <w:abstractNumId w:val="10"/>
  </w:num>
  <w:num w:numId="26">
    <w:abstractNumId w:val="10"/>
  </w:num>
  <w:num w:numId="27">
    <w:abstractNumId w:val="10"/>
  </w:num>
  <w:num w:numId="28">
    <w:abstractNumId w:val="10"/>
  </w:num>
  <w:num w:numId="29">
    <w:abstractNumId w:val="14"/>
  </w:num>
  <w:num w:numId="30">
    <w:abstractNumId w:val="9"/>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proofState w:spelling="clean"/>
  <w:attachedTemplate r:id="rId1"/>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61450"/>
    <o:shapelayout v:ext="edit">
      <o:idmap v:ext="edit" data="60"/>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5989"/>
    <w:rsid w:val="00017AFC"/>
    <w:rsid w:val="00025878"/>
    <w:rsid w:val="00026B38"/>
    <w:rsid w:val="000502D3"/>
    <w:rsid w:val="000623BF"/>
    <w:rsid w:val="00095EEA"/>
    <w:rsid w:val="00097C15"/>
    <w:rsid w:val="000A47E6"/>
    <w:rsid w:val="000A5186"/>
    <w:rsid w:val="000B416E"/>
    <w:rsid w:val="000F185F"/>
    <w:rsid w:val="000F2F5F"/>
    <w:rsid w:val="00106041"/>
    <w:rsid w:val="0013399B"/>
    <w:rsid w:val="00172A1C"/>
    <w:rsid w:val="00181F4B"/>
    <w:rsid w:val="00185742"/>
    <w:rsid w:val="00196FB3"/>
    <w:rsid w:val="001A5071"/>
    <w:rsid w:val="001B4E73"/>
    <w:rsid w:val="001B7F1E"/>
    <w:rsid w:val="001D4B1F"/>
    <w:rsid w:val="001D6629"/>
    <w:rsid w:val="001F2270"/>
    <w:rsid w:val="00205A82"/>
    <w:rsid w:val="00211BEE"/>
    <w:rsid w:val="002179C6"/>
    <w:rsid w:val="00221145"/>
    <w:rsid w:val="002423E7"/>
    <w:rsid w:val="00261607"/>
    <w:rsid w:val="00263DD1"/>
    <w:rsid w:val="00264D3B"/>
    <w:rsid w:val="00265685"/>
    <w:rsid w:val="00281D5F"/>
    <w:rsid w:val="002923AD"/>
    <w:rsid w:val="00296592"/>
    <w:rsid w:val="002A0A4B"/>
    <w:rsid w:val="002B636E"/>
    <w:rsid w:val="002B64D6"/>
    <w:rsid w:val="002C12F5"/>
    <w:rsid w:val="002D6FCE"/>
    <w:rsid w:val="00360943"/>
    <w:rsid w:val="003A2DFC"/>
    <w:rsid w:val="003B33A2"/>
    <w:rsid w:val="003B41E0"/>
    <w:rsid w:val="003D624D"/>
    <w:rsid w:val="003E7802"/>
    <w:rsid w:val="003F32C6"/>
    <w:rsid w:val="00433C81"/>
    <w:rsid w:val="00436744"/>
    <w:rsid w:val="00446D6B"/>
    <w:rsid w:val="00457B3F"/>
    <w:rsid w:val="00463022"/>
    <w:rsid w:val="00481CF0"/>
    <w:rsid w:val="004B492A"/>
    <w:rsid w:val="004C0B0C"/>
    <w:rsid w:val="004E52E2"/>
    <w:rsid w:val="004E6BB4"/>
    <w:rsid w:val="00515D43"/>
    <w:rsid w:val="0052544D"/>
    <w:rsid w:val="005313D8"/>
    <w:rsid w:val="00551FB8"/>
    <w:rsid w:val="005537F6"/>
    <w:rsid w:val="00560F43"/>
    <w:rsid w:val="005654D0"/>
    <w:rsid w:val="00566281"/>
    <w:rsid w:val="00572934"/>
    <w:rsid w:val="0057328F"/>
    <w:rsid w:val="005B17AB"/>
    <w:rsid w:val="005C68FE"/>
    <w:rsid w:val="00602523"/>
    <w:rsid w:val="00604351"/>
    <w:rsid w:val="00607D8A"/>
    <w:rsid w:val="0061590F"/>
    <w:rsid w:val="00636497"/>
    <w:rsid w:val="00641AE2"/>
    <w:rsid w:val="0064456A"/>
    <w:rsid w:val="00650DDA"/>
    <w:rsid w:val="0065126A"/>
    <w:rsid w:val="006513B3"/>
    <w:rsid w:val="00657C68"/>
    <w:rsid w:val="006802D4"/>
    <w:rsid w:val="00683849"/>
    <w:rsid w:val="00691AB5"/>
    <w:rsid w:val="006E1E6B"/>
    <w:rsid w:val="006E56DC"/>
    <w:rsid w:val="006F0EAC"/>
    <w:rsid w:val="006F6A85"/>
    <w:rsid w:val="0070328D"/>
    <w:rsid w:val="007177E9"/>
    <w:rsid w:val="00731F96"/>
    <w:rsid w:val="00734127"/>
    <w:rsid w:val="00735FEA"/>
    <w:rsid w:val="00743460"/>
    <w:rsid w:val="00743A27"/>
    <w:rsid w:val="00753DC6"/>
    <w:rsid w:val="0075578C"/>
    <w:rsid w:val="00766DFB"/>
    <w:rsid w:val="007734B5"/>
    <w:rsid w:val="007809B8"/>
    <w:rsid w:val="00806E54"/>
    <w:rsid w:val="008206EE"/>
    <w:rsid w:val="008214B1"/>
    <w:rsid w:val="008215AC"/>
    <w:rsid w:val="00835389"/>
    <w:rsid w:val="00836ED7"/>
    <w:rsid w:val="008453AC"/>
    <w:rsid w:val="00860D09"/>
    <w:rsid w:val="00862044"/>
    <w:rsid w:val="008C305F"/>
    <w:rsid w:val="008C3AD2"/>
    <w:rsid w:val="008C5989"/>
    <w:rsid w:val="008C7C3D"/>
    <w:rsid w:val="008D0C46"/>
    <w:rsid w:val="008D15F9"/>
    <w:rsid w:val="008D6F66"/>
    <w:rsid w:val="008E1BEA"/>
    <w:rsid w:val="008E43D2"/>
    <w:rsid w:val="008F04C9"/>
    <w:rsid w:val="008F2D48"/>
    <w:rsid w:val="008F5A6E"/>
    <w:rsid w:val="008F7C50"/>
    <w:rsid w:val="008F7DB7"/>
    <w:rsid w:val="00905A5E"/>
    <w:rsid w:val="009064D3"/>
    <w:rsid w:val="009128BD"/>
    <w:rsid w:val="00915300"/>
    <w:rsid w:val="00921E6B"/>
    <w:rsid w:val="00933B0C"/>
    <w:rsid w:val="00935676"/>
    <w:rsid w:val="009670CB"/>
    <w:rsid w:val="0098401D"/>
    <w:rsid w:val="009A789F"/>
    <w:rsid w:val="009B12EF"/>
    <w:rsid w:val="009B6185"/>
    <w:rsid w:val="009B7516"/>
    <w:rsid w:val="009D1BE3"/>
    <w:rsid w:val="009E1E78"/>
    <w:rsid w:val="00A1597D"/>
    <w:rsid w:val="00A379E1"/>
    <w:rsid w:val="00A46989"/>
    <w:rsid w:val="00A518CA"/>
    <w:rsid w:val="00A71CE9"/>
    <w:rsid w:val="00A72A19"/>
    <w:rsid w:val="00A75A30"/>
    <w:rsid w:val="00A81AAC"/>
    <w:rsid w:val="00A93C82"/>
    <w:rsid w:val="00AB2A48"/>
    <w:rsid w:val="00AC3236"/>
    <w:rsid w:val="00AD4874"/>
    <w:rsid w:val="00AE1F8A"/>
    <w:rsid w:val="00B036B2"/>
    <w:rsid w:val="00B04D19"/>
    <w:rsid w:val="00B0506C"/>
    <w:rsid w:val="00B153C3"/>
    <w:rsid w:val="00B22087"/>
    <w:rsid w:val="00B722F2"/>
    <w:rsid w:val="00B95339"/>
    <w:rsid w:val="00BB334E"/>
    <w:rsid w:val="00BB5DCF"/>
    <w:rsid w:val="00BF59EA"/>
    <w:rsid w:val="00BF79CD"/>
    <w:rsid w:val="00C0721B"/>
    <w:rsid w:val="00C34C8C"/>
    <w:rsid w:val="00C50792"/>
    <w:rsid w:val="00C55A45"/>
    <w:rsid w:val="00C57697"/>
    <w:rsid w:val="00C82519"/>
    <w:rsid w:val="00C904D9"/>
    <w:rsid w:val="00C94C06"/>
    <w:rsid w:val="00CA3E09"/>
    <w:rsid w:val="00CA48BF"/>
    <w:rsid w:val="00CB3ACC"/>
    <w:rsid w:val="00CB4745"/>
    <w:rsid w:val="00CD2163"/>
    <w:rsid w:val="00CD4FE7"/>
    <w:rsid w:val="00CD5E6B"/>
    <w:rsid w:val="00CE5D96"/>
    <w:rsid w:val="00CE7344"/>
    <w:rsid w:val="00CF26EE"/>
    <w:rsid w:val="00D12A85"/>
    <w:rsid w:val="00D310F0"/>
    <w:rsid w:val="00D37AC2"/>
    <w:rsid w:val="00D500A9"/>
    <w:rsid w:val="00D64121"/>
    <w:rsid w:val="00D732FE"/>
    <w:rsid w:val="00D74E25"/>
    <w:rsid w:val="00D772E9"/>
    <w:rsid w:val="00D804D0"/>
    <w:rsid w:val="00DA31AB"/>
    <w:rsid w:val="00DA3281"/>
    <w:rsid w:val="00DA6D3E"/>
    <w:rsid w:val="00DC02E8"/>
    <w:rsid w:val="00DC75C7"/>
    <w:rsid w:val="00DC78D3"/>
    <w:rsid w:val="00DF4592"/>
    <w:rsid w:val="00E01356"/>
    <w:rsid w:val="00E15FDC"/>
    <w:rsid w:val="00E2651B"/>
    <w:rsid w:val="00E6632E"/>
    <w:rsid w:val="00E90CF2"/>
    <w:rsid w:val="00ED0F61"/>
    <w:rsid w:val="00EE73E1"/>
    <w:rsid w:val="00F12107"/>
    <w:rsid w:val="00F13165"/>
    <w:rsid w:val="00F23021"/>
    <w:rsid w:val="00F4234E"/>
    <w:rsid w:val="00F702CF"/>
    <w:rsid w:val="00F7477E"/>
    <w:rsid w:val="00F85393"/>
    <w:rsid w:val="00F9234C"/>
    <w:rsid w:val="00FA4A24"/>
    <w:rsid w:val="00FC41B4"/>
    <w:rsid w:val="00FC5A6B"/>
    <w:rsid w:val="00FD4728"/>
    <w:rsid w:val="00FE5F4C"/>
    <w:rsid w:val="00FE6D91"/>
    <w:rsid w:val="00FF3917"/>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D37AC2"/>
    <w:pPr>
      <w:spacing w:before="240" w:line="320" w:lineRule="atLeast"/>
      <w:jc w:val="both"/>
    </w:pPr>
    <w:rPr>
      <w:sz w:val="26"/>
      <w:lang w:eastAsia="en-US"/>
    </w:rPr>
  </w:style>
  <w:style w:type="paragraph" w:customStyle="1" w:styleId="Abbreviation">
    <w:name w:val="Abbreviation"/>
    <w:basedOn w:val="BodyText"/>
    <w:pPr>
      <w:spacing w:before="120"/>
      <w:ind w:left="2381" w:hanging="2381"/>
      <w:jc w:val="left"/>
    </w:pPr>
  </w:style>
  <w:style w:type="paragraph" w:customStyle="1" w:styleId="Box">
    <w:name w:val="Box"/>
    <w:basedOn w:val="BodyText"/>
    <w:pPr>
      <w:keepNext/>
      <w:spacing w:before="120" w:line="280" w:lineRule="atLeast"/>
    </w:pPr>
    <w:rPr>
      <w:rFonts w:ascii="Arial" w:hAnsi="Arial"/>
      <w:sz w:val="22"/>
    </w:rPr>
  </w:style>
  <w:style w:type="paragraph" w:customStyle="1" w:styleId="Note">
    <w:name w:val="Note"/>
    <w:basedOn w:val="BodyText"/>
    <w:next w:val="Normal"/>
    <w:pPr>
      <w:keepLines/>
      <w:spacing w:before="80" w:line="220" w:lineRule="exact"/>
    </w:pPr>
    <w:rPr>
      <w:rFonts w:ascii="Arial" w:hAnsi="Arial"/>
      <w:sz w:val="18"/>
    </w:rPr>
  </w:style>
  <w:style w:type="paragraph" w:customStyle="1" w:styleId="Source">
    <w:name w:val="Source"/>
    <w:basedOn w:val="Note"/>
    <w:next w:val="BodyText"/>
    <w:pPr>
      <w:spacing w:after="120"/>
    </w:pPr>
  </w:style>
  <w:style w:type="paragraph" w:customStyle="1" w:styleId="BoxSource">
    <w:name w:val="Box Source"/>
    <w:basedOn w:val="Source"/>
    <w:next w:val="BodyText"/>
    <w:pPr>
      <w:spacing w:before="180" w:after="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x"/>
    <w:next w:val="Box"/>
    <w:pPr>
      <w:spacing w:before="200"/>
    </w:pPr>
    <w:rPr>
      <w:b/>
    </w:rPr>
  </w:style>
  <w:style w:type="paragraph" w:customStyle="1" w:styleId="BoxHeading2">
    <w:name w:val="Box Heading 2"/>
    <w:basedOn w:val="BoxHeading1"/>
    <w:next w:val="Box"/>
    <w:rPr>
      <w:b w:val="0"/>
      <w:i/>
    </w:rPr>
  </w:style>
  <w:style w:type="paragraph" w:customStyle="1" w:styleId="BoxListBullet">
    <w:name w:val="Box List Bullet"/>
    <w:basedOn w:val="Box"/>
    <w:rsid w:val="00DC78D3"/>
    <w:pPr>
      <w:numPr>
        <w:numId w:val="13"/>
      </w:numPr>
      <w:tabs>
        <w:tab w:val="clear" w:pos="360"/>
        <w:tab w:val="left" w:pos="284"/>
      </w:tabs>
      <w:spacing w:before="60"/>
    </w:pPr>
  </w:style>
  <w:style w:type="paragraph" w:customStyle="1" w:styleId="BoxListBullet2">
    <w:name w:val="Box List Bullet 2"/>
    <w:basedOn w:val="Box"/>
    <w:pPr>
      <w:numPr>
        <w:numId w:val="14"/>
      </w:numPr>
      <w:tabs>
        <w:tab w:val="left" w:pos="284"/>
        <w:tab w:val="left" w:pos="567"/>
      </w:tabs>
      <w:spacing w:before="60"/>
      <w:ind w:left="568"/>
    </w:pPr>
  </w:style>
  <w:style w:type="paragraph" w:customStyle="1" w:styleId="BoxListNumber">
    <w:name w:val="Box List Number"/>
    <w:basedOn w:val="Box"/>
    <w:rsid w:val="00DC78D3"/>
    <w:pPr>
      <w:numPr>
        <w:numId w:val="29"/>
      </w:numPr>
      <w:spacing w:before="60"/>
      <w:ind w:left="357" w:hanging="357"/>
    </w:pPr>
  </w:style>
  <w:style w:type="paragraph" w:customStyle="1" w:styleId="BoxListNumber2">
    <w:name w:val="Box List Number 2"/>
    <w:basedOn w:val="Normal"/>
    <w:rsid w:val="00743A27"/>
    <w:pPr>
      <w:keepNext/>
      <w:numPr>
        <w:ilvl w:val="1"/>
        <w:numId w:val="30"/>
      </w:numPr>
      <w:spacing w:before="60" w:line="280" w:lineRule="atLeast"/>
      <w:jc w:val="both"/>
    </w:pPr>
    <w:rPr>
      <w:rFonts w:ascii="Arial" w:hAnsi="Arial"/>
      <w:sz w:val="22"/>
      <w:lang w:eastAsia="en-AU"/>
    </w:rPr>
  </w:style>
  <w:style w:type="paragraph" w:customStyle="1" w:styleId="BoxQuote">
    <w:name w:val="Box Quote"/>
    <w:basedOn w:val="Box"/>
    <w:next w:val="Box"/>
    <w:pPr>
      <w:spacing w:before="60" w:line="260" w:lineRule="exact"/>
      <w:ind w:left="284"/>
    </w:pPr>
    <w:rPr>
      <w:sz w:val="20"/>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041"/>
    <w:pPr>
      <w:spacing w:before="120" w:after="0"/>
      <w:ind w:left="1304" w:hanging="1304"/>
    </w:pPr>
    <w:rPr>
      <w:b w:val="0"/>
    </w:rPr>
  </w:style>
  <w:style w:type="paragraph" w:customStyle="1" w:styleId="BoxSubtitle">
    <w:name w:val="Box Subtitle"/>
    <w:basedOn w:val="BoxTitle"/>
    <w:next w:val="Box"/>
    <w:pPr>
      <w:spacing w:after="80" w:line="200" w:lineRule="exact"/>
      <w:ind w:firstLine="0"/>
    </w:pPr>
    <w:rPr>
      <w:b/>
      <w:sz w:val="20"/>
    </w:rPr>
  </w:style>
  <w:style w:type="paragraph" w:customStyle="1" w:styleId="Chapter">
    <w:name w:val="Chapter"/>
    <w:basedOn w:val="Heading1"/>
    <w:next w:val="BodyText"/>
    <w:semiHidden/>
    <w:pPr>
      <w:ind w:left="0" w:firstLine="0"/>
      <w:outlineLvl w:val="9"/>
    </w:pPr>
  </w:style>
  <w:style w:type="paragraph" w:customStyle="1" w:styleId="ChapterSummary">
    <w:name w:val="Chapter Summary"/>
    <w:basedOn w:val="BodyText"/>
    <w:semiHidden/>
    <w:pPr>
      <w:ind w:left="907"/>
    </w:pPr>
    <w:rPr>
      <w:rFonts w:ascii="Arial" w:hAnsi="Arial"/>
      <w:b/>
      <w:sz w:val="22"/>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BoxContinued"/>
    <w:next w:val="BodyText"/>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pPr>
      <w:spacing w:before="80" w:line="200" w:lineRule="exact"/>
      <w:ind w:right="6"/>
    </w:pPr>
    <w:rPr>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041"/>
    <w:rPr>
      <w:b w:val="0"/>
    </w:rPr>
  </w:style>
  <w:style w:type="paragraph" w:styleId="Subtitle">
    <w:name w:val="Subtitle"/>
    <w:basedOn w:val="Caption"/>
    <w:qFormat/>
    <w:pPr>
      <w:spacing w:before="0" w:line="200" w:lineRule="exact"/>
      <w:ind w:firstLine="0"/>
    </w:pPr>
    <w:rPr>
      <w:b w:val="0"/>
      <w:sz w:val="20"/>
    </w:rPr>
  </w:style>
  <w:style w:type="paragraph" w:customStyle="1" w:styleId="Finding">
    <w:name w:val="Finding"/>
    <w:basedOn w:val="BodyText"/>
    <w:pPr>
      <w:spacing w:before="180"/>
    </w:pPr>
    <w:rPr>
      <w:i/>
    </w:rPr>
  </w:style>
  <w:style w:type="paragraph" w:customStyle="1" w:styleId="FindingBullet">
    <w:name w:val="Finding Bullet"/>
    <w:basedOn w:val="Finding"/>
    <w:pPr>
      <w:numPr>
        <w:numId w:val="15"/>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pPr>
      <w:keepNext/>
      <w:framePr w:hSpace="181" w:wrap="notBeside" w:vAnchor="text" w:hAnchor="text" w:xAlign="outside" w:y="1"/>
    </w:pPr>
    <w:rPr>
      <w:caps/>
      <w:sz w:val="16"/>
    </w:rPr>
  </w:style>
  <w:style w:type="paragraph" w:customStyle="1" w:styleId="FindingTitle">
    <w:name w:val="Finding Title"/>
    <w:basedOn w:val="RecTitle"/>
    <w:next w:val="Finding"/>
    <w:pPr>
      <w:framePr w:wrap="notBeside"/>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semiHidden/>
    <w:pPr>
      <w:spacing w:before="360" w:after="120"/>
    </w:pPr>
    <w:rPr>
      <w:rFonts w:ascii="Arial" w:hAnsi="Arial"/>
      <w:sz w:val="24"/>
    </w:rPr>
  </w:style>
  <w:style w:type="paragraph" w:styleId="ListBullet">
    <w:name w:val="List Bullet"/>
    <w:basedOn w:val="BodyText"/>
    <w:rsid w:val="00D37AC2"/>
    <w:pPr>
      <w:numPr>
        <w:numId w:val="16"/>
      </w:numPr>
      <w:spacing w:before="120"/>
    </w:pPr>
  </w:style>
  <w:style w:type="paragraph" w:styleId="ListBullet2">
    <w:name w:val="List Bullet 2"/>
    <w:basedOn w:val="BodyText"/>
    <w:rsid w:val="00D37AC2"/>
    <w:pPr>
      <w:numPr>
        <w:numId w:val="17"/>
      </w:numPr>
      <w:tabs>
        <w:tab w:val="clear" w:pos="644"/>
        <w:tab w:val="left" w:pos="680"/>
      </w:tabs>
      <w:spacing w:before="120"/>
      <w:ind w:left="680" w:hanging="340"/>
    </w:pPr>
  </w:style>
  <w:style w:type="paragraph" w:styleId="ListBullet3">
    <w:name w:val="List Bullet 3"/>
    <w:basedOn w:val="BodyText"/>
    <w:rsid w:val="00D37AC2"/>
    <w:pPr>
      <w:numPr>
        <w:numId w:val="18"/>
      </w:numPr>
      <w:tabs>
        <w:tab w:val="clear" w:pos="360"/>
        <w:tab w:val="left" w:pos="1021"/>
      </w:tabs>
      <w:spacing w:before="120"/>
      <w:ind w:left="1020"/>
    </w:pPr>
  </w:style>
  <w:style w:type="paragraph" w:styleId="ListNumber">
    <w:name w:val="List Number"/>
    <w:basedOn w:val="BodyText"/>
    <w:rsid w:val="005654D0"/>
    <w:pPr>
      <w:numPr>
        <w:numId w:val="28"/>
      </w:numPr>
      <w:spacing w:before="120"/>
    </w:pPr>
    <w:rPr>
      <w:lang w:eastAsia="en-AU"/>
    </w:rPr>
  </w:style>
  <w:style w:type="paragraph" w:styleId="ListNumber2">
    <w:name w:val="List Number 2"/>
    <w:basedOn w:val="ListNumber"/>
    <w:rsid w:val="000F2F5F"/>
    <w:pPr>
      <w:numPr>
        <w:ilvl w:val="1"/>
      </w:numPr>
      <w:tabs>
        <w:tab w:val="left" w:pos="794"/>
      </w:tabs>
    </w:pPr>
  </w:style>
  <w:style w:type="paragraph" w:styleId="ListNumber3">
    <w:name w:val="List Number 3"/>
    <w:basedOn w:val="ListNumber2"/>
    <w:rsid w:val="00D37AC2"/>
    <w:pPr>
      <w:numPr>
        <w:ilvl w:val="2"/>
      </w:numPr>
      <w:tabs>
        <w:tab w:val="clear" w:pos="794"/>
      </w:tabs>
    </w:pPr>
  </w:style>
  <w:style w:type="character" w:customStyle="1" w:styleId="NoteLabel">
    <w:name w:val="Note Label"/>
    <w:rPr>
      <w:rFonts w:ascii="Arial" w:hAnsi="Arial"/>
      <w:b/>
      <w:position w:val="6"/>
      <w:sz w:val="18"/>
    </w:rPr>
  </w:style>
  <w:style w:type="character" w:styleId="PageNumber">
    <w:name w:val="page number"/>
    <w:rsid w:val="00C0721B"/>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qFormat/>
    <w:pPr>
      <w:spacing w:before="120" w:line="280" w:lineRule="exact"/>
      <w:ind w:left="340"/>
    </w:pPr>
    <w:rPr>
      <w:sz w:val="24"/>
    </w:rPr>
  </w:style>
  <w:style w:type="paragraph" w:customStyle="1" w:styleId="Rec">
    <w:name w:val="Rec"/>
    <w:basedOn w:val="BodyText"/>
    <w:pPr>
      <w:spacing w:before="180"/>
    </w:pPr>
    <w:rPr>
      <w:b/>
      <w:i/>
    </w:rPr>
  </w:style>
  <w:style w:type="paragraph" w:customStyle="1" w:styleId="RecBullet">
    <w:name w:val="Rec Bullet"/>
    <w:basedOn w:val="Rec"/>
    <w:pPr>
      <w:numPr>
        <w:numId w:val="20"/>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pPr>
      <w:numPr>
        <w:numId w:val="23"/>
      </w:numPr>
      <w:tabs>
        <w:tab w:val="left" w:pos="170"/>
      </w:tabs>
      <w:jc w:val="left"/>
    </w:pPr>
  </w:style>
  <w:style w:type="paragraph" w:customStyle="1" w:styleId="TableColumnHeading">
    <w:name w:val="Table Column Heading"/>
    <w:basedOn w:val="TableBodyText"/>
    <w:pPr>
      <w:spacing w:before="80" w:after="80"/>
    </w:pPr>
    <w:rPr>
      <w:i/>
    </w:rPr>
  </w:style>
  <w:style w:type="paragraph" w:styleId="TOC2">
    <w:name w:val="toc 2"/>
    <w:basedOn w:val="TOC1"/>
    <w:uiPriority w:val="39"/>
    <w:rsid w:val="00433C81"/>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rsid w:val="00106041"/>
    <w:rPr>
      <w:b w:val="0"/>
    </w:rPr>
  </w:style>
  <w:style w:type="paragraph" w:customStyle="1" w:styleId="TableUnitsRow">
    <w:name w:val="Table Units Row"/>
    <w:basedOn w:val="TableBodyText"/>
    <w:pPr>
      <w:spacing w:before="80" w:after="80"/>
    </w:pPr>
  </w:style>
  <w:style w:type="paragraph" w:styleId="TOC1">
    <w:name w:val="toc 1"/>
    <w:basedOn w:val="Normal"/>
    <w:next w:val="TOC2"/>
    <w:uiPriority w:val="39"/>
    <w:rsid w:val="00D772E9"/>
    <w:pPr>
      <w:tabs>
        <w:tab w:val="right" w:pos="8789"/>
      </w:tabs>
      <w:spacing w:before="120" w:line="320" w:lineRule="exact"/>
      <w:ind w:left="510" w:right="851" w:hanging="510"/>
    </w:pPr>
    <w:rPr>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pPr>
      <w:numPr>
        <w:numId w:val="19"/>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link w:val="BodyText"/>
    <w:locked/>
    <w:rsid w:val="00D37AC2"/>
    <w:rPr>
      <w:sz w:val="26"/>
      <w:lang w:eastAsia="en-US"/>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3B41E0"/>
    <w:pPr>
      <w:tabs>
        <w:tab w:val="left" w:pos="866"/>
      </w:tabs>
      <w:spacing w:after="60"/>
    </w:pPr>
    <w:rPr>
      <w:rFonts w:ascii="GoudyOlSt BT" w:hAnsi="GoudyOlSt BT"/>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rPr>
      <w:sz w:val="24"/>
      <w:lang w:eastAsia="en-AU"/>
    </w:rPr>
  </w:style>
  <w:style w:type="paragraph" w:customStyle="1" w:styleId="LetterAddress">
    <w:name w:val="Letter Address"/>
    <w:basedOn w:val="BodyText"/>
    <w:rsid w:val="003B41E0"/>
    <w:pPr>
      <w:spacing w:before="0" w:line="240" w:lineRule="auto"/>
      <w:jc w:val="left"/>
    </w:pPr>
    <w:rPr>
      <w:sz w:val="24"/>
      <w:lang w:eastAsia="en-AU"/>
    </w:rPr>
  </w:style>
  <w:style w:type="paragraph" w:customStyle="1" w:styleId="PCBoxHeading">
    <w:name w:val="PC Box Heading"/>
    <w:basedOn w:val="BodyText"/>
    <w:link w:val="PCBoxHeadingChar"/>
    <w:qFormat/>
    <w:rsid w:val="00F4234E"/>
    <w:pPr>
      <w:pBdr>
        <w:top w:val="single" w:sz="4" w:space="5" w:color="auto"/>
        <w:left w:val="single" w:sz="4" w:space="8" w:color="auto"/>
        <w:bottom w:val="single" w:sz="4" w:space="14" w:color="auto"/>
        <w:right w:val="single" w:sz="4" w:space="8" w:color="auto"/>
      </w:pBdr>
      <w:spacing w:before="120" w:line="240" w:lineRule="auto"/>
      <w:ind w:left="284" w:right="284"/>
    </w:pPr>
    <w:rPr>
      <w:b/>
      <w:i/>
      <w:sz w:val="24"/>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 w:val="24"/>
      <w:szCs w:val="24"/>
    </w:rPr>
  </w:style>
  <w:style w:type="character" w:customStyle="1" w:styleId="PCBoxHeadingChar">
    <w:name w:val="PC Box Heading Char"/>
    <w:basedOn w:val="BodyTextChar"/>
    <w:link w:val="PCBoxHeading"/>
    <w:rsid w:val="00F4234E"/>
    <w:rPr>
      <w:b/>
      <w:i/>
      <w:sz w:val="24"/>
      <w:szCs w:val="24"/>
      <w:lang w:eastAsia="en-US"/>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character" w:customStyle="1" w:styleId="FooterChar">
    <w:name w:val="Footer Char"/>
    <w:basedOn w:val="DefaultParagraphFont"/>
    <w:link w:val="Footer"/>
    <w:rsid w:val="008C5989"/>
    <w:rPr>
      <w:caps/>
      <w:spacing w:val="-4"/>
      <w:sz w:val="16"/>
      <w:lang w:eastAsia="en-US"/>
    </w:rPr>
  </w:style>
  <w:style w:type="character" w:customStyle="1" w:styleId="Heading1Char">
    <w:name w:val="Heading 1 Char"/>
    <w:basedOn w:val="DefaultParagraphFont"/>
    <w:link w:val="Heading1"/>
    <w:rsid w:val="008C5989"/>
    <w:rPr>
      <w:kern w:val="28"/>
      <w:sz w:val="52"/>
      <w:lang w:eastAsia="en-US"/>
    </w:rPr>
  </w:style>
  <w:style w:type="character" w:styleId="Strong">
    <w:name w:val="Strong"/>
    <w:basedOn w:val="DefaultParagraphFont"/>
    <w:uiPriority w:val="22"/>
    <w:qFormat/>
    <w:rsid w:val="00F23021"/>
    <w:rPr>
      <w:b/>
      <w:bCs/>
    </w:rPr>
  </w:style>
  <w:style w:type="table" w:styleId="TableGrid">
    <w:name w:val="Table Grid"/>
    <w:basedOn w:val="TableNormal"/>
    <w:rsid w:val="00921E6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D37AC2"/>
    <w:pPr>
      <w:spacing w:before="240" w:line="320" w:lineRule="atLeast"/>
      <w:jc w:val="both"/>
    </w:pPr>
    <w:rPr>
      <w:sz w:val="26"/>
      <w:lang w:eastAsia="en-US"/>
    </w:rPr>
  </w:style>
  <w:style w:type="paragraph" w:customStyle="1" w:styleId="Abbreviation">
    <w:name w:val="Abbreviation"/>
    <w:basedOn w:val="BodyText"/>
    <w:pPr>
      <w:spacing w:before="120"/>
      <w:ind w:left="2381" w:hanging="2381"/>
      <w:jc w:val="left"/>
    </w:pPr>
  </w:style>
  <w:style w:type="paragraph" w:customStyle="1" w:styleId="Box">
    <w:name w:val="Box"/>
    <w:basedOn w:val="BodyText"/>
    <w:pPr>
      <w:keepNext/>
      <w:spacing w:before="120" w:line="280" w:lineRule="atLeast"/>
    </w:pPr>
    <w:rPr>
      <w:rFonts w:ascii="Arial" w:hAnsi="Arial"/>
      <w:sz w:val="22"/>
    </w:rPr>
  </w:style>
  <w:style w:type="paragraph" w:customStyle="1" w:styleId="Note">
    <w:name w:val="Note"/>
    <w:basedOn w:val="BodyText"/>
    <w:next w:val="Normal"/>
    <w:pPr>
      <w:keepLines/>
      <w:spacing w:before="80" w:line="220" w:lineRule="exact"/>
    </w:pPr>
    <w:rPr>
      <w:rFonts w:ascii="Arial" w:hAnsi="Arial"/>
      <w:sz w:val="18"/>
    </w:rPr>
  </w:style>
  <w:style w:type="paragraph" w:customStyle="1" w:styleId="Source">
    <w:name w:val="Source"/>
    <w:basedOn w:val="Note"/>
    <w:next w:val="BodyText"/>
    <w:pPr>
      <w:spacing w:after="120"/>
    </w:pPr>
  </w:style>
  <w:style w:type="paragraph" w:customStyle="1" w:styleId="BoxSource">
    <w:name w:val="Box Source"/>
    <w:basedOn w:val="Source"/>
    <w:next w:val="BodyText"/>
    <w:pPr>
      <w:spacing w:before="180" w:after="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x"/>
    <w:next w:val="Box"/>
    <w:pPr>
      <w:spacing w:before="200"/>
    </w:pPr>
    <w:rPr>
      <w:b/>
    </w:rPr>
  </w:style>
  <w:style w:type="paragraph" w:customStyle="1" w:styleId="BoxHeading2">
    <w:name w:val="Box Heading 2"/>
    <w:basedOn w:val="BoxHeading1"/>
    <w:next w:val="Box"/>
    <w:rPr>
      <w:b w:val="0"/>
      <w:i/>
    </w:rPr>
  </w:style>
  <w:style w:type="paragraph" w:customStyle="1" w:styleId="BoxListBullet">
    <w:name w:val="Box List Bullet"/>
    <w:basedOn w:val="Box"/>
    <w:rsid w:val="00DC78D3"/>
    <w:pPr>
      <w:numPr>
        <w:numId w:val="13"/>
      </w:numPr>
      <w:tabs>
        <w:tab w:val="clear" w:pos="360"/>
        <w:tab w:val="left" w:pos="284"/>
      </w:tabs>
      <w:spacing w:before="60"/>
    </w:pPr>
  </w:style>
  <w:style w:type="paragraph" w:customStyle="1" w:styleId="BoxListBullet2">
    <w:name w:val="Box List Bullet 2"/>
    <w:basedOn w:val="Box"/>
    <w:pPr>
      <w:numPr>
        <w:numId w:val="14"/>
      </w:numPr>
      <w:tabs>
        <w:tab w:val="left" w:pos="284"/>
        <w:tab w:val="left" w:pos="567"/>
      </w:tabs>
      <w:spacing w:before="60"/>
      <w:ind w:left="568"/>
    </w:pPr>
  </w:style>
  <w:style w:type="paragraph" w:customStyle="1" w:styleId="BoxListNumber">
    <w:name w:val="Box List Number"/>
    <w:basedOn w:val="Box"/>
    <w:rsid w:val="00DC78D3"/>
    <w:pPr>
      <w:numPr>
        <w:numId w:val="29"/>
      </w:numPr>
      <w:spacing w:before="60"/>
      <w:ind w:left="357" w:hanging="357"/>
    </w:pPr>
  </w:style>
  <w:style w:type="paragraph" w:customStyle="1" w:styleId="BoxListNumber2">
    <w:name w:val="Box List Number 2"/>
    <w:basedOn w:val="Normal"/>
    <w:rsid w:val="00743A27"/>
    <w:pPr>
      <w:keepNext/>
      <w:numPr>
        <w:ilvl w:val="1"/>
        <w:numId w:val="30"/>
      </w:numPr>
      <w:spacing w:before="60" w:line="280" w:lineRule="atLeast"/>
      <w:jc w:val="both"/>
    </w:pPr>
    <w:rPr>
      <w:rFonts w:ascii="Arial" w:hAnsi="Arial"/>
      <w:sz w:val="22"/>
      <w:lang w:eastAsia="en-AU"/>
    </w:rPr>
  </w:style>
  <w:style w:type="paragraph" w:customStyle="1" w:styleId="BoxQuote">
    <w:name w:val="Box Quote"/>
    <w:basedOn w:val="Box"/>
    <w:next w:val="Box"/>
    <w:pPr>
      <w:spacing w:before="60" w:line="260" w:lineRule="exact"/>
      <w:ind w:left="284"/>
    </w:pPr>
    <w:rPr>
      <w:sz w:val="20"/>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041"/>
    <w:pPr>
      <w:spacing w:before="120" w:after="0"/>
      <w:ind w:left="1304" w:hanging="1304"/>
    </w:pPr>
    <w:rPr>
      <w:b w:val="0"/>
    </w:rPr>
  </w:style>
  <w:style w:type="paragraph" w:customStyle="1" w:styleId="BoxSubtitle">
    <w:name w:val="Box Subtitle"/>
    <w:basedOn w:val="BoxTitle"/>
    <w:next w:val="Box"/>
    <w:pPr>
      <w:spacing w:after="80" w:line="200" w:lineRule="exact"/>
      <w:ind w:firstLine="0"/>
    </w:pPr>
    <w:rPr>
      <w:b/>
      <w:sz w:val="20"/>
    </w:rPr>
  </w:style>
  <w:style w:type="paragraph" w:customStyle="1" w:styleId="Chapter">
    <w:name w:val="Chapter"/>
    <w:basedOn w:val="Heading1"/>
    <w:next w:val="BodyText"/>
    <w:semiHidden/>
    <w:pPr>
      <w:ind w:left="0" w:firstLine="0"/>
      <w:outlineLvl w:val="9"/>
    </w:pPr>
  </w:style>
  <w:style w:type="paragraph" w:customStyle="1" w:styleId="ChapterSummary">
    <w:name w:val="Chapter Summary"/>
    <w:basedOn w:val="BodyText"/>
    <w:semiHidden/>
    <w:pPr>
      <w:ind w:left="907"/>
    </w:pPr>
    <w:rPr>
      <w:rFonts w:ascii="Arial" w:hAnsi="Arial"/>
      <w:b/>
      <w:sz w:val="22"/>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BoxContinued"/>
    <w:next w:val="BodyText"/>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pPr>
      <w:spacing w:before="80" w:line="200" w:lineRule="exact"/>
      <w:ind w:right="6"/>
    </w:pPr>
    <w:rPr>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041"/>
    <w:rPr>
      <w:b w:val="0"/>
    </w:rPr>
  </w:style>
  <w:style w:type="paragraph" w:styleId="Subtitle">
    <w:name w:val="Subtitle"/>
    <w:basedOn w:val="Caption"/>
    <w:qFormat/>
    <w:pPr>
      <w:spacing w:before="0" w:line="200" w:lineRule="exact"/>
      <w:ind w:firstLine="0"/>
    </w:pPr>
    <w:rPr>
      <w:b w:val="0"/>
      <w:sz w:val="20"/>
    </w:rPr>
  </w:style>
  <w:style w:type="paragraph" w:customStyle="1" w:styleId="Finding">
    <w:name w:val="Finding"/>
    <w:basedOn w:val="BodyText"/>
    <w:pPr>
      <w:spacing w:before="180"/>
    </w:pPr>
    <w:rPr>
      <w:i/>
    </w:rPr>
  </w:style>
  <w:style w:type="paragraph" w:customStyle="1" w:styleId="FindingBullet">
    <w:name w:val="Finding Bullet"/>
    <w:basedOn w:val="Finding"/>
    <w:pPr>
      <w:numPr>
        <w:numId w:val="15"/>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pPr>
      <w:keepNext/>
      <w:framePr w:hSpace="181" w:wrap="notBeside" w:vAnchor="text" w:hAnchor="text" w:xAlign="outside" w:y="1"/>
    </w:pPr>
    <w:rPr>
      <w:caps/>
      <w:sz w:val="16"/>
    </w:rPr>
  </w:style>
  <w:style w:type="paragraph" w:customStyle="1" w:styleId="FindingTitle">
    <w:name w:val="Finding Title"/>
    <w:basedOn w:val="RecTitle"/>
    <w:next w:val="Finding"/>
    <w:pPr>
      <w:framePr w:wrap="notBeside"/>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semiHidden/>
    <w:pPr>
      <w:spacing w:before="360" w:after="120"/>
    </w:pPr>
    <w:rPr>
      <w:rFonts w:ascii="Arial" w:hAnsi="Arial"/>
      <w:sz w:val="24"/>
    </w:rPr>
  </w:style>
  <w:style w:type="paragraph" w:styleId="ListBullet">
    <w:name w:val="List Bullet"/>
    <w:basedOn w:val="BodyText"/>
    <w:rsid w:val="00D37AC2"/>
    <w:pPr>
      <w:numPr>
        <w:numId w:val="16"/>
      </w:numPr>
      <w:spacing w:before="120"/>
    </w:pPr>
  </w:style>
  <w:style w:type="paragraph" w:styleId="ListBullet2">
    <w:name w:val="List Bullet 2"/>
    <w:basedOn w:val="BodyText"/>
    <w:rsid w:val="00D37AC2"/>
    <w:pPr>
      <w:numPr>
        <w:numId w:val="17"/>
      </w:numPr>
      <w:tabs>
        <w:tab w:val="clear" w:pos="644"/>
        <w:tab w:val="left" w:pos="680"/>
      </w:tabs>
      <w:spacing w:before="120"/>
      <w:ind w:left="680" w:hanging="340"/>
    </w:pPr>
  </w:style>
  <w:style w:type="paragraph" w:styleId="ListBullet3">
    <w:name w:val="List Bullet 3"/>
    <w:basedOn w:val="BodyText"/>
    <w:rsid w:val="00D37AC2"/>
    <w:pPr>
      <w:numPr>
        <w:numId w:val="18"/>
      </w:numPr>
      <w:tabs>
        <w:tab w:val="clear" w:pos="360"/>
        <w:tab w:val="left" w:pos="1021"/>
      </w:tabs>
      <w:spacing w:before="120"/>
      <w:ind w:left="1020"/>
    </w:pPr>
  </w:style>
  <w:style w:type="paragraph" w:styleId="ListNumber">
    <w:name w:val="List Number"/>
    <w:basedOn w:val="BodyText"/>
    <w:rsid w:val="005654D0"/>
    <w:pPr>
      <w:numPr>
        <w:numId w:val="28"/>
      </w:numPr>
      <w:spacing w:before="120"/>
    </w:pPr>
    <w:rPr>
      <w:lang w:eastAsia="en-AU"/>
    </w:rPr>
  </w:style>
  <w:style w:type="paragraph" w:styleId="ListNumber2">
    <w:name w:val="List Number 2"/>
    <w:basedOn w:val="ListNumber"/>
    <w:rsid w:val="000F2F5F"/>
    <w:pPr>
      <w:numPr>
        <w:ilvl w:val="1"/>
      </w:numPr>
      <w:tabs>
        <w:tab w:val="left" w:pos="794"/>
      </w:tabs>
    </w:pPr>
  </w:style>
  <w:style w:type="paragraph" w:styleId="ListNumber3">
    <w:name w:val="List Number 3"/>
    <w:basedOn w:val="ListNumber2"/>
    <w:rsid w:val="00D37AC2"/>
    <w:pPr>
      <w:numPr>
        <w:ilvl w:val="2"/>
      </w:numPr>
      <w:tabs>
        <w:tab w:val="clear" w:pos="794"/>
      </w:tabs>
    </w:pPr>
  </w:style>
  <w:style w:type="character" w:customStyle="1" w:styleId="NoteLabel">
    <w:name w:val="Note Label"/>
    <w:rPr>
      <w:rFonts w:ascii="Arial" w:hAnsi="Arial"/>
      <w:b/>
      <w:position w:val="6"/>
      <w:sz w:val="18"/>
    </w:rPr>
  </w:style>
  <w:style w:type="character" w:styleId="PageNumber">
    <w:name w:val="page number"/>
    <w:rsid w:val="00C0721B"/>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qFormat/>
    <w:pPr>
      <w:spacing w:before="120" w:line="280" w:lineRule="exact"/>
      <w:ind w:left="340"/>
    </w:pPr>
    <w:rPr>
      <w:sz w:val="24"/>
    </w:rPr>
  </w:style>
  <w:style w:type="paragraph" w:customStyle="1" w:styleId="Rec">
    <w:name w:val="Rec"/>
    <w:basedOn w:val="BodyText"/>
    <w:pPr>
      <w:spacing w:before="180"/>
    </w:pPr>
    <w:rPr>
      <w:b/>
      <w:i/>
    </w:rPr>
  </w:style>
  <w:style w:type="paragraph" w:customStyle="1" w:styleId="RecBullet">
    <w:name w:val="Rec Bullet"/>
    <w:basedOn w:val="Rec"/>
    <w:pPr>
      <w:numPr>
        <w:numId w:val="20"/>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pPr>
      <w:numPr>
        <w:numId w:val="23"/>
      </w:numPr>
      <w:tabs>
        <w:tab w:val="left" w:pos="170"/>
      </w:tabs>
      <w:jc w:val="left"/>
    </w:pPr>
  </w:style>
  <w:style w:type="paragraph" w:customStyle="1" w:styleId="TableColumnHeading">
    <w:name w:val="Table Column Heading"/>
    <w:basedOn w:val="TableBodyText"/>
    <w:pPr>
      <w:spacing w:before="80" w:after="80"/>
    </w:pPr>
    <w:rPr>
      <w:i/>
    </w:rPr>
  </w:style>
  <w:style w:type="paragraph" w:styleId="TOC2">
    <w:name w:val="toc 2"/>
    <w:basedOn w:val="TOC1"/>
    <w:uiPriority w:val="39"/>
    <w:rsid w:val="00433C81"/>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rsid w:val="00106041"/>
    <w:rPr>
      <w:b w:val="0"/>
    </w:rPr>
  </w:style>
  <w:style w:type="paragraph" w:customStyle="1" w:styleId="TableUnitsRow">
    <w:name w:val="Table Units Row"/>
    <w:basedOn w:val="TableBodyText"/>
    <w:pPr>
      <w:spacing w:before="80" w:after="80"/>
    </w:pPr>
  </w:style>
  <w:style w:type="paragraph" w:styleId="TOC1">
    <w:name w:val="toc 1"/>
    <w:basedOn w:val="Normal"/>
    <w:next w:val="TOC2"/>
    <w:uiPriority w:val="39"/>
    <w:rsid w:val="00D772E9"/>
    <w:pPr>
      <w:tabs>
        <w:tab w:val="right" w:pos="8789"/>
      </w:tabs>
      <w:spacing w:before="120" w:line="320" w:lineRule="exact"/>
      <w:ind w:left="510" w:right="851" w:hanging="510"/>
    </w:pPr>
    <w:rPr>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pPr>
      <w:numPr>
        <w:numId w:val="19"/>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link w:val="BodyText"/>
    <w:locked/>
    <w:rsid w:val="00D37AC2"/>
    <w:rPr>
      <w:sz w:val="26"/>
      <w:lang w:eastAsia="en-US"/>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3B41E0"/>
    <w:pPr>
      <w:tabs>
        <w:tab w:val="left" w:pos="866"/>
      </w:tabs>
      <w:spacing w:after="60"/>
    </w:pPr>
    <w:rPr>
      <w:rFonts w:ascii="GoudyOlSt BT" w:hAnsi="GoudyOlSt BT"/>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rPr>
      <w:sz w:val="24"/>
      <w:lang w:eastAsia="en-AU"/>
    </w:rPr>
  </w:style>
  <w:style w:type="paragraph" w:customStyle="1" w:styleId="LetterAddress">
    <w:name w:val="Letter Address"/>
    <w:basedOn w:val="BodyText"/>
    <w:rsid w:val="003B41E0"/>
    <w:pPr>
      <w:spacing w:before="0" w:line="240" w:lineRule="auto"/>
      <w:jc w:val="left"/>
    </w:pPr>
    <w:rPr>
      <w:sz w:val="24"/>
      <w:lang w:eastAsia="en-AU"/>
    </w:rPr>
  </w:style>
  <w:style w:type="paragraph" w:customStyle="1" w:styleId="PCBoxHeading">
    <w:name w:val="PC Box Heading"/>
    <w:basedOn w:val="BodyText"/>
    <w:link w:val="PCBoxHeadingChar"/>
    <w:qFormat/>
    <w:rsid w:val="00F4234E"/>
    <w:pPr>
      <w:pBdr>
        <w:top w:val="single" w:sz="4" w:space="5" w:color="auto"/>
        <w:left w:val="single" w:sz="4" w:space="8" w:color="auto"/>
        <w:bottom w:val="single" w:sz="4" w:space="14" w:color="auto"/>
        <w:right w:val="single" w:sz="4" w:space="8" w:color="auto"/>
      </w:pBdr>
      <w:spacing w:before="120" w:line="240" w:lineRule="auto"/>
      <w:ind w:left="284" w:right="284"/>
    </w:pPr>
    <w:rPr>
      <w:b/>
      <w:i/>
      <w:sz w:val="24"/>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 w:val="24"/>
      <w:szCs w:val="24"/>
    </w:rPr>
  </w:style>
  <w:style w:type="character" w:customStyle="1" w:styleId="PCBoxHeadingChar">
    <w:name w:val="PC Box Heading Char"/>
    <w:basedOn w:val="BodyTextChar"/>
    <w:link w:val="PCBoxHeading"/>
    <w:rsid w:val="00F4234E"/>
    <w:rPr>
      <w:b/>
      <w:i/>
      <w:sz w:val="24"/>
      <w:szCs w:val="24"/>
      <w:lang w:eastAsia="en-US"/>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character" w:customStyle="1" w:styleId="FooterChar">
    <w:name w:val="Footer Char"/>
    <w:basedOn w:val="DefaultParagraphFont"/>
    <w:link w:val="Footer"/>
    <w:rsid w:val="008C5989"/>
    <w:rPr>
      <w:caps/>
      <w:spacing w:val="-4"/>
      <w:sz w:val="16"/>
      <w:lang w:eastAsia="en-US"/>
    </w:rPr>
  </w:style>
  <w:style w:type="character" w:customStyle="1" w:styleId="Heading1Char">
    <w:name w:val="Heading 1 Char"/>
    <w:basedOn w:val="DefaultParagraphFont"/>
    <w:link w:val="Heading1"/>
    <w:rsid w:val="008C5989"/>
    <w:rPr>
      <w:kern w:val="28"/>
      <w:sz w:val="52"/>
      <w:lang w:eastAsia="en-US"/>
    </w:rPr>
  </w:style>
  <w:style w:type="character" w:styleId="Strong">
    <w:name w:val="Strong"/>
    <w:basedOn w:val="DefaultParagraphFont"/>
    <w:uiPriority w:val="22"/>
    <w:qFormat/>
    <w:rsid w:val="00F23021"/>
    <w:rPr>
      <w:b/>
      <w:bCs/>
    </w:rPr>
  </w:style>
  <w:style w:type="table" w:styleId="TableGrid">
    <w:name w:val="Table Grid"/>
    <w:basedOn w:val="TableNormal"/>
    <w:rsid w:val="00921E6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7.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6.xml"/><Relationship Id="rId10" Type="http://schemas.openxmlformats.org/officeDocument/2006/relationships/header" Target="header1.xml"/><Relationship Id="rId19"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prelim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9BC762-E055-4F6E-9DB3-5AFB9E779C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prelims.dotm</Template>
  <TotalTime>2</TotalTime>
  <Pages>8</Pages>
  <Words>1214</Words>
  <Characters>7632</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Productivity Commission</vt:lpstr>
    </vt:vector>
  </TitlesOfParts>
  <Company>Productivity Commission</Company>
  <LinksUpToDate>false</LinksUpToDate>
  <CharactersWithSpaces>8829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Productivity Commission</dc:title>
  <dc:creator>Productivity Commission</dc:creator>
  <cp:lastModifiedBy>Productivity Commission</cp:lastModifiedBy>
  <cp:revision>3</cp:revision>
  <cp:lastPrinted>2014-01-30T01:20:00Z</cp:lastPrinted>
  <dcterms:created xsi:type="dcterms:W3CDTF">2014-01-30T23:52:00Z</dcterms:created>
  <dcterms:modified xsi:type="dcterms:W3CDTF">2015-05-08T00:01:00Z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55162653</vt:i4>
  </property>
  <property fmtid="{D5CDD505-2E9C-101B-9397-08002B2CF9AE}" pid="4" name="_EmailSubject">
    <vt:lpwstr>auto URL [SEC=UNCLASSIFIED]</vt:lpwstr>
  </property>
  <property fmtid="{D5CDD505-2E9C-101B-9397-08002B2CF9AE}" pid="5" name="_AuthorEmail">
    <vt:lpwstr>Louise.Jordan@pc.gov.au</vt:lpwstr>
  </property>
  <property fmtid="{D5CDD505-2E9C-101B-9397-08002B2CF9AE}" pid="6" name="_AuthorEmailDisplayName">
    <vt:lpwstr>Jordan, Louise</vt:lpwstr>
  </property>
  <property fmtid="{D5CDD505-2E9C-101B-9397-08002B2CF9AE}" pid="7" name="_ReviewingToolsShownOnce">
    <vt:lpwstr/>
  </property>
</Properties>
</file>