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drawings/drawing1.xml" ContentType="application/vnd.openxmlformats-officedocument.drawingml.chartshapes+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theme/themeOverride1.xml" ContentType="application/vnd.openxmlformats-officedocument.themeOverride+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charts/chart20.xml" ContentType="application/vnd.openxmlformats-officedocument.drawingml.chart+xml"/>
  <Override PartName="/word/charts/chart21.xml" ContentType="application/vnd.openxmlformats-officedocument.drawingml.chart+xml"/>
  <Override PartName="/word/theme/themeOverride2.xml" ContentType="application/vnd.openxmlformats-officedocument.themeOverride+xml"/>
  <Override PartName="/word/charts/chart22.xml" ContentType="application/vnd.openxmlformats-officedocument.drawingml.chart+xml"/>
  <Override PartName="/word/charts/chart23.xml" ContentType="application/vnd.openxmlformats-officedocument.drawingml.chart+xml"/>
  <Override PartName="/word/charts/chart24.xml" ContentType="application/vnd.openxmlformats-officedocument.drawingml.chart+xml"/>
  <Override PartName="/word/charts/chart25.xml" ContentType="application/vnd.openxmlformats-officedocument.drawingml.chart+xml"/>
  <Override PartName="/word/charts/chart26.xml" ContentType="application/vnd.openxmlformats-officedocument.drawingml.chart+xml"/>
  <Override PartName="/word/drawings/drawing2.xml" ContentType="application/vnd.openxmlformats-officedocument.drawingml.chartshapes+xml"/>
  <Override PartName="/word/charts/chart27.xml" ContentType="application/vnd.openxmlformats-officedocument.drawingml.chart+xml"/>
  <Override PartName="/word/charts/chart28.xml" ContentType="application/vnd.openxmlformats-officedocument.drawingml.chart+xml"/>
  <Override PartName="/word/theme/themeOverride3.xml" ContentType="application/vnd.openxmlformats-officedocument.themeOverride+xml"/>
  <Override PartName="/word/charts/chart29.xml" ContentType="application/vnd.openxmlformats-officedocument.drawingml.chart+xml"/>
  <Override PartName="/word/drawings/drawing3.xml" ContentType="application/vnd.openxmlformats-officedocument.drawingml.chartshapes+xml"/>
  <Override PartName="/word/charts/chart30.xml" ContentType="application/vnd.openxmlformats-officedocument.drawingml.chart+xml"/>
  <Override PartName="/word/header10.xml" ContentType="application/vnd.openxmlformats-officedocument.wordprocessingml.header+xml"/>
  <Override PartName="/word/header11.xml" ContentType="application/vnd.openxmlformats-officedocument.wordprocessingml.header+xml"/>
  <Override PartName="/word/footer5.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7.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2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474E" w:rsidRDefault="0081474E" w:rsidP="0081474E">
      <w:pPr>
        <w:pStyle w:val="PartNumber"/>
      </w:pPr>
    </w:p>
    <w:tbl>
      <w:tblPr>
        <w:tblW w:w="0" w:type="auto"/>
        <w:tblLayout w:type="fixed"/>
        <w:tblCellMar>
          <w:left w:w="0" w:type="dxa"/>
          <w:right w:w="0" w:type="dxa"/>
        </w:tblCellMar>
        <w:tblLook w:val="0000" w:firstRow="0" w:lastRow="0" w:firstColumn="0" w:lastColumn="0" w:noHBand="0" w:noVBand="0"/>
      </w:tblPr>
      <w:tblGrid>
        <w:gridCol w:w="6634"/>
        <w:gridCol w:w="2155"/>
      </w:tblGrid>
      <w:tr w:rsidR="0081474E" w:rsidTr="00AC7FF1">
        <w:tc>
          <w:tcPr>
            <w:tcW w:w="6634" w:type="dxa"/>
            <w:tcBorders>
              <w:top w:val="single" w:sz="6" w:space="0" w:color="auto"/>
            </w:tcBorders>
          </w:tcPr>
          <w:p w:rsidR="0081474E" w:rsidRDefault="0081474E" w:rsidP="00AC7FF1">
            <w:pPr>
              <w:pStyle w:val="PartDivider"/>
            </w:pPr>
          </w:p>
        </w:tc>
        <w:tc>
          <w:tcPr>
            <w:tcW w:w="2155" w:type="dxa"/>
            <w:tcBorders>
              <w:top w:val="single" w:sz="24" w:space="0" w:color="auto"/>
            </w:tcBorders>
          </w:tcPr>
          <w:p w:rsidR="0081474E" w:rsidRDefault="0081474E" w:rsidP="00AC7FF1">
            <w:pPr>
              <w:pStyle w:val="PartDivider"/>
            </w:pPr>
          </w:p>
        </w:tc>
      </w:tr>
    </w:tbl>
    <w:p w:rsidR="0081474E" w:rsidRDefault="0081474E" w:rsidP="0081474E">
      <w:pPr>
        <w:pStyle w:val="PartDivider"/>
      </w:pPr>
    </w:p>
    <w:p w:rsidR="0081474E" w:rsidRDefault="0081474E" w:rsidP="0081474E">
      <w:pPr>
        <w:pStyle w:val="PartTitle"/>
        <w:spacing w:after="240"/>
      </w:pPr>
      <w:r>
        <w:t>Australia’s Automotive Manufacturing Industry</w:t>
      </w:r>
    </w:p>
    <w:p w:rsidR="00A5394B" w:rsidRDefault="00A5394B">
      <w:r>
        <w:rPr>
          <w:b/>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89"/>
      </w:tblGrid>
      <w:tr w:rsidR="00727498" w:rsidTr="007B422F">
        <w:tc>
          <w:tcPr>
            <w:tcW w:w="8789" w:type="dxa"/>
            <w:tcBorders>
              <w:top w:val="single" w:sz="6" w:space="0" w:color="auto"/>
              <w:left w:val="single" w:sz="6" w:space="0" w:color="auto"/>
              <w:bottom w:val="nil"/>
              <w:right w:val="single" w:sz="6" w:space="0" w:color="auto"/>
            </w:tcBorders>
          </w:tcPr>
          <w:p w:rsidR="00727498" w:rsidRDefault="00727498" w:rsidP="007B422F">
            <w:pPr>
              <w:pStyle w:val="BoxTitle"/>
            </w:pPr>
            <w:r>
              <w:lastRenderedPageBreak/>
              <w:t>Key points</w:t>
            </w:r>
          </w:p>
        </w:tc>
      </w:tr>
      <w:tr w:rsidR="00727498" w:rsidTr="007B422F">
        <w:tc>
          <w:tcPr>
            <w:tcW w:w="8789" w:type="dxa"/>
            <w:tcBorders>
              <w:top w:val="nil"/>
              <w:left w:val="single" w:sz="6" w:space="0" w:color="auto"/>
              <w:bottom w:val="nil"/>
              <w:right w:val="single" w:sz="6" w:space="0" w:color="auto"/>
            </w:tcBorders>
          </w:tcPr>
          <w:p w:rsidR="00727498" w:rsidRDefault="00727498" w:rsidP="00823312">
            <w:pPr>
              <w:pStyle w:val="BoxListBullet"/>
              <w:spacing w:line="270" w:lineRule="exact"/>
            </w:pPr>
            <w:r>
              <w:t>Global forces are driving (and are likely to continue to drive) dramatic changes in both the demand for motor vehicles and the size, scale and location of production.</w:t>
            </w:r>
          </w:p>
          <w:p w:rsidR="00727498" w:rsidRDefault="00727498" w:rsidP="00823312">
            <w:pPr>
              <w:pStyle w:val="BoxListBullet"/>
              <w:spacing w:line="270" w:lineRule="exact"/>
            </w:pPr>
            <w:r>
              <w:t>At a global level, production capacity exceeds demand for motor vehicles.</w:t>
            </w:r>
          </w:p>
          <w:p w:rsidR="00727498" w:rsidRDefault="00727498" w:rsidP="00727498">
            <w:pPr>
              <w:pStyle w:val="BoxListBullet2"/>
              <w:numPr>
                <w:ilvl w:val="0"/>
                <w:numId w:val="2"/>
              </w:numPr>
              <w:spacing w:line="270" w:lineRule="exact"/>
            </w:pPr>
            <w:r>
              <w:t xml:space="preserve">Demand in a </w:t>
            </w:r>
            <w:r w:rsidRPr="00F06492">
              <w:t>number</w:t>
            </w:r>
            <w:r>
              <w:t xml:space="preserve"> of developed economies has been slow to rebound from the global financial crisis, and many assembly plants are operating below capacity.</w:t>
            </w:r>
          </w:p>
          <w:p w:rsidR="00727498" w:rsidRDefault="00727498" w:rsidP="00727498">
            <w:pPr>
              <w:pStyle w:val="BoxListBullet2"/>
              <w:numPr>
                <w:ilvl w:val="0"/>
                <w:numId w:val="2"/>
              </w:numPr>
              <w:spacing w:line="270" w:lineRule="exact"/>
            </w:pPr>
            <w:r>
              <w:t>Significant rationalisation of production capacity has occurred in the US, and further assembly plant closures have been announced in the UK and Belgium.</w:t>
            </w:r>
          </w:p>
          <w:p w:rsidR="00727498" w:rsidRDefault="00727498" w:rsidP="00727498">
            <w:pPr>
              <w:pStyle w:val="BoxListBullet2"/>
              <w:numPr>
                <w:ilvl w:val="0"/>
                <w:numId w:val="2"/>
              </w:numPr>
              <w:spacing w:line="270" w:lineRule="exact"/>
            </w:pPr>
            <w:r>
              <w:t>Vehicle manufacturing capacity is shifting to regions with lower labour costs and high demand growth such as China, Eastern Europe, India, Mexico and Thailand.</w:t>
            </w:r>
          </w:p>
          <w:p w:rsidR="00727498" w:rsidRDefault="00727498" w:rsidP="00727498">
            <w:pPr>
              <w:pStyle w:val="BoxListBullet2"/>
              <w:numPr>
                <w:ilvl w:val="0"/>
                <w:numId w:val="2"/>
              </w:numPr>
              <w:spacing w:line="270" w:lineRule="exact"/>
              <w:rPr>
                <w:szCs w:val="24"/>
              </w:rPr>
            </w:pPr>
            <w:r>
              <w:t>Many governments provide financial or other support to attract (or retain) an automotive manufacturing industry.</w:t>
            </w:r>
          </w:p>
          <w:p w:rsidR="00727498" w:rsidRDefault="00727498" w:rsidP="00823312">
            <w:pPr>
              <w:pStyle w:val="BoxListBullet"/>
              <w:spacing w:line="270" w:lineRule="exact"/>
            </w:pPr>
            <w:r>
              <w:t>There is relentless pressure on vehicle producers worldwide to reduce manufacturing costs, particularly in the small to medium size car, high volume, market segments.</w:t>
            </w:r>
          </w:p>
          <w:p w:rsidR="00727498" w:rsidRDefault="00727498" w:rsidP="00727498">
            <w:pPr>
              <w:pStyle w:val="BoxListBullet2"/>
              <w:numPr>
                <w:ilvl w:val="0"/>
                <w:numId w:val="2"/>
              </w:numPr>
              <w:spacing w:line="270" w:lineRule="exact"/>
              <w:rPr>
                <w:szCs w:val="24"/>
              </w:rPr>
            </w:pPr>
            <w:r>
              <w:t>The selling prices for vehicles in such segments of the new car market are held down by fierce competition from local suppliers and importers.</w:t>
            </w:r>
          </w:p>
          <w:p w:rsidR="00727498" w:rsidRDefault="00727498" w:rsidP="00727498">
            <w:pPr>
              <w:pStyle w:val="BoxListBullet2"/>
              <w:numPr>
                <w:ilvl w:val="0"/>
                <w:numId w:val="2"/>
              </w:numPr>
              <w:spacing w:line="270" w:lineRule="exact"/>
              <w:rPr>
                <w:szCs w:val="24"/>
              </w:rPr>
            </w:pPr>
            <w:r>
              <w:t xml:space="preserve">Affiliates within international firms compete for the right to produce models built on global platforms — for supply to both domestic and export markets. </w:t>
            </w:r>
          </w:p>
          <w:p w:rsidR="00727498" w:rsidRDefault="00727498" w:rsidP="00727498">
            <w:pPr>
              <w:pStyle w:val="BoxListBullet2"/>
              <w:numPr>
                <w:ilvl w:val="0"/>
                <w:numId w:val="2"/>
              </w:numPr>
              <w:spacing w:line="270" w:lineRule="exact"/>
              <w:rPr>
                <w:szCs w:val="24"/>
              </w:rPr>
            </w:pPr>
            <w:r>
              <w:t>Cost pressures extend to component manufacturers throughout the supply chain.</w:t>
            </w:r>
          </w:p>
          <w:p w:rsidR="00727498" w:rsidRDefault="00727498" w:rsidP="00823312">
            <w:pPr>
              <w:pStyle w:val="BoxListBullet"/>
              <w:spacing w:line="270" w:lineRule="exact"/>
            </w:pPr>
            <w:r>
              <w:t>Production scale and labour costs are key drivers of automotive manufacturing costs.</w:t>
            </w:r>
          </w:p>
          <w:p w:rsidR="00727498" w:rsidRDefault="00727498" w:rsidP="00727498">
            <w:pPr>
              <w:pStyle w:val="BoxListBullet2"/>
              <w:numPr>
                <w:ilvl w:val="0"/>
                <w:numId w:val="2"/>
              </w:numPr>
              <w:spacing w:line="270" w:lineRule="exact"/>
            </w:pPr>
            <w:r w:rsidRPr="00994D04">
              <w:t xml:space="preserve">All vehicle </w:t>
            </w:r>
            <w:r>
              <w:t>manufacturers in Australia</w:t>
            </w:r>
            <w:r w:rsidRPr="00994D04">
              <w:t xml:space="preserve"> are </w:t>
            </w:r>
            <w:r>
              <w:t>producing</w:t>
            </w:r>
            <w:r w:rsidRPr="00994D04">
              <w:t xml:space="preserve"> well below </w:t>
            </w:r>
            <w:r>
              <w:t>the 200 000 to 300 000 vehicles needed annually for an assembly plant to be cost competitive.</w:t>
            </w:r>
          </w:p>
          <w:p w:rsidR="00727498" w:rsidRPr="00416940" w:rsidRDefault="00727498" w:rsidP="00727498">
            <w:pPr>
              <w:pStyle w:val="BoxListBullet2"/>
              <w:numPr>
                <w:ilvl w:val="0"/>
                <w:numId w:val="2"/>
              </w:numPr>
              <w:spacing w:line="270" w:lineRule="exact"/>
              <w:rPr>
                <w:i/>
              </w:rPr>
            </w:pPr>
            <w:r>
              <w:t xml:space="preserve">Labour costs in automotive manufacturing are substantially higher in Australia </w:t>
            </w:r>
            <w:r w:rsidRPr="00434A83">
              <w:t xml:space="preserve">than </w:t>
            </w:r>
            <w:r>
              <w:t>in countries such as China and</w:t>
            </w:r>
            <w:r w:rsidRPr="00434A83">
              <w:t xml:space="preserve"> Thailand</w:t>
            </w:r>
            <w:r w:rsidRPr="006B1642">
              <w:t>.</w:t>
            </w:r>
          </w:p>
          <w:p w:rsidR="00727498" w:rsidRDefault="00727498" w:rsidP="00727498">
            <w:pPr>
              <w:pStyle w:val="BoxListBullet2"/>
              <w:numPr>
                <w:ilvl w:val="0"/>
                <w:numId w:val="2"/>
              </w:numPr>
              <w:spacing w:line="270" w:lineRule="exact"/>
            </w:pPr>
            <w:r>
              <w:t>Despite continuing efforts by vehicle producers and their employees, a substantial cost gap between Australian and many overseas assembly plants remains.</w:t>
            </w:r>
          </w:p>
          <w:p w:rsidR="00727498" w:rsidRDefault="00727498" w:rsidP="00823312">
            <w:pPr>
              <w:pStyle w:val="BoxListBullet"/>
              <w:spacing w:line="270" w:lineRule="exact"/>
            </w:pPr>
            <w:r>
              <w:t xml:space="preserve">Increasing vehicle production in Australia, for local supply or export, is challenging. </w:t>
            </w:r>
            <w:r w:rsidRPr="006F4635">
              <w:t>Vehicle producers in Australia have been losing local market share.</w:t>
            </w:r>
          </w:p>
          <w:p w:rsidR="00727498" w:rsidRDefault="00727498" w:rsidP="00727498">
            <w:pPr>
              <w:pStyle w:val="BoxListBullet2"/>
              <w:numPr>
                <w:ilvl w:val="0"/>
                <w:numId w:val="2"/>
              </w:numPr>
              <w:spacing w:line="270" w:lineRule="exact"/>
            </w:pPr>
            <w:r>
              <w:t xml:space="preserve">The Australian new car market is small by global standards. It is highly competitive, to the benefit of Australian consumers, but is fragmented. Top selling models enjoy sales of only a little over 40 000 vehicles a year. </w:t>
            </w:r>
          </w:p>
          <w:p w:rsidR="00727498" w:rsidRDefault="00727498" w:rsidP="00727498">
            <w:pPr>
              <w:pStyle w:val="BoxListBullet2"/>
              <w:numPr>
                <w:ilvl w:val="0"/>
                <w:numId w:val="2"/>
              </w:numPr>
              <w:spacing w:line="270" w:lineRule="exact"/>
            </w:pPr>
            <w:r>
              <w:t>Export opportunities are limited by the high costs of production, the sustained high Australian dollar, competition, and</w:t>
            </w:r>
            <w:r w:rsidRPr="00252213">
              <w:t xml:space="preserve"> continuing barriers to trade</w:t>
            </w:r>
            <w:r>
              <w:t>.</w:t>
            </w:r>
          </w:p>
          <w:p w:rsidR="00727498" w:rsidRPr="008907A3" w:rsidRDefault="00727498" w:rsidP="00823312">
            <w:pPr>
              <w:pStyle w:val="BoxListBullet"/>
              <w:spacing w:line="270" w:lineRule="exact"/>
              <w:rPr>
                <w:spacing w:val="-2"/>
              </w:rPr>
            </w:pPr>
            <w:r w:rsidRPr="008907A3">
              <w:rPr>
                <w:spacing w:val="-2"/>
              </w:rPr>
              <w:t>Global trends place ongoing pressure on Australian automotive component suppliers.</w:t>
            </w:r>
          </w:p>
          <w:p w:rsidR="00727498" w:rsidRPr="006F4635" w:rsidRDefault="00727498" w:rsidP="00727498">
            <w:pPr>
              <w:pStyle w:val="BoxListBullet2"/>
              <w:numPr>
                <w:ilvl w:val="0"/>
                <w:numId w:val="2"/>
              </w:numPr>
              <w:spacing w:line="270" w:lineRule="exact"/>
            </w:pPr>
            <w:r w:rsidRPr="006F4635">
              <w:t xml:space="preserve">Component manufacturing in Australia is high cost compared to countries such as China and India. Motor vehicle producers in Australia are increasingly </w:t>
            </w:r>
            <w:r>
              <w:t xml:space="preserve">sourcing automotive </w:t>
            </w:r>
            <w:r w:rsidRPr="006F4635">
              <w:t>components</w:t>
            </w:r>
            <w:r>
              <w:t xml:space="preserve"> from overseas</w:t>
            </w:r>
            <w:r w:rsidRPr="006F4635">
              <w:t>.</w:t>
            </w:r>
          </w:p>
          <w:p w:rsidR="00727498" w:rsidRDefault="00727498" w:rsidP="00727498">
            <w:pPr>
              <w:pStyle w:val="BoxListBullet2"/>
              <w:numPr>
                <w:ilvl w:val="0"/>
                <w:numId w:val="2"/>
              </w:numPr>
              <w:spacing w:line="270" w:lineRule="exact"/>
            </w:pPr>
            <w:r>
              <w:t>V</w:t>
            </w:r>
            <w:r w:rsidRPr="00C20C71">
              <w:t>ehicle producers</w:t>
            </w:r>
            <w:r>
              <w:t xml:space="preserve"> increasingly require their key component suppliers to have a global presence and be located near major production regions.</w:t>
            </w:r>
          </w:p>
          <w:p w:rsidR="00727498" w:rsidRDefault="00727498" w:rsidP="00727498">
            <w:pPr>
              <w:pStyle w:val="BoxListBullet2"/>
              <w:numPr>
                <w:ilvl w:val="0"/>
                <w:numId w:val="2"/>
              </w:numPr>
              <w:spacing w:line="270" w:lineRule="exact"/>
            </w:pPr>
            <w:r>
              <w:t>The greater use of global platforms may lead to opportunities for some Australian component suppliers, but may lead to the closure of others.</w:t>
            </w:r>
          </w:p>
          <w:p w:rsidR="00727498" w:rsidRDefault="00727498" w:rsidP="003601F1">
            <w:pPr>
              <w:pStyle w:val="BoxListBullet"/>
              <w:spacing w:line="270" w:lineRule="exact"/>
            </w:pPr>
            <w:r>
              <w:t>Australian governments have provided capital grants and subsidies to automotive manufacturers, and transitional assistance intended to facilitate industry adjustment.</w:t>
            </w:r>
          </w:p>
        </w:tc>
      </w:tr>
      <w:tr w:rsidR="00727498" w:rsidTr="007B422F">
        <w:tc>
          <w:tcPr>
            <w:tcW w:w="8789" w:type="dxa"/>
            <w:tcBorders>
              <w:top w:val="nil"/>
              <w:left w:val="single" w:sz="6" w:space="0" w:color="auto"/>
              <w:bottom w:val="single" w:sz="6" w:space="0" w:color="auto"/>
              <w:right w:val="single" w:sz="6" w:space="0" w:color="auto"/>
            </w:tcBorders>
          </w:tcPr>
          <w:p w:rsidR="00727498" w:rsidRDefault="00727498" w:rsidP="007B422F">
            <w:pPr>
              <w:pStyle w:val="Box"/>
              <w:spacing w:before="0" w:line="120" w:lineRule="exact"/>
            </w:pPr>
          </w:p>
        </w:tc>
      </w:tr>
    </w:tbl>
    <w:p w:rsidR="00727498" w:rsidRDefault="00727498" w:rsidP="00906EB5">
      <w:pPr>
        <w:pStyle w:val="BodyText"/>
        <w:spacing w:before="0" w:line="20" w:lineRule="exact"/>
      </w:pPr>
    </w:p>
    <w:p w:rsidR="00727498" w:rsidRDefault="00727498" w:rsidP="00727498">
      <w:pPr>
        <w:sectPr w:rsidR="00727498" w:rsidSect="00CB5290">
          <w:headerReference w:type="even" r:id="rId9"/>
          <w:headerReference w:type="default" r:id="rId10"/>
          <w:footerReference w:type="even" r:id="rId11"/>
          <w:footerReference w:type="default" r:id="rId12"/>
          <w:headerReference w:type="first" r:id="rId13"/>
          <w:pgSz w:w="11907" w:h="16840" w:code="9"/>
          <w:pgMar w:top="1985" w:right="1304" w:bottom="1418" w:left="1814" w:header="1701" w:footer="567" w:gutter="0"/>
          <w:pgNumType w:chapSep="period"/>
          <w:cols w:space="720"/>
          <w:titlePg/>
          <w:docGrid w:linePitch="354"/>
        </w:sectPr>
      </w:pPr>
    </w:p>
    <w:p w:rsidR="00727498" w:rsidRDefault="00727498" w:rsidP="00043674">
      <w:pPr>
        <w:pStyle w:val="Heading1"/>
      </w:pPr>
      <w:bookmarkStart w:id="0" w:name="ChapterNumber"/>
      <w:r>
        <w:lastRenderedPageBreak/>
        <w:t>1</w:t>
      </w:r>
      <w:bookmarkEnd w:id="0"/>
      <w:r>
        <w:tab/>
      </w:r>
      <w:bookmarkStart w:id="1" w:name="ChapterTitle"/>
      <w:r>
        <w:t>About the inquiry</w:t>
      </w:r>
      <w:bookmarkEnd w:id="1"/>
    </w:p>
    <w:p w:rsidR="00727498" w:rsidRPr="005001F7" w:rsidRDefault="00727498" w:rsidP="00B5572B">
      <w:pPr>
        <w:pStyle w:val="Heading3"/>
      </w:pPr>
      <w:r>
        <w:t>The Commission’s task</w:t>
      </w:r>
    </w:p>
    <w:p w:rsidR="00727498" w:rsidRPr="00C11851" w:rsidRDefault="00727498" w:rsidP="00B5572B">
      <w:pPr>
        <w:pStyle w:val="BodyText"/>
      </w:pPr>
      <w:r w:rsidRPr="00C11851">
        <w:t xml:space="preserve">The Australian Government has asked the Commission to undertake an inquiry into </w:t>
      </w:r>
      <w:r>
        <w:t xml:space="preserve">government assistance </w:t>
      </w:r>
      <w:r w:rsidRPr="00C11851">
        <w:t>for Australia’s automotive manufacturing industry, including motor vehicle and automotive component production. The Commission has been asked to:</w:t>
      </w:r>
    </w:p>
    <w:p w:rsidR="00727498" w:rsidRDefault="00727498" w:rsidP="00B5572B">
      <w:pPr>
        <w:pStyle w:val="ListBullet"/>
      </w:pPr>
      <w:r>
        <w:t>examine national and international factors affecting the industry</w:t>
      </w:r>
    </w:p>
    <w:p w:rsidR="00727498" w:rsidRDefault="00727498" w:rsidP="00B5572B">
      <w:pPr>
        <w:pStyle w:val="ListBullet"/>
      </w:pPr>
      <w:r>
        <w:t>identify and evaluate possible alternative public support mechanisms</w:t>
      </w:r>
    </w:p>
    <w:p w:rsidR="00727498" w:rsidRDefault="00727498" w:rsidP="00B5572B">
      <w:pPr>
        <w:pStyle w:val="ListBullet"/>
      </w:pPr>
      <w:r>
        <w:t>identify any significant adjustment costs that may arise from alternative support mechanisms or policy changes and how they might be best managed</w:t>
      </w:r>
    </w:p>
    <w:p w:rsidR="00727498" w:rsidRDefault="00727498" w:rsidP="00B5572B">
      <w:pPr>
        <w:pStyle w:val="ListBullet"/>
      </w:pPr>
      <w:r>
        <w:t>assess the significance of the capabilities within the industry, its direct economic benefits, and its secondary impacts on other sectors of the economy</w:t>
      </w:r>
    </w:p>
    <w:p w:rsidR="00727498" w:rsidRDefault="00727498" w:rsidP="00B5572B">
      <w:pPr>
        <w:pStyle w:val="ListBullet"/>
      </w:pPr>
      <w:r>
        <w:t>quantify the costs and benefits of existing and alternative assistance mechanisms.</w:t>
      </w:r>
    </w:p>
    <w:p w:rsidR="00727498" w:rsidRDefault="00727498" w:rsidP="00B5572B">
      <w:pPr>
        <w:pStyle w:val="Heading3"/>
      </w:pPr>
      <w:r>
        <w:t>The scope of the automotive manufacturing industry</w:t>
      </w:r>
    </w:p>
    <w:p w:rsidR="00727498" w:rsidRPr="00C1459D" w:rsidRDefault="00727498" w:rsidP="00B5572B">
      <w:pPr>
        <w:pStyle w:val="BodyText"/>
      </w:pPr>
      <w:r>
        <w:t>This</w:t>
      </w:r>
      <w:r w:rsidRPr="00C1459D">
        <w:t xml:space="preserve"> </w:t>
      </w:r>
      <w:r>
        <w:t>inquiry</w:t>
      </w:r>
      <w:r w:rsidRPr="00C1459D">
        <w:t xml:space="preserve"> will cover the automotive manufacturing industry supply chain in Australia, including:</w:t>
      </w:r>
    </w:p>
    <w:p w:rsidR="00727498" w:rsidRPr="00C1459D" w:rsidRDefault="00727498" w:rsidP="00B5572B">
      <w:pPr>
        <w:pStyle w:val="ListBullet"/>
      </w:pPr>
      <w:r>
        <w:t>m</w:t>
      </w:r>
      <w:r w:rsidRPr="00C1459D">
        <w:t xml:space="preserve">otor vehicle </w:t>
      </w:r>
      <w:r>
        <w:t>assemblers</w:t>
      </w:r>
      <w:r w:rsidRPr="00C1459D">
        <w:t xml:space="preserve"> that manufacture passenger motor vehic</w:t>
      </w:r>
      <w:r>
        <w:t>les (and in some cases engines),</w:t>
      </w:r>
      <w:r w:rsidRPr="00C1459D">
        <w:t xml:space="preserve"> light commercial vehicles </w:t>
      </w:r>
      <w:r>
        <w:t>(</w:t>
      </w:r>
      <w:r w:rsidRPr="00C1459D">
        <w:t>inc</w:t>
      </w:r>
      <w:r>
        <w:t>luding sports utility vehicles) and heavy commercial vehicles (including buses and trucks)</w:t>
      </w:r>
    </w:p>
    <w:p w:rsidR="00727498" w:rsidRPr="00C1459D" w:rsidRDefault="00727498" w:rsidP="00B5572B">
      <w:pPr>
        <w:pStyle w:val="ListBullet"/>
      </w:pPr>
      <w:r>
        <w:t>a</w:t>
      </w:r>
      <w:r w:rsidRPr="00C1459D">
        <w:t xml:space="preserve">utomotive component </w:t>
      </w:r>
      <w:r>
        <w:t>producers</w:t>
      </w:r>
      <w:r w:rsidRPr="00C1459D">
        <w:t xml:space="preserve"> in Australia that supply</w:t>
      </w:r>
      <w:r>
        <w:t xml:space="preserve"> parts for the production of motor vehicles</w:t>
      </w:r>
      <w:r w:rsidRPr="00C1459D">
        <w:t xml:space="preserve"> or the aftermarket</w:t>
      </w:r>
    </w:p>
    <w:p w:rsidR="00727498" w:rsidRPr="00C1459D" w:rsidRDefault="00727498" w:rsidP="00B5572B">
      <w:pPr>
        <w:pStyle w:val="ListBullet"/>
      </w:pPr>
      <w:r>
        <w:t>p</w:t>
      </w:r>
      <w:r w:rsidRPr="00C1459D">
        <w:t>roviders of services and specialist skills that support the automotive manufacturing industry such as design, research and development, tooling, engineering and production services.</w:t>
      </w:r>
    </w:p>
    <w:p w:rsidR="00727498" w:rsidRDefault="00727498" w:rsidP="00B5572B">
      <w:pPr>
        <w:pStyle w:val="Heading3"/>
      </w:pPr>
      <w:r>
        <w:lastRenderedPageBreak/>
        <w:t>The preliminary findings report</w:t>
      </w:r>
    </w:p>
    <w:p w:rsidR="00727498" w:rsidRDefault="00727498" w:rsidP="00B5572B">
      <w:pPr>
        <w:pStyle w:val="BodyText"/>
      </w:pPr>
      <w:r>
        <w:t>This preliminary findings report examines the national and international factors affecting the competitiveness of the Australian automotive manufacturing industry.</w:t>
      </w:r>
    </w:p>
    <w:p w:rsidR="00727498" w:rsidRDefault="00727498" w:rsidP="00B5572B">
      <w:pPr>
        <w:pStyle w:val="ListBullet"/>
      </w:pPr>
      <w:r>
        <w:t>Chapter 2 outlines the key factors affecting the global automotive industry.</w:t>
      </w:r>
    </w:p>
    <w:p w:rsidR="00727498" w:rsidRDefault="00727498" w:rsidP="00B5572B">
      <w:pPr>
        <w:pStyle w:val="ListBullet"/>
      </w:pPr>
      <w:r>
        <w:t>Drawing on the global factors outlined in chapter 2, chapter 3 examines the Australian automotive manufacturing industry, the key factors affecting its current performance and the challenges and opportunities facing the industry in the future.</w:t>
      </w:r>
    </w:p>
    <w:p w:rsidR="00727498" w:rsidRDefault="00727498" w:rsidP="00B5572B">
      <w:pPr>
        <w:pStyle w:val="BodyText"/>
      </w:pPr>
      <w:r>
        <w:t xml:space="preserve">This preliminary findings report examines the current state of global and Australian automotive manufacturing. As such, the adjustment consequences of the December 2013 announcement by General Motors Holden that it will cease motor vehicle manufacturing in Australia in 2017, and the potential implications for other automotive manufacturing firms, are not dealt with in this report </w:t>
      </w:r>
      <w:r w:rsidRPr="00A264AE">
        <w:t xml:space="preserve">but will be addressed in the subsequent phases of this </w:t>
      </w:r>
      <w:r>
        <w:t>i</w:t>
      </w:r>
      <w:r w:rsidRPr="00A264AE">
        <w:t>nquiry</w:t>
      </w:r>
      <w:r>
        <w:t>, as set out below.</w:t>
      </w:r>
    </w:p>
    <w:p w:rsidR="00727498" w:rsidRDefault="00727498" w:rsidP="00B5572B">
      <w:pPr>
        <w:pStyle w:val="Heading3"/>
      </w:pPr>
      <w:r>
        <w:t>The Commission’s approach</w:t>
      </w:r>
    </w:p>
    <w:p w:rsidR="00727498" w:rsidRDefault="00727498" w:rsidP="00B5572B">
      <w:pPr>
        <w:pStyle w:val="BodyText"/>
      </w:pPr>
      <w:r>
        <w:t xml:space="preserve">The Commission has consulted widely in preparing this preliminary findings report. The Commission has met with participants including motor vehicle producers in Australia, component manufacturers, industry bodies, unions and government departments. The Commission also undertook consultations with automotive industry analysts and government departments in Japan and the United States. The full list of visits and consultations is provided in appendix A. </w:t>
      </w:r>
    </w:p>
    <w:p w:rsidR="00727498" w:rsidRDefault="00727498" w:rsidP="00B5572B">
      <w:pPr>
        <w:pStyle w:val="BodyText"/>
      </w:pPr>
      <w:r>
        <w:t>The Commission held public hearings in Adelaide on 2</w:t>
      </w:r>
      <w:r w:rsidRPr="00321C44">
        <w:t xml:space="preserve"> December</w:t>
      </w:r>
      <w:r>
        <w:t xml:space="preserve">, and in Melbourne on 3 and 10 December, and received 226 submissions prior to the release of this report. </w:t>
      </w:r>
    </w:p>
    <w:p w:rsidR="00727498" w:rsidRDefault="00727498" w:rsidP="00B5572B">
      <w:pPr>
        <w:pStyle w:val="BodyText"/>
      </w:pPr>
      <w:r>
        <w:t>The Commission will use the input obtained from submissions and the initial round of public hearings to prepare a position paper by 31 January 2014. The Commission will provide advice on potential options for government assistance to the automotive manufacturing industry, as required under its terms of reference. In light of the decision by Ford and General Motors Holden to cease manufacturing in Australia by 2016 and 2017 respectively, the position paper will also consider options for adjustment support for workers and regions affected by plant shutdowns and other current (and possible future) structural changes to the automotive manufacturing industry.</w:t>
      </w:r>
    </w:p>
    <w:p w:rsidR="00727498" w:rsidRDefault="00727498" w:rsidP="000B2C42">
      <w:pPr>
        <w:pStyle w:val="BodyText"/>
      </w:pPr>
      <w:r w:rsidRPr="00374B17">
        <w:lastRenderedPageBreak/>
        <w:t xml:space="preserve">The Commission will evaluate </w:t>
      </w:r>
      <w:r>
        <w:t>potential</w:t>
      </w:r>
      <w:r w:rsidRPr="00374B17">
        <w:t xml:space="preserve"> policy options </w:t>
      </w:r>
      <w:r>
        <w:t>according to whether they are likely to improve the overall performance of the economy, and to whether the benefits to the Australian community as a whole are assessed to exceed the costs.</w:t>
      </w:r>
    </w:p>
    <w:p w:rsidR="00727498" w:rsidRDefault="00727498" w:rsidP="00B5572B">
      <w:pPr>
        <w:pStyle w:val="BodyText"/>
      </w:pPr>
      <w:r>
        <w:t>Following the release of the position paper, the Commission will invite submissions on the preliminary findings report and the position paper, and hold a further round of public hearings in mid</w:t>
      </w:r>
      <w:r>
        <w:noBreakHyphen/>
        <w:t xml:space="preserve">February 2014. </w:t>
      </w:r>
    </w:p>
    <w:p w:rsidR="00727498" w:rsidRPr="008E1FAB" w:rsidRDefault="00727498" w:rsidP="00722E02">
      <w:pPr>
        <w:pStyle w:val="BodyText"/>
      </w:pPr>
      <w:r w:rsidRPr="00722E02">
        <w:t xml:space="preserve">The Commission will undertake quantitative modelling to inform its analysis for the final report. The modelling will focus on the </w:t>
      </w:r>
      <w:r w:rsidRPr="00F83033">
        <w:t xml:space="preserve">regional </w:t>
      </w:r>
      <w:r w:rsidRPr="00C217D8">
        <w:t xml:space="preserve">and </w:t>
      </w:r>
      <w:r w:rsidRPr="00ED12D1">
        <w:t xml:space="preserve">economywide </w:t>
      </w:r>
      <w:r w:rsidRPr="00722E02">
        <w:t>adjustment implications for motor vehicle producers, automotive component manufacturers and their employees arising from structural changes in the automotive manufacturing industry.</w:t>
      </w:r>
    </w:p>
    <w:p w:rsidR="00727498" w:rsidRDefault="00727498" w:rsidP="00B5572B">
      <w:pPr>
        <w:pStyle w:val="BodyText"/>
      </w:pPr>
      <w:r>
        <w:t>The Commission is endeavouring to release its initial quantitative results in February 2014, and will hold a roundtable on this analysis soon after it is released.</w:t>
      </w:r>
    </w:p>
    <w:p w:rsidR="00727498" w:rsidRPr="005A40E6" w:rsidRDefault="00727498" w:rsidP="00B5572B">
      <w:pPr>
        <w:pStyle w:val="BodyText"/>
      </w:pPr>
      <w:r>
        <w:t>The Commission’s final report will be provided to the Government by 31 March 2014.</w:t>
      </w:r>
    </w:p>
    <w:p w:rsidR="00727498" w:rsidRDefault="00727498" w:rsidP="00120072">
      <w:pPr>
        <w:pStyle w:val="BodyText"/>
      </w:pPr>
    </w:p>
    <w:p w:rsidR="00727498" w:rsidRDefault="00727498" w:rsidP="00120072">
      <w:pPr>
        <w:pStyle w:val="BodyText"/>
      </w:pPr>
    </w:p>
    <w:p w:rsidR="00727498" w:rsidRDefault="00727498" w:rsidP="00120072">
      <w:pPr>
        <w:pStyle w:val="BodyText"/>
      </w:pPr>
    </w:p>
    <w:p w:rsidR="00727498" w:rsidRDefault="00727498" w:rsidP="00727498">
      <w:pPr>
        <w:sectPr w:rsidR="00727498" w:rsidSect="00727498">
          <w:headerReference w:type="even" r:id="rId14"/>
          <w:headerReference w:type="default" r:id="rId15"/>
          <w:footerReference w:type="default" r:id="rId16"/>
          <w:headerReference w:type="first" r:id="rId17"/>
          <w:type w:val="oddPage"/>
          <w:pgSz w:w="11907" w:h="16840" w:code="9"/>
          <w:pgMar w:top="1985" w:right="1304" w:bottom="1418" w:left="1814" w:header="1701" w:footer="567" w:gutter="0"/>
          <w:pgNumType w:chapSep="period"/>
          <w:cols w:space="720"/>
          <w:docGrid w:linePitch="354"/>
        </w:sectPr>
      </w:pPr>
    </w:p>
    <w:p w:rsidR="00727498" w:rsidRDefault="00727498" w:rsidP="00713BD3">
      <w:pPr>
        <w:pStyle w:val="Heading1"/>
      </w:pPr>
      <w:r>
        <w:lastRenderedPageBreak/>
        <w:t>2</w:t>
      </w:r>
      <w:r>
        <w:tab/>
        <w:t>Automotive manufacturing in a global context</w:t>
      </w:r>
    </w:p>
    <w:p w:rsidR="00727498" w:rsidRDefault="00727498" w:rsidP="00902843">
      <w:pPr>
        <w:pStyle w:val="BodyText"/>
      </w:pPr>
      <w:r>
        <w:t>Global trends are driving dramatic changes in both the demand for motor vehicles and the size, scale and location of production (figure 2.1).</w:t>
      </w:r>
    </w:p>
    <w:p w:rsidR="00727498" w:rsidRDefault="00727498" w:rsidP="00DB7430">
      <w:pPr>
        <w:pStyle w:val="ListBullet"/>
      </w:pPr>
      <w:r>
        <w:t xml:space="preserve">The global financial crisis significantly disrupted demand for motor vehicles in developed countries during 2008 and 2009, and demand in </w:t>
      </w:r>
      <w:r w:rsidRPr="001D7692">
        <w:t>a number of</w:t>
      </w:r>
      <w:r>
        <w:t xml:space="preserve"> these countries has been slow to rebound. On the other hand, growth has been strong in developing countries — especially China. Globally, there is a growing consumer preference for small cars and sports utility vehicles (SUVs).</w:t>
      </w:r>
    </w:p>
    <w:p w:rsidR="00727498" w:rsidRDefault="00727498" w:rsidP="00DB7430">
      <w:pPr>
        <w:pStyle w:val="ListBullet"/>
      </w:pPr>
      <w:r>
        <w:t>On the supply side, there is strong competition in the small</w:t>
      </w:r>
      <w:r>
        <w:noBreakHyphen/>
        <w:t xml:space="preserve"> to medium</w:t>
      </w:r>
      <w:r>
        <w:noBreakHyphen/>
        <w:t>size, high</w:t>
      </w:r>
      <w:r>
        <w:noBreakHyphen/>
        <w:t>volume, low</w:t>
      </w:r>
      <w:r>
        <w:noBreakHyphen/>
        <w:t>margin vehicle segment of the market (‘high</w:t>
      </w:r>
      <w:r>
        <w:noBreakHyphen/>
        <w:t>volume vehicles’), which results in relentless pressure to lower manufacturing costs. Motor vehicle producers are increasingly moving to global platforms and are investing in large</w:t>
      </w:r>
      <w:r>
        <w:noBreakHyphen/>
        <w:t>scale plants in low</w:t>
      </w:r>
      <w:r>
        <w:noBreakHyphen/>
        <w:t>cost locations in regions of growing demand, or where there are export advantages such as can arise from preferential trade arrangements. Many governments are offering significant assistance to retain or attract automotive manufacturing, but there is little transparent analysis</w:t>
      </w:r>
      <w:r w:rsidRPr="000F5550">
        <w:t xml:space="preserve"> that would enable an observer to</w:t>
      </w:r>
      <w:r>
        <w:t xml:space="preserve"> robustly</w:t>
      </w:r>
      <w:r w:rsidRPr="000F5550">
        <w:t xml:space="preserve"> assess the net benefit</w:t>
      </w:r>
      <w:r>
        <w:t xml:space="preserve"> of this assistance </w:t>
      </w:r>
      <w:r w:rsidRPr="000F5550">
        <w:t>to a</w:t>
      </w:r>
      <w:r>
        <w:t xml:space="preserve"> nation’s</w:t>
      </w:r>
      <w:r w:rsidRPr="000F5550">
        <w:t xml:space="preserve"> economy</w:t>
      </w:r>
      <w:r>
        <w:t>.</w:t>
      </w:r>
    </w:p>
    <w:p w:rsidR="00727498" w:rsidRDefault="00727498" w:rsidP="00B1162F">
      <w:pPr>
        <w:pStyle w:val="BodyText"/>
      </w:pPr>
      <w:r>
        <w:t xml:space="preserve">During the global financial crisis, restructuring in the automotive manufacturing industry resulted in many thousands of jobs being lost in developed countries. In the United States, between 2007 and 2009, employment declined by around 62 000 in assembly plants and around 194 000 in component manufacturing firms </w:t>
      </w:r>
      <w:r>
        <w:fldChar w:fldCharType="begin" w:fldLock="1"/>
      </w:r>
      <w:r>
        <w:instrText xml:space="preserve"> ADDIN ZOTERO_ITEM CSL_CITATION {"citationID":"8rn4j4gbt","properties":{"formattedCitation":"{\\rtf (Klier and Rubenstein\\uc0\\u160{}2012)}","plainCitation":"(Klier and Rubenstein 2012)"},"citationItems":[{"id":2835,"uris":["http://zotero.org/groups/221603/items/64R3SMWI"],"uri":["http://zotero.org/groups/221603/items/64R3SMWI"],"itemData":{"id":2835,"type":"article-journal","title":"Detroit back from the brink? Auto industry crisis and restructuring, 2008–11","container-title":"Economic Perspectives","page":"35-54","volume":"36","issue":"2","author":[{"family":"Klier","given":"T"},{"family":"Rubenstein","given":"J"}],"issued":{"date-parts":[["2012"]]}}}],"schema":"https://github.com/citation-style-language/schema/raw/master/csl-citation.json"} </w:instrText>
      </w:r>
      <w:r>
        <w:fldChar w:fldCharType="separate"/>
      </w:r>
      <w:r w:rsidRPr="008322AB">
        <w:t>(Klier and Rubenstein 2012)</w:t>
      </w:r>
      <w:r>
        <w:fldChar w:fldCharType="end"/>
      </w:r>
      <w:r>
        <w:t xml:space="preserve">. At the same time, jobs were being created in other countries and regions, such as Thailand and, in particular, China. </w:t>
      </w:r>
    </w:p>
    <w:p w:rsidR="00727498" w:rsidRDefault="00727498" w:rsidP="00B1162F">
      <w:pPr>
        <w:pStyle w:val="BodyText"/>
      </w:pPr>
      <w:r>
        <w:t>Australia is a very small player in the global context of automotive manufacturing. Australia’s new vehicle sales of just over 1 million units were around 1.4 per cent of the 82 million passenger and commercial vehicles sold globally in 2012 (table 2.1). Nearly 90 per cent of new vehicle sales in Australia are of imported vehicles, with domestically</w:t>
      </w:r>
      <w:r>
        <w:noBreakHyphen/>
        <w:t xml:space="preserve">produced cars having lost considerable market share in Australia over the past decade </w:t>
      </w:r>
      <w:r w:rsidRPr="00727498">
        <w:rPr>
          <w:szCs w:val="24"/>
        </w:rPr>
        <w:t>(</w:t>
      </w:r>
      <w:proofErr w:type="spellStart"/>
      <w:r w:rsidRPr="00727498">
        <w:rPr>
          <w:szCs w:val="24"/>
        </w:rPr>
        <w:t>DIISRTE</w:t>
      </w:r>
      <w:proofErr w:type="spellEnd"/>
      <w:r w:rsidRPr="00727498">
        <w:rPr>
          <w:szCs w:val="24"/>
        </w:rPr>
        <w:t> 2013)</w:t>
      </w:r>
      <w:r>
        <w:t>. Australia’s share of global production, at just over 200 000 units, was about one</w:t>
      </w:r>
      <w:r>
        <w:noBreakHyphen/>
        <w:t xml:space="preserve">quarter of 1 per cent in 2012 </w:t>
      </w:r>
      <w:r w:rsidRPr="007140E6">
        <w:t>(</w:t>
      </w:r>
      <w:proofErr w:type="spellStart"/>
      <w:r w:rsidRPr="007140E6">
        <w:t>OICA</w:t>
      </w:r>
      <w:proofErr w:type="spellEnd"/>
      <w:r w:rsidRPr="007140E6">
        <w:t> </w:t>
      </w:r>
      <w:proofErr w:type="spellStart"/>
      <w:r w:rsidRPr="007140E6">
        <w:t>2013a</w:t>
      </w:r>
      <w:proofErr w:type="spellEnd"/>
      <w:r w:rsidRPr="007140E6">
        <w:t>)</w:t>
      </w:r>
      <w:r>
        <w:t xml:space="preserve">, and of that, about 40 per cent was exported. </w:t>
      </w:r>
    </w:p>
    <w:p w:rsidR="00727498" w:rsidRPr="004E21C0" w:rsidRDefault="00727498" w:rsidP="00B1162F">
      <w:pPr>
        <w:pStyle w:val="BodyText"/>
      </w:pPr>
      <w:r>
        <w:lastRenderedPageBreak/>
        <w:t>An understanding of the global context of automotive manufacturing, and the role of Australia’s</w:t>
      </w:r>
      <w:r w:rsidRPr="003E41BC">
        <w:t xml:space="preserve"> </w:t>
      </w:r>
      <w:r>
        <w:t>industry in that context, is important for identifying the challenges and opportunities facing motor vehicle producers and component suppliers in Australia.</w:t>
      </w:r>
    </w:p>
    <w:p w:rsidR="00727498" w:rsidRDefault="00727498">
      <w:pPr>
        <w:pStyle w:val="FigureTitle"/>
      </w:pPr>
      <w:r>
        <w:rPr>
          <w:b w:val="0"/>
        </w:rPr>
        <w:t>Figure 2.</w:t>
      </w:r>
      <w:r>
        <w:rPr>
          <w:b w:val="0"/>
          <w:noProof/>
        </w:rPr>
        <w:t>1</w:t>
      </w:r>
      <w:r>
        <w:tab/>
        <w:t>Global motor vehicle production</w:t>
      </w:r>
    </w:p>
    <w:p w:rsidR="00727498" w:rsidRDefault="00727498">
      <w:pPr>
        <w:pStyle w:val="Subtitle"/>
      </w:pPr>
      <w:r>
        <w:t>1999–2012, passenger motor vehicles, light and heavy commercial vehicles</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727498" w:rsidTr="00384461">
        <w:tc>
          <w:tcPr>
            <w:tcW w:w="8777" w:type="dxa"/>
          </w:tcPr>
          <w:p w:rsidR="00727498" w:rsidRDefault="00727498" w:rsidP="003D6CCF">
            <w:pPr>
              <w:pStyle w:val="Figure"/>
            </w:pPr>
            <w:r>
              <w:rPr>
                <w:noProof/>
              </w:rPr>
              <w:drawing>
                <wp:inline distT="0" distB="0" distL="0" distR="0" wp14:anchorId="11AE4B49" wp14:editId="668AEEC2">
                  <wp:extent cx="5120907" cy="2743200"/>
                  <wp:effectExtent l="0" t="0" r="3810" b="0"/>
                  <wp:docPr id="14" name="Chart 14" descr="A chart showing that global passenger motor vehicle production increased from just over 40 million vehicles in 1999 to just over 60 million vehicles in 2012. Including commercial vehicles, production increased from just under 60 million vehicles in 1999 to more than 80 million vehicles in 2012." title="Global motor vehicle production"/>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tc>
      </w:tr>
    </w:tbl>
    <w:p w:rsidR="00727498" w:rsidRDefault="00727498">
      <w:pPr>
        <w:pStyle w:val="Source"/>
      </w:pPr>
      <w:r>
        <w:rPr>
          <w:i/>
        </w:rPr>
        <w:t>Source</w:t>
      </w:r>
      <w:r w:rsidRPr="00167F06">
        <w:t xml:space="preserve">: </w:t>
      </w:r>
      <w:proofErr w:type="spellStart"/>
      <w:r>
        <w:t>OICA</w:t>
      </w:r>
      <w:proofErr w:type="spellEnd"/>
      <w:r>
        <w:t xml:space="preserve"> </w:t>
      </w:r>
      <w:r w:rsidRPr="00880D8C">
        <w:rPr>
          <w:rFonts w:cs="Arial"/>
        </w:rPr>
        <w:t>(</w:t>
      </w:r>
      <w:proofErr w:type="spellStart"/>
      <w:r w:rsidRPr="00880D8C">
        <w:rPr>
          <w:rFonts w:cs="Arial"/>
        </w:rPr>
        <w:t>2013</w:t>
      </w:r>
      <w:r w:rsidRPr="006D7854">
        <w:rPr>
          <w:rFonts w:cs="Arial"/>
        </w:rPr>
        <w:t>a</w:t>
      </w:r>
      <w:proofErr w:type="spellEnd"/>
      <w:r w:rsidRPr="006D7854">
        <w:rPr>
          <w:rFonts w:cs="Arial"/>
        </w:rPr>
        <w:t>)</w:t>
      </w:r>
      <w:r>
        <w:t>.</w:t>
      </w:r>
    </w:p>
    <w:p w:rsidR="00727498" w:rsidRDefault="00911C43" w:rsidP="00384461">
      <w:pPr>
        <w:pStyle w:val="Heading2"/>
      </w:pPr>
      <w:r>
        <w:fldChar w:fldCharType="begin" w:fldLock="1"/>
      </w:r>
      <w:r>
        <w:instrText xml:space="preserve"> COMMENTS  \* MERGEFORMAT </w:instrText>
      </w:r>
      <w:r>
        <w:fldChar w:fldCharType="separate"/>
      </w:r>
      <w:r w:rsidR="00727498">
        <w:t>2.</w:t>
      </w:r>
      <w:r>
        <w:fldChar w:fldCharType="end"/>
      </w:r>
      <w:r>
        <w:fldChar w:fldCharType="begin" w:fldLock="1"/>
      </w:r>
      <w:r>
        <w:instrText xml:space="preserve"> SEQ Heading2 </w:instrText>
      </w:r>
      <w:r>
        <w:fldChar w:fldCharType="separate"/>
      </w:r>
      <w:r w:rsidR="00727498">
        <w:rPr>
          <w:noProof/>
        </w:rPr>
        <w:t>1</w:t>
      </w:r>
      <w:r>
        <w:rPr>
          <w:noProof/>
        </w:rPr>
        <w:fldChar w:fldCharType="end"/>
      </w:r>
      <w:r w:rsidR="00727498">
        <w:tab/>
        <w:t>The changing location and structure of demand</w:t>
      </w:r>
    </w:p>
    <w:p w:rsidR="00727498" w:rsidRDefault="00727498" w:rsidP="00162773">
      <w:pPr>
        <w:pStyle w:val="Heading3"/>
        <w:spacing w:before="280"/>
      </w:pPr>
      <w:r>
        <w:t>Demand is slow in a number of developed countries but increasing elsewhere</w:t>
      </w:r>
    </w:p>
    <w:p w:rsidR="00727498" w:rsidRDefault="00727498" w:rsidP="00C06BCE">
      <w:pPr>
        <w:pStyle w:val="BodyText"/>
      </w:pPr>
      <w:r>
        <w:t xml:space="preserve">The global financial crisis was particularly disruptive to demand in developed economies. Consumer demand (in terms of vehicles sold) in the European Union, the United States and Japan fell by around 22 per cent between 2007 and 2009 </w:t>
      </w:r>
      <w:r w:rsidRPr="007140E6">
        <w:t>(</w:t>
      </w:r>
      <w:proofErr w:type="spellStart"/>
      <w:r w:rsidRPr="007140E6">
        <w:t>OICA</w:t>
      </w:r>
      <w:proofErr w:type="spellEnd"/>
      <w:r w:rsidRPr="007140E6">
        <w:t> </w:t>
      </w:r>
      <w:proofErr w:type="spellStart"/>
      <w:r w:rsidRPr="007140E6">
        <w:t>2013a</w:t>
      </w:r>
      <w:proofErr w:type="spellEnd"/>
      <w:r w:rsidRPr="007140E6">
        <w:t>)</w:t>
      </w:r>
      <w:r>
        <w:t xml:space="preserve">. Evidence from the United States and Canada indicates many households postponed vehicle purchases following the crisis, partly due to reduced access to credit </w:t>
      </w:r>
      <w:r w:rsidRPr="00186048">
        <w:t>(</w:t>
      </w:r>
      <w:proofErr w:type="spellStart"/>
      <w:r w:rsidRPr="00186048">
        <w:t>Haugh</w:t>
      </w:r>
      <w:proofErr w:type="spellEnd"/>
      <w:r w:rsidRPr="00186048">
        <w:t xml:space="preserve">, </w:t>
      </w:r>
      <w:proofErr w:type="spellStart"/>
      <w:r w:rsidRPr="00186048">
        <w:t>Mourougane</w:t>
      </w:r>
      <w:proofErr w:type="spellEnd"/>
      <w:r w:rsidRPr="00186048">
        <w:t xml:space="preserve"> and </w:t>
      </w:r>
      <w:proofErr w:type="spellStart"/>
      <w:r w:rsidRPr="00186048">
        <w:t>Chatal</w:t>
      </w:r>
      <w:proofErr w:type="spellEnd"/>
      <w:r w:rsidRPr="00186048">
        <w:t> 2010)</w:t>
      </w:r>
      <w:r>
        <w:fldChar w:fldCharType="begin" w:fldLock="1"/>
      </w:r>
      <w:r>
        <w:fldChar w:fldCharType="separate"/>
      </w:r>
      <w:r w:rsidRPr="00186048">
        <w:t>(Haugh, Mourougane and Chatal 2010)</w:t>
      </w:r>
      <w:r>
        <w:fldChar w:fldCharType="end"/>
      </w:r>
      <w:r>
        <w:t>. By 2012, sales of motor vehicles in a number of developed countries were still below pre</w:t>
      </w:r>
      <w:r>
        <w:noBreakHyphen/>
        <w:t xml:space="preserve">crisis levels </w:t>
      </w:r>
      <w:r w:rsidRPr="007140E6">
        <w:t>(</w:t>
      </w:r>
      <w:proofErr w:type="spellStart"/>
      <w:r w:rsidRPr="007140E6">
        <w:t>OICA</w:t>
      </w:r>
      <w:proofErr w:type="spellEnd"/>
      <w:r w:rsidRPr="007140E6">
        <w:t> </w:t>
      </w:r>
      <w:proofErr w:type="spellStart"/>
      <w:r w:rsidRPr="007140E6">
        <w:t>2013a</w:t>
      </w:r>
      <w:proofErr w:type="spellEnd"/>
      <w:r w:rsidRPr="007140E6">
        <w:t>)</w:t>
      </w:r>
      <w:r>
        <w:t>.</w:t>
      </w:r>
    </w:p>
    <w:p w:rsidR="00727498" w:rsidRDefault="00727498" w:rsidP="00C06BCE">
      <w:pPr>
        <w:pStyle w:val="BodyText"/>
      </w:pPr>
      <w:r>
        <w:t xml:space="preserve">By contrast, </w:t>
      </w:r>
      <w:r w:rsidRPr="00281F49">
        <w:t xml:space="preserve">demand for motor vehicles </w:t>
      </w:r>
      <w:r>
        <w:t xml:space="preserve">has been growing rapidly </w:t>
      </w:r>
      <w:r w:rsidRPr="00281F49">
        <w:t xml:space="preserve">in </w:t>
      </w:r>
      <w:r>
        <w:t>developing</w:t>
      </w:r>
      <w:r w:rsidRPr="00281F49">
        <w:t xml:space="preserve"> economies</w:t>
      </w:r>
      <w:r>
        <w:t xml:space="preserve">, most notably in </w:t>
      </w:r>
      <w:r w:rsidRPr="00281F49">
        <w:t>Brazil</w:t>
      </w:r>
      <w:r>
        <w:t>,</w:t>
      </w:r>
      <w:r w:rsidRPr="00281F49">
        <w:t xml:space="preserve"> </w:t>
      </w:r>
      <w:r>
        <w:t xml:space="preserve">China and </w:t>
      </w:r>
      <w:r w:rsidRPr="00281F49">
        <w:t>India</w:t>
      </w:r>
      <w:r>
        <w:t xml:space="preserve"> </w:t>
      </w:r>
      <w:r w:rsidRPr="004D2BDF">
        <w:t>(McKinsey &amp; Company </w:t>
      </w:r>
      <w:proofErr w:type="spellStart"/>
      <w:r w:rsidRPr="004D2BDF">
        <w:t>2013b</w:t>
      </w:r>
      <w:proofErr w:type="spellEnd"/>
      <w:r w:rsidRPr="004D2BDF">
        <w:t>)</w:t>
      </w:r>
      <w:r>
        <w:t xml:space="preserve">. Growth in vehicle sales (in China in particular) has been dramatic in response to rapidly increasing household incomes, increasing urbanisation and </w:t>
      </w:r>
      <w:r>
        <w:lastRenderedPageBreak/>
        <w:t xml:space="preserve">stimulus policies such as reductions in vehicle sales tax </w:t>
      </w:r>
      <w:r w:rsidRPr="00126DFA">
        <w:t xml:space="preserve">(Baker and </w:t>
      </w:r>
      <w:proofErr w:type="spellStart"/>
      <w:r w:rsidRPr="00126DFA">
        <w:t>Hyvonen</w:t>
      </w:r>
      <w:proofErr w:type="spellEnd"/>
      <w:r w:rsidRPr="00126DFA">
        <w:t xml:space="preserve"> 2011; </w:t>
      </w:r>
      <w:proofErr w:type="spellStart"/>
      <w:r w:rsidRPr="00126DFA">
        <w:t>IbisWorld</w:t>
      </w:r>
      <w:proofErr w:type="spellEnd"/>
      <w:r w:rsidRPr="00126DFA">
        <w:t> </w:t>
      </w:r>
      <w:proofErr w:type="spellStart"/>
      <w:r w:rsidRPr="00126DFA">
        <w:t>2013c</w:t>
      </w:r>
      <w:proofErr w:type="spellEnd"/>
      <w:r w:rsidRPr="00126DFA">
        <w:t>)</w:t>
      </w:r>
      <w:r>
        <w:t xml:space="preserve">. </w:t>
      </w:r>
      <w:r w:rsidRPr="0061232E">
        <w:t>In 2005, sales in China accounted for fewer than 9 per cent of all vehicles sold worldwide. By 2012, this share had more than doubled to almost 24 per cent, overtaking the United States and the European Union (table</w:t>
      </w:r>
      <w:r>
        <w:t> </w:t>
      </w:r>
      <w:r w:rsidRPr="0061232E">
        <w:t>2.1).</w:t>
      </w:r>
    </w:p>
    <w:p w:rsidR="00727498" w:rsidRDefault="00727498" w:rsidP="00C06BCE">
      <w:pPr>
        <w:pStyle w:val="TableTitle"/>
      </w:pPr>
      <w:r>
        <w:rPr>
          <w:b w:val="0"/>
        </w:rPr>
        <w:t xml:space="preserve">Table </w:t>
      </w:r>
      <w:bookmarkStart w:id="2" w:name="OLE_LINK1"/>
      <w:r>
        <w:rPr>
          <w:b w:val="0"/>
        </w:rPr>
        <w:t>2.</w:t>
      </w:r>
      <w:r>
        <w:rPr>
          <w:b w:val="0"/>
        </w:rPr>
        <w:fldChar w:fldCharType="begin" w:fldLock="1"/>
      </w:r>
      <w:r>
        <w:rPr>
          <w:b w:val="0"/>
        </w:rPr>
        <w:instrText xml:space="preserve"> SEQ Table \* ARABIC </w:instrText>
      </w:r>
      <w:r>
        <w:rPr>
          <w:b w:val="0"/>
        </w:rPr>
        <w:fldChar w:fldCharType="separate"/>
      </w:r>
      <w:r>
        <w:rPr>
          <w:b w:val="0"/>
          <w:noProof/>
        </w:rPr>
        <w:t>1</w:t>
      </w:r>
      <w:r>
        <w:rPr>
          <w:b w:val="0"/>
        </w:rPr>
        <w:fldChar w:fldCharType="end"/>
      </w:r>
      <w:bookmarkEnd w:id="2"/>
      <w:r>
        <w:tab/>
        <w:t>Global motor vehicle sales</w:t>
      </w:r>
    </w:p>
    <w:p w:rsidR="00727498" w:rsidRDefault="00727498" w:rsidP="00C06BCE">
      <w:pPr>
        <w:pStyle w:val="Subtitle"/>
      </w:pPr>
      <w:r>
        <w:t>2005 and 2012, passenger motor vehicles, light and heavy commercial vehicles</w:t>
      </w:r>
    </w:p>
    <w:tbl>
      <w:tblPr>
        <w:tblW w:w="5000" w:type="pct"/>
        <w:tblLayout w:type="fixed"/>
        <w:tblCellMar>
          <w:left w:w="0" w:type="dxa"/>
          <w:right w:w="0" w:type="dxa"/>
        </w:tblCellMar>
        <w:tblLook w:val="0000" w:firstRow="0" w:lastRow="0" w:firstColumn="0" w:lastColumn="0" w:noHBand="0" w:noVBand="0"/>
      </w:tblPr>
      <w:tblGrid>
        <w:gridCol w:w="2373"/>
        <w:gridCol w:w="1582"/>
        <w:gridCol w:w="1582"/>
        <w:gridCol w:w="88"/>
        <w:gridCol w:w="1582"/>
        <w:gridCol w:w="1582"/>
      </w:tblGrid>
      <w:tr w:rsidR="00727498" w:rsidRPr="001636B0" w:rsidTr="007140E6">
        <w:tc>
          <w:tcPr>
            <w:tcW w:w="2373" w:type="dxa"/>
            <w:tcBorders>
              <w:top w:val="single" w:sz="6" w:space="0" w:color="auto"/>
            </w:tcBorders>
          </w:tcPr>
          <w:p w:rsidR="00727498" w:rsidRPr="001636B0" w:rsidRDefault="00727498" w:rsidP="00702CE0">
            <w:pPr>
              <w:pStyle w:val="TableColumnHeading"/>
              <w:spacing w:line="240" w:lineRule="exact"/>
            </w:pPr>
          </w:p>
        </w:tc>
        <w:tc>
          <w:tcPr>
            <w:tcW w:w="900" w:type="pct"/>
            <w:gridSpan w:val="2"/>
            <w:tcBorders>
              <w:top w:val="single" w:sz="6" w:space="0" w:color="auto"/>
              <w:bottom w:val="single" w:sz="6" w:space="0" w:color="auto"/>
            </w:tcBorders>
          </w:tcPr>
          <w:p w:rsidR="00727498" w:rsidRPr="00ED24EB" w:rsidRDefault="00727498" w:rsidP="00D06779">
            <w:pPr>
              <w:pStyle w:val="TableColumnHeading"/>
              <w:spacing w:line="240" w:lineRule="exact"/>
              <w:ind w:left="0" w:right="0"/>
              <w:jc w:val="center"/>
            </w:pPr>
            <w:r>
              <w:t>2005</w:t>
            </w:r>
          </w:p>
        </w:tc>
        <w:tc>
          <w:tcPr>
            <w:tcW w:w="50" w:type="pct"/>
            <w:tcBorders>
              <w:top w:val="single" w:sz="6" w:space="0" w:color="auto"/>
            </w:tcBorders>
          </w:tcPr>
          <w:p w:rsidR="00727498" w:rsidRPr="00ED24EB" w:rsidRDefault="00727498" w:rsidP="00D06779">
            <w:pPr>
              <w:pStyle w:val="TableColumnHeading"/>
              <w:spacing w:line="240" w:lineRule="exact"/>
              <w:ind w:left="0" w:right="0"/>
              <w:jc w:val="center"/>
            </w:pPr>
          </w:p>
        </w:tc>
        <w:tc>
          <w:tcPr>
            <w:tcW w:w="900" w:type="pct"/>
            <w:gridSpan w:val="2"/>
            <w:tcBorders>
              <w:top w:val="single" w:sz="6" w:space="0" w:color="auto"/>
              <w:bottom w:val="single" w:sz="6" w:space="0" w:color="auto"/>
            </w:tcBorders>
          </w:tcPr>
          <w:p w:rsidR="00727498" w:rsidRPr="00ED24EB" w:rsidRDefault="00727498" w:rsidP="00D06779">
            <w:pPr>
              <w:pStyle w:val="TableColumnHeading"/>
              <w:spacing w:line="240" w:lineRule="exact"/>
              <w:ind w:left="0" w:right="0"/>
              <w:jc w:val="center"/>
            </w:pPr>
            <w:r>
              <w:t>2012</w:t>
            </w:r>
          </w:p>
        </w:tc>
      </w:tr>
      <w:tr w:rsidR="00727498" w:rsidRPr="001636B0" w:rsidTr="007140E6">
        <w:tc>
          <w:tcPr>
            <w:tcW w:w="2373" w:type="dxa"/>
            <w:tcBorders>
              <w:bottom w:val="single" w:sz="6" w:space="0" w:color="auto"/>
            </w:tcBorders>
            <w:vAlign w:val="bottom"/>
          </w:tcPr>
          <w:p w:rsidR="00727498" w:rsidRPr="001636B0" w:rsidRDefault="00727498" w:rsidP="00D06779">
            <w:pPr>
              <w:pStyle w:val="TableColumnHeading"/>
              <w:spacing w:line="240" w:lineRule="exact"/>
              <w:jc w:val="left"/>
            </w:pPr>
            <w:r w:rsidRPr="001636B0">
              <w:t>Country</w:t>
            </w:r>
          </w:p>
        </w:tc>
        <w:tc>
          <w:tcPr>
            <w:tcW w:w="900" w:type="pct"/>
            <w:tcBorders>
              <w:top w:val="single" w:sz="6" w:space="0" w:color="auto"/>
              <w:bottom w:val="single" w:sz="6" w:space="0" w:color="auto"/>
            </w:tcBorders>
            <w:vAlign w:val="bottom"/>
          </w:tcPr>
          <w:p w:rsidR="00727498" w:rsidRPr="00ED24EB" w:rsidRDefault="00727498" w:rsidP="00702CE0">
            <w:pPr>
              <w:pStyle w:val="TableColumnHeading"/>
              <w:spacing w:line="240" w:lineRule="exact"/>
              <w:ind w:left="0"/>
            </w:pPr>
            <w:r>
              <w:t>Units</w:t>
            </w:r>
            <w:r w:rsidRPr="00ED24EB">
              <w:t xml:space="preserve"> </w:t>
            </w:r>
          </w:p>
        </w:tc>
        <w:tc>
          <w:tcPr>
            <w:tcW w:w="900" w:type="pct"/>
            <w:tcBorders>
              <w:top w:val="single" w:sz="6" w:space="0" w:color="auto"/>
              <w:bottom w:val="single" w:sz="6" w:space="0" w:color="auto"/>
            </w:tcBorders>
            <w:vAlign w:val="bottom"/>
          </w:tcPr>
          <w:p w:rsidR="00727498" w:rsidRPr="00ED24EB" w:rsidRDefault="00727498" w:rsidP="00702CE0">
            <w:pPr>
              <w:pStyle w:val="TableColumnHeading"/>
              <w:spacing w:line="240" w:lineRule="exact"/>
              <w:ind w:left="0"/>
            </w:pPr>
            <w:r w:rsidRPr="00ED24EB">
              <w:t xml:space="preserve">Share of world sales </w:t>
            </w:r>
          </w:p>
        </w:tc>
        <w:tc>
          <w:tcPr>
            <w:tcW w:w="50" w:type="pct"/>
            <w:tcBorders>
              <w:bottom w:val="single" w:sz="6" w:space="0" w:color="auto"/>
            </w:tcBorders>
            <w:vAlign w:val="bottom"/>
          </w:tcPr>
          <w:p w:rsidR="00727498" w:rsidRPr="00ED24EB" w:rsidRDefault="00727498" w:rsidP="00702CE0">
            <w:pPr>
              <w:pStyle w:val="TableColumnHeading"/>
              <w:spacing w:line="240" w:lineRule="exact"/>
              <w:ind w:left="0"/>
            </w:pPr>
          </w:p>
        </w:tc>
        <w:tc>
          <w:tcPr>
            <w:tcW w:w="900" w:type="pct"/>
            <w:tcBorders>
              <w:top w:val="single" w:sz="6" w:space="0" w:color="auto"/>
              <w:bottom w:val="single" w:sz="6" w:space="0" w:color="auto"/>
            </w:tcBorders>
            <w:vAlign w:val="bottom"/>
          </w:tcPr>
          <w:p w:rsidR="00727498" w:rsidRPr="00ED24EB" w:rsidRDefault="00727498" w:rsidP="00702CE0">
            <w:pPr>
              <w:pStyle w:val="TableColumnHeading"/>
              <w:spacing w:line="240" w:lineRule="exact"/>
              <w:ind w:left="0"/>
            </w:pPr>
            <w:r>
              <w:t>Units</w:t>
            </w:r>
            <w:r w:rsidRPr="00ED24EB">
              <w:t xml:space="preserve"> </w:t>
            </w:r>
          </w:p>
        </w:tc>
        <w:tc>
          <w:tcPr>
            <w:tcW w:w="900" w:type="pct"/>
            <w:tcBorders>
              <w:top w:val="single" w:sz="6" w:space="0" w:color="auto"/>
              <w:bottom w:val="single" w:sz="6" w:space="0" w:color="auto"/>
            </w:tcBorders>
            <w:vAlign w:val="bottom"/>
          </w:tcPr>
          <w:p w:rsidR="00727498" w:rsidRPr="00ED24EB" w:rsidRDefault="00727498" w:rsidP="00702CE0">
            <w:pPr>
              <w:pStyle w:val="TableColumnHeading"/>
              <w:spacing w:line="240" w:lineRule="exact"/>
              <w:ind w:left="0" w:right="28"/>
            </w:pPr>
            <w:r w:rsidRPr="00ED24EB">
              <w:t xml:space="preserve">Share of world sales </w:t>
            </w:r>
          </w:p>
        </w:tc>
      </w:tr>
      <w:tr w:rsidR="00727498" w:rsidRPr="001636B0" w:rsidTr="007140E6">
        <w:tc>
          <w:tcPr>
            <w:tcW w:w="2373" w:type="dxa"/>
            <w:tcBorders>
              <w:top w:val="single" w:sz="6" w:space="0" w:color="auto"/>
            </w:tcBorders>
          </w:tcPr>
          <w:p w:rsidR="00727498" w:rsidRPr="00ED24EB" w:rsidRDefault="00727498" w:rsidP="00D06779">
            <w:pPr>
              <w:pStyle w:val="TableUnitsRow"/>
              <w:spacing w:line="240" w:lineRule="exact"/>
              <w:jc w:val="left"/>
            </w:pPr>
          </w:p>
        </w:tc>
        <w:tc>
          <w:tcPr>
            <w:tcW w:w="900" w:type="pct"/>
            <w:tcBorders>
              <w:top w:val="single" w:sz="6" w:space="0" w:color="auto"/>
            </w:tcBorders>
          </w:tcPr>
          <w:p w:rsidR="00727498" w:rsidRPr="00ED24EB" w:rsidRDefault="00727498" w:rsidP="00702CE0">
            <w:pPr>
              <w:pStyle w:val="TableUnitsRow"/>
              <w:spacing w:line="240" w:lineRule="exact"/>
              <w:ind w:left="0"/>
            </w:pPr>
            <w:r>
              <w:t>Million</w:t>
            </w:r>
          </w:p>
        </w:tc>
        <w:tc>
          <w:tcPr>
            <w:tcW w:w="900" w:type="pct"/>
            <w:tcBorders>
              <w:top w:val="single" w:sz="6" w:space="0" w:color="auto"/>
            </w:tcBorders>
          </w:tcPr>
          <w:p w:rsidR="00727498" w:rsidRPr="00ED24EB" w:rsidRDefault="00727498" w:rsidP="00702CE0">
            <w:pPr>
              <w:pStyle w:val="TableUnitsRow"/>
              <w:spacing w:line="240" w:lineRule="exact"/>
              <w:ind w:left="0"/>
            </w:pPr>
            <w:r>
              <w:t>Per cent</w:t>
            </w:r>
          </w:p>
        </w:tc>
        <w:tc>
          <w:tcPr>
            <w:tcW w:w="50" w:type="pct"/>
            <w:tcBorders>
              <w:top w:val="single" w:sz="6" w:space="0" w:color="auto"/>
            </w:tcBorders>
          </w:tcPr>
          <w:p w:rsidR="00727498" w:rsidRPr="00DA0862" w:rsidRDefault="00727498" w:rsidP="00702CE0">
            <w:pPr>
              <w:pStyle w:val="TableUnitsRow"/>
              <w:spacing w:line="240" w:lineRule="exact"/>
              <w:ind w:left="0"/>
            </w:pPr>
          </w:p>
        </w:tc>
        <w:tc>
          <w:tcPr>
            <w:tcW w:w="900" w:type="pct"/>
            <w:tcBorders>
              <w:top w:val="single" w:sz="6" w:space="0" w:color="auto"/>
            </w:tcBorders>
          </w:tcPr>
          <w:p w:rsidR="00727498" w:rsidRPr="00DA0862" w:rsidRDefault="00727498" w:rsidP="00702CE0">
            <w:pPr>
              <w:pStyle w:val="TableUnitsRow"/>
              <w:spacing w:line="240" w:lineRule="exact"/>
              <w:ind w:left="0"/>
            </w:pPr>
            <w:r>
              <w:t>Million</w:t>
            </w:r>
          </w:p>
        </w:tc>
        <w:tc>
          <w:tcPr>
            <w:tcW w:w="900" w:type="pct"/>
            <w:tcBorders>
              <w:top w:val="single" w:sz="6" w:space="0" w:color="auto"/>
            </w:tcBorders>
          </w:tcPr>
          <w:p w:rsidR="00727498" w:rsidRPr="002348D0" w:rsidRDefault="00727498" w:rsidP="00702CE0">
            <w:pPr>
              <w:pStyle w:val="TableUnitsRow"/>
              <w:spacing w:line="240" w:lineRule="exact"/>
              <w:ind w:left="0" w:right="28"/>
            </w:pPr>
            <w:r>
              <w:t>Per cent</w:t>
            </w:r>
          </w:p>
        </w:tc>
      </w:tr>
      <w:tr w:rsidR="00727498" w:rsidTr="00D06779">
        <w:tc>
          <w:tcPr>
            <w:tcW w:w="2373" w:type="dxa"/>
            <w:shd w:val="clear" w:color="auto" w:fill="FFFFFF" w:themeFill="background1"/>
            <w:vAlign w:val="bottom"/>
          </w:tcPr>
          <w:p w:rsidR="00727498" w:rsidRDefault="00727498" w:rsidP="00D06779">
            <w:pPr>
              <w:pStyle w:val="TableBodyText"/>
              <w:spacing w:line="240" w:lineRule="exact"/>
              <w:jc w:val="left"/>
            </w:pPr>
            <w:r>
              <w:t>Australia</w:t>
            </w:r>
          </w:p>
        </w:tc>
        <w:tc>
          <w:tcPr>
            <w:tcW w:w="900" w:type="pct"/>
            <w:shd w:val="clear" w:color="auto" w:fill="FFFFFF" w:themeFill="background1"/>
            <w:vAlign w:val="bottom"/>
          </w:tcPr>
          <w:p w:rsidR="00727498" w:rsidRDefault="00727498" w:rsidP="00702CE0">
            <w:pPr>
              <w:pStyle w:val="TableBodyText"/>
              <w:spacing w:line="240" w:lineRule="exact"/>
              <w:ind w:left="0"/>
            </w:pPr>
            <w:r>
              <w:t xml:space="preserve"> 0.988</w:t>
            </w:r>
          </w:p>
        </w:tc>
        <w:tc>
          <w:tcPr>
            <w:tcW w:w="900" w:type="pct"/>
            <w:shd w:val="clear" w:color="auto" w:fill="FFFFFF" w:themeFill="background1"/>
            <w:vAlign w:val="bottom"/>
          </w:tcPr>
          <w:p w:rsidR="00727498" w:rsidRDefault="00727498" w:rsidP="00702CE0">
            <w:pPr>
              <w:pStyle w:val="TableBodyText"/>
              <w:spacing w:line="240" w:lineRule="exact"/>
              <w:ind w:left="0"/>
            </w:pPr>
            <w:r>
              <w:t>1.5</w:t>
            </w:r>
          </w:p>
        </w:tc>
        <w:tc>
          <w:tcPr>
            <w:tcW w:w="50" w:type="pct"/>
            <w:shd w:val="clear" w:color="auto" w:fill="FFFFFF" w:themeFill="background1"/>
          </w:tcPr>
          <w:p w:rsidR="00727498" w:rsidRDefault="00727498" w:rsidP="00702CE0">
            <w:pPr>
              <w:pStyle w:val="TableBodyText"/>
              <w:spacing w:line="240" w:lineRule="exact"/>
              <w:ind w:left="0"/>
            </w:pPr>
          </w:p>
        </w:tc>
        <w:tc>
          <w:tcPr>
            <w:tcW w:w="900" w:type="pct"/>
            <w:shd w:val="clear" w:color="auto" w:fill="FFFFFF" w:themeFill="background1"/>
            <w:vAlign w:val="bottom"/>
          </w:tcPr>
          <w:p w:rsidR="00727498" w:rsidRDefault="00727498" w:rsidP="00702CE0">
            <w:pPr>
              <w:pStyle w:val="TableBodyText"/>
              <w:spacing w:line="240" w:lineRule="exact"/>
              <w:ind w:left="0"/>
            </w:pPr>
            <w:r>
              <w:t xml:space="preserve"> 1.112</w:t>
            </w:r>
          </w:p>
        </w:tc>
        <w:tc>
          <w:tcPr>
            <w:tcW w:w="900" w:type="pct"/>
            <w:shd w:val="clear" w:color="auto" w:fill="FFFFFF" w:themeFill="background1"/>
            <w:vAlign w:val="bottom"/>
          </w:tcPr>
          <w:p w:rsidR="00727498" w:rsidRDefault="00727498" w:rsidP="00702CE0">
            <w:pPr>
              <w:pStyle w:val="TableBodyText"/>
              <w:spacing w:line="240" w:lineRule="exact"/>
              <w:ind w:left="0" w:right="28"/>
            </w:pPr>
            <w:r>
              <w:t>1.4</w:t>
            </w:r>
          </w:p>
        </w:tc>
      </w:tr>
      <w:tr w:rsidR="00727498" w:rsidTr="00D06779">
        <w:tc>
          <w:tcPr>
            <w:tcW w:w="2373" w:type="dxa"/>
            <w:shd w:val="clear" w:color="auto" w:fill="FFFFFF" w:themeFill="background1"/>
            <w:vAlign w:val="bottom"/>
          </w:tcPr>
          <w:p w:rsidR="00727498" w:rsidRDefault="00727498" w:rsidP="00D06779">
            <w:pPr>
              <w:pStyle w:val="TableBodyText"/>
              <w:spacing w:line="240" w:lineRule="exact"/>
              <w:jc w:val="left"/>
            </w:pPr>
            <w:r>
              <w:t>China</w:t>
            </w:r>
          </w:p>
        </w:tc>
        <w:tc>
          <w:tcPr>
            <w:tcW w:w="900" w:type="pct"/>
            <w:shd w:val="clear" w:color="auto" w:fill="FFFFFF" w:themeFill="background1"/>
            <w:vAlign w:val="bottom"/>
          </w:tcPr>
          <w:p w:rsidR="00727498" w:rsidRDefault="00727498" w:rsidP="00702CE0">
            <w:pPr>
              <w:pStyle w:val="TableBodyText"/>
              <w:spacing w:line="240" w:lineRule="exact"/>
              <w:ind w:left="0"/>
            </w:pPr>
            <w:r>
              <w:t xml:space="preserve"> 5.758</w:t>
            </w:r>
          </w:p>
        </w:tc>
        <w:tc>
          <w:tcPr>
            <w:tcW w:w="900" w:type="pct"/>
            <w:shd w:val="clear" w:color="auto" w:fill="FFFFFF" w:themeFill="background1"/>
            <w:vAlign w:val="bottom"/>
          </w:tcPr>
          <w:p w:rsidR="00727498" w:rsidRDefault="00727498" w:rsidP="00702CE0">
            <w:pPr>
              <w:pStyle w:val="TableBodyText"/>
              <w:spacing w:line="240" w:lineRule="exact"/>
              <w:ind w:left="0"/>
            </w:pPr>
            <w:r>
              <w:t>8.8</w:t>
            </w:r>
          </w:p>
        </w:tc>
        <w:tc>
          <w:tcPr>
            <w:tcW w:w="50" w:type="pct"/>
            <w:shd w:val="clear" w:color="auto" w:fill="FFFFFF" w:themeFill="background1"/>
          </w:tcPr>
          <w:p w:rsidR="00727498" w:rsidRDefault="00727498" w:rsidP="00702CE0">
            <w:pPr>
              <w:pStyle w:val="TableBodyText"/>
              <w:spacing w:line="240" w:lineRule="exact"/>
              <w:ind w:left="0"/>
            </w:pPr>
          </w:p>
        </w:tc>
        <w:tc>
          <w:tcPr>
            <w:tcW w:w="900" w:type="pct"/>
            <w:shd w:val="clear" w:color="auto" w:fill="FFFFFF" w:themeFill="background1"/>
            <w:vAlign w:val="bottom"/>
          </w:tcPr>
          <w:p w:rsidR="00727498" w:rsidRDefault="00727498" w:rsidP="00702CE0">
            <w:pPr>
              <w:pStyle w:val="TableBodyText"/>
              <w:spacing w:line="240" w:lineRule="exact"/>
              <w:ind w:left="0"/>
            </w:pPr>
            <w:r>
              <w:t xml:space="preserve"> 19.306</w:t>
            </w:r>
          </w:p>
        </w:tc>
        <w:tc>
          <w:tcPr>
            <w:tcW w:w="900" w:type="pct"/>
            <w:shd w:val="clear" w:color="auto" w:fill="FFFFFF" w:themeFill="background1"/>
            <w:vAlign w:val="bottom"/>
          </w:tcPr>
          <w:p w:rsidR="00727498" w:rsidRDefault="00727498" w:rsidP="00702CE0">
            <w:pPr>
              <w:pStyle w:val="TableBodyText"/>
              <w:spacing w:line="240" w:lineRule="exact"/>
              <w:ind w:left="0" w:right="28"/>
            </w:pPr>
            <w:r>
              <w:t>23.6</w:t>
            </w:r>
          </w:p>
        </w:tc>
      </w:tr>
      <w:tr w:rsidR="00727498" w:rsidTr="00D06779">
        <w:tc>
          <w:tcPr>
            <w:tcW w:w="2373" w:type="dxa"/>
            <w:shd w:val="clear" w:color="auto" w:fill="FFFFFF" w:themeFill="background1"/>
            <w:vAlign w:val="bottom"/>
          </w:tcPr>
          <w:p w:rsidR="00727498" w:rsidRDefault="00727498" w:rsidP="00D06779">
            <w:pPr>
              <w:pStyle w:val="TableBodyText"/>
              <w:spacing w:line="240" w:lineRule="exact"/>
              <w:jc w:val="left"/>
            </w:pPr>
            <w:r>
              <w:t>India</w:t>
            </w:r>
          </w:p>
        </w:tc>
        <w:tc>
          <w:tcPr>
            <w:tcW w:w="900" w:type="pct"/>
            <w:shd w:val="clear" w:color="auto" w:fill="FFFFFF" w:themeFill="background1"/>
            <w:vAlign w:val="bottom"/>
          </w:tcPr>
          <w:p w:rsidR="00727498" w:rsidRDefault="00727498" w:rsidP="00702CE0">
            <w:pPr>
              <w:pStyle w:val="TableBodyText"/>
              <w:spacing w:line="240" w:lineRule="exact"/>
              <w:ind w:left="0"/>
            </w:pPr>
            <w:r>
              <w:t xml:space="preserve"> 1.440</w:t>
            </w:r>
          </w:p>
        </w:tc>
        <w:tc>
          <w:tcPr>
            <w:tcW w:w="900" w:type="pct"/>
            <w:shd w:val="clear" w:color="auto" w:fill="FFFFFF" w:themeFill="background1"/>
            <w:vAlign w:val="bottom"/>
          </w:tcPr>
          <w:p w:rsidR="00727498" w:rsidRDefault="00727498" w:rsidP="00702CE0">
            <w:pPr>
              <w:pStyle w:val="TableBodyText"/>
              <w:spacing w:line="240" w:lineRule="exact"/>
              <w:ind w:left="0"/>
            </w:pPr>
            <w:r>
              <w:t>2.2</w:t>
            </w:r>
          </w:p>
        </w:tc>
        <w:tc>
          <w:tcPr>
            <w:tcW w:w="50" w:type="pct"/>
            <w:shd w:val="clear" w:color="auto" w:fill="FFFFFF" w:themeFill="background1"/>
          </w:tcPr>
          <w:p w:rsidR="00727498" w:rsidRDefault="00727498" w:rsidP="00702CE0">
            <w:pPr>
              <w:pStyle w:val="TableBodyText"/>
              <w:spacing w:line="240" w:lineRule="exact"/>
              <w:ind w:left="0"/>
            </w:pPr>
          </w:p>
        </w:tc>
        <w:tc>
          <w:tcPr>
            <w:tcW w:w="900" w:type="pct"/>
            <w:shd w:val="clear" w:color="auto" w:fill="FFFFFF" w:themeFill="background1"/>
            <w:vAlign w:val="bottom"/>
          </w:tcPr>
          <w:p w:rsidR="00727498" w:rsidRDefault="00727498" w:rsidP="00702CE0">
            <w:pPr>
              <w:pStyle w:val="TableBodyText"/>
              <w:spacing w:line="240" w:lineRule="exact"/>
              <w:ind w:left="0"/>
            </w:pPr>
            <w:r>
              <w:t xml:space="preserve"> 3.577</w:t>
            </w:r>
          </w:p>
        </w:tc>
        <w:tc>
          <w:tcPr>
            <w:tcW w:w="900" w:type="pct"/>
            <w:shd w:val="clear" w:color="auto" w:fill="FFFFFF" w:themeFill="background1"/>
            <w:vAlign w:val="bottom"/>
          </w:tcPr>
          <w:p w:rsidR="00727498" w:rsidRDefault="00727498" w:rsidP="00702CE0">
            <w:pPr>
              <w:pStyle w:val="TableBodyText"/>
              <w:spacing w:line="240" w:lineRule="exact"/>
              <w:ind w:left="0" w:right="28"/>
            </w:pPr>
            <w:r>
              <w:t>4.4</w:t>
            </w:r>
          </w:p>
        </w:tc>
      </w:tr>
      <w:tr w:rsidR="00727498" w:rsidTr="00D06779">
        <w:tc>
          <w:tcPr>
            <w:tcW w:w="2373" w:type="dxa"/>
            <w:shd w:val="clear" w:color="auto" w:fill="FFFFFF" w:themeFill="background1"/>
            <w:vAlign w:val="bottom"/>
          </w:tcPr>
          <w:p w:rsidR="00727498" w:rsidRDefault="00727498" w:rsidP="00D06779">
            <w:pPr>
              <w:pStyle w:val="TableBodyText"/>
              <w:spacing w:line="240" w:lineRule="exact"/>
              <w:jc w:val="left"/>
            </w:pPr>
            <w:r>
              <w:t>Japan</w:t>
            </w:r>
          </w:p>
        </w:tc>
        <w:tc>
          <w:tcPr>
            <w:tcW w:w="900" w:type="pct"/>
            <w:shd w:val="clear" w:color="auto" w:fill="FFFFFF" w:themeFill="background1"/>
            <w:vAlign w:val="bottom"/>
          </w:tcPr>
          <w:p w:rsidR="00727498" w:rsidRDefault="00727498" w:rsidP="00702CE0">
            <w:pPr>
              <w:pStyle w:val="TableBodyText"/>
              <w:spacing w:line="240" w:lineRule="exact"/>
              <w:ind w:left="0"/>
            </w:pPr>
            <w:r>
              <w:t xml:space="preserve"> 5.852</w:t>
            </w:r>
          </w:p>
        </w:tc>
        <w:tc>
          <w:tcPr>
            <w:tcW w:w="900" w:type="pct"/>
            <w:shd w:val="clear" w:color="auto" w:fill="FFFFFF" w:themeFill="background1"/>
            <w:vAlign w:val="bottom"/>
          </w:tcPr>
          <w:p w:rsidR="00727498" w:rsidRDefault="00727498" w:rsidP="00702CE0">
            <w:pPr>
              <w:pStyle w:val="TableBodyText"/>
              <w:spacing w:line="240" w:lineRule="exact"/>
              <w:ind w:left="0"/>
            </w:pPr>
            <w:r>
              <w:t>9.0</w:t>
            </w:r>
          </w:p>
        </w:tc>
        <w:tc>
          <w:tcPr>
            <w:tcW w:w="50" w:type="pct"/>
            <w:shd w:val="clear" w:color="auto" w:fill="FFFFFF" w:themeFill="background1"/>
          </w:tcPr>
          <w:p w:rsidR="00727498" w:rsidRDefault="00727498" w:rsidP="00702CE0">
            <w:pPr>
              <w:pStyle w:val="TableBodyText"/>
              <w:spacing w:line="240" w:lineRule="exact"/>
              <w:ind w:left="0"/>
            </w:pPr>
          </w:p>
        </w:tc>
        <w:tc>
          <w:tcPr>
            <w:tcW w:w="900" w:type="pct"/>
            <w:shd w:val="clear" w:color="auto" w:fill="FFFFFF" w:themeFill="background1"/>
            <w:vAlign w:val="bottom"/>
          </w:tcPr>
          <w:p w:rsidR="00727498" w:rsidRDefault="00727498" w:rsidP="00702CE0">
            <w:pPr>
              <w:pStyle w:val="TableBodyText"/>
              <w:spacing w:line="240" w:lineRule="exact"/>
              <w:ind w:left="0"/>
            </w:pPr>
            <w:r>
              <w:t xml:space="preserve"> 5.370</w:t>
            </w:r>
          </w:p>
        </w:tc>
        <w:tc>
          <w:tcPr>
            <w:tcW w:w="900" w:type="pct"/>
            <w:shd w:val="clear" w:color="auto" w:fill="FFFFFF" w:themeFill="background1"/>
            <w:vAlign w:val="bottom"/>
          </w:tcPr>
          <w:p w:rsidR="00727498" w:rsidRDefault="00727498" w:rsidP="00702CE0">
            <w:pPr>
              <w:pStyle w:val="TableBodyText"/>
              <w:spacing w:line="240" w:lineRule="exact"/>
              <w:ind w:left="0" w:right="28"/>
            </w:pPr>
            <w:r>
              <w:t>6.6</w:t>
            </w:r>
          </w:p>
        </w:tc>
      </w:tr>
      <w:tr w:rsidR="00727498" w:rsidTr="00D06779">
        <w:tc>
          <w:tcPr>
            <w:tcW w:w="2373" w:type="dxa"/>
            <w:shd w:val="clear" w:color="auto" w:fill="FFFFFF" w:themeFill="background1"/>
            <w:vAlign w:val="bottom"/>
          </w:tcPr>
          <w:p w:rsidR="00727498" w:rsidRDefault="00727498" w:rsidP="00D06779">
            <w:pPr>
              <w:pStyle w:val="TableBodyText"/>
              <w:spacing w:line="240" w:lineRule="exact"/>
              <w:jc w:val="left"/>
            </w:pPr>
            <w:r>
              <w:t>Korea</w:t>
            </w:r>
          </w:p>
        </w:tc>
        <w:tc>
          <w:tcPr>
            <w:tcW w:w="900" w:type="pct"/>
            <w:shd w:val="clear" w:color="auto" w:fill="FFFFFF" w:themeFill="background1"/>
            <w:vAlign w:val="bottom"/>
          </w:tcPr>
          <w:p w:rsidR="00727498" w:rsidRDefault="00727498" w:rsidP="00702CE0">
            <w:pPr>
              <w:pStyle w:val="TableBodyText"/>
              <w:spacing w:line="240" w:lineRule="exact"/>
              <w:ind w:left="0"/>
            </w:pPr>
            <w:r>
              <w:t xml:space="preserve"> 1.170</w:t>
            </w:r>
          </w:p>
        </w:tc>
        <w:tc>
          <w:tcPr>
            <w:tcW w:w="900" w:type="pct"/>
            <w:shd w:val="clear" w:color="auto" w:fill="FFFFFF" w:themeFill="background1"/>
            <w:vAlign w:val="bottom"/>
          </w:tcPr>
          <w:p w:rsidR="00727498" w:rsidRDefault="00727498" w:rsidP="00702CE0">
            <w:pPr>
              <w:pStyle w:val="TableBodyText"/>
              <w:spacing w:line="240" w:lineRule="exact"/>
              <w:ind w:left="0"/>
            </w:pPr>
            <w:r>
              <w:t>1.8</w:t>
            </w:r>
          </w:p>
        </w:tc>
        <w:tc>
          <w:tcPr>
            <w:tcW w:w="50" w:type="pct"/>
            <w:shd w:val="clear" w:color="auto" w:fill="FFFFFF" w:themeFill="background1"/>
          </w:tcPr>
          <w:p w:rsidR="00727498" w:rsidRDefault="00727498" w:rsidP="00702CE0">
            <w:pPr>
              <w:pStyle w:val="TableBodyText"/>
              <w:spacing w:line="240" w:lineRule="exact"/>
              <w:ind w:left="0"/>
            </w:pPr>
          </w:p>
        </w:tc>
        <w:tc>
          <w:tcPr>
            <w:tcW w:w="900" w:type="pct"/>
            <w:shd w:val="clear" w:color="auto" w:fill="FFFFFF" w:themeFill="background1"/>
            <w:vAlign w:val="bottom"/>
          </w:tcPr>
          <w:p w:rsidR="00727498" w:rsidRDefault="00727498" w:rsidP="00702CE0">
            <w:pPr>
              <w:pStyle w:val="TableBodyText"/>
              <w:spacing w:line="240" w:lineRule="exact"/>
              <w:ind w:left="0"/>
            </w:pPr>
            <w:r>
              <w:t xml:space="preserve"> 1.531</w:t>
            </w:r>
          </w:p>
        </w:tc>
        <w:tc>
          <w:tcPr>
            <w:tcW w:w="900" w:type="pct"/>
            <w:shd w:val="clear" w:color="auto" w:fill="FFFFFF" w:themeFill="background1"/>
            <w:vAlign w:val="bottom"/>
          </w:tcPr>
          <w:p w:rsidR="00727498" w:rsidRDefault="00727498" w:rsidP="00702CE0">
            <w:pPr>
              <w:pStyle w:val="TableBodyText"/>
              <w:spacing w:line="240" w:lineRule="exact"/>
              <w:ind w:left="0" w:right="28"/>
            </w:pPr>
            <w:r>
              <w:t>1.9</w:t>
            </w:r>
          </w:p>
        </w:tc>
      </w:tr>
      <w:tr w:rsidR="00727498" w:rsidTr="00D06779">
        <w:tc>
          <w:tcPr>
            <w:tcW w:w="2373" w:type="dxa"/>
            <w:shd w:val="clear" w:color="auto" w:fill="FFFFFF" w:themeFill="background1"/>
            <w:vAlign w:val="bottom"/>
          </w:tcPr>
          <w:p w:rsidR="00727498" w:rsidRDefault="00727498" w:rsidP="00D06779">
            <w:pPr>
              <w:pStyle w:val="TableBodyText"/>
              <w:spacing w:line="240" w:lineRule="exact"/>
              <w:jc w:val="left"/>
            </w:pPr>
            <w:r>
              <w:t>Thailand</w:t>
            </w:r>
          </w:p>
        </w:tc>
        <w:tc>
          <w:tcPr>
            <w:tcW w:w="900" w:type="pct"/>
            <w:shd w:val="clear" w:color="auto" w:fill="FFFFFF" w:themeFill="background1"/>
            <w:vAlign w:val="bottom"/>
          </w:tcPr>
          <w:p w:rsidR="00727498" w:rsidRDefault="00727498" w:rsidP="00702CE0">
            <w:pPr>
              <w:pStyle w:val="TableBodyText"/>
              <w:spacing w:line="240" w:lineRule="exact"/>
              <w:ind w:left="0"/>
            </w:pPr>
            <w:r>
              <w:t xml:space="preserve"> 0.693</w:t>
            </w:r>
          </w:p>
        </w:tc>
        <w:tc>
          <w:tcPr>
            <w:tcW w:w="900" w:type="pct"/>
            <w:shd w:val="clear" w:color="auto" w:fill="FFFFFF" w:themeFill="background1"/>
            <w:vAlign w:val="bottom"/>
          </w:tcPr>
          <w:p w:rsidR="00727498" w:rsidRDefault="00727498" w:rsidP="00702CE0">
            <w:pPr>
              <w:pStyle w:val="TableBodyText"/>
              <w:spacing w:line="240" w:lineRule="exact"/>
              <w:ind w:left="0"/>
            </w:pPr>
            <w:r>
              <w:t>1.1</w:t>
            </w:r>
          </w:p>
        </w:tc>
        <w:tc>
          <w:tcPr>
            <w:tcW w:w="50" w:type="pct"/>
            <w:shd w:val="clear" w:color="auto" w:fill="FFFFFF" w:themeFill="background1"/>
          </w:tcPr>
          <w:p w:rsidR="00727498" w:rsidRDefault="00727498" w:rsidP="00702CE0">
            <w:pPr>
              <w:pStyle w:val="TableBodyText"/>
              <w:spacing w:line="240" w:lineRule="exact"/>
              <w:ind w:left="0"/>
            </w:pPr>
          </w:p>
        </w:tc>
        <w:tc>
          <w:tcPr>
            <w:tcW w:w="900" w:type="pct"/>
            <w:shd w:val="clear" w:color="auto" w:fill="FFFFFF" w:themeFill="background1"/>
            <w:vAlign w:val="bottom"/>
          </w:tcPr>
          <w:p w:rsidR="00727498" w:rsidRDefault="00727498" w:rsidP="00702CE0">
            <w:pPr>
              <w:pStyle w:val="TableBodyText"/>
              <w:spacing w:line="240" w:lineRule="exact"/>
              <w:ind w:left="0"/>
            </w:pPr>
            <w:r>
              <w:t xml:space="preserve"> 1.380</w:t>
            </w:r>
          </w:p>
        </w:tc>
        <w:tc>
          <w:tcPr>
            <w:tcW w:w="900" w:type="pct"/>
            <w:shd w:val="clear" w:color="auto" w:fill="FFFFFF" w:themeFill="background1"/>
            <w:vAlign w:val="bottom"/>
          </w:tcPr>
          <w:p w:rsidR="00727498" w:rsidRDefault="00727498" w:rsidP="00702CE0">
            <w:pPr>
              <w:pStyle w:val="TableBodyText"/>
              <w:spacing w:line="240" w:lineRule="exact"/>
              <w:ind w:left="0" w:right="28"/>
            </w:pPr>
            <w:r>
              <w:t>1.7</w:t>
            </w:r>
          </w:p>
        </w:tc>
      </w:tr>
      <w:tr w:rsidR="00727498" w:rsidTr="00D06779">
        <w:tc>
          <w:tcPr>
            <w:tcW w:w="2373" w:type="dxa"/>
            <w:shd w:val="clear" w:color="auto" w:fill="FFFFFF" w:themeFill="background1"/>
            <w:vAlign w:val="bottom"/>
          </w:tcPr>
          <w:p w:rsidR="00727498" w:rsidRDefault="00727498" w:rsidP="00D06779">
            <w:pPr>
              <w:pStyle w:val="TableBodyText"/>
              <w:spacing w:line="240" w:lineRule="exact"/>
              <w:jc w:val="left"/>
            </w:pPr>
            <w:r>
              <w:t>United States</w:t>
            </w:r>
          </w:p>
        </w:tc>
        <w:tc>
          <w:tcPr>
            <w:tcW w:w="900" w:type="pct"/>
            <w:shd w:val="clear" w:color="auto" w:fill="FFFFFF" w:themeFill="background1"/>
            <w:vAlign w:val="bottom"/>
          </w:tcPr>
          <w:p w:rsidR="00727498" w:rsidRDefault="00727498" w:rsidP="00702CE0">
            <w:pPr>
              <w:pStyle w:val="TableBodyText"/>
              <w:spacing w:line="240" w:lineRule="exact"/>
              <w:ind w:left="0"/>
            </w:pPr>
            <w:r>
              <w:t xml:space="preserve"> 17.444</w:t>
            </w:r>
          </w:p>
        </w:tc>
        <w:tc>
          <w:tcPr>
            <w:tcW w:w="900" w:type="pct"/>
            <w:shd w:val="clear" w:color="auto" w:fill="FFFFFF" w:themeFill="background1"/>
            <w:vAlign w:val="bottom"/>
          </w:tcPr>
          <w:p w:rsidR="00727498" w:rsidRDefault="00727498" w:rsidP="00702CE0">
            <w:pPr>
              <w:pStyle w:val="TableBodyText"/>
              <w:spacing w:line="240" w:lineRule="exact"/>
              <w:ind w:left="0"/>
            </w:pPr>
            <w:r>
              <w:t>26.7</w:t>
            </w:r>
          </w:p>
        </w:tc>
        <w:tc>
          <w:tcPr>
            <w:tcW w:w="50" w:type="pct"/>
            <w:shd w:val="clear" w:color="auto" w:fill="FFFFFF" w:themeFill="background1"/>
          </w:tcPr>
          <w:p w:rsidR="00727498" w:rsidRDefault="00727498" w:rsidP="00702CE0">
            <w:pPr>
              <w:pStyle w:val="TableBodyText"/>
              <w:spacing w:line="240" w:lineRule="exact"/>
              <w:ind w:left="0"/>
            </w:pPr>
          </w:p>
        </w:tc>
        <w:tc>
          <w:tcPr>
            <w:tcW w:w="900" w:type="pct"/>
            <w:shd w:val="clear" w:color="auto" w:fill="FFFFFF" w:themeFill="background1"/>
            <w:vAlign w:val="bottom"/>
          </w:tcPr>
          <w:p w:rsidR="00727498" w:rsidRDefault="00727498" w:rsidP="00702CE0">
            <w:pPr>
              <w:pStyle w:val="TableBodyText"/>
              <w:spacing w:line="240" w:lineRule="exact"/>
              <w:ind w:left="0"/>
            </w:pPr>
            <w:r>
              <w:t xml:space="preserve"> 14.786</w:t>
            </w:r>
          </w:p>
        </w:tc>
        <w:tc>
          <w:tcPr>
            <w:tcW w:w="900" w:type="pct"/>
            <w:shd w:val="clear" w:color="auto" w:fill="FFFFFF" w:themeFill="background1"/>
            <w:vAlign w:val="bottom"/>
          </w:tcPr>
          <w:p w:rsidR="00727498" w:rsidRDefault="00727498" w:rsidP="00702CE0">
            <w:pPr>
              <w:pStyle w:val="TableBodyText"/>
              <w:spacing w:line="240" w:lineRule="exact"/>
              <w:ind w:left="0" w:right="28"/>
            </w:pPr>
            <w:r>
              <w:t>18.1</w:t>
            </w:r>
          </w:p>
        </w:tc>
      </w:tr>
      <w:tr w:rsidR="00727498" w:rsidTr="00D06779">
        <w:tc>
          <w:tcPr>
            <w:tcW w:w="2373" w:type="dxa"/>
            <w:shd w:val="clear" w:color="auto" w:fill="FFFFFF" w:themeFill="background1"/>
            <w:vAlign w:val="bottom"/>
          </w:tcPr>
          <w:p w:rsidR="00727498" w:rsidRDefault="00727498" w:rsidP="00D06779">
            <w:pPr>
              <w:pStyle w:val="TableBodyText"/>
              <w:spacing w:line="240" w:lineRule="exact"/>
              <w:jc w:val="left"/>
            </w:pPr>
            <w:r>
              <w:t>European Union</w:t>
            </w:r>
            <w:r w:rsidRPr="00D875C9">
              <w:rPr>
                <w:rStyle w:val="NoteLabel"/>
              </w:rPr>
              <w:t>a</w:t>
            </w:r>
          </w:p>
        </w:tc>
        <w:tc>
          <w:tcPr>
            <w:tcW w:w="900" w:type="pct"/>
            <w:shd w:val="clear" w:color="auto" w:fill="FFFFFF" w:themeFill="background1"/>
            <w:vAlign w:val="bottom"/>
          </w:tcPr>
          <w:p w:rsidR="00727498" w:rsidRDefault="00727498" w:rsidP="00702CE0">
            <w:pPr>
              <w:pStyle w:val="TableBodyText"/>
              <w:spacing w:line="240" w:lineRule="exact"/>
              <w:ind w:left="0"/>
            </w:pPr>
            <w:r>
              <w:t xml:space="preserve"> 17.</w:t>
            </w:r>
            <w:r w:rsidRPr="00763B6A">
              <w:t>735</w:t>
            </w:r>
            <w:r>
              <w:t xml:space="preserve"> </w:t>
            </w:r>
          </w:p>
        </w:tc>
        <w:tc>
          <w:tcPr>
            <w:tcW w:w="900" w:type="pct"/>
            <w:shd w:val="clear" w:color="auto" w:fill="FFFFFF" w:themeFill="background1"/>
            <w:vAlign w:val="bottom"/>
          </w:tcPr>
          <w:p w:rsidR="00727498" w:rsidRDefault="00727498" w:rsidP="00702CE0">
            <w:pPr>
              <w:pStyle w:val="TableBodyText"/>
              <w:spacing w:line="240" w:lineRule="exact"/>
              <w:ind w:left="0"/>
            </w:pPr>
            <w:r w:rsidRPr="00763B6A">
              <w:t>27.1</w:t>
            </w:r>
          </w:p>
        </w:tc>
        <w:tc>
          <w:tcPr>
            <w:tcW w:w="50" w:type="pct"/>
            <w:shd w:val="clear" w:color="auto" w:fill="FFFFFF" w:themeFill="background1"/>
          </w:tcPr>
          <w:p w:rsidR="00727498" w:rsidRDefault="00727498" w:rsidP="00702CE0">
            <w:pPr>
              <w:pStyle w:val="TableBodyText"/>
              <w:spacing w:line="240" w:lineRule="exact"/>
              <w:ind w:left="0"/>
            </w:pPr>
          </w:p>
        </w:tc>
        <w:tc>
          <w:tcPr>
            <w:tcW w:w="900" w:type="pct"/>
            <w:shd w:val="clear" w:color="auto" w:fill="FFFFFF" w:themeFill="background1"/>
            <w:vAlign w:val="bottom"/>
          </w:tcPr>
          <w:p w:rsidR="00727498" w:rsidRDefault="00727498" w:rsidP="00702CE0">
            <w:pPr>
              <w:pStyle w:val="TableBodyText"/>
              <w:spacing w:line="240" w:lineRule="exact"/>
              <w:ind w:left="0"/>
            </w:pPr>
            <w:r>
              <w:t xml:space="preserve"> 13.</w:t>
            </w:r>
            <w:r w:rsidRPr="00763B6A">
              <w:t>807</w:t>
            </w:r>
          </w:p>
        </w:tc>
        <w:tc>
          <w:tcPr>
            <w:tcW w:w="900" w:type="pct"/>
            <w:shd w:val="clear" w:color="auto" w:fill="FFFFFF" w:themeFill="background1"/>
            <w:vAlign w:val="bottom"/>
          </w:tcPr>
          <w:p w:rsidR="00727498" w:rsidRDefault="00727498" w:rsidP="00702CE0">
            <w:pPr>
              <w:pStyle w:val="TableBodyText"/>
              <w:spacing w:line="240" w:lineRule="exact"/>
              <w:ind w:left="0" w:right="28"/>
            </w:pPr>
            <w:r w:rsidRPr="000C77E4">
              <w:t>16.9</w:t>
            </w:r>
          </w:p>
        </w:tc>
      </w:tr>
      <w:tr w:rsidR="00727498" w:rsidTr="00D06779">
        <w:tc>
          <w:tcPr>
            <w:tcW w:w="2373" w:type="dxa"/>
            <w:shd w:val="clear" w:color="auto" w:fill="FFFFFF" w:themeFill="background1"/>
            <w:vAlign w:val="bottom"/>
          </w:tcPr>
          <w:p w:rsidR="00727498" w:rsidRDefault="00727498" w:rsidP="00D06779">
            <w:pPr>
              <w:pStyle w:val="TableBodyText"/>
              <w:spacing w:line="240" w:lineRule="exact"/>
              <w:jc w:val="left"/>
            </w:pPr>
            <w:r>
              <w:t>Mexico</w:t>
            </w:r>
          </w:p>
        </w:tc>
        <w:tc>
          <w:tcPr>
            <w:tcW w:w="900" w:type="pct"/>
            <w:shd w:val="clear" w:color="auto" w:fill="FFFFFF" w:themeFill="background1"/>
            <w:vAlign w:val="bottom"/>
          </w:tcPr>
          <w:p w:rsidR="00727498" w:rsidRDefault="00727498" w:rsidP="00702CE0">
            <w:pPr>
              <w:pStyle w:val="TableBodyText"/>
              <w:spacing w:line="240" w:lineRule="exact"/>
              <w:ind w:left="0"/>
            </w:pPr>
            <w:r>
              <w:t xml:space="preserve"> 1.132</w:t>
            </w:r>
          </w:p>
        </w:tc>
        <w:tc>
          <w:tcPr>
            <w:tcW w:w="900" w:type="pct"/>
            <w:shd w:val="clear" w:color="auto" w:fill="FFFFFF" w:themeFill="background1"/>
            <w:vAlign w:val="bottom"/>
          </w:tcPr>
          <w:p w:rsidR="00727498" w:rsidRDefault="00727498" w:rsidP="00702CE0">
            <w:pPr>
              <w:pStyle w:val="TableBodyText"/>
              <w:spacing w:line="240" w:lineRule="exact"/>
              <w:ind w:left="0"/>
            </w:pPr>
            <w:r>
              <w:t>1.7</w:t>
            </w:r>
          </w:p>
        </w:tc>
        <w:tc>
          <w:tcPr>
            <w:tcW w:w="50" w:type="pct"/>
            <w:shd w:val="clear" w:color="auto" w:fill="FFFFFF" w:themeFill="background1"/>
          </w:tcPr>
          <w:p w:rsidR="00727498" w:rsidRDefault="00727498" w:rsidP="00702CE0">
            <w:pPr>
              <w:pStyle w:val="TableBodyText"/>
              <w:spacing w:line="240" w:lineRule="exact"/>
              <w:ind w:left="0"/>
            </w:pPr>
          </w:p>
        </w:tc>
        <w:tc>
          <w:tcPr>
            <w:tcW w:w="900" w:type="pct"/>
            <w:shd w:val="clear" w:color="auto" w:fill="FFFFFF" w:themeFill="background1"/>
            <w:vAlign w:val="bottom"/>
          </w:tcPr>
          <w:p w:rsidR="00727498" w:rsidRDefault="00727498" w:rsidP="00702CE0">
            <w:pPr>
              <w:pStyle w:val="TableBodyText"/>
              <w:spacing w:line="240" w:lineRule="exact"/>
              <w:ind w:left="0"/>
            </w:pPr>
            <w:r>
              <w:t xml:space="preserve"> 0.988</w:t>
            </w:r>
          </w:p>
        </w:tc>
        <w:tc>
          <w:tcPr>
            <w:tcW w:w="900" w:type="pct"/>
            <w:shd w:val="clear" w:color="auto" w:fill="FFFFFF" w:themeFill="background1"/>
            <w:vAlign w:val="bottom"/>
          </w:tcPr>
          <w:p w:rsidR="00727498" w:rsidRDefault="00727498" w:rsidP="00702CE0">
            <w:pPr>
              <w:pStyle w:val="TableBodyText"/>
              <w:spacing w:line="240" w:lineRule="exact"/>
              <w:ind w:left="0" w:right="28"/>
            </w:pPr>
            <w:r>
              <w:t>1.2</w:t>
            </w:r>
          </w:p>
        </w:tc>
      </w:tr>
      <w:tr w:rsidR="00727498" w:rsidTr="00D06779">
        <w:tc>
          <w:tcPr>
            <w:tcW w:w="2373" w:type="dxa"/>
            <w:shd w:val="clear" w:color="auto" w:fill="FFFFFF" w:themeFill="background1"/>
            <w:vAlign w:val="bottom"/>
          </w:tcPr>
          <w:p w:rsidR="00727498" w:rsidRDefault="00727498" w:rsidP="00D06779">
            <w:pPr>
              <w:pStyle w:val="TableBodyText"/>
              <w:spacing w:line="240" w:lineRule="exact"/>
              <w:jc w:val="left"/>
            </w:pPr>
            <w:r>
              <w:t>Brazil</w:t>
            </w:r>
          </w:p>
        </w:tc>
        <w:tc>
          <w:tcPr>
            <w:tcW w:w="900" w:type="pct"/>
            <w:shd w:val="clear" w:color="auto" w:fill="FFFFFF" w:themeFill="background1"/>
            <w:vAlign w:val="bottom"/>
          </w:tcPr>
          <w:p w:rsidR="00727498" w:rsidRDefault="00727498" w:rsidP="00702CE0">
            <w:pPr>
              <w:pStyle w:val="TableBodyText"/>
              <w:spacing w:line="240" w:lineRule="exact"/>
              <w:ind w:left="0"/>
            </w:pPr>
            <w:r>
              <w:t xml:space="preserve"> 1.715</w:t>
            </w:r>
          </w:p>
        </w:tc>
        <w:tc>
          <w:tcPr>
            <w:tcW w:w="900" w:type="pct"/>
            <w:shd w:val="clear" w:color="auto" w:fill="FFFFFF" w:themeFill="background1"/>
            <w:vAlign w:val="bottom"/>
          </w:tcPr>
          <w:p w:rsidR="00727498" w:rsidRDefault="00727498" w:rsidP="00702CE0">
            <w:pPr>
              <w:pStyle w:val="TableBodyText"/>
              <w:spacing w:line="240" w:lineRule="exact"/>
              <w:ind w:left="0"/>
            </w:pPr>
            <w:r>
              <w:t>2.6</w:t>
            </w:r>
          </w:p>
        </w:tc>
        <w:tc>
          <w:tcPr>
            <w:tcW w:w="50" w:type="pct"/>
            <w:shd w:val="clear" w:color="auto" w:fill="FFFFFF" w:themeFill="background1"/>
          </w:tcPr>
          <w:p w:rsidR="00727498" w:rsidRDefault="00727498" w:rsidP="00702CE0">
            <w:pPr>
              <w:pStyle w:val="TableBodyText"/>
              <w:spacing w:line="240" w:lineRule="exact"/>
              <w:ind w:left="0"/>
            </w:pPr>
          </w:p>
        </w:tc>
        <w:tc>
          <w:tcPr>
            <w:tcW w:w="900" w:type="pct"/>
            <w:shd w:val="clear" w:color="auto" w:fill="FFFFFF" w:themeFill="background1"/>
            <w:vAlign w:val="bottom"/>
          </w:tcPr>
          <w:p w:rsidR="00727498" w:rsidRDefault="00727498" w:rsidP="00702CE0">
            <w:pPr>
              <w:pStyle w:val="TableBodyText"/>
              <w:spacing w:line="240" w:lineRule="exact"/>
              <w:ind w:left="0"/>
            </w:pPr>
            <w:r>
              <w:t xml:space="preserve"> 3.802</w:t>
            </w:r>
          </w:p>
        </w:tc>
        <w:tc>
          <w:tcPr>
            <w:tcW w:w="900" w:type="pct"/>
            <w:shd w:val="clear" w:color="auto" w:fill="FFFFFF" w:themeFill="background1"/>
            <w:vAlign w:val="bottom"/>
          </w:tcPr>
          <w:p w:rsidR="00727498" w:rsidRDefault="00727498" w:rsidP="00702CE0">
            <w:pPr>
              <w:pStyle w:val="TableBodyText"/>
              <w:spacing w:line="240" w:lineRule="exact"/>
              <w:ind w:left="0" w:right="28"/>
            </w:pPr>
            <w:r>
              <w:t>4.7</w:t>
            </w:r>
          </w:p>
        </w:tc>
      </w:tr>
      <w:tr w:rsidR="00727498" w:rsidRPr="00CC1028" w:rsidTr="00D06779">
        <w:tc>
          <w:tcPr>
            <w:tcW w:w="2373" w:type="dxa"/>
            <w:tcBorders>
              <w:bottom w:val="single" w:sz="6" w:space="0" w:color="auto"/>
            </w:tcBorders>
            <w:shd w:val="clear" w:color="auto" w:fill="auto"/>
            <w:vAlign w:val="bottom"/>
          </w:tcPr>
          <w:p w:rsidR="00727498" w:rsidRPr="00CC1028" w:rsidRDefault="00727498" w:rsidP="00D06779">
            <w:pPr>
              <w:pStyle w:val="TableBodyText"/>
              <w:spacing w:line="240" w:lineRule="exact"/>
              <w:jc w:val="left"/>
              <w:rPr>
                <w:b/>
              </w:rPr>
            </w:pPr>
            <w:r>
              <w:rPr>
                <w:b/>
              </w:rPr>
              <w:t>World sales</w:t>
            </w:r>
          </w:p>
        </w:tc>
        <w:tc>
          <w:tcPr>
            <w:tcW w:w="900" w:type="pct"/>
            <w:tcBorders>
              <w:bottom w:val="single" w:sz="6" w:space="0" w:color="auto"/>
            </w:tcBorders>
            <w:vAlign w:val="bottom"/>
          </w:tcPr>
          <w:p w:rsidR="00727498" w:rsidRPr="00CC1028" w:rsidRDefault="00727498" w:rsidP="00702CE0">
            <w:pPr>
              <w:pStyle w:val="TableBodyText"/>
              <w:spacing w:line="240" w:lineRule="exact"/>
              <w:ind w:left="0"/>
              <w:rPr>
                <w:b/>
              </w:rPr>
            </w:pPr>
            <w:r w:rsidRPr="00CC1028">
              <w:rPr>
                <w:b/>
              </w:rPr>
              <w:t xml:space="preserve"> 65.</w:t>
            </w:r>
            <w:r>
              <w:rPr>
                <w:b/>
              </w:rPr>
              <w:t>432</w:t>
            </w:r>
          </w:p>
        </w:tc>
        <w:tc>
          <w:tcPr>
            <w:tcW w:w="900" w:type="pct"/>
            <w:tcBorders>
              <w:bottom w:val="single" w:sz="6" w:space="0" w:color="auto"/>
            </w:tcBorders>
            <w:vAlign w:val="bottom"/>
          </w:tcPr>
          <w:p w:rsidR="00727498" w:rsidRPr="00CC1028" w:rsidRDefault="00727498" w:rsidP="00702CE0">
            <w:pPr>
              <w:pStyle w:val="TableBodyText"/>
              <w:spacing w:line="240" w:lineRule="exact"/>
              <w:ind w:left="0"/>
              <w:rPr>
                <w:b/>
              </w:rPr>
            </w:pPr>
          </w:p>
        </w:tc>
        <w:tc>
          <w:tcPr>
            <w:tcW w:w="50" w:type="pct"/>
            <w:tcBorders>
              <w:bottom w:val="single" w:sz="6" w:space="0" w:color="auto"/>
            </w:tcBorders>
          </w:tcPr>
          <w:p w:rsidR="00727498" w:rsidRPr="00CC1028" w:rsidRDefault="00727498" w:rsidP="00702CE0">
            <w:pPr>
              <w:pStyle w:val="TableBodyText"/>
              <w:spacing w:line="240" w:lineRule="exact"/>
              <w:ind w:left="0"/>
              <w:rPr>
                <w:b/>
              </w:rPr>
            </w:pPr>
          </w:p>
        </w:tc>
        <w:tc>
          <w:tcPr>
            <w:tcW w:w="900" w:type="pct"/>
            <w:tcBorders>
              <w:bottom w:val="single" w:sz="6" w:space="0" w:color="auto"/>
            </w:tcBorders>
            <w:vAlign w:val="bottom"/>
          </w:tcPr>
          <w:p w:rsidR="00727498" w:rsidRPr="00CC1028" w:rsidRDefault="00727498" w:rsidP="00702CE0">
            <w:pPr>
              <w:pStyle w:val="TableBodyText"/>
              <w:spacing w:line="240" w:lineRule="exact"/>
              <w:ind w:left="0"/>
              <w:rPr>
                <w:b/>
              </w:rPr>
            </w:pPr>
            <w:r w:rsidRPr="00CC1028">
              <w:rPr>
                <w:b/>
              </w:rPr>
              <w:t xml:space="preserve"> 8</w:t>
            </w:r>
            <w:r>
              <w:rPr>
                <w:b/>
              </w:rPr>
              <w:t>1</w:t>
            </w:r>
            <w:r w:rsidRPr="00CC1028">
              <w:rPr>
                <w:b/>
              </w:rPr>
              <w:t>.</w:t>
            </w:r>
            <w:r>
              <w:rPr>
                <w:b/>
              </w:rPr>
              <w:t>739</w:t>
            </w:r>
          </w:p>
        </w:tc>
        <w:tc>
          <w:tcPr>
            <w:tcW w:w="900" w:type="pct"/>
            <w:tcBorders>
              <w:bottom w:val="single" w:sz="6" w:space="0" w:color="auto"/>
            </w:tcBorders>
            <w:vAlign w:val="bottom"/>
          </w:tcPr>
          <w:p w:rsidR="00727498" w:rsidRPr="00CC1028" w:rsidRDefault="00727498" w:rsidP="00702CE0">
            <w:pPr>
              <w:pStyle w:val="TableBodyText"/>
              <w:spacing w:line="240" w:lineRule="exact"/>
              <w:ind w:left="0" w:right="28"/>
              <w:rPr>
                <w:b/>
              </w:rPr>
            </w:pPr>
          </w:p>
        </w:tc>
      </w:tr>
    </w:tbl>
    <w:p w:rsidR="00727498" w:rsidRPr="00D875C9" w:rsidRDefault="00727498" w:rsidP="00D875C9">
      <w:pPr>
        <w:pStyle w:val="Note"/>
      </w:pPr>
      <w:proofErr w:type="spellStart"/>
      <w:r w:rsidRPr="00D875C9">
        <w:rPr>
          <w:rStyle w:val="NoteLabel"/>
        </w:rPr>
        <w:t>a</w:t>
      </w:r>
      <w:proofErr w:type="spellEnd"/>
      <w:r w:rsidRPr="00D875C9">
        <w:rPr>
          <w:rStyle w:val="NoteLabel"/>
        </w:rPr>
        <w:t> </w:t>
      </w:r>
      <w:r w:rsidRPr="00D875C9">
        <w:t>The 28 member countries of the European Union as of December 2013.</w:t>
      </w:r>
    </w:p>
    <w:p w:rsidR="00727498" w:rsidRDefault="00727498" w:rsidP="00C06BCE">
      <w:pPr>
        <w:pStyle w:val="Source"/>
      </w:pPr>
      <w:r>
        <w:rPr>
          <w:i/>
        </w:rPr>
        <w:t>Source</w:t>
      </w:r>
      <w:r>
        <w:t xml:space="preserve">: </w:t>
      </w:r>
      <w:proofErr w:type="spellStart"/>
      <w:r>
        <w:t>OICA</w:t>
      </w:r>
      <w:proofErr w:type="spellEnd"/>
      <w:r>
        <w:t xml:space="preserve"> </w:t>
      </w:r>
      <w:r w:rsidRPr="00880D8C">
        <w:rPr>
          <w:rFonts w:cs="Arial"/>
        </w:rPr>
        <w:t>(</w:t>
      </w:r>
      <w:proofErr w:type="spellStart"/>
      <w:r w:rsidRPr="00880D8C">
        <w:rPr>
          <w:rFonts w:cs="Arial"/>
        </w:rPr>
        <w:t>2013b</w:t>
      </w:r>
      <w:proofErr w:type="spellEnd"/>
      <w:r w:rsidRPr="00880D8C">
        <w:rPr>
          <w:rFonts w:cs="Arial"/>
        </w:rPr>
        <w:t>)</w:t>
      </w:r>
      <w:r>
        <w:fldChar w:fldCharType="begin" w:fldLock="1"/>
      </w:r>
      <w:r>
        <w:fldChar w:fldCharType="separate"/>
      </w:r>
      <w:r w:rsidRPr="006C2322">
        <w:rPr>
          <w:rFonts w:cs="Arial"/>
        </w:rPr>
        <w:t>(2013b)</w:t>
      </w:r>
      <w:r>
        <w:fldChar w:fldCharType="end"/>
      </w:r>
      <w:r>
        <w:t>.</w:t>
      </w:r>
    </w:p>
    <w:p w:rsidR="00727498" w:rsidRDefault="00727498" w:rsidP="00967ED6">
      <w:pPr>
        <w:pStyle w:val="Heading3"/>
      </w:pPr>
      <w:r>
        <w:t>Consumer preferences are changing to smaller vehicles and SUVs</w:t>
      </w:r>
    </w:p>
    <w:p w:rsidR="00727498" w:rsidRDefault="00727498" w:rsidP="00C06BCE">
      <w:pPr>
        <w:pStyle w:val="BodyText"/>
      </w:pPr>
      <w:r>
        <w:t>Worldwide, consumer preferences for motor vehicles have been changing. Smaller, more fuel</w:t>
      </w:r>
      <w:r>
        <w:noBreakHyphen/>
        <w:t>efficient vehicles and SUVs have become more popular, and pickup truck sales have also been growing.</w:t>
      </w:r>
    </w:p>
    <w:p w:rsidR="00727498" w:rsidRDefault="00727498" w:rsidP="00C84B76">
      <w:pPr>
        <w:pStyle w:val="BodyText"/>
      </w:pPr>
      <w:r>
        <w:t>Thirty per cent of global vehicle sales are of smaller, high</w:t>
      </w:r>
      <w:r>
        <w:noBreakHyphen/>
        <w:t>volume (or ‘mass market’) vehicles</w:t>
      </w:r>
      <w:r w:rsidRPr="001B78B9">
        <w:t xml:space="preserve"> </w:t>
      </w:r>
      <w:r w:rsidRPr="004D2BDF">
        <w:t>(McKinsey &amp; Company </w:t>
      </w:r>
      <w:proofErr w:type="spellStart"/>
      <w:r w:rsidRPr="004D2BDF">
        <w:t>2013b</w:t>
      </w:r>
      <w:proofErr w:type="spellEnd"/>
      <w:r w:rsidRPr="004D2BDF">
        <w:t>)</w:t>
      </w:r>
      <w:r>
        <w:t>. Key reasons for this are government regulations and incentives which encourage the purchase of smaller and/or more fuel</w:t>
      </w:r>
      <w:r>
        <w:noBreakHyphen/>
        <w:t xml:space="preserve">efficient vehicles and increased consumer concern about carbon dioxide emissions and fuel costs </w:t>
      </w:r>
      <w:r w:rsidRPr="001673C7">
        <w:t>(</w:t>
      </w:r>
      <w:proofErr w:type="spellStart"/>
      <w:r w:rsidRPr="001673C7">
        <w:t>Bracks</w:t>
      </w:r>
      <w:proofErr w:type="spellEnd"/>
      <w:r w:rsidRPr="001673C7">
        <w:t> 2008)</w:t>
      </w:r>
      <w:r>
        <w:t>. The shift to smaller cars has been particularly strong in the United States, the European Union and Japan.</w:t>
      </w:r>
    </w:p>
    <w:p w:rsidR="00727498" w:rsidRDefault="00727498" w:rsidP="00C84B76">
      <w:pPr>
        <w:pStyle w:val="BodyText"/>
      </w:pPr>
      <w:r>
        <w:t xml:space="preserve">The increased demand for SUVs appears to be stronger in developing countries than in developed countries. The SUV segment is the fastest growing in China </w:t>
      </w:r>
      <w:r w:rsidRPr="00B077DA">
        <w:t>(KPMG 2013)</w:t>
      </w:r>
      <w:r>
        <w:t>.</w:t>
      </w:r>
    </w:p>
    <w:p w:rsidR="00727498" w:rsidRDefault="00727498" w:rsidP="001C2EC8">
      <w:pPr>
        <w:pStyle w:val="BodyText"/>
      </w:pPr>
      <w:r>
        <w:lastRenderedPageBreak/>
        <w:t>Consumers are also seeking additional region</w:t>
      </w:r>
      <w:r>
        <w:noBreakHyphen/>
        <w:t>specific features and uniqueness in high</w:t>
      </w:r>
      <w:r>
        <w:noBreakHyphen/>
        <w:t xml:space="preserve">volume vehicles. For example, there are differences in external styling preferences between Chinese regions </w:t>
      </w:r>
      <w:r w:rsidRPr="00544EE3">
        <w:t>(KAMA 2013)</w:t>
      </w:r>
      <w:r>
        <w:t xml:space="preserve">. Motor vehicle producers are responding with an increasing number of derivatives of each model, leading to increased complexity and fragmentation of the vehicle market — although producers are also attempting to reduce the number of ‘platforms’ these models are built on (discussed below) </w:t>
      </w:r>
      <w:r w:rsidRPr="00544EE3">
        <w:t>(McKinsey &amp; Company </w:t>
      </w:r>
      <w:proofErr w:type="spellStart"/>
      <w:r w:rsidRPr="00544EE3">
        <w:t>2013b</w:t>
      </w:r>
      <w:proofErr w:type="spellEnd"/>
      <w:r w:rsidRPr="00544EE3">
        <w:t>)</w:t>
      </w:r>
      <w:r>
        <w:t>.</w:t>
      </w:r>
    </w:p>
    <w:p w:rsidR="00727498" w:rsidRDefault="00727498" w:rsidP="001C2EC8">
      <w:pPr>
        <w:pStyle w:val="BodyText"/>
      </w:pPr>
      <w:r>
        <w:t>The shift in consumer preferences has implications for the financial performance of motor vehicle producers. In 2012, Ford attributed declining profitability in the North American market to buyers’ shift toward smaller high</w:t>
      </w:r>
      <w:r>
        <w:noBreakHyphen/>
        <w:t xml:space="preserve">volume vehicles, which have a relatively low contribution to profit margins </w:t>
      </w:r>
      <w:r w:rsidRPr="009B3E77">
        <w:t>(</w:t>
      </w:r>
      <w:proofErr w:type="spellStart"/>
      <w:r w:rsidRPr="009B3E77">
        <w:t>Naughton</w:t>
      </w:r>
      <w:proofErr w:type="spellEnd"/>
      <w:r w:rsidRPr="009B3E77">
        <w:t> 2012)</w:t>
      </w:r>
      <w:r>
        <w:t xml:space="preserve">. </w:t>
      </w:r>
    </w:p>
    <w:p w:rsidR="00727498" w:rsidRDefault="00727498" w:rsidP="001C2EC8">
      <w:pPr>
        <w:pStyle w:val="BodyText"/>
      </w:pPr>
      <w:r>
        <w:t>By contrast, light commercial vehicles — including both SUVs and pickups — tend to contribute larger profit margins. For example, around half of the Chinese</w:t>
      </w:r>
      <w:r>
        <w:noBreakHyphen/>
        <w:t xml:space="preserve">based Great Wall Motors’ vehicle sales are SUVs, and partly as a result, it has the largest profit margins in the global automotive industry (with an operating profit margin of about 18 per cent in the first half of 2013) </w:t>
      </w:r>
      <w:r w:rsidRPr="00320CC2">
        <w:t>(Bhattacharya 2013)</w:t>
      </w:r>
      <w:r>
        <w:t>.</w:t>
      </w:r>
    </w:p>
    <w:p w:rsidR="00727498" w:rsidRDefault="00727498" w:rsidP="001278ED">
      <w:pPr>
        <w:pStyle w:val="FindingTitle"/>
        <w:framePr w:wrap="notBeside"/>
      </w:pPr>
      <w:r>
        <w:t>Preliminary finding 2.1</w:t>
      </w:r>
    </w:p>
    <w:p w:rsidR="00727498" w:rsidRDefault="00727498" w:rsidP="001278ED">
      <w:pPr>
        <w:pStyle w:val="Finding"/>
      </w:pPr>
      <w:r>
        <w:t>Demand for motor vehicles in a number of developed countries has been slow to rebound from the global financial crisis, but is growing rapidly in some developing countries, particularly in China. Consumers are favouring either smaller vehicles or sports utility vehicles.</w:t>
      </w:r>
    </w:p>
    <w:p w:rsidR="00727498" w:rsidRDefault="00911C43" w:rsidP="00384461">
      <w:pPr>
        <w:pStyle w:val="Heading2"/>
      </w:pPr>
      <w:r>
        <w:fldChar w:fldCharType="begin" w:fldLock="1"/>
      </w:r>
      <w:r>
        <w:instrText xml:space="preserve"> COMMENTS  \* MERGEFORMAT </w:instrText>
      </w:r>
      <w:r>
        <w:fldChar w:fldCharType="separate"/>
      </w:r>
      <w:r w:rsidR="00727498">
        <w:t>2.</w:t>
      </w:r>
      <w:r>
        <w:fldChar w:fldCharType="end"/>
      </w:r>
      <w:r>
        <w:fldChar w:fldCharType="begin" w:fldLock="1"/>
      </w:r>
      <w:r>
        <w:instrText xml:space="preserve"> SEQ Heading2 </w:instrText>
      </w:r>
      <w:r>
        <w:fldChar w:fldCharType="separate"/>
      </w:r>
      <w:r w:rsidR="00727498">
        <w:rPr>
          <w:noProof/>
        </w:rPr>
        <w:t>2</w:t>
      </w:r>
      <w:r>
        <w:rPr>
          <w:noProof/>
        </w:rPr>
        <w:fldChar w:fldCharType="end"/>
      </w:r>
      <w:r w:rsidR="00727498">
        <w:tab/>
        <w:t>The production and supply of motor vehicles</w:t>
      </w:r>
    </w:p>
    <w:p w:rsidR="00727498" w:rsidRDefault="00727498" w:rsidP="00386683">
      <w:pPr>
        <w:pStyle w:val="Heading3"/>
        <w:spacing w:before="280"/>
      </w:pPr>
      <w:r>
        <w:t>Many motor vehicle producers are large entities with global interests</w:t>
      </w:r>
    </w:p>
    <w:p w:rsidR="00727498" w:rsidRDefault="00727498" w:rsidP="006F0A0D">
      <w:pPr>
        <w:pStyle w:val="BodyText"/>
      </w:pPr>
      <w:r>
        <w:t xml:space="preserve">Motor vehicle production is primarily undertaken by large global firms. In 2012, the seven largest motor vehicle producers (by production volume) accounted for around 60 per cent of global passenger motor vehicle and light commercial vehicle assembly production (table 2.2). </w:t>
      </w:r>
    </w:p>
    <w:p w:rsidR="00727498" w:rsidRDefault="00727498" w:rsidP="006F0A0D">
      <w:pPr>
        <w:pStyle w:val="BodyText"/>
      </w:pPr>
      <w:r>
        <w:t>These global producers have assembly plants in most of the largest markets — for example, in 2012 General Motors manufactured vehicles in 17 countries, including 6 of the top 7 countries as measured on a sales basis. In response to shifts in demand and the search for lower cost bases, many motor vehicle producers have increased the share of their production that occurs outside the country in which their headquarters are based.</w:t>
      </w:r>
    </w:p>
    <w:p w:rsidR="00727498" w:rsidRDefault="00727498" w:rsidP="006F0A0D">
      <w:pPr>
        <w:pStyle w:val="ListBullet"/>
      </w:pPr>
      <w:r>
        <w:lastRenderedPageBreak/>
        <w:t>Hyundai produced over 50 per cent of its vehicles outside of the Republic of Korea in 2012, despite producing solely in Korea in 2000.</w:t>
      </w:r>
    </w:p>
    <w:p w:rsidR="00727498" w:rsidRDefault="00727498" w:rsidP="006F0A0D">
      <w:pPr>
        <w:pStyle w:val="ListBullet"/>
      </w:pPr>
      <w:r>
        <w:t>Toyota produced around 56 per cent of its vehicles outside of Japan in 2012, up from around 30 per cent in 2000.</w:t>
      </w:r>
    </w:p>
    <w:p w:rsidR="00727498" w:rsidRDefault="00727498" w:rsidP="006F0A0D">
      <w:pPr>
        <w:pStyle w:val="ListBullet"/>
      </w:pPr>
      <w:r>
        <w:t xml:space="preserve">General Motors now produces more vehicles in China than it does in the United States </w:t>
      </w:r>
      <w:r w:rsidRPr="007140E6">
        <w:t>(</w:t>
      </w:r>
      <w:proofErr w:type="spellStart"/>
      <w:r w:rsidRPr="007140E6">
        <w:t>OICA</w:t>
      </w:r>
      <w:proofErr w:type="spellEnd"/>
      <w:r w:rsidRPr="007140E6">
        <w:t> </w:t>
      </w:r>
      <w:proofErr w:type="spellStart"/>
      <w:r w:rsidRPr="007140E6">
        <w:t>2013a</w:t>
      </w:r>
      <w:proofErr w:type="spellEnd"/>
      <w:r w:rsidRPr="007140E6">
        <w:t>)</w:t>
      </w:r>
      <w:r>
        <w:t xml:space="preserve">. </w:t>
      </w:r>
    </w:p>
    <w:p w:rsidR="00727498" w:rsidRDefault="00727498" w:rsidP="006F0A0D">
      <w:pPr>
        <w:pStyle w:val="TableTitle"/>
      </w:pPr>
      <w:r>
        <w:rPr>
          <w:b w:val="0"/>
        </w:rPr>
        <w:t>Table 2.</w:t>
      </w:r>
      <w:r>
        <w:rPr>
          <w:b w:val="0"/>
        </w:rPr>
        <w:fldChar w:fldCharType="begin" w:fldLock="1"/>
      </w:r>
      <w:r>
        <w:rPr>
          <w:b w:val="0"/>
        </w:rPr>
        <w:instrText xml:space="preserve"> SEQ Table \* ARABIC </w:instrText>
      </w:r>
      <w:r>
        <w:rPr>
          <w:b w:val="0"/>
        </w:rPr>
        <w:fldChar w:fldCharType="separate"/>
      </w:r>
      <w:r>
        <w:rPr>
          <w:b w:val="0"/>
          <w:noProof/>
        </w:rPr>
        <w:t>2</w:t>
      </w:r>
      <w:r>
        <w:rPr>
          <w:b w:val="0"/>
        </w:rPr>
        <w:fldChar w:fldCharType="end"/>
      </w:r>
      <w:r>
        <w:tab/>
        <w:t>Global production of the seven largest motor vehicle producer groups</w:t>
      </w:r>
    </w:p>
    <w:p w:rsidR="00727498" w:rsidRDefault="00727498" w:rsidP="006F0A0D">
      <w:pPr>
        <w:pStyle w:val="Subtitle"/>
      </w:pPr>
      <w:r>
        <w:t>Passenger and light commercial vehicles, 2012</w:t>
      </w:r>
    </w:p>
    <w:tbl>
      <w:tblPr>
        <w:tblW w:w="5000" w:type="pct"/>
        <w:tblCellMar>
          <w:left w:w="0" w:type="dxa"/>
          <w:right w:w="0" w:type="dxa"/>
        </w:tblCellMar>
        <w:tblLook w:val="04A0" w:firstRow="1" w:lastRow="0" w:firstColumn="1" w:lastColumn="0" w:noHBand="0" w:noVBand="1"/>
      </w:tblPr>
      <w:tblGrid>
        <w:gridCol w:w="2864"/>
        <w:gridCol w:w="608"/>
        <w:gridCol w:w="1389"/>
        <w:gridCol w:w="1979"/>
        <w:gridCol w:w="1949"/>
      </w:tblGrid>
      <w:tr w:rsidR="00727498" w:rsidTr="00A15D3F">
        <w:tc>
          <w:tcPr>
            <w:tcW w:w="1629" w:type="pct"/>
            <w:tcBorders>
              <w:top w:val="single" w:sz="6" w:space="0" w:color="auto"/>
              <w:left w:val="nil"/>
              <w:bottom w:val="single" w:sz="6" w:space="0" w:color="auto"/>
              <w:right w:val="nil"/>
            </w:tcBorders>
            <w:vAlign w:val="bottom"/>
            <w:hideMark/>
          </w:tcPr>
          <w:p w:rsidR="00727498" w:rsidRDefault="00727498" w:rsidP="00706E4C">
            <w:pPr>
              <w:pStyle w:val="TableColumnHeading"/>
              <w:spacing w:line="220" w:lineRule="exact"/>
              <w:jc w:val="left"/>
            </w:pPr>
            <w:r>
              <w:t>Group</w:t>
            </w:r>
          </w:p>
        </w:tc>
        <w:tc>
          <w:tcPr>
            <w:tcW w:w="1136" w:type="pct"/>
            <w:gridSpan w:val="2"/>
            <w:tcBorders>
              <w:top w:val="single" w:sz="6" w:space="0" w:color="auto"/>
              <w:left w:val="nil"/>
              <w:bottom w:val="single" w:sz="6" w:space="0" w:color="auto"/>
              <w:right w:val="nil"/>
            </w:tcBorders>
            <w:vAlign w:val="bottom"/>
            <w:hideMark/>
          </w:tcPr>
          <w:p w:rsidR="00727498" w:rsidRDefault="00727498" w:rsidP="00706E4C">
            <w:pPr>
              <w:pStyle w:val="TableColumnHeading"/>
              <w:spacing w:line="220" w:lineRule="exact"/>
            </w:pPr>
            <w:r>
              <w:t>Production</w:t>
            </w:r>
          </w:p>
        </w:tc>
        <w:tc>
          <w:tcPr>
            <w:tcW w:w="1126" w:type="pct"/>
            <w:tcBorders>
              <w:top w:val="single" w:sz="6" w:space="0" w:color="auto"/>
              <w:left w:val="nil"/>
              <w:bottom w:val="single" w:sz="6" w:space="0" w:color="auto"/>
              <w:right w:val="nil"/>
            </w:tcBorders>
            <w:vAlign w:val="bottom"/>
            <w:hideMark/>
          </w:tcPr>
          <w:p w:rsidR="00727498" w:rsidRDefault="00727498" w:rsidP="00706E4C">
            <w:pPr>
              <w:pStyle w:val="TableColumnHeading"/>
              <w:spacing w:line="220" w:lineRule="exact"/>
            </w:pPr>
            <w:r>
              <w:t xml:space="preserve">Share of global production </w:t>
            </w:r>
          </w:p>
        </w:tc>
        <w:tc>
          <w:tcPr>
            <w:tcW w:w="1109" w:type="pct"/>
            <w:tcBorders>
              <w:top w:val="single" w:sz="6" w:space="0" w:color="auto"/>
              <w:left w:val="nil"/>
              <w:bottom w:val="single" w:sz="6" w:space="0" w:color="auto"/>
              <w:right w:val="nil"/>
            </w:tcBorders>
            <w:vAlign w:val="bottom"/>
          </w:tcPr>
          <w:p w:rsidR="00727498" w:rsidRDefault="00727498" w:rsidP="00706E4C">
            <w:pPr>
              <w:pStyle w:val="TableColumnHeading"/>
              <w:spacing w:line="220" w:lineRule="exact"/>
            </w:pPr>
            <w:r>
              <w:t>Countries of assembly</w:t>
            </w:r>
          </w:p>
        </w:tc>
      </w:tr>
      <w:tr w:rsidR="00727498" w:rsidTr="00A15D3F">
        <w:tc>
          <w:tcPr>
            <w:tcW w:w="1629" w:type="pct"/>
            <w:tcBorders>
              <w:top w:val="single" w:sz="6" w:space="0" w:color="auto"/>
              <w:left w:val="nil"/>
              <w:right w:val="nil"/>
            </w:tcBorders>
            <w:vAlign w:val="bottom"/>
          </w:tcPr>
          <w:p w:rsidR="00727498" w:rsidRPr="00A15D3F" w:rsidRDefault="00727498" w:rsidP="00706E4C">
            <w:pPr>
              <w:pStyle w:val="TableUnitsRow"/>
              <w:spacing w:line="220" w:lineRule="exact"/>
            </w:pPr>
          </w:p>
        </w:tc>
        <w:tc>
          <w:tcPr>
            <w:tcW w:w="1136" w:type="pct"/>
            <w:gridSpan w:val="2"/>
            <w:tcBorders>
              <w:top w:val="single" w:sz="6" w:space="0" w:color="auto"/>
              <w:left w:val="nil"/>
              <w:right w:val="nil"/>
            </w:tcBorders>
            <w:vAlign w:val="bottom"/>
          </w:tcPr>
          <w:p w:rsidR="00727498" w:rsidRPr="00A15D3F" w:rsidRDefault="00727498" w:rsidP="00706E4C">
            <w:pPr>
              <w:pStyle w:val="TableUnitsRow"/>
              <w:spacing w:line="220" w:lineRule="exact"/>
            </w:pPr>
            <w:r w:rsidRPr="00A15D3F">
              <w:t>Units (million)</w:t>
            </w:r>
          </w:p>
        </w:tc>
        <w:tc>
          <w:tcPr>
            <w:tcW w:w="1126" w:type="pct"/>
            <w:tcBorders>
              <w:top w:val="single" w:sz="6" w:space="0" w:color="auto"/>
              <w:left w:val="nil"/>
              <w:right w:val="nil"/>
            </w:tcBorders>
            <w:vAlign w:val="bottom"/>
          </w:tcPr>
          <w:p w:rsidR="00727498" w:rsidRPr="00A15D3F" w:rsidRDefault="00727498" w:rsidP="00706E4C">
            <w:pPr>
              <w:pStyle w:val="TableUnitsRow"/>
              <w:spacing w:line="220" w:lineRule="exact"/>
            </w:pPr>
            <w:r w:rsidRPr="00A15D3F">
              <w:t>Per cent</w:t>
            </w:r>
          </w:p>
        </w:tc>
        <w:tc>
          <w:tcPr>
            <w:tcW w:w="1109" w:type="pct"/>
            <w:tcBorders>
              <w:top w:val="single" w:sz="6" w:space="0" w:color="auto"/>
              <w:left w:val="nil"/>
              <w:right w:val="nil"/>
            </w:tcBorders>
          </w:tcPr>
          <w:p w:rsidR="00727498" w:rsidRPr="00A15D3F" w:rsidRDefault="00727498" w:rsidP="00706E4C">
            <w:pPr>
              <w:pStyle w:val="TableUnitsRow"/>
              <w:spacing w:line="220" w:lineRule="exact"/>
            </w:pPr>
            <w:r w:rsidRPr="00A15D3F">
              <w:t>Number</w:t>
            </w:r>
          </w:p>
        </w:tc>
      </w:tr>
      <w:tr w:rsidR="00727498" w:rsidTr="00A15D3F">
        <w:tc>
          <w:tcPr>
            <w:tcW w:w="1629" w:type="pct"/>
            <w:tcBorders>
              <w:left w:val="nil"/>
              <w:bottom w:val="nil"/>
              <w:right w:val="nil"/>
            </w:tcBorders>
            <w:vAlign w:val="bottom"/>
            <w:hideMark/>
          </w:tcPr>
          <w:p w:rsidR="00727498" w:rsidRDefault="00727498" w:rsidP="00706E4C">
            <w:pPr>
              <w:pStyle w:val="TableBodyText"/>
              <w:spacing w:line="220" w:lineRule="exact"/>
              <w:jc w:val="left"/>
            </w:pPr>
            <w:r>
              <w:t>Toyota</w:t>
            </w:r>
          </w:p>
        </w:tc>
        <w:tc>
          <w:tcPr>
            <w:tcW w:w="1136" w:type="pct"/>
            <w:gridSpan w:val="2"/>
            <w:tcBorders>
              <w:left w:val="nil"/>
              <w:bottom w:val="nil"/>
              <w:right w:val="nil"/>
            </w:tcBorders>
            <w:vAlign w:val="bottom"/>
            <w:hideMark/>
          </w:tcPr>
          <w:p w:rsidR="00727498" w:rsidRDefault="00727498" w:rsidP="00706E4C">
            <w:pPr>
              <w:pStyle w:val="TableBodyText"/>
              <w:spacing w:line="220" w:lineRule="exact"/>
            </w:pPr>
            <w:r>
              <w:t>9.8</w:t>
            </w:r>
          </w:p>
        </w:tc>
        <w:tc>
          <w:tcPr>
            <w:tcW w:w="1126" w:type="pct"/>
            <w:tcBorders>
              <w:left w:val="nil"/>
              <w:bottom w:val="nil"/>
              <w:right w:val="nil"/>
            </w:tcBorders>
            <w:vAlign w:val="bottom"/>
            <w:hideMark/>
          </w:tcPr>
          <w:p w:rsidR="00727498" w:rsidRDefault="00727498" w:rsidP="00706E4C">
            <w:pPr>
              <w:pStyle w:val="TableBodyText"/>
              <w:spacing w:line="220" w:lineRule="exact"/>
            </w:pPr>
            <w:r>
              <w:t>12.3</w:t>
            </w:r>
          </w:p>
        </w:tc>
        <w:tc>
          <w:tcPr>
            <w:tcW w:w="1109" w:type="pct"/>
            <w:tcBorders>
              <w:left w:val="nil"/>
              <w:bottom w:val="nil"/>
              <w:right w:val="nil"/>
            </w:tcBorders>
          </w:tcPr>
          <w:p w:rsidR="00727498" w:rsidRDefault="00727498" w:rsidP="00706E4C">
            <w:pPr>
              <w:pStyle w:val="TableBodyText"/>
              <w:spacing w:line="220" w:lineRule="exact"/>
            </w:pPr>
            <w:r>
              <w:t>23</w:t>
            </w:r>
          </w:p>
        </w:tc>
      </w:tr>
      <w:tr w:rsidR="00727498" w:rsidTr="00A15D3F">
        <w:tc>
          <w:tcPr>
            <w:tcW w:w="1629" w:type="pct"/>
            <w:vAlign w:val="bottom"/>
            <w:hideMark/>
          </w:tcPr>
          <w:p w:rsidR="00727498" w:rsidRDefault="00727498" w:rsidP="00706E4C">
            <w:pPr>
              <w:pStyle w:val="TableBodyText"/>
              <w:spacing w:line="220" w:lineRule="exact"/>
              <w:jc w:val="left"/>
            </w:pPr>
            <w:r>
              <w:t>General Motors</w:t>
            </w:r>
          </w:p>
        </w:tc>
        <w:tc>
          <w:tcPr>
            <w:tcW w:w="1136" w:type="pct"/>
            <w:gridSpan w:val="2"/>
            <w:vAlign w:val="bottom"/>
            <w:hideMark/>
          </w:tcPr>
          <w:p w:rsidR="00727498" w:rsidRDefault="00727498" w:rsidP="00706E4C">
            <w:pPr>
              <w:pStyle w:val="TableBodyText"/>
              <w:spacing w:line="220" w:lineRule="exact"/>
            </w:pPr>
            <w:r>
              <w:t>9.3</w:t>
            </w:r>
          </w:p>
        </w:tc>
        <w:tc>
          <w:tcPr>
            <w:tcW w:w="1126" w:type="pct"/>
            <w:vAlign w:val="bottom"/>
            <w:hideMark/>
          </w:tcPr>
          <w:p w:rsidR="00727498" w:rsidRDefault="00727498" w:rsidP="00706E4C">
            <w:pPr>
              <w:pStyle w:val="TableBodyText"/>
              <w:spacing w:line="220" w:lineRule="exact"/>
            </w:pPr>
            <w:r>
              <w:t>11.6</w:t>
            </w:r>
          </w:p>
        </w:tc>
        <w:tc>
          <w:tcPr>
            <w:tcW w:w="1109" w:type="pct"/>
          </w:tcPr>
          <w:p w:rsidR="00727498" w:rsidRDefault="00727498" w:rsidP="00706E4C">
            <w:pPr>
              <w:pStyle w:val="TableBodyText"/>
              <w:spacing w:line="220" w:lineRule="exact"/>
            </w:pPr>
            <w:r>
              <w:t>17</w:t>
            </w:r>
          </w:p>
        </w:tc>
      </w:tr>
      <w:tr w:rsidR="00727498" w:rsidTr="00A15D3F">
        <w:tc>
          <w:tcPr>
            <w:tcW w:w="1629" w:type="pct"/>
            <w:vAlign w:val="bottom"/>
            <w:hideMark/>
          </w:tcPr>
          <w:p w:rsidR="00727498" w:rsidRDefault="00727498" w:rsidP="00706E4C">
            <w:pPr>
              <w:pStyle w:val="TableBodyText"/>
              <w:spacing w:line="220" w:lineRule="exact"/>
              <w:jc w:val="left"/>
            </w:pPr>
            <w:r>
              <w:t>Volkswagen</w:t>
            </w:r>
          </w:p>
        </w:tc>
        <w:tc>
          <w:tcPr>
            <w:tcW w:w="1136" w:type="pct"/>
            <w:gridSpan w:val="2"/>
            <w:vAlign w:val="bottom"/>
            <w:hideMark/>
          </w:tcPr>
          <w:p w:rsidR="00727498" w:rsidRDefault="00727498" w:rsidP="00706E4C">
            <w:pPr>
              <w:pStyle w:val="TableBodyText"/>
              <w:spacing w:line="220" w:lineRule="exact"/>
            </w:pPr>
            <w:r>
              <w:t>9.0</w:t>
            </w:r>
          </w:p>
        </w:tc>
        <w:tc>
          <w:tcPr>
            <w:tcW w:w="1126" w:type="pct"/>
            <w:vAlign w:val="bottom"/>
            <w:hideMark/>
          </w:tcPr>
          <w:p w:rsidR="00727498" w:rsidRDefault="00727498" w:rsidP="00706E4C">
            <w:pPr>
              <w:pStyle w:val="TableBodyText"/>
              <w:spacing w:line="220" w:lineRule="exact"/>
            </w:pPr>
            <w:r>
              <w:t>10.3</w:t>
            </w:r>
          </w:p>
        </w:tc>
        <w:tc>
          <w:tcPr>
            <w:tcW w:w="1109" w:type="pct"/>
          </w:tcPr>
          <w:p w:rsidR="00727498" w:rsidRDefault="00727498" w:rsidP="00706E4C">
            <w:pPr>
              <w:pStyle w:val="TableBodyText"/>
              <w:spacing w:line="220" w:lineRule="exact"/>
              <w:ind w:right="28"/>
            </w:pPr>
            <w:r>
              <w:t>18</w:t>
            </w:r>
            <w:r w:rsidRPr="007140E6">
              <w:rPr>
                <w:rStyle w:val="NoteLabel"/>
              </w:rPr>
              <w:t>a</w:t>
            </w:r>
          </w:p>
        </w:tc>
      </w:tr>
      <w:tr w:rsidR="00727498" w:rsidTr="00A15D3F">
        <w:tc>
          <w:tcPr>
            <w:tcW w:w="1629" w:type="pct"/>
            <w:vAlign w:val="bottom"/>
            <w:hideMark/>
          </w:tcPr>
          <w:p w:rsidR="00727498" w:rsidRDefault="00727498" w:rsidP="00706E4C">
            <w:pPr>
              <w:pStyle w:val="TableBodyText"/>
              <w:spacing w:line="220" w:lineRule="exact"/>
              <w:jc w:val="left"/>
            </w:pPr>
            <w:r>
              <w:t>Hyundai</w:t>
            </w:r>
          </w:p>
        </w:tc>
        <w:tc>
          <w:tcPr>
            <w:tcW w:w="1136" w:type="pct"/>
            <w:gridSpan w:val="2"/>
            <w:vAlign w:val="bottom"/>
            <w:hideMark/>
          </w:tcPr>
          <w:p w:rsidR="00727498" w:rsidRDefault="00727498" w:rsidP="00706E4C">
            <w:pPr>
              <w:pStyle w:val="TableBodyText"/>
              <w:spacing w:line="220" w:lineRule="exact"/>
            </w:pPr>
            <w:r>
              <w:t>7.0</w:t>
            </w:r>
          </w:p>
        </w:tc>
        <w:tc>
          <w:tcPr>
            <w:tcW w:w="1126" w:type="pct"/>
            <w:vAlign w:val="bottom"/>
            <w:hideMark/>
          </w:tcPr>
          <w:p w:rsidR="00727498" w:rsidRDefault="00727498" w:rsidP="00706E4C">
            <w:pPr>
              <w:pStyle w:val="TableBodyText"/>
              <w:spacing w:line="220" w:lineRule="exact"/>
            </w:pPr>
            <w:r>
              <w:t>8.8</w:t>
            </w:r>
          </w:p>
        </w:tc>
        <w:tc>
          <w:tcPr>
            <w:tcW w:w="1109" w:type="pct"/>
          </w:tcPr>
          <w:p w:rsidR="00727498" w:rsidRDefault="00727498" w:rsidP="00706E4C">
            <w:pPr>
              <w:pStyle w:val="TableBodyText"/>
              <w:spacing w:line="220" w:lineRule="exact"/>
            </w:pPr>
            <w:r>
              <w:t>9</w:t>
            </w:r>
          </w:p>
        </w:tc>
      </w:tr>
      <w:tr w:rsidR="00727498" w:rsidTr="00A15D3F">
        <w:tc>
          <w:tcPr>
            <w:tcW w:w="1629" w:type="pct"/>
            <w:vAlign w:val="bottom"/>
            <w:hideMark/>
          </w:tcPr>
          <w:p w:rsidR="00727498" w:rsidRDefault="00727498" w:rsidP="00706E4C">
            <w:pPr>
              <w:pStyle w:val="TableBodyText"/>
              <w:spacing w:line="220" w:lineRule="exact"/>
              <w:jc w:val="left"/>
            </w:pPr>
            <w:r>
              <w:t>Ford</w:t>
            </w:r>
          </w:p>
        </w:tc>
        <w:tc>
          <w:tcPr>
            <w:tcW w:w="1136" w:type="pct"/>
            <w:gridSpan w:val="2"/>
            <w:vAlign w:val="bottom"/>
            <w:hideMark/>
          </w:tcPr>
          <w:p w:rsidR="00727498" w:rsidRDefault="00727498" w:rsidP="00706E4C">
            <w:pPr>
              <w:pStyle w:val="TableBodyText"/>
              <w:spacing w:line="220" w:lineRule="exact"/>
            </w:pPr>
            <w:r>
              <w:t>5.5</w:t>
            </w:r>
          </w:p>
        </w:tc>
        <w:tc>
          <w:tcPr>
            <w:tcW w:w="1126" w:type="pct"/>
            <w:vAlign w:val="bottom"/>
            <w:hideMark/>
          </w:tcPr>
          <w:p w:rsidR="00727498" w:rsidRDefault="00727498" w:rsidP="00706E4C">
            <w:pPr>
              <w:pStyle w:val="TableBodyText"/>
              <w:spacing w:line="220" w:lineRule="exact"/>
            </w:pPr>
            <w:r>
              <w:t>6.9</w:t>
            </w:r>
          </w:p>
        </w:tc>
        <w:tc>
          <w:tcPr>
            <w:tcW w:w="1109" w:type="pct"/>
          </w:tcPr>
          <w:p w:rsidR="00727498" w:rsidRDefault="00727498" w:rsidP="00706E4C">
            <w:pPr>
              <w:pStyle w:val="TableBodyText"/>
              <w:spacing w:line="220" w:lineRule="exact"/>
            </w:pPr>
            <w:r>
              <w:t>18</w:t>
            </w:r>
          </w:p>
        </w:tc>
      </w:tr>
      <w:tr w:rsidR="00727498" w:rsidTr="00A15D3F">
        <w:tc>
          <w:tcPr>
            <w:tcW w:w="1629" w:type="pct"/>
            <w:vAlign w:val="bottom"/>
            <w:hideMark/>
          </w:tcPr>
          <w:p w:rsidR="00727498" w:rsidRDefault="00727498" w:rsidP="00706E4C">
            <w:pPr>
              <w:pStyle w:val="TableBodyText"/>
              <w:spacing w:line="220" w:lineRule="exact"/>
              <w:jc w:val="left"/>
            </w:pPr>
            <w:r>
              <w:t>Nissan</w:t>
            </w:r>
          </w:p>
        </w:tc>
        <w:tc>
          <w:tcPr>
            <w:tcW w:w="1136" w:type="pct"/>
            <w:gridSpan w:val="2"/>
            <w:vAlign w:val="bottom"/>
            <w:hideMark/>
          </w:tcPr>
          <w:p w:rsidR="00727498" w:rsidRDefault="00727498" w:rsidP="00706E4C">
            <w:pPr>
              <w:pStyle w:val="TableBodyText"/>
              <w:spacing w:line="220" w:lineRule="exact"/>
            </w:pPr>
            <w:r>
              <w:t>4.9</w:t>
            </w:r>
          </w:p>
        </w:tc>
        <w:tc>
          <w:tcPr>
            <w:tcW w:w="1126" w:type="pct"/>
            <w:vAlign w:val="bottom"/>
            <w:hideMark/>
          </w:tcPr>
          <w:p w:rsidR="00727498" w:rsidRDefault="00727498" w:rsidP="00706E4C">
            <w:pPr>
              <w:pStyle w:val="TableBodyText"/>
              <w:spacing w:line="220" w:lineRule="exact"/>
            </w:pPr>
            <w:r>
              <w:t>6.1</w:t>
            </w:r>
          </w:p>
        </w:tc>
        <w:tc>
          <w:tcPr>
            <w:tcW w:w="1109" w:type="pct"/>
          </w:tcPr>
          <w:p w:rsidR="00727498" w:rsidRDefault="00727498" w:rsidP="00706E4C">
            <w:pPr>
              <w:pStyle w:val="TableBodyText"/>
              <w:spacing w:line="220" w:lineRule="exact"/>
            </w:pPr>
            <w:r>
              <w:t>15</w:t>
            </w:r>
          </w:p>
        </w:tc>
      </w:tr>
      <w:tr w:rsidR="00727498" w:rsidTr="001F0C8B">
        <w:tc>
          <w:tcPr>
            <w:tcW w:w="1629" w:type="pct"/>
            <w:vAlign w:val="bottom"/>
            <w:hideMark/>
          </w:tcPr>
          <w:p w:rsidR="00727498" w:rsidRDefault="00727498" w:rsidP="00706E4C">
            <w:pPr>
              <w:pStyle w:val="TableBodyText"/>
              <w:spacing w:line="220" w:lineRule="exact"/>
              <w:jc w:val="left"/>
            </w:pPr>
            <w:r>
              <w:t>Honda</w:t>
            </w:r>
          </w:p>
        </w:tc>
        <w:tc>
          <w:tcPr>
            <w:tcW w:w="1136" w:type="pct"/>
            <w:gridSpan w:val="2"/>
            <w:vAlign w:val="bottom"/>
            <w:hideMark/>
          </w:tcPr>
          <w:p w:rsidR="00727498" w:rsidRDefault="00727498" w:rsidP="00706E4C">
            <w:pPr>
              <w:pStyle w:val="TableBodyText"/>
              <w:spacing w:line="220" w:lineRule="exact"/>
            </w:pPr>
            <w:r>
              <w:t>4.1</w:t>
            </w:r>
          </w:p>
        </w:tc>
        <w:tc>
          <w:tcPr>
            <w:tcW w:w="1126" w:type="pct"/>
            <w:vAlign w:val="bottom"/>
            <w:hideMark/>
          </w:tcPr>
          <w:p w:rsidR="00727498" w:rsidRDefault="00727498" w:rsidP="00706E4C">
            <w:pPr>
              <w:pStyle w:val="TableBodyText"/>
              <w:spacing w:line="220" w:lineRule="exact"/>
            </w:pPr>
            <w:r>
              <w:t>5.1</w:t>
            </w:r>
          </w:p>
        </w:tc>
        <w:tc>
          <w:tcPr>
            <w:tcW w:w="1109" w:type="pct"/>
          </w:tcPr>
          <w:p w:rsidR="00727498" w:rsidRDefault="00727498" w:rsidP="00706E4C">
            <w:pPr>
              <w:pStyle w:val="TableBodyText"/>
              <w:spacing w:line="220" w:lineRule="exact"/>
            </w:pPr>
            <w:r>
              <w:t>17</w:t>
            </w:r>
          </w:p>
        </w:tc>
      </w:tr>
      <w:tr w:rsidR="00727498" w:rsidTr="00A15D3F">
        <w:tc>
          <w:tcPr>
            <w:tcW w:w="1975" w:type="pct"/>
            <w:gridSpan w:val="2"/>
            <w:tcBorders>
              <w:top w:val="nil"/>
              <w:left w:val="nil"/>
              <w:bottom w:val="single" w:sz="6" w:space="0" w:color="auto"/>
              <w:right w:val="nil"/>
            </w:tcBorders>
            <w:vAlign w:val="bottom"/>
            <w:hideMark/>
          </w:tcPr>
          <w:p w:rsidR="00727498" w:rsidRPr="004F62A9" w:rsidRDefault="00727498" w:rsidP="00706E4C">
            <w:pPr>
              <w:pStyle w:val="TableBodyText"/>
              <w:spacing w:line="220" w:lineRule="exact"/>
              <w:jc w:val="left"/>
              <w:rPr>
                <w:b/>
              </w:rPr>
            </w:pPr>
            <w:r w:rsidRPr="004F62A9">
              <w:rPr>
                <w:b/>
              </w:rPr>
              <w:t>Top seven (by production volume)</w:t>
            </w:r>
          </w:p>
        </w:tc>
        <w:tc>
          <w:tcPr>
            <w:tcW w:w="790" w:type="pct"/>
            <w:tcBorders>
              <w:top w:val="nil"/>
              <w:left w:val="nil"/>
              <w:bottom w:val="single" w:sz="6" w:space="0" w:color="auto"/>
              <w:right w:val="nil"/>
            </w:tcBorders>
            <w:vAlign w:val="bottom"/>
            <w:hideMark/>
          </w:tcPr>
          <w:p w:rsidR="00727498" w:rsidRPr="004F62A9" w:rsidRDefault="00727498" w:rsidP="00706E4C">
            <w:pPr>
              <w:pStyle w:val="TableBodyText"/>
              <w:spacing w:line="220" w:lineRule="exact"/>
              <w:rPr>
                <w:b/>
              </w:rPr>
            </w:pPr>
            <w:r w:rsidRPr="004F62A9">
              <w:rPr>
                <w:b/>
              </w:rPr>
              <w:t>49.</w:t>
            </w:r>
            <w:r>
              <w:rPr>
                <w:b/>
              </w:rPr>
              <w:t>7</w:t>
            </w:r>
          </w:p>
        </w:tc>
        <w:tc>
          <w:tcPr>
            <w:tcW w:w="1126" w:type="pct"/>
            <w:tcBorders>
              <w:top w:val="nil"/>
              <w:left w:val="nil"/>
              <w:bottom w:val="single" w:sz="6" w:space="0" w:color="auto"/>
              <w:right w:val="nil"/>
            </w:tcBorders>
            <w:hideMark/>
          </w:tcPr>
          <w:p w:rsidR="00727498" w:rsidRPr="004F62A9" w:rsidRDefault="00727498" w:rsidP="00706E4C">
            <w:pPr>
              <w:pStyle w:val="TableBodyText"/>
              <w:spacing w:line="220" w:lineRule="exact"/>
              <w:rPr>
                <w:b/>
              </w:rPr>
            </w:pPr>
            <w:r w:rsidRPr="004F62A9">
              <w:rPr>
                <w:b/>
              </w:rPr>
              <w:t>62.</w:t>
            </w:r>
            <w:r>
              <w:rPr>
                <w:b/>
              </w:rPr>
              <w:t>1</w:t>
            </w:r>
          </w:p>
        </w:tc>
        <w:tc>
          <w:tcPr>
            <w:tcW w:w="1109" w:type="pct"/>
            <w:tcBorders>
              <w:top w:val="nil"/>
              <w:left w:val="nil"/>
              <w:bottom w:val="single" w:sz="6" w:space="0" w:color="auto"/>
              <w:right w:val="nil"/>
            </w:tcBorders>
          </w:tcPr>
          <w:p w:rsidR="00727498" w:rsidRPr="004F62A9" w:rsidRDefault="00727498" w:rsidP="00706E4C">
            <w:pPr>
              <w:pStyle w:val="TableBodyText"/>
              <w:spacing w:line="220" w:lineRule="exact"/>
              <w:rPr>
                <w:b/>
              </w:rPr>
            </w:pPr>
          </w:p>
        </w:tc>
      </w:tr>
    </w:tbl>
    <w:p w:rsidR="00727498" w:rsidRDefault="00727498" w:rsidP="007140E6">
      <w:pPr>
        <w:pStyle w:val="Note"/>
      </w:pPr>
      <w:proofErr w:type="spellStart"/>
      <w:r w:rsidRPr="007140E6">
        <w:rPr>
          <w:rStyle w:val="NoteLabel"/>
        </w:rPr>
        <w:t>a</w:t>
      </w:r>
      <w:proofErr w:type="spellEnd"/>
      <w:r>
        <w:t xml:space="preserve"> For 2011.</w:t>
      </w:r>
    </w:p>
    <w:p w:rsidR="00727498" w:rsidRPr="0079297F" w:rsidRDefault="00727498" w:rsidP="006F0A0D">
      <w:pPr>
        <w:pStyle w:val="Source"/>
      </w:pPr>
      <w:r>
        <w:rPr>
          <w:i/>
        </w:rPr>
        <w:t>Source</w:t>
      </w:r>
      <w:r>
        <w:t xml:space="preserve">: </w:t>
      </w:r>
      <w:proofErr w:type="spellStart"/>
      <w:r>
        <w:t>OICA</w:t>
      </w:r>
      <w:proofErr w:type="spellEnd"/>
      <w:r>
        <w:t xml:space="preserve"> </w:t>
      </w:r>
      <w:r w:rsidRPr="00880D8C">
        <w:rPr>
          <w:rFonts w:cs="Arial"/>
        </w:rPr>
        <w:t>(</w:t>
      </w:r>
      <w:proofErr w:type="spellStart"/>
      <w:r w:rsidRPr="00880D8C">
        <w:rPr>
          <w:rFonts w:cs="Arial"/>
        </w:rPr>
        <w:t>2013a</w:t>
      </w:r>
      <w:proofErr w:type="spellEnd"/>
      <w:r w:rsidRPr="00880D8C">
        <w:rPr>
          <w:rFonts w:cs="Arial"/>
        </w:rPr>
        <w:t>)</w:t>
      </w:r>
      <w:r>
        <w:t>.</w:t>
      </w:r>
    </w:p>
    <w:p w:rsidR="00727498" w:rsidRDefault="00727498" w:rsidP="001D7692">
      <w:pPr>
        <w:pStyle w:val="BodyText"/>
      </w:pPr>
      <w:r>
        <w:t xml:space="preserve">Motor vehicle producers have entered into partnerships such as equity relationships and joint ventures. For example, Fiat owns a majority of Chrysler, and Renault and Nissan have significant equity cross holdings </w:t>
      </w:r>
      <w:r w:rsidRPr="007140E6">
        <w:t>(</w:t>
      </w:r>
      <w:proofErr w:type="spellStart"/>
      <w:r w:rsidRPr="007140E6">
        <w:t>Autonews</w:t>
      </w:r>
      <w:proofErr w:type="spellEnd"/>
      <w:r w:rsidRPr="007140E6">
        <w:t> 2012)</w:t>
      </w:r>
      <w:r>
        <w:t xml:space="preserve">. Some brands have been purchased by companies headquartered in developing countries, such as Volvo (owned by Chinese manufacturer </w:t>
      </w:r>
      <w:proofErr w:type="spellStart"/>
      <w:r>
        <w:t>Geely</w:t>
      </w:r>
      <w:proofErr w:type="spellEnd"/>
      <w:r>
        <w:t>) and Jaguar Land Rover (owned by Indian manufacturer Tata).</w:t>
      </w:r>
    </w:p>
    <w:p w:rsidR="00727498" w:rsidRPr="007140E6" w:rsidRDefault="00727498" w:rsidP="001D7692">
      <w:pPr>
        <w:pStyle w:val="BodyText"/>
        <w:rPr>
          <w:spacing w:val="-2"/>
        </w:rPr>
      </w:pPr>
      <w:r w:rsidRPr="007140E6">
        <w:rPr>
          <w:spacing w:val="-2"/>
        </w:rPr>
        <w:t>Government policy can influence commercial linkages between vehicle producers. A large proportion of vehicle production in China is manufactured by joint ventures between Chinese and international businesses. In 2012, around 59 per cent of the passenger and light commercial vehicle production in China was associated with foreign motor vehicle producers</w:t>
      </w:r>
      <w:r w:rsidRPr="0068268A">
        <w:rPr>
          <w:rStyle w:val="FootnoteReference"/>
        </w:rPr>
        <w:footnoteReference w:id="1"/>
      </w:r>
      <w:r w:rsidRPr="007140E6">
        <w:rPr>
          <w:spacing w:val="-2"/>
        </w:rPr>
        <w:t xml:space="preserve">, the largest being General Motors and Volkswagen (Productivity Commission estimates based on </w:t>
      </w:r>
      <w:proofErr w:type="spellStart"/>
      <w:r w:rsidRPr="007140E6">
        <w:rPr>
          <w:spacing w:val="-2"/>
        </w:rPr>
        <w:t>OICA</w:t>
      </w:r>
      <w:proofErr w:type="spellEnd"/>
      <w:r w:rsidRPr="007140E6">
        <w:rPr>
          <w:spacing w:val="-2"/>
        </w:rPr>
        <w:t> </w:t>
      </w:r>
      <w:proofErr w:type="spellStart"/>
      <w:r w:rsidRPr="007140E6">
        <w:rPr>
          <w:spacing w:val="-2"/>
        </w:rPr>
        <w:t>2013a</w:t>
      </w:r>
      <w:proofErr w:type="spellEnd"/>
      <w:r w:rsidRPr="007140E6">
        <w:rPr>
          <w:spacing w:val="-2"/>
        </w:rPr>
        <w:t xml:space="preserve">). The remainder is undertaken by Chinese producers such as </w:t>
      </w:r>
      <w:proofErr w:type="spellStart"/>
      <w:r w:rsidRPr="007140E6">
        <w:rPr>
          <w:spacing w:val="-2"/>
        </w:rPr>
        <w:t>Chang’an</w:t>
      </w:r>
      <w:proofErr w:type="spellEnd"/>
      <w:r w:rsidRPr="007140E6">
        <w:rPr>
          <w:spacing w:val="-2"/>
        </w:rPr>
        <w:t>, Chery and Great Wall.</w:t>
      </w:r>
    </w:p>
    <w:p w:rsidR="00727498" w:rsidRDefault="00727498" w:rsidP="00A36B1E">
      <w:pPr>
        <w:pStyle w:val="Heading3"/>
      </w:pPr>
      <w:r>
        <w:lastRenderedPageBreak/>
        <w:t>Motor vehicle production is increasing in developing countries</w:t>
      </w:r>
    </w:p>
    <w:p w:rsidR="00727498" w:rsidRDefault="00727498" w:rsidP="008849C9">
      <w:pPr>
        <w:pStyle w:val="BodyText"/>
      </w:pPr>
      <w:r>
        <w:t xml:space="preserve">Production of motor vehicles has declined in both absolute and relative terms in aggregate across the developed economies of the United States, the </w:t>
      </w:r>
      <w:proofErr w:type="spellStart"/>
      <w:r>
        <w:t>EU15</w:t>
      </w:r>
      <w:proofErr w:type="spellEnd"/>
      <w:r>
        <w:t xml:space="preserve"> countries</w:t>
      </w:r>
      <w:r w:rsidRPr="0068268A">
        <w:rPr>
          <w:rStyle w:val="FootnoteReference"/>
        </w:rPr>
        <w:footnoteReference w:id="2"/>
      </w:r>
      <w:r>
        <w:t xml:space="preserve"> and Japan (figure 2.2). In 2002 they produced around 67 per cent of motor vehicles, but by 2012 this number had fallen to less than 40 per cent </w:t>
      </w:r>
      <w:r w:rsidRPr="007140E6">
        <w:t>(</w:t>
      </w:r>
      <w:proofErr w:type="spellStart"/>
      <w:r w:rsidRPr="007140E6">
        <w:t>OICA</w:t>
      </w:r>
      <w:proofErr w:type="spellEnd"/>
      <w:r w:rsidRPr="007140E6">
        <w:t> </w:t>
      </w:r>
      <w:proofErr w:type="spellStart"/>
      <w:r w:rsidRPr="007140E6">
        <w:t>2013a</w:t>
      </w:r>
      <w:proofErr w:type="spellEnd"/>
      <w:r w:rsidRPr="007140E6">
        <w:t>)</w:t>
      </w:r>
      <w:r>
        <w:t xml:space="preserve">. </w:t>
      </w:r>
    </w:p>
    <w:p w:rsidR="00727498" w:rsidRDefault="00727498" w:rsidP="008849C9">
      <w:pPr>
        <w:pStyle w:val="BodyText"/>
      </w:pPr>
      <w:r>
        <w:t>On the other hand, there has been a marked increase in vehicle manufacturing in developing countries such as Brazil, China, India, Mexico and Thailand (figure 2.2). Motor vehicle production in China has grown dramatically — increasing almost tenfold from 2.1 million units in 2000 to around 19 million in 2012 — to become the world’s largest producer of motor vehicles. China now accounts for almost a quarter of global production and, as shown in table 2.1, accounts for a similar share of global motor vehicle sales.</w:t>
      </w:r>
    </w:p>
    <w:p w:rsidR="00727498" w:rsidRDefault="00727498" w:rsidP="00820A85">
      <w:pPr>
        <w:pStyle w:val="Heading3"/>
      </w:pPr>
      <w:r>
        <w:t>Motor vehicle production is clustered within regions</w:t>
      </w:r>
    </w:p>
    <w:p w:rsidR="00727498" w:rsidRDefault="00727498" w:rsidP="00820A85">
      <w:pPr>
        <w:pStyle w:val="BodyText"/>
      </w:pPr>
      <w:r>
        <w:t xml:space="preserve">Within each global region (such as North America and the European Union), demand for motor vehicles is largely met by production ‘clusters’, comprising one or more assemblers and an array of component manufacturers. In recent years, automotive clusters have been shifting toward lower labour cost areas within regions </w:t>
      </w:r>
      <w:r w:rsidRPr="005E6E38">
        <w:t xml:space="preserve">(Sturgeon and Van </w:t>
      </w:r>
      <w:proofErr w:type="spellStart"/>
      <w:r w:rsidRPr="005E6E38">
        <w:t>Biesebroeck</w:t>
      </w:r>
      <w:proofErr w:type="spellEnd"/>
      <w:r w:rsidRPr="005E6E38">
        <w:t> 2011)</w:t>
      </w:r>
      <w:r>
        <w:t>, where demand is also increasing and, in conjunction with these advantages, where governments are offering assistance.</w:t>
      </w:r>
    </w:p>
    <w:p w:rsidR="00727498" w:rsidRDefault="00727498" w:rsidP="00820A85">
      <w:pPr>
        <w:pStyle w:val="ListBullet"/>
      </w:pPr>
      <w:r>
        <w:t xml:space="preserve">While a significant proportion of the North American automotive industry remains clustered in Michigan and surrounding US states, there has been a large increase in production in lower labour cost regions such as the southern US states and particularly in Mexico </w:t>
      </w:r>
      <w:r w:rsidRPr="0079297F">
        <w:t>(</w:t>
      </w:r>
      <w:proofErr w:type="spellStart"/>
      <w:r w:rsidRPr="0079297F">
        <w:t>Klier</w:t>
      </w:r>
      <w:proofErr w:type="spellEnd"/>
      <w:r w:rsidRPr="0079297F">
        <w:t xml:space="preserve"> and Rubenstein 2011, 2013)</w:t>
      </w:r>
      <w:r>
        <w:t xml:space="preserve">. (Mexico has the added advantage of being a party to many bilateral and regional trade agreements, including the North American Free Trade Agreement. At July 2012, it had 12 agreements covering 44 countries in total </w:t>
      </w:r>
      <w:r w:rsidRPr="007140E6">
        <w:t>(Villarreal 2012)</w:t>
      </w:r>
      <w:r>
        <w:t>.)</w:t>
      </w:r>
    </w:p>
    <w:p w:rsidR="00727498" w:rsidRDefault="00727498" w:rsidP="00756D6C">
      <w:pPr>
        <w:pStyle w:val="FigureTitle"/>
      </w:pPr>
      <w:r>
        <w:rPr>
          <w:b w:val="0"/>
        </w:rPr>
        <w:lastRenderedPageBreak/>
        <w:t xml:space="preserve">Figure </w:t>
      </w:r>
      <w:r>
        <w:rPr>
          <w:b w:val="0"/>
        </w:rPr>
        <w:fldChar w:fldCharType="begin" w:fldLock="1"/>
      </w:r>
      <w:r>
        <w:rPr>
          <w:b w:val="0"/>
        </w:rPr>
        <w:instrText xml:space="preserve"> COMMENTS  \* MERGEFORMAT </w:instrText>
      </w:r>
      <w:r>
        <w:rPr>
          <w:b w:val="0"/>
        </w:rPr>
        <w:fldChar w:fldCharType="separate"/>
      </w:r>
      <w:r>
        <w:rPr>
          <w:b w:val="0"/>
        </w:rPr>
        <w:t>2.</w:t>
      </w:r>
      <w:r>
        <w:rPr>
          <w:b w:val="0"/>
        </w:rPr>
        <w:fldChar w:fldCharType="end"/>
      </w:r>
      <w:r>
        <w:rPr>
          <w:b w:val="0"/>
        </w:rPr>
        <w:t>2</w:t>
      </w:r>
      <w:r>
        <w:tab/>
        <w:t xml:space="preserve">Production of motor vehicles </w:t>
      </w:r>
      <w:r w:rsidRPr="008F170C">
        <w:rPr>
          <w:rStyle w:val="SubtitleChar"/>
        </w:rPr>
        <w:t>(millions of motor vehicles)</w:t>
      </w:r>
    </w:p>
    <w:p w:rsidR="00727498" w:rsidRDefault="00727498" w:rsidP="00E003E4">
      <w:pPr>
        <w:pStyle w:val="Subtitle"/>
      </w:pPr>
      <w:r>
        <w:rPr>
          <w:rStyle w:val="SubtitleChar"/>
        </w:rPr>
        <w:t>S</w:t>
      </w:r>
      <w:r w:rsidRPr="008F170C">
        <w:rPr>
          <w:rStyle w:val="SubtitleChar"/>
        </w:rPr>
        <w:t>elected countries and years</w:t>
      </w:r>
      <w:r>
        <w:rPr>
          <w:rStyle w:val="SubtitleChar"/>
        </w:rPr>
        <w:t>. Passenger and light and heavy commercial vehicles.</w:t>
      </w:r>
      <w:r>
        <w:rPr>
          <w:rStyle w:val="NoteLabel"/>
        </w:rPr>
        <w:t>a</w:t>
      </w:r>
    </w:p>
    <w:tbl>
      <w:tblPr>
        <w:tblW w:w="5000" w:type="pct"/>
        <w:tblBorders>
          <w:top w:val="single" w:sz="6" w:space="0" w:color="auto"/>
          <w:bottom w:val="single" w:sz="6" w:space="0" w:color="auto"/>
        </w:tblBorders>
        <w:tblCellMar>
          <w:left w:w="0" w:type="dxa"/>
          <w:right w:w="0" w:type="dxa"/>
        </w:tblCellMar>
        <w:tblLook w:val="04A0" w:firstRow="1" w:lastRow="0" w:firstColumn="1" w:lastColumn="0" w:noHBand="0" w:noVBand="1"/>
      </w:tblPr>
      <w:tblGrid>
        <w:gridCol w:w="2836"/>
        <w:gridCol w:w="3023"/>
        <w:gridCol w:w="2930"/>
      </w:tblGrid>
      <w:tr w:rsidR="00727498" w:rsidTr="00756D6C">
        <w:tc>
          <w:tcPr>
            <w:tcW w:w="1613" w:type="pct"/>
            <w:tcBorders>
              <w:top w:val="single" w:sz="6" w:space="0" w:color="auto"/>
              <w:left w:val="nil"/>
              <w:bottom w:val="nil"/>
              <w:right w:val="nil"/>
            </w:tcBorders>
            <w:hideMark/>
          </w:tcPr>
          <w:p w:rsidR="00727498" w:rsidRDefault="00727498">
            <w:pPr>
              <w:pStyle w:val="Figure"/>
            </w:pPr>
            <w:r>
              <w:rPr>
                <w:noProof/>
              </w:rPr>
              <w:drawing>
                <wp:inline distT="0" distB="0" distL="0" distR="0" wp14:anchorId="7AF66E00" wp14:editId="5AE6FAEC">
                  <wp:extent cx="1657350" cy="1619250"/>
                  <wp:effectExtent l="0" t="0" r="0" b="0"/>
                  <wp:docPr id="59" name="Chart 59" descr="A series of charts showing production, exports and imports of passenger and commercial motor vehicles in the EU, China, United States, Japan, Republic of Korea, India, Brazil, Mexico, Thailand and Australia in 1980, 1990, 2000 and 2011. The production of motor vehicles for the local market increased gradually between 1980 and 2000 in the EU and United States, but declined between 2000 and 2011. Production and sales of motor vehicles increased rapidly between 1980 and 2011 in China, the Republic of Korea and India. Australian production of vehicles for the local market decreased between 1980 and 2011, while imports of motor vehicles increased. " title="Production and sales of motor vehicles (millions of motor vehicles)"/>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tc>
        <w:tc>
          <w:tcPr>
            <w:tcW w:w="1720" w:type="pct"/>
            <w:tcBorders>
              <w:top w:val="single" w:sz="6" w:space="0" w:color="auto"/>
              <w:left w:val="nil"/>
              <w:bottom w:val="nil"/>
              <w:right w:val="nil"/>
            </w:tcBorders>
            <w:hideMark/>
          </w:tcPr>
          <w:p w:rsidR="00727498" w:rsidRDefault="00727498">
            <w:pPr>
              <w:pStyle w:val="Figure"/>
            </w:pPr>
            <w:r>
              <w:rPr>
                <w:noProof/>
              </w:rPr>
              <w:drawing>
                <wp:inline distT="0" distB="0" distL="0" distR="0" wp14:anchorId="6A35126A" wp14:editId="11104ED1">
                  <wp:extent cx="1657350" cy="1619250"/>
                  <wp:effectExtent l="0" t="0" r="0" b="0"/>
                  <wp:docPr id="58" name="Chart 58"/>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tc>
        <w:tc>
          <w:tcPr>
            <w:tcW w:w="1667" w:type="pct"/>
            <w:tcBorders>
              <w:top w:val="single" w:sz="6" w:space="0" w:color="auto"/>
              <w:left w:val="nil"/>
              <w:bottom w:val="nil"/>
              <w:right w:val="nil"/>
            </w:tcBorders>
            <w:hideMark/>
          </w:tcPr>
          <w:p w:rsidR="00727498" w:rsidRDefault="00727498">
            <w:pPr>
              <w:pStyle w:val="Figure"/>
            </w:pPr>
            <w:r>
              <w:rPr>
                <w:noProof/>
              </w:rPr>
              <w:drawing>
                <wp:inline distT="0" distB="0" distL="0" distR="0" wp14:anchorId="39AC6764" wp14:editId="26073B66">
                  <wp:extent cx="1657350" cy="1619250"/>
                  <wp:effectExtent l="0" t="0" r="0" b="0"/>
                  <wp:docPr id="57" name="Chart 57"/>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tc>
      </w:tr>
      <w:tr w:rsidR="00727498" w:rsidTr="00756D6C">
        <w:tc>
          <w:tcPr>
            <w:tcW w:w="1613" w:type="pct"/>
            <w:tcBorders>
              <w:top w:val="nil"/>
              <w:left w:val="nil"/>
              <w:bottom w:val="nil"/>
              <w:right w:val="nil"/>
            </w:tcBorders>
            <w:hideMark/>
          </w:tcPr>
          <w:p w:rsidR="00727498" w:rsidRDefault="00727498">
            <w:pPr>
              <w:pStyle w:val="Figure"/>
            </w:pPr>
            <w:r>
              <w:rPr>
                <w:noProof/>
              </w:rPr>
              <w:drawing>
                <wp:inline distT="0" distB="0" distL="0" distR="0" wp14:anchorId="7E7E8A3F" wp14:editId="578A9D0E">
                  <wp:extent cx="1657350" cy="1619250"/>
                  <wp:effectExtent l="0" t="0" r="0" b="0"/>
                  <wp:docPr id="56" name="Chart 56"/>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tc>
        <w:tc>
          <w:tcPr>
            <w:tcW w:w="1720" w:type="pct"/>
            <w:tcBorders>
              <w:top w:val="nil"/>
              <w:left w:val="nil"/>
              <w:bottom w:val="nil"/>
              <w:right w:val="nil"/>
            </w:tcBorders>
            <w:hideMark/>
          </w:tcPr>
          <w:p w:rsidR="00727498" w:rsidRDefault="00727498">
            <w:pPr>
              <w:pStyle w:val="Figure"/>
            </w:pPr>
            <w:r>
              <w:rPr>
                <w:noProof/>
              </w:rPr>
              <w:drawing>
                <wp:inline distT="0" distB="0" distL="0" distR="0" wp14:anchorId="7BB7F9D3" wp14:editId="5BF80864">
                  <wp:extent cx="1657350" cy="1619250"/>
                  <wp:effectExtent l="0" t="0" r="0" b="0"/>
                  <wp:docPr id="55" name="Chart 55"/>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tc>
        <w:tc>
          <w:tcPr>
            <w:tcW w:w="1667" w:type="pct"/>
            <w:tcBorders>
              <w:top w:val="nil"/>
              <w:left w:val="nil"/>
              <w:bottom w:val="nil"/>
              <w:right w:val="nil"/>
            </w:tcBorders>
            <w:hideMark/>
          </w:tcPr>
          <w:p w:rsidR="00727498" w:rsidRDefault="00727498">
            <w:pPr>
              <w:pStyle w:val="Figure"/>
            </w:pPr>
            <w:r>
              <w:rPr>
                <w:noProof/>
              </w:rPr>
              <w:drawing>
                <wp:inline distT="0" distB="0" distL="0" distR="0" wp14:anchorId="5566BE04" wp14:editId="6194898D">
                  <wp:extent cx="1657350" cy="1619250"/>
                  <wp:effectExtent l="0" t="0" r="0" b="0"/>
                  <wp:docPr id="54" name="Chart 54"/>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tc>
      </w:tr>
      <w:tr w:rsidR="00727498" w:rsidTr="007140E6">
        <w:tc>
          <w:tcPr>
            <w:tcW w:w="1613" w:type="pct"/>
            <w:tcBorders>
              <w:top w:val="nil"/>
              <w:left w:val="nil"/>
              <w:bottom w:val="single" w:sz="6" w:space="0" w:color="808080" w:themeColor="background1" w:themeShade="80"/>
              <w:right w:val="nil"/>
            </w:tcBorders>
            <w:hideMark/>
          </w:tcPr>
          <w:p w:rsidR="00727498" w:rsidRDefault="00727498">
            <w:pPr>
              <w:pStyle w:val="Figure"/>
            </w:pPr>
            <w:r>
              <w:rPr>
                <w:noProof/>
              </w:rPr>
              <w:drawing>
                <wp:inline distT="0" distB="0" distL="0" distR="0" wp14:anchorId="1A6DC7DB" wp14:editId="0098EA0A">
                  <wp:extent cx="1657350" cy="1619250"/>
                  <wp:effectExtent l="0" t="0" r="0" b="0"/>
                  <wp:docPr id="53" name="Chart 53"/>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tc>
        <w:tc>
          <w:tcPr>
            <w:tcW w:w="1720" w:type="pct"/>
            <w:tcBorders>
              <w:top w:val="nil"/>
              <w:left w:val="nil"/>
              <w:bottom w:val="single" w:sz="6" w:space="0" w:color="808080" w:themeColor="background1" w:themeShade="80"/>
              <w:right w:val="nil"/>
            </w:tcBorders>
            <w:hideMark/>
          </w:tcPr>
          <w:p w:rsidR="00727498" w:rsidRDefault="00727498">
            <w:pPr>
              <w:pStyle w:val="Figure"/>
            </w:pPr>
            <w:r>
              <w:rPr>
                <w:noProof/>
              </w:rPr>
              <w:drawing>
                <wp:inline distT="0" distB="0" distL="0" distR="0" wp14:anchorId="05572E12" wp14:editId="7C8F1100">
                  <wp:extent cx="1657350" cy="1619250"/>
                  <wp:effectExtent l="0" t="0" r="0" b="0"/>
                  <wp:docPr id="52" name="Chart 52"/>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tc>
        <w:tc>
          <w:tcPr>
            <w:tcW w:w="1667" w:type="pct"/>
            <w:tcBorders>
              <w:top w:val="nil"/>
              <w:left w:val="nil"/>
              <w:bottom w:val="single" w:sz="6" w:space="0" w:color="808080" w:themeColor="background1" w:themeShade="80"/>
              <w:right w:val="nil"/>
            </w:tcBorders>
            <w:hideMark/>
          </w:tcPr>
          <w:p w:rsidR="00727498" w:rsidRDefault="00727498">
            <w:pPr>
              <w:pStyle w:val="Figure"/>
            </w:pPr>
            <w:r>
              <w:rPr>
                <w:noProof/>
              </w:rPr>
              <w:drawing>
                <wp:inline distT="0" distB="0" distL="0" distR="0" wp14:anchorId="178C15A4" wp14:editId="7426EE32">
                  <wp:extent cx="1657350" cy="1619250"/>
                  <wp:effectExtent l="0" t="0" r="0" b="0"/>
                  <wp:docPr id="51" name="Chart 51"/>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tc>
      </w:tr>
      <w:tr w:rsidR="00727498" w:rsidTr="007140E6">
        <w:tc>
          <w:tcPr>
            <w:tcW w:w="1613" w:type="pct"/>
            <w:tcBorders>
              <w:top w:val="single" w:sz="6" w:space="0" w:color="808080" w:themeColor="background1" w:themeShade="80"/>
              <w:left w:val="nil"/>
              <w:bottom w:val="single" w:sz="6" w:space="0" w:color="auto"/>
              <w:right w:val="nil"/>
            </w:tcBorders>
            <w:hideMark/>
          </w:tcPr>
          <w:p w:rsidR="00727498" w:rsidRDefault="00727498">
            <w:pPr>
              <w:pStyle w:val="Figure"/>
              <w:spacing w:before="0"/>
            </w:pPr>
            <w:r>
              <w:rPr>
                <w:noProof/>
              </w:rPr>
              <mc:AlternateContent>
                <mc:Choice Requires="wps">
                  <w:drawing>
                    <wp:anchor distT="0" distB="0" distL="114300" distR="114300" simplePos="0" relativeHeight="251673600" behindDoc="0" locked="0" layoutInCell="1" allowOverlap="1" wp14:anchorId="148CE828" wp14:editId="7CB300E6">
                      <wp:simplePos x="0" y="0"/>
                      <wp:positionH relativeFrom="column">
                        <wp:posOffset>1726565</wp:posOffset>
                      </wp:positionH>
                      <wp:positionV relativeFrom="paragraph">
                        <wp:posOffset>972185</wp:posOffset>
                      </wp:positionV>
                      <wp:extent cx="165100" cy="661670"/>
                      <wp:effectExtent l="0" t="0" r="25400" b="2413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5100" cy="661670"/>
                              </a:xfrm>
                              <a:prstGeom prst="line">
                                <a:avLst/>
                              </a:prstGeom>
                              <a:noFill/>
                              <a:ln w="9525">
                                <a:solidFill>
                                  <a:schemeClr val="tx1">
                                    <a:lumMod val="50000"/>
                                    <a:lumOff val="50000"/>
                                  </a:schemeClr>
                                </a:solidFill>
                                <a:prstDash val="sysDash"/>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id="Straight Connector 2"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95pt,76.55pt" to="148.95pt,12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" strokecolor="gray [1629]">
                      <v:stroke dashstyle="3 1"/>
                    </v:line>
                  </w:pict>
                </mc:Fallback>
              </mc:AlternateContent>
            </w:r>
            <w:r>
              <w:rPr>
                <w:noProof/>
              </w:rPr>
              <mc:AlternateContent>
                <mc:Choice Requires="wps">
                  <w:drawing>
                    <wp:anchor distT="0" distB="0" distL="114300" distR="114300" simplePos="0" relativeHeight="251659264" behindDoc="0" locked="0" layoutInCell="1" allowOverlap="1" wp14:anchorId="7A36647F" wp14:editId="13BA6063">
                      <wp:simplePos x="0" y="0"/>
                      <wp:positionH relativeFrom="column">
                        <wp:posOffset>1727185</wp:posOffset>
                      </wp:positionH>
                      <wp:positionV relativeFrom="paragraph">
                        <wp:posOffset>56729</wp:posOffset>
                      </wp:positionV>
                      <wp:extent cx="165253" cy="929089"/>
                      <wp:effectExtent l="0" t="0" r="25400" b="23495"/>
                      <wp:wrapNone/>
                      <wp:docPr id="74" name="Straight Connector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5253" cy="929089"/>
                              </a:xfrm>
                              <a:prstGeom prst="line">
                                <a:avLst/>
                              </a:prstGeom>
                              <a:noFill/>
                              <a:ln w="9525">
                                <a:solidFill>
                                  <a:schemeClr val="tx1">
                                    <a:lumMod val="50000"/>
                                    <a:lumOff val="50000"/>
                                  </a:schemeClr>
                                </a:solidFill>
                                <a:prstDash val="sysDash"/>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id="Straight Connector 74"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6pt,4.45pt" to="149pt,7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" strokecolor="gray [1629]">
                      <v:stroke dashstyle="3 1"/>
                    </v:line>
                  </w:pict>
                </mc:Fallback>
              </mc:AlternateContent>
            </w:r>
            <w:r>
              <w:rPr>
                <w:noProof/>
              </w:rPr>
              <w:drawing>
                <wp:inline distT="0" distB="0" distL="0" distR="0" wp14:anchorId="7010805E" wp14:editId="44197E26">
                  <wp:extent cx="1657350" cy="1619250"/>
                  <wp:effectExtent l="0" t="0" r="0" b="0"/>
                  <wp:docPr id="50" name="Chart 50"/>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tc>
        <w:tc>
          <w:tcPr>
            <w:tcW w:w="1720" w:type="pct"/>
            <w:tcBorders>
              <w:top w:val="single" w:sz="6" w:space="0" w:color="808080" w:themeColor="background1" w:themeShade="80"/>
              <w:left w:val="nil"/>
              <w:bottom w:val="single" w:sz="6" w:space="0" w:color="auto"/>
              <w:right w:val="nil"/>
            </w:tcBorders>
            <w:hideMark/>
          </w:tcPr>
          <w:p w:rsidR="00727498" w:rsidRDefault="00727498">
            <w:pPr>
              <w:pStyle w:val="Figure"/>
              <w:spacing w:before="0"/>
            </w:pPr>
            <w:r>
              <w:rPr>
                <w:noProof/>
              </w:rPr>
              <mc:AlternateContent>
                <mc:Choice Requires="wps">
                  <w:drawing>
                    <wp:anchor distT="0" distB="0" distL="114300" distR="114300" simplePos="0" relativeHeight="251672576" behindDoc="0" locked="0" layoutInCell="1" allowOverlap="1" wp14:anchorId="21095624" wp14:editId="7E3A70DA">
                      <wp:simplePos x="0" y="0"/>
                      <wp:positionH relativeFrom="column">
                        <wp:posOffset>93345</wp:posOffset>
                      </wp:positionH>
                      <wp:positionV relativeFrom="paragraph">
                        <wp:posOffset>57748</wp:posOffset>
                      </wp:positionV>
                      <wp:extent cx="1724660" cy="1578610"/>
                      <wp:effectExtent l="0" t="0" r="27940" b="21590"/>
                      <wp:wrapNone/>
                      <wp:docPr id="7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4660" cy="1578610"/>
                              </a:xfrm>
                              <a:prstGeom prst="rect">
                                <a:avLst/>
                              </a:prstGeom>
                              <a:noFill/>
                              <a:ln w="9525">
                                <a:solidFill>
                                  <a:schemeClr val="tx1">
                                    <a:lumMod val="50000"/>
                                    <a:lumOff val="5000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73" o:spid="_x0000_s1026" style="position:absolute;margin-left:7.35pt;margin-top:4.55pt;width:135.8pt;height:124.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" filled="f" strokecolor="gray [1629]"/>
                  </w:pict>
                </mc:Fallback>
              </mc:AlternateContent>
            </w:r>
            <w:r>
              <w:rPr>
                <w:noProof/>
              </w:rPr>
              <mc:AlternateContent>
                <mc:Choice Requires="wps">
                  <w:drawing>
                    <wp:anchor distT="0" distB="0" distL="114300" distR="114300" simplePos="0" relativeHeight="251671552" behindDoc="0" locked="0" layoutInCell="1" allowOverlap="1" wp14:anchorId="230849DE" wp14:editId="10068811">
                      <wp:simplePos x="0" y="0"/>
                      <wp:positionH relativeFrom="column">
                        <wp:posOffset>2942590</wp:posOffset>
                      </wp:positionH>
                      <wp:positionV relativeFrom="paragraph">
                        <wp:posOffset>7459345</wp:posOffset>
                      </wp:positionV>
                      <wp:extent cx="1868170" cy="1709420"/>
                      <wp:effectExtent l="0" t="0" r="17780" b="24130"/>
                      <wp:wrapNone/>
                      <wp:docPr id="72"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68170" cy="1709420"/>
                              </a:xfrm>
                              <a:prstGeom prst="rect">
                                <a:avLst/>
                              </a:prstGeom>
                              <a:solidFill>
                                <a:srgbClr val="FFFFFF">
                                  <a:alpha val="0"/>
                                </a:srgb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2" o:spid="_x0000_s1026" style="position:absolute;margin-left:231.7pt;margin-top:587.35pt;width:147.1pt;height:134.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">
                      <v:fill opacity="0"/>
                    </v:rect>
                  </w:pict>
                </mc:Fallback>
              </mc:AlternateContent>
            </w:r>
            <w:r>
              <w:rPr>
                <w:noProof/>
              </w:rPr>
              <mc:AlternateContent>
                <mc:Choice Requires="wps">
                  <w:drawing>
                    <wp:anchor distT="0" distB="0" distL="114300" distR="114300" simplePos="0" relativeHeight="251670528" behindDoc="0" locked="0" layoutInCell="1" allowOverlap="1" wp14:anchorId="659EB36A" wp14:editId="1455CF0A">
                      <wp:simplePos x="0" y="0"/>
                      <wp:positionH relativeFrom="column">
                        <wp:posOffset>2942590</wp:posOffset>
                      </wp:positionH>
                      <wp:positionV relativeFrom="paragraph">
                        <wp:posOffset>7459345</wp:posOffset>
                      </wp:positionV>
                      <wp:extent cx="1868170" cy="1709420"/>
                      <wp:effectExtent l="0" t="0" r="17780" b="24130"/>
                      <wp:wrapNone/>
                      <wp:docPr id="71" name="Rectangl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68170" cy="1709420"/>
                              </a:xfrm>
                              <a:prstGeom prst="rect">
                                <a:avLst/>
                              </a:prstGeom>
                              <a:solidFill>
                                <a:srgbClr val="FFFFFF">
                                  <a:alpha val="0"/>
                                </a:srgb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1" o:spid="_x0000_s1026" style="position:absolute;margin-left:231.7pt;margin-top:587.35pt;width:147.1pt;height:134.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">
                      <v:fill opacity="0"/>
                    </v:rect>
                  </w:pict>
                </mc:Fallback>
              </mc:AlternateContent>
            </w:r>
            <w:r>
              <w:rPr>
                <w:noProof/>
              </w:rPr>
              <mc:AlternateContent>
                <mc:Choice Requires="wps">
                  <w:drawing>
                    <wp:anchor distT="0" distB="0" distL="114300" distR="114300" simplePos="0" relativeHeight="251669504" behindDoc="0" locked="0" layoutInCell="1" allowOverlap="1" wp14:anchorId="3AF46AD4" wp14:editId="4DB329B2">
                      <wp:simplePos x="0" y="0"/>
                      <wp:positionH relativeFrom="column">
                        <wp:posOffset>2942590</wp:posOffset>
                      </wp:positionH>
                      <wp:positionV relativeFrom="paragraph">
                        <wp:posOffset>7459345</wp:posOffset>
                      </wp:positionV>
                      <wp:extent cx="1868170" cy="1709420"/>
                      <wp:effectExtent l="0" t="0" r="17780" b="24130"/>
                      <wp:wrapNone/>
                      <wp:docPr id="70" name="Rectangl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68170" cy="1709420"/>
                              </a:xfrm>
                              <a:prstGeom prst="rect">
                                <a:avLst/>
                              </a:prstGeom>
                              <a:solidFill>
                                <a:srgbClr val="FFFFFF">
                                  <a:alpha val="0"/>
                                </a:srgb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0" o:spid="_x0000_s1026" style="position:absolute;margin-left:231.7pt;margin-top:587.35pt;width:147.1pt;height:134.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">
                      <v:fill opacity="0"/>
                    </v:rect>
                  </w:pict>
                </mc:Fallback>
              </mc:AlternateContent>
            </w:r>
            <w:r>
              <w:rPr>
                <w:noProof/>
              </w:rPr>
              <mc:AlternateContent>
                <mc:Choice Requires="wps">
                  <w:drawing>
                    <wp:anchor distT="0" distB="0" distL="114300" distR="114300" simplePos="0" relativeHeight="251668480" behindDoc="0" locked="0" layoutInCell="1" allowOverlap="1" wp14:anchorId="6D5373F8" wp14:editId="3594D6EC">
                      <wp:simplePos x="0" y="0"/>
                      <wp:positionH relativeFrom="column">
                        <wp:posOffset>2942590</wp:posOffset>
                      </wp:positionH>
                      <wp:positionV relativeFrom="paragraph">
                        <wp:posOffset>7459345</wp:posOffset>
                      </wp:positionV>
                      <wp:extent cx="1868170" cy="1709420"/>
                      <wp:effectExtent l="0" t="0" r="17780" b="24130"/>
                      <wp:wrapNone/>
                      <wp:docPr id="69" name="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68170" cy="1709420"/>
                              </a:xfrm>
                              <a:prstGeom prst="rect">
                                <a:avLst/>
                              </a:prstGeom>
                              <a:solidFill>
                                <a:srgbClr val="FFFFFF">
                                  <a:alpha val="0"/>
                                </a:srgb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9" o:spid="_x0000_s1026" style="position:absolute;margin-left:231.7pt;margin-top:587.35pt;width:147.1pt;height:134.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">
                      <v:fill opacity="0"/>
                    </v:rect>
                  </w:pict>
                </mc:Fallback>
              </mc:AlternateContent>
            </w:r>
            <w:r>
              <w:rPr>
                <w:noProof/>
              </w:rPr>
              <mc:AlternateContent>
                <mc:Choice Requires="wps">
                  <w:drawing>
                    <wp:anchor distT="0" distB="0" distL="114300" distR="114300" simplePos="0" relativeHeight="251667456" behindDoc="0" locked="0" layoutInCell="1" allowOverlap="1" wp14:anchorId="2A05EFE1" wp14:editId="40D063E7">
                      <wp:simplePos x="0" y="0"/>
                      <wp:positionH relativeFrom="column">
                        <wp:posOffset>2942590</wp:posOffset>
                      </wp:positionH>
                      <wp:positionV relativeFrom="paragraph">
                        <wp:posOffset>7459345</wp:posOffset>
                      </wp:positionV>
                      <wp:extent cx="1868170" cy="1709420"/>
                      <wp:effectExtent l="0" t="0" r="17780" b="24130"/>
                      <wp:wrapNone/>
                      <wp:docPr id="68" name="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68170" cy="1709420"/>
                              </a:xfrm>
                              <a:prstGeom prst="rect">
                                <a:avLst/>
                              </a:prstGeom>
                              <a:solidFill>
                                <a:srgbClr val="FFFFFF">
                                  <a:alpha val="0"/>
                                </a:srgb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8" o:spid="_x0000_s1026" style="position:absolute;margin-left:231.7pt;margin-top:587.35pt;width:147.1pt;height:134.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">
                      <v:fill opacity="0"/>
                    </v:rect>
                  </w:pict>
                </mc:Fallback>
              </mc:AlternateContent>
            </w:r>
            <w:r>
              <w:rPr>
                <w:noProof/>
              </w:rPr>
              <mc:AlternateContent>
                <mc:Choice Requires="wps">
                  <w:drawing>
                    <wp:anchor distT="0" distB="0" distL="114300" distR="114300" simplePos="0" relativeHeight="251666432" behindDoc="0" locked="0" layoutInCell="1" allowOverlap="1" wp14:anchorId="1595749B" wp14:editId="21A71010">
                      <wp:simplePos x="0" y="0"/>
                      <wp:positionH relativeFrom="column">
                        <wp:posOffset>2942590</wp:posOffset>
                      </wp:positionH>
                      <wp:positionV relativeFrom="paragraph">
                        <wp:posOffset>7459345</wp:posOffset>
                      </wp:positionV>
                      <wp:extent cx="1868170" cy="1709420"/>
                      <wp:effectExtent l="0" t="0" r="17780" b="24130"/>
                      <wp:wrapNone/>
                      <wp:docPr id="67" name="Rectangl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68170" cy="1709420"/>
                              </a:xfrm>
                              <a:prstGeom prst="rect">
                                <a:avLst/>
                              </a:prstGeom>
                              <a:solidFill>
                                <a:srgbClr val="FFFFFF">
                                  <a:alpha val="0"/>
                                </a:srgb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7" o:spid="_x0000_s1026" style="position:absolute;margin-left:231.7pt;margin-top:587.35pt;width:147.1pt;height:134.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">
                      <v:fill opacity="0"/>
                    </v:rect>
                  </w:pict>
                </mc:Fallback>
              </mc:AlternateContent>
            </w:r>
            <w:r>
              <w:rPr>
                <w:noProof/>
              </w:rPr>
              <w:drawing>
                <wp:inline distT="0" distB="0" distL="0" distR="0" wp14:anchorId="212000AB" wp14:editId="63C66534">
                  <wp:extent cx="1657350" cy="1619250"/>
                  <wp:effectExtent l="0" t="0" r="0" b="0"/>
                  <wp:docPr id="49" name="Chart 49"/>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tc>
        <w:tc>
          <w:tcPr>
            <w:tcW w:w="1667" w:type="pct"/>
            <w:tcBorders>
              <w:top w:val="single" w:sz="6" w:space="0" w:color="808080" w:themeColor="background1" w:themeShade="80"/>
              <w:left w:val="nil"/>
              <w:bottom w:val="single" w:sz="6" w:space="0" w:color="auto"/>
              <w:right w:val="nil"/>
            </w:tcBorders>
            <w:hideMark/>
          </w:tcPr>
          <w:p w:rsidR="00727498" w:rsidRDefault="00727498">
            <w:pPr>
              <w:pStyle w:val="Figure"/>
              <w:spacing w:before="0"/>
            </w:pPr>
            <w:r>
              <w:rPr>
                <w:noProof/>
              </w:rPr>
              <mc:AlternateContent>
                <mc:Choice Requires="wps">
                  <w:drawing>
                    <wp:anchor distT="0" distB="0" distL="114300" distR="114300" simplePos="0" relativeHeight="251660288" behindDoc="0" locked="0" layoutInCell="1" allowOverlap="1" wp14:anchorId="4D2567DD" wp14:editId="2F0E594F">
                      <wp:simplePos x="0" y="0"/>
                      <wp:positionH relativeFrom="column">
                        <wp:posOffset>351790</wp:posOffset>
                      </wp:positionH>
                      <wp:positionV relativeFrom="paragraph">
                        <wp:posOffset>737870</wp:posOffset>
                      </wp:positionV>
                      <wp:extent cx="1475740" cy="395605"/>
                      <wp:effectExtent l="0" t="0" r="0" b="4445"/>
                      <wp:wrapNone/>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75740" cy="395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27498" w:rsidRDefault="00727498" w:rsidP="00756D6C">
                                  <w:pPr>
                                    <w:rPr>
                                      <w:rFonts w:ascii="Arial" w:hAnsi="Arial" w:cs="Arial"/>
                                      <w:sz w:val="18"/>
                                      <w:szCs w:val="18"/>
                                    </w:rPr>
                                  </w:pPr>
                                  <w:r>
                                    <w:rPr>
                                      <w:rFonts w:ascii="Arial" w:hAnsi="Arial" w:cs="Arial"/>
                                      <w:sz w:val="18"/>
                                      <w:szCs w:val="18"/>
                                    </w:rPr>
                                    <w:t>Motor vehicles produced for the domestic market</w:t>
                                  </w: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4" o:spid="_x0000_s1026" type="#_x0000_t202" style="position:absolute;left:0;text-align:left;margin-left:27.7pt;margin-top:58.1pt;width:116.2pt;height:31.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" filled="f" stroked="f" strokeweight=".5pt">
                      <v:path arrowok="t"/>
                      <v:textbox inset="1mm,,1mm">
                        <w:txbxContent>
                          <w:p w:rsidR="00727498" w:rsidRDefault="00727498" w:rsidP="00756D6C">
                            <w:pPr>
                              <w:rPr>
                                <w:rFonts w:ascii="Arial" w:hAnsi="Arial" w:cs="Arial"/>
                                <w:sz w:val="18"/>
                                <w:szCs w:val="18"/>
                              </w:rPr>
                            </w:pPr>
                            <w:r>
                              <w:rPr>
                                <w:rFonts w:ascii="Arial" w:hAnsi="Arial" w:cs="Arial"/>
                                <w:sz w:val="18"/>
                                <w:szCs w:val="18"/>
                              </w:rPr>
                              <w:t>Motor vehicles produced for the domestic market</w:t>
                            </w:r>
                          </w:p>
                        </w:txbxContent>
                      </v:textbox>
                    </v:shape>
                  </w:pict>
                </mc:Fallback>
              </mc:AlternateContent>
            </w:r>
            <w:r>
              <w:rPr>
                <w:noProof/>
              </w:rPr>
              <mc:AlternateContent>
                <mc:Choice Requires="wps">
                  <w:drawing>
                    <wp:anchor distT="0" distB="0" distL="114300" distR="114300" simplePos="0" relativeHeight="251661312" behindDoc="0" locked="0" layoutInCell="1" allowOverlap="1" wp14:anchorId="5485053D" wp14:editId="0E26D153">
                      <wp:simplePos x="0" y="0"/>
                      <wp:positionH relativeFrom="column">
                        <wp:posOffset>351790</wp:posOffset>
                      </wp:positionH>
                      <wp:positionV relativeFrom="paragraph">
                        <wp:posOffset>408940</wp:posOffset>
                      </wp:positionV>
                      <wp:extent cx="1475740" cy="222885"/>
                      <wp:effectExtent l="0" t="0" r="0" b="5715"/>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75740" cy="2228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27498" w:rsidRDefault="00727498" w:rsidP="00756D6C">
                                  <w:pPr>
                                    <w:rPr>
                                      <w:rFonts w:ascii="Arial" w:hAnsi="Arial" w:cs="Arial"/>
                                      <w:sz w:val="18"/>
                                      <w:szCs w:val="18"/>
                                    </w:rPr>
                                  </w:pPr>
                                  <w:r>
                                    <w:rPr>
                                      <w:rFonts w:ascii="Arial" w:hAnsi="Arial" w:cs="Arial"/>
                                      <w:sz w:val="18"/>
                                      <w:szCs w:val="18"/>
                                    </w:rPr>
                                    <w:t>Exports of motor vehicles</w:t>
                                  </w: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2" o:spid="_x0000_s1027" type="#_x0000_t202" style="position:absolute;left:0;text-align:left;margin-left:27.7pt;margin-top:32.2pt;width:116.2pt;height:17.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" filled="f" stroked="f" strokeweight=".5pt">
                      <v:path arrowok="t"/>
                      <v:textbox inset="1mm,,1mm">
                        <w:txbxContent>
                          <w:p w:rsidR="00727498" w:rsidRDefault="00727498" w:rsidP="00756D6C">
                            <w:pPr>
                              <w:rPr>
                                <w:rFonts w:ascii="Arial" w:hAnsi="Arial" w:cs="Arial"/>
                                <w:sz w:val="18"/>
                                <w:szCs w:val="18"/>
                              </w:rPr>
                            </w:pPr>
                            <w:r>
                              <w:rPr>
                                <w:rFonts w:ascii="Arial" w:hAnsi="Arial" w:cs="Arial"/>
                                <w:sz w:val="18"/>
                                <w:szCs w:val="18"/>
                              </w:rPr>
                              <w:t>Exports of motor vehicles</w:t>
                            </w:r>
                          </w:p>
                        </w:txbxContent>
                      </v:textbox>
                    </v:shape>
                  </w:pict>
                </mc:Fallback>
              </mc:AlternateContent>
            </w:r>
            <w:r>
              <w:rPr>
                <w:noProof/>
              </w:rPr>
              <mc:AlternateContent>
                <mc:Choice Requires="wps">
                  <w:drawing>
                    <wp:anchor distT="0" distB="0" distL="114300" distR="114300" simplePos="0" relativeHeight="251664384" behindDoc="0" locked="0" layoutInCell="1" allowOverlap="1" wp14:anchorId="023920AB" wp14:editId="64A6E67C">
                      <wp:simplePos x="0" y="0"/>
                      <wp:positionH relativeFrom="column">
                        <wp:posOffset>207645</wp:posOffset>
                      </wp:positionH>
                      <wp:positionV relativeFrom="paragraph">
                        <wp:posOffset>864235</wp:posOffset>
                      </wp:positionV>
                      <wp:extent cx="107950" cy="107950"/>
                      <wp:effectExtent l="0" t="0" r="6350" b="6350"/>
                      <wp:wrapNone/>
                      <wp:docPr id="66"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7950" cy="10795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66" o:spid="_x0000_s1026" style="position:absolute;margin-left:16.35pt;margin-top:68.05pt;width:8.5pt;height: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" fillcolor="#78a22f [3215]" stroked="f" strokeweight="2pt">
                      <v:path arrowok="t"/>
                    </v:rect>
                  </w:pict>
                </mc:Fallback>
              </mc:AlternateContent>
            </w:r>
            <w:r>
              <w:rPr>
                <w:noProof/>
              </w:rPr>
              <mc:AlternateContent>
                <mc:Choice Requires="wps">
                  <w:drawing>
                    <wp:anchor distT="0" distB="0" distL="114300" distR="114300" simplePos="0" relativeHeight="251665408" behindDoc="0" locked="0" layoutInCell="1" allowOverlap="1" wp14:anchorId="71E4FCE3" wp14:editId="78C67923">
                      <wp:simplePos x="0" y="0"/>
                      <wp:positionH relativeFrom="column">
                        <wp:posOffset>207645</wp:posOffset>
                      </wp:positionH>
                      <wp:positionV relativeFrom="paragraph">
                        <wp:posOffset>1260475</wp:posOffset>
                      </wp:positionV>
                      <wp:extent cx="107950" cy="107950"/>
                      <wp:effectExtent l="0" t="0" r="6350" b="6350"/>
                      <wp:wrapNone/>
                      <wp:docPr id="65"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7950" cy="107950"/>
                              </a:xfrm>
                              <a:prstGeom prst="rect">
                                <a:avLst/>
                              </a:prstGeom>
                              <a:solidFill>
                                <a:schemeClr val="accent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65" o:spid="_x0000_s1026" style="position:absolute;margin-left:16.35pt;margin-top:99.25pt;width:8.5pt;height: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" fillcolor="#344893 [3208]" stroked="f" strokeweight="2pt">
                      <v:path arrowok="t"/>
                    </v:rect>
                  </w:pict>
                </mc:Fallback>
              </mc:AlternateContent>
            </w:r>
            <w:r>
              <w:rPr>
                <w:noProof/>
              </w:rPr>
              <mc:AlternateContent>
                <mc:Choice Requires="wps">
                  <w:drawing>
                    <wp:anchor distT="0" distB="0" distL="114300" distR="114300" simplePos="0" relativeHeight="251663360" behindDoc="0" locked="0" layoutInCell="1" allowOverlap="1" wp14:anchorId="71222A79" wp14:editId="46C4606A">
                      <wp:simplePos x="0" y="0"/>
                      <wp:positionH relativeFrom="column">
                        <wp:posOffset>207645</wp:posOffset>
                      </wp:positionH>
                      <wp:positionV relativeFrom="paragraph">
                        <wp:posOffset>467995</wp:posOffset>
                      </wp:positionV>
                      <wp:extent cx="107950" cy="107950"/>
                      <wp:effectExtent l="0" t="0" r="6350" b="6350"/>
                      <wp:wrapNone/>
                      <wp:docPr id="63"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7950" cy="10795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63" o:spid="_x0000_s1026" style="position:absolute;margin-left:16.35pt;margin-top:36.85pt;width:8.5pt;height: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" fillcolor="#b4c98b [3204]" stroked="f" strokeweight="2pt">
                      <v:path arrowok="t"/>
                    </v:rect>
                  </w:pict>
                </mc:Fallback>
              </mc:AlternateContent>
            </w:r>
            <w:r>
              <w:rPr>
                <w:noProof/>
              </w:rPr>
              <mc:AlternateContent>
                <mc:Choice Requires="wps">
                  <w:drawing>
                    <wp:anchor distT="0" distB="0" distL="114300" distR="114300" simplePos="0" relativeHeight="251662336" behindDoc="0" locked="0" layoutInCell="1" allowOverlap="1" wp14:anchorId="76B3911B" wp14:editId="61D2A767">
                      <wp:simplePos x="0" y="0"/>
                      <wp:positionH relativeFrom="column">
                        <wp:posOffset>351790</wp:posOffset>
                      </wp:positionH>
                      <wp:positionV relativeFrom="paragraph">
                        <wp:posOffset>1205865</wp:posOffset>
                      </wp:positionV>
                      <wp:extent cx="1475740" cy="222885"/>
                      <wp:effectExtent l="0" t="0" r="0" b="5715"/>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75740" cy="2228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27498" w:rsidRDefault="00727498" w:rsidP="00756D6C">
                                  <w:pPr>
                                    <w:rPr>
                                      <w:rFonts w:ascii="Arial" w:hAnsi="Arial" w:cs="Arial"/>
                                      <w:sz w:val="18"/>
                                      <w:szCs w:val="18"/>
                                    </w:rPr>
                                  </w:pPr>
                                  <w:r>
                                    <w:rPr>
                                      <w:rFonts w:ascii="Arial" w:hAnsi="Arial" w:cs="Arial"/>
                                      <w:sz w:val="18"/>
                                      <w:szCs w:val="18"/>
                                    </w:rPr>
                                    <w:t>Imports of motor vehicles</w:t>
                                  </w: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1" o:spid="_x0000_s1028" type="#_x0000_t202" style="position:absolute;left:0;text-align:left;margin-left:27.7pt;margin-top:94.95pt;width:116.2pt;height:17.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" filled="f" stroked="f" strokeweight=".5pt">
                      <v:path arrowok="t"/>
                      <v:textbox inset="1mm,,1mm">
                        <w:txbxContent>
                          <w:p w:rsidR="00727498" w:rsidRDefault="00727498" w:rsidP="00756D6C">
                            <w:pPr>
                              <w:rPr>
                                <w:rFonts w:ascii="Arial" w:hAnsi="Arial" w:cs="Arial"/>
                                <w:sz w:val="18"/>
                                <w:szCs w:val="18"/>
                              </w:rPr>
                            </w:pPr>
                            <w:r>
                              <w:rPr>
                                <w:rFonts w:ascii="Arial" w:hAnsi="Arial" w:cs="Arial"/>
                                <w:sz w:val="18"/>
                                <w:szCs w:val="18"/>
                              </w:rPr>
                              <w:t>Imports of motor vehicles</w:t>
                            </w:r>
                          </w:p>
                        </w:txbxContent>
                      </v:textbox>
                    </v:shape>
                  </w:pict>
                </mc:Fallback>
              </mc:AlternateContent>
            </w:r>
          </w:p>
        </w:tc>
      </w:tr>
    </w:tbl>
    <w:p w:rsidR="00727498" w:rsidRDefault="00727498" w:rsidP="00756D6C">
      <w:pPr>
        <w:pStyle w:val="Note"/>
      </w:pPr>
      <w:proofErr w:type="spellStart"/>
      <w:r>
        <w:rPr>
          <w:rStyle w:val="NoteLabel"/>
        </w:rPr>
        <w:t>a</w:t>
      </w:r>
      <w:proofErr w:type="spellEnd"/>
      <w:r>
        <w:t> The mid</w:t>
      </w:r>
      <w:r>
        <w:noBreakHyphen/>
        <w:t>green area plus the light green area is equal to total production of motor vehicles. The mid</w:t>
      </w:r>
      <w:r>
        <w:noBreakHyphen/>
        <w:t xml:space="preserve">green area plus the dark blue area approximates total motor vehicle sales, but this estimate of sales does not account for any discrepancies between production and sales (for example, due to changes in inventories). </w:t>
      </w:r>
    </w:p>
    <w:p w:rsidR="00727498" w:rsidRPr="0023133A" w:rsidRDefault="00727498" w:rsidP="0023133A">
      <w:pPr>
        <w:pStyle w:val="Source"/>
      </w:pPr>
      <w:r w:rsidRPr="0023133A">
        <w:rPr>
          <w:i/>
        </w:rPr>
        <w:t>Sources</w:t>
      </w:r>
      <w:r w:rsidRPr="0023133A">
        <w:t xml:space="preserve">: Commission estimates based on </w:t>
      </w:r>
      <w:proofErr w:type="spellStart"/>
      <w:r w:rsidRPr="0023133A">
        <w:t>OICA</w:t>
      </w:r>
      <w:proofErr w:type="spellEnd"/>
      <w:r w:rsidRPr="0023133A">
        <w:t xml:space="preserve"> (</w:t>
      </w:r>
      <w:proofErr w:type="spellStart"/>
      <w:r w:rsidRPr="0023133A">
        <w:t>2013a</w:t>
      </w:r>
      <w:proofErr w:type="spellEnd"/>
      <w:r w:rsidRPr="0023133A">
        <w:t xml:space="preserve">); UN </w:t>
      </w:r>
      <w:proofErr w:type="spellStart"/>
      <w:r w:rsidRPr="0023133A">
        <w:t>Comtrade</w:t>
      </w:r>
      <w:proofErr w:type="spellEnd"/>
      <w:r w:rsidRPr="0023133A">
        <w:t xml:space="preserve"> database; Ward’s Automotive Group</w:t>
      </w:r>
      <w:r>
        <w:t> </w:t>
      </w:r>
      <w:r w:rsidRPr="0023133A">
        <w:t>(2007).</w:t>
      </w:r>
    </w:p>
    <w:p w:rsidR="00706E4C" w:rsidRDefault="00706E4C" w:rsidP="00706E4C">
      <w:pPr>
        <w:pStyle w:val="ListBullet"/>
      </w:pPr>
      <w:r>
        <w:lastRenderedPageBreak/>
        <w:t xml:space="preserve">In the European Union, investment in assembly plants has been mainly concentrated in the lower cost countries of eastern Europe </w:t>
      </w:r>
      <w:r w:rsidRPr="0099391A">
        <w:t>(</w:t>
      </w:r>
      <w:proofErr w:type="spellStart"/>
      <w:r w:rsidRPr="0099391A">
        <w:t>Klier</w:t>
      </w:r>
      <w:proofErr w:type="spellEnd"/>
      <w:r w:rsidRPr="0099391A">
        <w:t xml:space="preserve"> and Rubenstein 2011)</w:t>
      </w:r>
      <w:r>
        <w:t>.</w:t>
      </w:r>
    </w:p>
    <w:p w:rsidR="00706E4C" w:rsidRDefault="00706E4C" w:rsidP="00706E4C">
      <w:pPr>
        <w:pStyle w:val="ListBullet"/>
      </w:pPr>
      <w:r>
        <w:t>Within Asia, expansion in vehicle production capacity has been concentrated in developing countries, such as China, India and Thailand.</w:t>
      </w:r>
    </w:p>
    <w:p w:rsidR="00727498" w:rsidRDefault="00727498" w:rsidP="00D37ED3">
      <w:pPr>
        <w:pStyle w:val="BodyText"/>
      </w:pPr>
      <w:r>
        <w:t>The intra</w:t>
      </w:r>
      <w:r>
        <w:noBreakHyphen/>
        <w:t xml:space="preserve">regional transfer of vehicles forms the majority of the automotive trade identified in figure 2.2. Around 70 per cent of vehicle exports (by value) from EU countries are to other EU countries, and around 70 per cent of exports from North American countries (including Mexico) are to other North American countries (Productivity Commission estimates based on the UN </w:t>
      </w:r>
      <w:proofErr w:type="spellStart"/>
      <w:r>
        <w:t>Comtrade</w:t>
      </w:r>
      <w:proofErr w:type="spellEnd"/>
      <w:r>
        <w:t xml:space="preserve"> Database). </w:t>
      </w:r>
    </w:p>
    <w:p w:rsidR="00727498" w:rsidRDefault="00727498" w:rsidP="00D37ED3">
      <w:pPr>
        <w:pStyle w:val="BodyText"/>
      </w:pPr>
      <w:r>
        <w:t>The story in Asia is somewhat different. Whereas local demand is mainly met from local production, a substantial proportion of exports (especially from Japan, Korea and Thailand) leave the Asia region and are bound for the United States (around 34 per cent), and Western Europe (around 12 per cent).</w:t>
      </w:r>
      <w:r w:rsidRPr="00A36B1E">
        <w:t xml:space="preserve"> </w:t>
      </w:r>
      <w:r>
        <w:t xml:space="preserve">Although exports from, and imports to, China have grown in recent years, they remain small relative to the scale of the domestic market </w:t>
      </w:r>
      <w:r w:rsidRPr="0095676B">
        <w:t xml:space="preserve">(Baker and </w:t>
      </w:r>
      <w:proofErr w:type="spellStart"/>
      <w:r w:rsidRPr="0095676B">
        <w:t>Hyvonen</w:t>
      </w:r>
      <w:proofErr w:type="spellEnd"/>
      <w:r w:rsidRPr="0095676B">
        <w:t> 2011)</w:t>
      </w:r>
      <w:r>
        <w:t xml:space="preserve">. </w:t>
      </w:r>
    </w:p>
    <w:p w:rsidR="00727498" w:rsidRDefault="00727498" w:rsidP="0022798E">
      <w:pPr>
        <w:pStyle w:val="BodyText"/>
      </w:pPr>
      <w:r>
        <w:t xml:space="preserve">The global nature of motor vehicle producers, and their increasing use of global platforms, means that they can choose where they locate their assembly plants, what models are produced at each plant, what markets are served by each plant and, broadly, what the scale of production will be at each plant. These choices, and the employment that they attract, have allowed motor vehicle producers to negotiate government support in many locations where they invest. They similarly decide which component suppliers they will contract with, the volume of component production to be purchased by their operations and whether they require the suppliers to be located in close proximity to their assembly plants. </w:t>
      </w:r>
    </w:p>
    <w:p w:rsidR="00727498" w:rsidRDefault="00727498" w:rsidP="00CE5AA6">
      <w:pPr>
        <w:pStyle w:val="BodyText"/>
      </w:pPr>
      <w:r>
        <w:t>Affiliate operations within a global automotive manufacturer compete for corporate capital and for the right to export to other markets (within or outside their region). This competition can be particularly intense when significant investment and production decisions are involved, such as for the development or production of a new vehicle model. This is discussed further in chapter 3.</w:t>
      </w:r>
    </w:p>
    <w:p w:rsidR="00727498" w:rsidRPr="00E02BFD" w:rsidRDefault="00727498" w:rsidP="001278ED">
      <w:pPr>
        <w:pStyle w:val="FindingTitle"/>
        <w:framePr w:wrap="auto"/>
      </w:pPr>
      <w:r w:rsidRPr="00E02BFD">
        <w:lastRenderedPageBreak/>
        <w:t>Preliminary finding 2.</w:t>
      </w:r>
      <w:r>
        <w:t>2</w:t>
      </w:r>
    </w:p>
    <w:p w:rsidR="00327A70" w:rsidRDefault="00327A70" w:rsidP="00706E4C">
      <w:pPr>
        <w:pStyle w:val="Finding"/>
        <w:keepNext/>
      </w:pPr>
      <w:r w:rsidRPr="00327A70">
        <w:t>Motor vehicle production in the United States, European Union and Japan has declined in absolute terms, and as a share of global production, over the period 2002 to 2012.</w:t>
      </w:r>
    </w:p>
    <w:p w:rsidR="00727498" w:rsidRDefault="00727498" w:rsidP="00706E4C">
      <w:pPr>
        <w:pStyle w:val="Finding"/>
        <w:keepNext/>
      </w:pPr>
      <w:r>
        <w:t>Motor vehicle production is increasing in many developing countries.</w:t>
      </w:r>
    </w:p>
    <w:p w:rsidR="00727498" w:rsidRDefault="00727498" w:rsidP="001278ED">
      <w:pPr>
        <w:pStyle w:val="FindingBullet"/>
      </w:pPr>
      <w:r>
        <w:t>Motor vehicle producers are investing in large</w:t>
      </w:r>
      <w:r>
        <w:noBreakHyphen/>
        <w:t xml:space="preserve">scale assembly plants in countries that have relatively low labour costs and are in a region of growing demand for motor vehicles, such as Brazil and China. </w:t>
      </w:r>
    </w:p>
    <w:p w:rsidR="00727498" w:rsidRPr="00E02BFD" w:rsidRDefault="00727498" w:rsidP="001278ED">
      <w:pPr>
        <w:pStyle w:val="FindingBullet"/>
      </w:pPr>
      <w:r>
        <w:t>Demand for motor vehicles is largely met through intra</w:t>
      </w:r>
      <w:r>
        <w:noBreakHyphen/>
        <w:t>regional trade, with production increasing in export</w:t>
      </w:r>
      <w:r>
        <w:noBreakHyphen/>
        <w:t>oriented countries such as Korea, Mexico and, increasingly, Thailand.</w:t>
      </w:r>
    </w:p>
    <w:p w:rsidR="00727498" w:rsidRDefault="00727498" w:rsidP="004E41B3">
      <w:pPr>
        <w:pStyle w:val="Heading3"/>
      </w:pPr>
      <w:r>
        <w:t>At the global level, production capacity exceeds demand</w:t>
      </w:r>
    </w:p>
    <w:p w:rsidR="00727498" w:rsidRDefault="00727498" w:rsidP="008849C9">
      <w:pPr>
        <w:pStyle w:val="BodyText"/>
      </w:pPr>
      <w:r>
        <w:t>A commonly</w:t>
      </w:r>
      <w:r>
        <w:noBreakHyphen/>
        <w:t xml:space="preserve">accepted capacity utilisation benchmark is that vehicle producers need to operate at over 80 per cent capacity to be profitable </w:t>
      </w:r>
      <w:r w:rsidRPr="00126DFA">
        <w:t xml:space="preserve">(for example, </w:t>
      </w:r>
      <w:proofErr w:type="spellStart"/>
      <w:r w:rsidRPr="00126DFA">
        <w:t>Bracks</w:t>
      </w:r>
      <w:proofErr w:type="spellEnd"/>
      <w:r w:rsidRPr="00126DFA">
        <w:t xml:space="preserve"> 2008; Gibbs 2013; </w:t>
      </w:r>
      <w:proofErr w:type="spellStart"/>
      <w:r w:rsidRPr="00126DFA">
        <w:t>IbisWorld</w:t>
      </w:r>
      <w:proofErr w:type="spellEnd"/>
      <w:r w:rsidRPr="00126DFA">
        <w:t> </w:t>
      </w:r>
      <w:proofErr w:type="spellStart"/>
      <w:r w:rsidRPr="00126DFA">
        <w:t>2013a</w:t>
      </w:r>
      <w:proofErr w:type="spellEnd"/>
      <w:r w:rsidRPr="00126DFA">
        <w:t>)</w:t>
      </w:r>
      <w:r>
        <w:t>. As figure 2.3 demonstrates, the average plant capacity utilisation for many countries is below this level.</w:t>
      </w:r>
      <w:r w:rsidDel="00445D8A">
        <w:t xml:space="preserve"> </w:t>
      </w:r>
    </w:p>
    <w:p w:rsidR="00727498" w:rsidRDefault="00727498" w:rsidP="00023EB5">
      <w:pPr>
        <w:pStyle w:val="BodyText"/>
      </w:pPr>
      <w:r>
        <w:t>Some analysts have seen this overcapacity as part of a broader tendency toward under</w:t>
      </w:r>
      <w:r>
        <w:noBreakHyphen/>
        <w:t>performance and low returns on capital in automotive industries as they mature. As early as 2002, but before the massive increase in China’s automotive production, Deutsche Bank expressed the view that:</w:t>
      </w:r>
    </w:p>
    <w:p w:rsidR="00727498" w:rsidRDefault="00727498" w:rsidP="001F6B8B">
      <w:pPr>
        <w:pStyle w:val="Quote"/>
      </w:pPr>
      <w:r w:rsidRPr="00CB097D">
        <w:rPr>
          <w:rStyle w:val="QuoteChar"/>
        </w:rPr>
        <w:t>…</w:t>
      </w:r>
      <w:r>
        <w:rPr>
          <w:rStyle w:val="QuoteChar"/>
        </w:rPr>
        <w:t xml:space="preserve"> </w:t>
      </w:r>
      <w:r w:rsidRPr="00CB097D">
        <w:rPr>
          <w:rStyle w:val="QuoteChar"/>
        </w:rPr>
        <w:t>over the long term the automotive industry will destroy value. The auto industry is mature, so the long</w:t>
      </w:r>
      <w:r>
        <w:rPr>
          <w:rStyle w:val="QuoteChar"/>
        </w:rPr>
        <w:noBreakHyphen/>
      </w:r>
      <w:r w:rsidRPr="00CB097D">
        <w:rPr>
          <w:rStyle w:val="QuoteChar"/>
        </w:rPr>
        <w:t>term growth potential of the sector is below average. The industry is characterised by over</w:t>
      </w:r>
      <w:r>
        <w:rPr>
          <w:rStyle w:val="QuoteChar"/>
        </w:rPr>
        <w:noBreakHyphen/>
      </w:r>
      <w:r w:rsidRPr="00CB097D">
        <w:rPr>
          <w:rStyle w:val="QuoteChar"/>
        </w:rPr>
        <w:t>capacity, and commoditised product offerings, which means that price competition is very tough and</w:t>
      </w:r>
      <w:r>
        <w:rPr>
          <w:rStyle w:val="QuoteChar"/>
        </w:rPr>
        <w:t xml:space="preserve"> </w:t>
      </w:r>
      <w:proofErr w:type="spellStart"/>
      <w:r w:rsidRPr="00CB097D">
        <w:rPr>
          <w:rStyle w:val="QuoteChar"/>
        </w:rPr>
        <w:t>ROCE</w:t>
      </w:r>
      <w:proofErr w:type="spellEnd"/>
      <w:r w:rsidRPr="00CB097D">
        <w:rPr>
          <w:rStyle w:val="QuoteChar"/>
        </w:rPr>
        <w:t xml:space="preserve"> </w:t>
      </w:r>
      <w:r>
        <w:rPr>
          <w:rStyle w:val="QuoteChar"/>
        </w:rPr>
        <w:t>(</w:t>
      </w:r>
      <w:r w:rsidRPr="00CB097D">
        <w:rPr>
          <w:rStyle w:val="QuoteChar"/>
        </w:rPr>
        <w:t>return on capital employed</w:t>
      </w:r>
      <w:r>
        <w:rPr>
          <w:rStyle w:val="QuoteChar"/>
        </w:rPr>
        <w:t>)</w:t>
      </w:r>
      <w:r w:rsidRPr="00CB097D">
        <w:rPr>
          <w:rStyle w:val="QuoteChar"/>
        </w:rPr>
        <w:t xml:space="preserve"> is poor. (Deutsche Bank 2002, cited in Maxton and </w:t>
      </w:r>
      <w:proofErr w:type="spellStart"/>
      <w:r w:rsidRPr="00CB097D">
        <w:rPr>
          <w:rStyle w:val="QuoteChar"/>
        </w:rPr>
        <w:t>Wormald</w:t>
      </w:r>
      <w:proofErr w:type="spellEnd"/>
      <w:r w:rsidRPr="00CB097D">
        <w:rPr>
          <w:rStyle w:val="QuoteChar"/>
        </w:rPr>
        <w:t> 2004, p. 238)</w:t>
      </w:r>
    </w:p>
    <w:p w:rsidR="00727498" w:rsidRDefault="00727498" w:rsidP="00023EB5">
      <w:pPr>
        <w:pStyle w:val="BodyText"/>
      </w:pPr>
      <w:r>
        <w:t>The current level of overcapacity within many countries is partly due to reduced demand in developed economies during and since the global financial crisis and partly due to the rapid expansion of investment in production capacity in countries such as China, Mexico, Korea, and Thailand (in some cases encouraged by government incentives and preferential trade arrangements).</w:t>
      </w:r>
    </w:p>
    <w:p w:rsidR="00727498" w:rsidRDefault="00727498">
      <w:pPr>
        <w:pStyle w:val="FigureTitle"/>
      </w:pPr>
      <w:r>
        <w:rPr>
          <w:b w:val="0"/>
        </w:rPr>
        <w:lastRenderedPageBreak/>
        <w:t>Figure 2.3</w:t>
      </w:r>
      <w:r>
        <w:tab/>
        <w:t>Capacity utilisation in the global automotive industry</w:t>
      </w:r>
    </w:p>
    <w:p w:rsidR="00727498" w:rsidRDefault="00727498">
      <w:pPr>
        <w:pStyle w:val="Subtitle"/>
      </w:pPr>
      <w:r>
        <w:t>2012, passenger and light commercial vehicles, production as a percentage of capacity. Selected countries.</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727498" w:rsidTr="008B67E5">
        <w:tc>
          <w:tcPr>
            <w:tcW w:w="8777" w:type="dxa"/>
          </w:tcPr>
          <w:p w:rsidR="00727498" w:rsidRDefault="00727498">
            <w:pPr>
              <w:pStyle w:val="Figure"/>
            </w:pPr>
            <w:r>
              <w:rPr>
                <w:noProof/>
              </w:rPr>
              <w:t xml:space="preserve"> </w:t>
            </w:r>
            <w:r>
              <w:rPr>
                <w:noProof/>
              </w:rPr>
              <w:drawing>
                <wp:inline distT="0" distB="0" distL="0" distR="0" wp14:anchorId="696CF827" wp14:editId="1478D2ED">
                  <wp:extent cx="4899259" cy="2993456"/>
                  <wp:effectExtent l="0" t="0" r="0" b="0"/>
                  <wp:docPr id="1" name="Chart 1" descr="A chart showing that capacity utilisation in the global automotive industry in 2012 varied between just under 40 per cent (Italy) and almost 100 per cent (Mexico). The United States, Germany, Japan and the Republic of Korea all produced at about 80 per cent of capacity." title="Capacity utilisation in the global automotive industry"/>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tc>
      </w:tr>
    </w:tbl>
    <w:p w:rsidR="00727498" w:rsidRDefault="00727498">
      <w:pPr>
        <w:pStyle w:val="Source"/>
      </w:pPr>
      <w:r>
        <w:rPr>
          <w:i/>
        </w:rPr>
        <w:t>Source</w:t>
      </w:r>
      <w:r w:rsidRPr="00167F06">
        <w:t xml:space="preserve">: </w:t>
      </w:r>
      <w:r>
        <w:t xml:space="preserve">Klein and </w:t>
      </w:r>
      <w:proofErr w:type="spellStart"/>
      <w:r>
        <w:t>Koske</w:t>
      </w:r>
      <w:proofErr w:type="spellEnd"/>
      <w:r>
        <w:t xml:space="preserve"> </w:t>
      </w:r>
      <w:r w:rsidRPr="009A2B65">
        <w:rPr>
          <w:rFonts w:cs="Arial"/>
        </w:rPr>
        <w:t>(2013)</w:t>
      </w:r>
      <w:r>
        <w:t>.</w:t>
      </w:r>
    </w:p>
    <w:p w:rsidR="00727498" w:rsidRDefault="00727498" w:rsidP="00820A85">
      <w:pPr>
        <w:pStyle w:val="BodyText"/>
      </w:pPr>
      <w:r>
        <w:t xml:space="preserve">Some European governments used scrapping incentives to try to mitigate the effects of decreasing demand during the global financial crisis in an attempt to avoid costly industry rationalisation </w:t>
      </w:r>
      <w:r w:rsidRPr="006B4E0D">
        <w:t>(PwC 2012)</w:t>
      </w:r>
      <w:r>
        <w:t xml:space="preserve">. Only one assembly plant was closed in Western Europe between 2008 and 2010, despite a trend toward lower levels of production in that region </w:t>
      </w:r>
      <w:r w:rsidRPr="006B4E0D">
        <w:t>(</w:t>
      </w:r>
      <w:proofErr w:type="spellStart"/>
      <w:r w:rsidRPr="006B4E0D">
        <w:t>Klier</w:t>
      </w:r>
      <w:proofErr w:type="spellEnd"/>
      <w:r w:rsidRPr="006B4E0D">
        <w:t xml:space="preserve"> and Rubenstein 2011)</w:t>
      </w:r>
      <w:r>
        <w:t>.</w:t>
      </w:r>
    </w:p>
    <w:p w:rsidR="00727498" w:rsidRDefault="00727498" w:rsidP="00820A85">
      <w:pPr>
        <w:pStyle w:val="BodyText"/>
      </w:pPr>
      <w:r>
        <w:t xml:space="preserve">More recently, in an attempt to address European overcapacity, Ford has closed, or announced the closure of, stamping or assembly plants in Dagenham and Southampton in the United Kingdom and Genk in Belgium (with some production being moved to Valencia in Spain and </w:t>
      </w:r>
      <w:proofErr w:type="spellStart"/>
      <w:r>
        <w:t>Saarlouis</w:t>
      </w:r>
      <w:proofErr w:type="spellEnd"/>
      <w:r>
        <w:t xml:space="preserve"> in Germany) </w:t>
      </w:r>
      <w:r w:rsidRPr="00C4345D">
        <w:t>(English 2012; Ewing 2013)</w:t>
      </w:r>
      <w:r>
        <w:t xml:space="preserve">, and General Motors has announced that a plant in Bochum (Germany) will close in 2014 </w:t>
      </w:r>
      <w:r w:rsidRPr="00220F1A">
        <w:t>(Automotive News Europe 2013)</w:t>
      </w:r>
      <w:r>
        <w:t xml:space="preserve">. </w:t>
      </w:r>
    </w:p>
    <w:p w:rsidR="00727498" w:rsidRDefault="00727498" w:rsidP="00820A85">
      <w:pPr>
        <w:pStyle w:val="BodyText"/>
      </w:pPr>
      <w:r>
        <w:t xml:space="preserve">Significant plant closures and restructuring were undertaken by Chrysler, Ford and General Motors around Detroit and along the east and west coasts of the United States in response to the global financial crisis. For example, since 2006 General Motors has closed six plants in North America </w:t>
      </w:r>
      <w:r w:rsidRPr="00DB7430">
        <w:t>(Wright 2013)</w:t>
      </w:r>
      <w:r>
        <w:t xml:space="preserve">. As a result of these actions and the resumption of demand growth, capacity utilisation in the United States rose to over 80 per cent by 2012, and has further increased in 2013. Some vehicle producers have begun to invest in additional capacity within the United States — for example Ford increased its capacity by 200 000 units in 2013 </w:t>
      </w:r>
      <w:r w:rsidRPr="00D83C73">
        <w:t>(Ford 2013)</w:t>
      </w:r>
      <w:r>
        <w:t>.</w:t>
      </w:r>
    </w:p>
    <w:p w:rsidR="00727498" w:rsidRDefault="00727498" w:rsidP="001278ED">
      <w:pPr>
        <w:pStyle w:val="FindingTitle"/>
        <w:framePr w:wrap="auto"/>
      </w:pPr>
      <w:r>
        <w:lastRenderedPageBreak/>
        <w:t>Preliminary finding 2.3</w:t>
      </w:r>
    </w:p>
    <w:p w:rsidR="00727498" w:rsidRPr="001D7692" w:rsidRDefault="00727498" w:rsidP="001278ED">
      <w:pPr>
        <w:pStyle w:val="Finding"/>
      </w:pPr>
      <w:r w:rsidRPr="001D7692">
        <w:t xml:space="preserve">At a global level, production capacity exceeds demand for motor vehicles. </w:t>
      </w:r>
    </w:p>
    <w:p w:rsidR="00727498" w:rsidRPr="001D7692" w:rsidRDefault="00727498" w:rsidP="001278ED">
      <w:pPr>
        <w:pStyle w:val="FindingBullet"/>
      </w:pPr>
      <w:r w:rsidRPr="001D7692">
        <w:t>As a result of this overcapacity, plant closures and rationalisation within developed countries ha</w:t>
      </w:r>
      <w:r>
        <w:t>ve</w:t>
      </w:r>
      <w:r w:rsidRPr="001D7692">
        <w:t xml:space="preserve"> occurred.</w:t>
      </w:r>
    </w:p>
    <w:p w:rsidR="00727498" w:rsidRDefault="00727498" w:rsidP="001278ED">
      <w:pPr>
        <w:pStyle w:val="FindingBullet"/>
      </w:pPr>
      <w:r w:rsidRPr="001D7692">
        <w:t>There is significant financial pressure on motor vehicle producers to further reduce this overcapacity.</w:t>
      </w:r>
    </w:p>
    <w:p w:rsidR="00727498" w:rsidRDefault="00727498" w:rsidP="00C66A14">
      <w:pPr>
        <w:pStyle w:val="Heading3"/>
      </w:pPr>
      <w:r>
        <w:t>Competition is intense in local and export motor vehicle markets</w:t>
      </w:r>
    </w:p>
    <w:p w:rsidR="00727498" w:rsidRPr="002F003F" w:rsidRDefault="00727498" w:rsidP="009F2041">
      <w:pPr>
        <w:pStyle w:val="BodyText"/>
      </w:pPr>
      <w:r>
        <w:t>Competition within the global automotive industry is intense. In particular, motor vehicle producers with assembly operations located in developed countries are facing increased competition from imports from lower cost countries, especially where preferential trade agreements give low (or zero) tariff entry into the developed economies (such as vehicles imported into the United States from Mexico, into Western Europe from Eastern Europe, and into Australia from Thailand).</w:t>
      </w:r>
    </w:p>
    <w:p w:rsidR="00727498" w:rsidRDefault="00727498" w:rsidP="00AD5EAA">
      <w:pPr>
        <w:pStyle w:val="BodyText"/>
      </w:pPr>
      <w:r>
        <w:t>As a result of this competition, especially amongst the lower</w:t>
      </w:r>
      <w:r>
        <w:noBreakHyphen/>
        <w:t>priced, high</w:t>
      </w:r>
      <w:r>
        <w:noBreakHyphen/>
        <w:t xml:space="preserve">volume vehicle models, there is limited ability for producers to raise their prices. </w:t>
      </w:r>
      <w:r w:rsidRPr="00404AF2">
        <w:t>(McKinsey &amp; Company 2012)</w:t>
      </w:r>
      <w:r>
        <w:t xml:space="preserve">. Instead, producers have been attempting to differentiate their offerings on the basis of an increase in vehicle features, quality and performance. For example, in the decade to 2010, </w:t>
      </w:r>
      <w:r w:rsidRPr="00E0360E">
        <w:t xml:space="preserve">Toyota added new components and subsystems worth </w:t>
      </w:r>
      <w:proofErr w:type="spellStart"/>
      <w:r w:rsidRPr="00E0360E">
        <w:t>US$1400</w:t>
      </w:r>
      <w:proofErr w:type="spellEnd"/>
      <w:r w:rsidRPr="00E0360E">
        <w:t xml:space="preserve"> to its base model Camry, while the Camry’s recommended retail price in the United</w:t>
      </w:r>
      <w:r>
        <w:t xml:space="preserve"> States fell by an average of 1 per </w:t>
      </w:r>
      <w:r w:rsidRPr="00E0360E">
        <w:t>cent each year in real terms over the same period.</w:t>
      </w:r>
      <w:r>
        <w:t xml:space="preserve"> The new features include both safety and fuel</w:t>
      </w:r>
      <w:r>
        <w:noBreakHyphen/>
        <w:t xml:space="preserve">efficiency features required by regulatory standards, and discretionary features added by Toyota for product differentiation </w:t>
      </w:r>
      <w:r w:rsidRPr="00404AF2">
        <w:t>(McKinsey &amp; Company 2012)</w:t>
      </w:r>
      <w:r>
        <w:t>.</w:t>
      </w:r>
    </w:p>
    <w:p w:rsidR="00727498" w:rsidRDefault="00727498" w:rsidP="009F2041">
      <w:pPr>
        <w:pStyle w:val="BodyText"/>
      </w:pPr>
      <w:r>
        <w:t xml:space="preserve">The limited scope for producers to raise the prices within a vehicle market segment has resulted in cost pressures throughout the automotive supply chain. For example, in the United States the cost of adding new features was met by extracting cost savings from component suppliers, resulting in a reduction of component manufacturers’ profit margins </w:t>
      </w:r>
      <w:r w:rsidRPr="00404AF2">
        <w:t>(McKinsey &amp; Company 2012)</w:t>
      </w:r>
      <w:r>
        <w:t>. Further cost pressures are likely to arise as vehicle manufacturers must meet stricter safety and fuel emissions standards in regions such as the United States, the European Union and China.</w:t>
      </w:r>
    </w:p>
    <w:p w:rsidR="00727498" w:rsidRDefault="00727498" w:rsidP="001278ED">
      <w:pPr>
        <w:pStyle w:val="FindingTitle"/>
        <w:framePr w:wrap="auto"/>
      </w:pPr>
      <w:r>
        <w:lastRenderedPageBreak/>
        <w:t>Preliminary finding 2.4</w:t>
      </w:r>
    </w:p>
    <w:p w:rsidR="00727498" w:rsidRDefault="00727498" w:rsidP="001278ED">
      <w:pPr>
        <w:pStyle w:val="Finding"/>
      </w:pPr>
      <w:r>
        <w:t>The selling prices for most high</w:t>
      </w:r>
      <w:r>
        <w:noBreakHyphen/>
        <w:t>volume, low</w:t>
      </w:r>
      <w:r>
        <w:noBreakHyphen/>
        <w:t>margin vehicles are held down by fierce competition in domestic and export markets.</w:t>
      </w:r>
    </w:p>
    <w:p w:rsidR="00727498" w:rsidRDefault="00727498" w:rsidP="001278ED">
      <w:pPr>
        <w:pStyle w:val="FindingBullet"/>
      </w:pPr>
      <w:r>
        <w:t xml:space="preserve">The relentless pressures on motor vehicle producers to reduce manufacturing costs are extended to component manufacturers throughout the supply chain. </w:t>
      </w:r>
    </w:p>
    <w:p w:rsidR="00727498" w:rsidRDefault="00911C43" w:rsidP="00384461">
      <w:pPr>
        <w:pStyle w:val="Heading2"/>
      </w:pPr>
      <w:r>
        <w:fldChar w:fldCharType="begin" w:fldLock="1"/>
      </w:r>
      <w:r>
        <w:instrText xml:space="preserve"> COMMENTS  \* MERGEFORMAT </w:instrText>
      </w:r>
      <w:r>
        <w:fldChar w:fldCharType="separate"/>
      </w:r>
      <w:r w:rsidR="00727498">
        <w:t>2.</w:t>
      </w:r>
      <w:r>
        <w:fldChar w:fldCharType="end"/>
      </w:r>
      <w:r>
        <w:fldChar w:fldCharType="begin" w:fldLock="1"/>
      </w:r>
      <w:r>
        <w:instrText xml:space="preserve"> SEQ Heading2 </w:instrText>
      </w:r>
      <w:r>
        <w:fldChar w:fldCharType="separate"/>
      </w:r>
      <w:r w:rsidR="00727498">
        <w:rPr>
          <w:noProof/>
        </w:rPr>
        <w:t>3</w:t>
      </w:r>
      <w:r>
        <w:rPr>
          <w:noProof/>
        </w:rPr>
        <w:fldChar w:fldCharType="end"/>
      </w:r>
      <w:r w:rsidR="00727498">
        <w:tab/>
        <w:t>The costs of motor vehicle production</w:t>
      </w:r>
    </w:p>
    <w:p w:rsidR="00727498" w:rsidRDefault="00727498" w:rsidP="00037F4D">
      <w:pPr>
        <w:pStyle w:val="BodyText"/>
      </w:pPr>
      <w:r w:rsidRPr="00765E1D">
        <w:t>The scale of production and labour costs are two of the main drivers of the costs for motor vehicle assembly and also for most component manufacturing</w:t>
      </w:r>
      <w:r>
        <w:t>. Labour costs are discussed in the following chapter.</w:t>
      </w:r>
    </w:p>
    <w:p w:rsidR="00727498" w:rsidRDefault="00727498" w:rsidP="00B54AAF">
      <w:pPr>
        <w:pStyle w:val="Heading3"/>
      </w:pPr>
      <w:r>
        <w:t>Scale is an important driver of costs</w:t>
      </w:r>
    </w:p>
    <w:p w:rsidR="00727498" w:rsidRDefault="00727498" w:rsidP="00D965D2">
      <w:pPr>
        <w:pStyle w:val="BodyText"/>
      </w:pPr>
      <w:r>
        <w:t>Submissions from the motor vehicle producers in Australia, as well as previous studies of the Australian and global automotive manufacturing industries, have stressed the importance of economies of scale in most of the world’s vehicle production (</w:t>
      </w:r>
      <w:proofErr w:type="spellStart"/>
      <w:r>
        <w:t>Bracks</w:t>
      </w:r>
      <w:proofErr w:type="spellEnd"/>
      <w:r>
        <w:t xml:space="preserve"> 2008; </w:t>
      </w:r>
      <w:proofErr w:type="spellStart"/>
      <w:r>
        <w:t>IbisWorld</w:t>
      </w:r>
      <w:proofErr w:type="spellEnd"/>
      <w:r>
        <w:t> </w:t>
      </w:r>
      <w:proofErr w:type="spellStart"/>
      <w:r>
        <w:t>2013a</w:t>
      </w:r>
      <w:proofErr w:type="spellEnd"/>
      <w:r>
        <w:t xml:space="preserve">, </w:t>
      </w:r>
      <w:proofErr w:type="spellStart"/>
      <w:r>
        <w:t>2013b</w:t>
      </w:r>
      <w:proofErr w:type="spellEnd"/>
      <w:r>
        <w:t>).</w:t>
      </w:r>
    </w:p>
    <w:p w:rsidR="00727498" w:rsidRDefault="00727498" w:rsidP="00D965D2">
      <w:pPr>
        <w:pStyle w:val="BodyText"/>
      </w:pPr>
      <w:r>
        <w:t>There are large fixed costs involved in manufacturing vehicles, starting with the design of new platforms and models, and new powertrains, as well as in general market research and advertising. These costs are usually incurred at a global level, particularly with the move toward global platforms (discussed below).</w:t>
      </w:r>
    </w:p>
    <w:p w:rsidR="00727498" w:rsidRDefault="00727498" w:rsidP="00546ACA">
      <w:pPr>
        <w:pStyle w:val="BodyText"/>
      </w:pPr>
      <w:r>
        <w:t>There are also large fixed costs associated with establishing infrastructure and equipment at the plant level (and retooling for upgrades and new car models). Estimates of the minimum efficient scale have typically been in the range of 200 000 to 300 000 vehicles per year per plant (box 2.1). This varies for the type of car produced — plants that produce smaller vehicles for the mass market require higher volumes to earn an adequate return on the initial design and related costs and the capital employed in production, given their lower per</w:t>
      </w:r>
      <w:r>
        <w:noBreakHyphen/>
        <w:t>unit profit margins, compared to those producing premium vehicles. In the United States, most of the foreign</w:t>
      </w:r>
      <w:r>
        <w:noBreakHyphen/>
        <w:t xml:space="preserve">owned vehicle assembly plants established since the </w:t>
      </w:r>
      <w:proofErr w:type="spellStart"/>
      <w:r>
        <w:t>1980s</w:t>
      </w:r>
      <w:proofErr w:type="spellEnd"/>
      <w:r>
        <w:t xml:space="preserve"> have production capacities greater than 200 000, particularly for the largest producers such as Toyota, Nissan and Honda (</w:t>
      </w:r>
      <w:proofErr w:type="spellStart"/>
      <w:r>
        <w:t>Platzer</w:t>
      </w:r>
      <w:proofErr w:type="spellEnd"/>
      <w:r>
        <w:t xml:space="preserve"> and Harrison 2009). </w:t>
      </w:r>
    </w:p>
    <w:p w:rsidR="00727498" w:rsidRDefault="00727498" w:rsidP="00706E4C">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27498">
        <w:tc>
          <w:tcPr>
            <w:tcW w:w="8771" w:type="dxa"/>
            <w:tcBorders>
              <w:top w:val="single" w:sz="6" w:space="0" w:color="auto"/>
              <w:bottom w:val="nil"/>
            </w:tcBorders>
          </w:tcPr>
          <w:p w:rsidR="00727498" w:rsidRDefault="00727498" w:rsidP="004160E5">
            <w:pPr>
              <w:pStyle w:val="BoxTitle"/>
            </w:pPr>
            <w:r>
              <w:rPr>
                <w:b w:val="0"/>
              </w:rPr>
              <w:t xml:space="preserve">Box </w:t>
            </w:r>
            <w:bookmarkStart w:id="3" w:name="OLE_LINK5"/>
            <w:r>
              <w:rPr>
                <w:b w:val="0"/>
              </w:rPr>
              <w:fldChar w:fldCharType="begin" w:fldLock="1"/>
            </w:r>
            <w:r>
              <w:rPr>
                <w:b w:val="0"/>
              </w:rPr>
              <w:instrText xml:space="preserve"> COMMENTS  \* MERGEFORMAT </w:instrText>
            </w:r>
            <w:r>
              <w:rPr>
                <w:b w:val="0"/>
              </w:rPr>
              <w:fldChar w:fldCharType="separate"/>
            </w:r>
            <w:r>
              <w:rPr>
                <w:b w:val="0"/>
              </w:rPr>
              <w:t>2.</w:t>
            </w:r>
            <w:r>
              <w:rPr>
                <w:b w:val="0"/>
              </w:rPr>
              <w:fldChar w:fldCharType="end"/>
            </w:r>
            <w:r>
              <w:rPr>
                <w:b w:val="0"/>
              </w:rPr>
              <w:fldChar w:fldCharType="begin" w:fldLock="1"/>
            </w:r>
            <w:r>
              <w:rPr>
                <w:b w:val="0"/>
              </w:rPr>
              <w:instrText xml:space="preserve"> SEQ Box \* ARABIC </w:instrText>
            </w:r>
            <w:r>
              <w:rPr>
                <w:b w:val="0"/>
              </w:rPr>
              <w:fldChar w:fldCharType="separate"/>
            </w:r>
            <w:r>
              <w:rPr>
                <w:b w:val="0"/>
                <w:noProof/>
              </w:rPr>
              <w:t>1</w:t>
            </w:r>
            <w:r>
              <w:rPr>
                <w:b w:val="0"/>
              </w:rPr>
              <w:fldChar w:fldCharType="end"/>
            </w:r>
            <w:bookmarkEnd w:id="3"/>
            <w:r>
              <w:tab/>
              <w:t>Minimum efficient scale at the plant level — participants’ views</w:t>
            </w:r>
          </w:p>
        </w:tc>
      </w:tr>
      <w:tr w:rsidR="00727498">
        <w:trPr>
          <w:cantSplit/>
        </w:trPr>
        <w:tc>
          <w:tcPr>
            <w:tcW w:w="8771" w:type="dxa"/>
            <w:tcBorders>
              <w:top w:val="nil"/>
              <w:left w:val="single" w:sz="6" w:space="0" w:color="auto"/>
              <w:bottom w:val="nil"/>
              <w:right w:val="single" w:sz="6" w:space="0" w:color="auto"/>
            </w:tcBorders>
          </w:tcPr>
          <w:p w:rsidR="00727498" w:rsidRDefault="00727498" w:rsidP="008642DC">
            <w:pPr>
              <w:pStyle w:val="Box"/>
            </w:pPr>
            <w:r>
              <w:t>Several participants in the inquiry have put forward estimates of minimum efficient scale for an automotive assembly plant. These estimates have mostly been in the range of 200 000 to 300 000 vehicles per year.</w:t>
            </w:r>
          </w:p>
          <w:p w:rsidR="00727498" w:rsidRDefault="00727498" w:rsidP="009379BE">
            <w:pPr>
              <w:pStyle w:val="BoxQuote"/>
            </w:pPr>
            <w:r>
              <w:t xml:space="preserve">On the global scale you require a plant size today of about 250 000 vehicles per year to have sufficient economies of scale, and this is increasing constantly. (Goran </w:t>
            </w:r>
            <w:proofErr w:type="spellStart"/>
            <w:r>
              <w:t>Roos</w:t>
            </w:r>
            <w:proofErr w:type="spellEnd"/>
            <w:r>
              <w:t>, trans., p. 48)</w:t>
            </w:r>
          </w:p>
          <w:p w:rsidR="00727498" w:rsidRDefault="00727498" w:rsidP="009379BE">
            <w:pPr>
              <w:pStyle w:val="BoxQuote"/>
            </w:pPr>
            <w:r>
              <w:t>Generally it is accepted that assembly plants by design can output in the order of 250 000 units per annum and power trains in the order of one million per annum to be of sufficient economic scale. Existing vehicle assembly operations in Australia are currently operating at a daily rate significantly below these scales and that of the majority of imported competitors. (Manufacturing Focus, sub. 33, p. 4)</w:t>
            </w:r>
          </w:p>
          <w:p w:rsidR="00727498" w:rsidRDefault="00727498" w:rsidP="009379BE">
            <w:pPr>
              <w:pStyle w:val="BoxQuote"/>
            </w:pPr>
            <w:r>
              <w:t>Scale is an important factor in the ability to automate production processes and use robotics. Stakeholders quoted that production of 200 000 units or more per factory is needed to enable the expanded use of robotics. (Federal Chamber of Automotive Industries, sub. 30, attachment A, p. 37)</w:t>
            </w:r>
          </w:p>
        </w:tc>
      </w:tr>
      <w:tr w:rsidR="00727498">
        <w:trPr>
          <w:cantSplit/>
        </w:trPr>
        <w:tc>
          <w:tcPr>
            <w:tcW w:w="8771" w:type="dxa"/>
            <w:tcBorders>
              <w:top w:val="nil"/>
              <w:left w:val="single" w:sz="6" w:space="0" w:color="auto"/>
              <w:bottom w:val="single" w:sz="6" w:space="0" w:color="auto"/>
              <w:right w:val="single" w:sz="6" w:space="0" w:color="auto"/>
            </w:tcBorders>
          </w:tcPr>
          <w:p w:rsidR="00727498" w:rsidRDefault="00727498">
            <w:pPr>
              <w:pStyle w:val="Box"/>
              <w:spacing w:before="0" w:line="120" w:lineRule="exact"/>
            </w:pPr>
          </w:p>
        </w:tc>
      </w:tr>
      <w:tr w:rsidR="00727498" w:rsidRPr="000863A5">
        <w:tc>
          <w:tcPr>
            <w:tcW w:w="8771" w:type="dxa"/>
            <w:tcBorders>
              <w:top w:val="nil"/>
              <w:left w:val="nil"/>
              <w:bottom w:val="nil"/>
              <w:right w:val="nil"/>
            </w:tcBorders>
          </w:tcPr>
          <w:p w:rsidR="00727498" w:rsidRPr="00626D32" w:rsidRDefault="00727498" w:rsidP="00AE7790">
            <w:pPr>
              <w:pStyle w:val="BoxSpaceBelow"/>
            </w:pPr>
          </w:p>
        </w:tc>
      </w:tr>
    </w:tbl>
    <w:p w:rsidR="00706E4C" w:rsidRDefault="00706E4C" w:rsidP="00706E4C">
      <w:pPr>
        <w:pStyle w:val="BodyText"/>
      </w:pPr>
      <w:r>
        <w:t>Larger</w:t>
      </w:r>
      <w:r>
        <w:noBreakHyphen/>
        <w:t xml:space="preserve">scale assembly plants continue to be constructed or expanded overseas. In 2012, General Motors — in partnership with Chinese producers </w:t>
      </w:r>
      <w:proofErr w:type="spellStart"/>
      <w:r>
        <w:t>SAIC</w:t>
      </w:r>
      <w:proofErr w:type="spellEnd"/>
      <w:r>
        <w:t xml:space="preserve"> and </w:t>
      </w:r>
      <w:proofErr w:type="spellStart"/>
      <w:r>
        <w:t>Wuling</w:t>
      </w:r>
      <w:proofErr w:type="spellEnd"/>
      <w:r>
        <w:t xml:space="preserve"> Motors — opened a plant in Liuzhou, Guangxi with an annual capacity of 400 000 vehicles </w:t>
      </w:r>
      <w:r w:rsidRPr="00727498">
        <w:rPr>
          <w:szCs w:val="24"/>
        </w:rPr>
        <w:t>(General Motors 2012)</w:t>
      </w:r>
      <w:r>
        <w:t xml:space="preserve">. In April 2013, Toyota announced that it would be producing a Lexus model in the United States for the first time, requiring an expansion of production capacity at its Kentucky plant to over 550 000 vehicles per </w:t>
      </w:r>
      <w:r w:rsidRPr="00192040">
        <w:t>year</w:t>
      </w:r>
      <w:r>
        <w:t xml:space="preserve"> </w:t>
      </w:r>
      <w:r w:rsidRPr="00396281">
        <w:t>(Toyota 2013)</w:t>
      </w:r>
      <w:r>
        <w:t>.</w:t>
      </w:r>
    </w:p>
    <w:p w:rsidR="00727498" w:rsidRDefault="00727498" w:rsidP="00D965D2">
      <w:pPr>
        <w:pStyle w:val="BodyText"/>
      </w:pPr>
      <w:r>
        <w:t>While there are clear advantages to high</w:t>
      </w:r>
      <w:r>
        <w:noBreakHyphen/>
        <w:t xml:space="preserve">volume production, at the vehicle model level and at the plant level, the </w:t>
      </w:r>
      <w:proofErr w:type="spellStart"/>
      <w:r>
        <w:t>Bracks</w:t>
      </w:r>
      <w:proofErr w:type="spellEnd"/>
      <w:r>
        <w:t xml:space="preserve"> Review noted that small</w:t>
      </w:r>
      <w:r>
        <w:noBreakHyphen/>
        <w:t>scale production can permit greater flexibility to respond to market conditions (</w:t>
      </w:r>
      <w:proofErr w:type="spellStart"/>
      <w:r>
        <w:t>Bracks</w:t>
      </w:r>
      <w:proofErr w:type="spellEnd"/>
      <w:r>
        <w:t xml:space="preserve"> 2008), and </w:t>
      </w:r>
      <w:proofErr w:type="spellStart"/>
      <w:r>
        <w:t>Holweg</w:t>
      </w:r>
      <w:proofErr w:type="spellEnd"/>
      <w:r>
        <w:t xml:space="preserve"> (2008, p. 16) took the view that success in the automotive industry: </w:t>
      </w:r>
    </w:p>
    <w:p w:rsidR="00727498" w:rsidRDefault="00727498" w:rsidP="00D965D2">
      <w:pPr>
        <w:pStyle w:val="Quote"/>
      </w:pPr>
      <w:r>
        <w:t xml:space="preserve">… neither has been, nor will it ever be decided on the basis of unit cost or scale alone. It is the ability of the manufacturer to sense trends in the market, and align its product range that determines success. </w:t>
      </w:r>
    </w:p>
    <w:p w:rsidR="00727498" w:rsidRDefault="00727498" w:rsidP="00D965D2">
      <w:pPr>
        <w:pStyle w:val="BodyText"/>
      </w:pPr>
      <w:r>
        <w:t>Smaller</w:t>
      </w:r>
      <w:r>
        <w:noBreakHyphen/>
        <w:t>scale production can be feasible for manufacturers of higher</w:t>
      </w:r>
      <w:r>
        <w:noBreakHyphen/>
        <w:t>value or luxury vehicles which have larger profit margins that can absorb the higher unit costs — a pre</w:t>
      </w:r>
      <w:r>
        <w:noBreakHyphen/>
        <w:t>eminent example being Porsche</w:t>
      </w:r>
      <w:r w:rsidRPr="00DF56E8">
        <w:t>, which attracted the</w:t>
      </w:r>
      <w:r>
        <w:t xml:space="preserve"> highest profit margins of any marque during the first half of 2013 </w:t>
      </w:r>
      <w:r w:rsidRPr="00396281">
        <w:t>(</w:t>
      </w:r>
      <w:proofErr w:type="spellStart"/>
      <w:r w:rsidRPr="00396281">
        <w:t>AFP</w:t>
      </w:r>
      <w:proofErr w:type="spellEnd"/>
      <w:r w:rsidRPr="00396281">
        <w:t> 2013)</w:t>
      </w:r>
      <w:r>
        <w:t xml:space="preserve">. </w:t>
      </w:r>
    </w:p>
    <w:p w:rsidR="00727498" w:rsidRDefault="00727498" w:rsidP="001C2EC8">
      <w:pPr>
        <w:pStyle w:val="BodyText"/>
      </w:pPr>
      <w:r w:rsidRPr="00D965D2">
        <w:t xml:space="preserve">Automotive firms that make a niche product, or occupy a specialist part of the supply chain, </w:t>
      </w:r>
      <w:r>
        <w:t>could</w:t>
      </w:r>
      <w:r w:rsidRPr="00D965D2">
        <w:t xml:space="preserve"> be profitabl</w:t>
      </w:r>
      <w:r>
        <w:t>e</w:t>
      </w:r>
      <w:r w:rsidRPr="00D965D2">
        <w:t xml:space="preserve"> </w:t>
      </w:r>
      <w:r>
        <w:t>at</w:t>
      </w:r>
      <w:r w:rsidRPr="00D965D2">
        <w:t xml:space="preserve"> a small</w:t>
      </w:r>
      <w:r>
        <w:t>er</w:t>
      </w:r>
      <w:r w:rsidRPr="00D965D2">
        <w:t xml:space="preserve"> scale because their cost structure</w:t>
      </w:r>
      <w:r>
        <w:t>s</w:t>
      </w:r>
      <w:r w:rsidRPr="00D965D2">
        <w:t xml:space="preserve"> </w:t>
      </w:r>
      <w:r>
        <w:t xml:space="preserve">and manufacturing approach </w:t>
      </w:r>
      <w:r w:rsidRPr="00D965D2">
        <w:t xml:space="preserve">differ from that of </w:t>
      </w:r>
      <w:r>
        <w:t>a major</w:t>
      </w:r>
      <w:r w:rsidRPr="00D965D2">
        <w:t xml:space="preserve"> global </w:t>
      </w:r>
      <w:r>
        <w:t>producer</w:t>
      </w:r>
      <w:r w:rsidRPr="00D965D2">
        <w:t xml:space="preserve">. </w:t>
      </w:r>
      <w:proofErr w:type="spellStart"/>
      <w:r w:rsidRPr="00D965D2">
        <w:t>Ciravegna</w:t>
      </w:r>
      <w:proofErr w:type="spellEnd"/>
      <w:r w:rsidRPr="00D965D2">
        <w:t xml:space="preserve">, Romano and Pilkington </w:t>
      </w:r>
      <w:r w:rsidRPr="002619D9">
        <w:t>(2013, p. 2478)</w:t>
      </w:r>
      <w:r w:rsidRPr="001C2EC8">
        <w:t xml:space="preserve"> highlighted the case of </w:t>
      </w:r>
      <w:r>
        <w:t>system integrators</w:t>
      </w:r>
      <w:r w:rsidRPr="001C2EC8">
        <w:t xml:space="preserve"> </w:t>
      </w:r>
      <w:r>
        <w:t>which</w:t>
      </w:r>
      <w:r w:rsidRPr="001C2EC8">
        <w:t xml:space="preserve"> design, manufacture and assemble some complete vehicles for </w:t>
      </w:r>
      <w:r>
        <w:t>producers</w:t>
      </w:r>
      <w:r w:rsidRPr="001C2EC8">
        <w:t xml:space="preserve">, in </w:t>
      </w:r>
      <w:r w:rsidRPr="001C2EC8">
        <w:lastRenderedPageBreak/>
        <w:t xml:space="preserve">an illustration of an ‘extreme </w:t>
      </w:r>
      <w:r>
        <w:t>form</w:t>
      </w:r>
      <w:r w:rsidRPr="001C2EC8">
        <w:t xml:space="preserve"> of outsourcing</w:t>
      </w:r>
      <w:r>
        <w:t>’</w:t>
      </w:r>
      <w:r w:rsidRPr="001C2EC8">
        <w:t xml:space="preserve"> (or subcontracting). Magna </w:t>
      </w:r>
      <w:proofErr w:type="spellStart"/>
      <w:r w:rsidRPr="001C2EC8">
        <w:t>Steyr</w:t>
      </w:r>
      <w:proofErr w:type="spellEnd"/>
      <w:r w:rsidRPr="001C2EC8">
        <w:t xml:space="preserve"> </w:t>
      </w:r>
      <w:r>
        <w:t xml:space="preserve">is cited </w:t>
      </w:r>
      <w:r w:rsidRPr="001C2EC8">
        <w:t xml:space="preserve">as a successful niche </w:t>
      </w:r>
      <w:r>
        <w:t>producer</w:t>
      </w:r>
      <w:r w:rsidRPr="001C2EC8">
        <w:t xml:space="preserve"> that produces selected models for a number of </w:t>
      </w:r>
      <w:r>
        <w:t>brands, including Mercedes Benz, BMW</w:t>
      </w:r>
      <w:r w:rsidRPr="001C2EC8">
        <w:t xml:space="preserve"> and Aston Martin</w:t>
      </w:r>
      <w:r>
        <w:t xml:space="preserve"> </w:t>
      </w:r>
      <w:r w:rsidRPr="007140E6">
        <w:t>(</w:t>
      </w:r>
      <w:proofErr w:type="spellStart"/>
      <w:r w:rsidRPr="007140E6">
        <w:t>Ciravegna</w:t>
      </w:r>
      <w:proofErr w:type="spellEnd"/>
      <w:r w:rsidRPr="007140E6">
        <w:t>, Romano and Pilkington 2013)</w:t>
      </w:r>
      <w:r>
        <w:t>.</w:t>
      </w:r>
      <w:r w:rsidRPr="001C2EC8">
        <w:t xml:space="preserve"> </w:t>
      </w:r>
      <w:r>
        <w:t>These</w:t>
      </w:r>
      <w:r w:rsidRPr="00900C7B">
        <w:t xml:space="preserve"> </w:t>
      </w:r>
      <w:r>
        <w:t>businesses</w:t>
      </w:r>
      <w:r w:rsidRPr="00900C7B">
        <w:t xml:space="preserve"> can operate on a relatively small scale because they</w:t>
      </w:r>
      <w:r>
        <w:t xml:space="preserve"> are highly efficient and low cost in their own right and</w:t>
      </w:r>
      <w:r w:rsidRPr="00900C7B">
        <w:t xml:space="preserve"> do not incur the costs of </w:t>
      </w:r>
      <w:r>
        <w:t xml:space="preserve">vehicle design nor of </w:t>
      </w:r>
      <w:r w:rsidRPr="00900C7B">
        <w:t xml:space="preserve">developing major components such as engines and powertrains, nor of marketing or </w:t>
      </w:r>
      <w:r>
        <w:t xml:space="preserve">vehicle </w:t>
      </w:r>
      <w:r w:rsidRPr="00900C7B">
        <w:t>distributi</w:t>
      </w:r>
      <w:r>
        <w:t>on</w:t>
      </w:r>
      <w:r w:rsidRPr="00900C7B">
        <w:t>.</w:t>
      </w:r>
    </w:p>
    <w:p w:rsidR="00727498" w:rsidRDefault="00727498" w:rsidP="001278ED">
      <w:pPr>
        <w:pStyle w:val="FindingTitle"/>
        <w:framePr w:wrap="auto"/>
        <w:tabs>
          <w:tab w:val="left" w:pos="6453"/>
        </w:tabs>
      </w:pPr>
      <w:r>
        <w:t>Preliminary finding 2.5</w:t>
      </w:r>
    </w:p>
    <w:p w:rsidR="00727498" w:rsidRDefault="00727498" w:rsidP="001278ED">
      <w:pPr>
        <w:pStyle w:val="Finding"/>
      </w:pPr>
      <w:r w:rsidRPr="00562004">
        <w:t>For smaller lower</w:t>
      </w:r>
      <w:r>
        <w:noBreakHyphen/>
      </w:r>
      <w:r w:rsidRPr="00562004">
        <w:t xml:space="preserve">priced </w:t>
      </w:r>
      <w:r>
        <w:t>mass</w:t>
      </w:r>
      <w:r>
        <w:noBreakHyphen/>
        <w:t xml:space="preserve">market motor </w:t>
      </w:r>
      <w:r w:rsidRPr="00562004">
        <w:t>vehicles</w:t>
      </w:r>
      <w:r>
        <w:t xml:space="preserve"> that do not command high profit margins</w:t>
      </w:r>
      <w:r w:rsidRPr="00562004">
        <w:t>, high</w:t>
      </w:r>
      <w:r>
        <w:noBreakHyphen/>
      </w:r>
      <w:r w:rsidRPr="00562004">
        <w:t>volume low</w:t>
      </w:r>
      <w:r>
        <w:noBreakHyphen/>
      </w:r>
      <w:r w:rsidRPr="00562004">
        <w:t>cost production is critical in order to be globally competitive.</w:t>
      </w:r>
    </w:p>
    <w:p w:rsidR="00727498" w:rsidRDefault="00727498" w:rsidP="001278ED">
      <w:pPr>
        <w:pStyle w:val="Finding"/>
      </w:pPr>
      <w:r w:rsidRPr="00562004">
        <w:t>Vehicles that command higher selling prices</w:t>
      </w:r>
      <w:r>
        <w:t>,</w:t>
      </w:r>
      <w:r w:rsidRPr="00562004">
        <w:t xml:space="preserve"> </w:t>
      </w:r>
      <w:r>
        <w:t>such as luxury and niche vehicles, have higher profit margins that permit,</w:t>
      </w:r>
      <w:r w:rsidRPr="00562004">
        <w:t xml:space="preserve"> </w:t>
      </w:r>
      <w:r>
        <w:t xml:space="preserve">and in some cases necessitate, </w:t>
      </w:r>
      <w:r w:rsidRPr="00562004">
        <w:t>smaller</w:t>
      </w:r>
      <w:r>
        <w:noBreakHyphen/>
      </w:r>
      <w:r w:rsidRPr="00562004">
        <w:t>scale production.</w:t>
      </w:r>
    </w:p>
    <w:p w:rsidR="00727498" w:rsidRDefault="00727498" w:rsidP="008322AB">
      <w:pPr>
        <w:pStyle w:val="Heading3"/>
      </w:pPr>
      <w:r>
        <w:t>There is a shift toward global platforms</w:t>
      </w:r>
    </w:p>
    <w:p w:rsidR="00727498" w:rsidRDefault="00727498" w:rsidP="00372914">
      <w:pPr>
        <w:pStyle w:val="BodyText"/>
      </w:pPr>
      <w:r>
        <w:t>Another approach used by producers to reduce development costs is the greater use of a smaller number of global platforms and to co</w:t>
      </w:r>
      <w:r>
        <w:noBreakHyphen/>
        <w:t>develop and share platforms with other entities, rather than use more localised market</w:t>
      </w:r>
      <w:r>
        <w:noBreakHyphen/>
        <w:t xml:space="preserve">specific platforms. The platform defines the core architecture of the vehicle, and generally includes the chassis, the floor, the suspension system, the front and rear axles and the engine bay. Platform development costs are estimated to account for around half of product development costs </w:t>
      </w:r>
      <w:r w:rsidRPr="00EA44B0">
        <w:t>(</w:t>
      </w:r>
      <w:proofErr w:type="spellStart"/>
      <w:r w:rsidRPr="00EA44B0">
        <w:t>Evalueserve</w:t>
      </w:r>
      <w:proofErr w:type="spellEnd"/>
      <w:r w:rsidRPr="00EA44B0">
        <w:t> 2012)</w:t>
      </w:r>
      <w:r>
        <w:fldChar w:fldCharType="begin" w:fldLock="1"/>
      </w:r>
      <w:r>
        <w:fldChar w:fldCharType="separate"/>
      </w:r>
      <w:r w:rsidRPr="001C2EC8">
        <w:t>(Evalueserve 2012)</w:t>
      </w:r>
      <w:r>
        <w:fldChar w:fldCharType="end"/>
      </w:r>
      <w:r>
        <w:t xml:space="preserve">. </w:t>
      </w:r>
    </w:p>
    <w:p w:rsidR="00727498" w:rsidRDefault="00727498" w:rsidP="00C06BCE">
      <w:pPr>
        <w:pStyle w:val="BodyText"/>
      </w:pPr>
      <w:r>
        <w:t>Volkswagen is aiming to produce 40 vehicle models ranging from subcompact to mid</w:t>
      </w:r>
      <w:r>
        <w:noBreakHyphen/>
        <w:t>sized vehicles on its ‘</w:t>
      </w:r>
      <w:proofErr w:type="spellStart"/>
      <w:r>
        <w:t>MQB</w:t>
      </w:r>
      <w:proofErr w:type="spellEnd"/>
      <w:r>
        <w:t xml:space="preserve">’ platform </w:t>
      </w:r>
      <w:r w:rsidRPr="00727498">
        <w:rPr>
          <w:szCs w:val="24"/>
        </w:rPr>
        <w:t>(</w:t>
      </w:r>
      <w:proofErr w:type="spellStart"/>
      <w:r w:rsidRPr="00727498">
        <w:rPr>
          <w:szCs w:val="24"/>
        </w:rPr>
        <w:t>Lupa</w:t>
      </w:r>
      <w:proofErr w:type="spellEnd"/>
      <w:r w:rsidRPr="00727498">
        <w:rPr>
          <w:szCs w:val="24"/>
        </w:rPr>
        <w:t> 2012; Volkswagen AG 2012)</w:t>
      </w:r>
      <w:r>
        <w:t xml:space="preserve">. </w:t>
      </w:r>
      <w:proofErr w:type="spellStart"/>
      <w:r>
        <w:t>Evalueserve</w:t>
      </w:r>
      <w:proofErr w:type="spellEnd"/>
      <w:r>
        <w:t xml:space="preserve"> </w:t>
      </w:r>
      <w:r w:rsidRPr="001A5E81">
        <w:t>(2012)</w:t>
      </w:r>
      <w:r>
        <w:t xml:space="preserve"> </w:t>
      </w:r>
      <w:r>
        <w:fldChar w:fldCharType="begin" w:fldLock="1"/>
      </w:r>
      <w:r>
        <w:fldChar w:fldCharType="separate"/>
      </w:r>
      <w:r w:rsidRPr="00504D43">
        <w:t>(2012)</w:t>
      </w:r>
      <w:r>
        <w:fldChar w:fldCharType="end"/>
      </w:r>
      <w:r>
        <w:t>estimates that around 40 per cent of vehicles were produced on the top 20 global platforms in 2010, and it is projecting that this figure will increase to 45–47 per cent by 2015.</w:t>
      </w:r>
    </w:p>
    <w:p w:rsidR="00727498" w:rsidRDefault="00727498" w:rsidP="00C06BCE">
      <w:pPr>
        <w:pStyle w:val="BodyText"/>
      </w:pPr>
      <w:r>
        <w:t xml:space="preserve">Motor vehicle producers are seeking to reduce the number of platforms to lower development costs. For example, General Motors is seeking to reduce the number of platforms from the 30 it had in 2010 to 14 by 2018, which would see 90 per cent of its vehicles on global platforms </w:t>
      </w:r>
      <w:r w:rsidRPr="00C80EE9">
        <w:t>(G</w:t>
      </w:r>
      <w:r w:rsidR="00666E8B">
        <w:t xml:space="preserve">eneral </w:t>
      </w:r>
      <w:r w:rsidRPr="00C80EE9">
        <w:t>M</w:t>
      </w:r>
      <w:r w:rsidR="00666E8B">
        <w:t>otors</w:t>
      </w:r>
      <w:r w:rsidRPr="00C80EE9">
        <w:t> 2011)</w:t>
      </w:r>
      <w:r>
        <w:t xml:space="preserve">. Similarly, Ford has reduced its number of vehicle platforms to 14, from 27 in 2007. Ford is aiming to further reduce the number of platforms to 9 by 2017 </w:t>
      </w:r>
      <w:r w:rsidRPr="00504D43">
        <w:t>(</w:t>
      </w:r>
      <w:proofErr w:type="spellStart"/>
      <w:r w:rsidRPr="00504D43">
        <w:t>Evalueserve</w:t>
      </w:r>
      <w:proofErr w:type="spellEnd"/>
      <w:r w:rsidRPr="00504D43">
        <w:t> 2012)</w:t>
      </w:r>
      <w:r>
        <w:t xml:space="preserve">. </w:t>
      </w:r>
    </w:p>
    <w:p w:rsidR="00727498" w:rsidRDefault="00727498" w:rsidP="00330DF1">
      <w:pPr>
        <w:pStyle w:val="BodyText"/>
      </w:pPr>
      <w:r>
        <w:t xml:space="preserve">The shift toward global platforms has particular implications for automotive component manufacturers, as it is likely to result in them competing for fewer, </w:t>
      </w:r>
      <w:r>
        <w:lastRenderedPageBreak/>
        <w:t xml:space="preserve">larger business opportunities </w:t>
      </w:r>
      <w:r w:rsidRPr="006B4E0D">
        <w:t xml:space="preserve">(PwC 2013; </w:t>
      </w:r>
      <w:proofErr w:type="spellStart"/>
      <w:r w:rsidRPr="006B4E0D">
        <w:t>Sedgewick</w:t>
      </w:r>
      <w:proofErr w:type="spellEnd"/>
      <w:r w:rsidRPr="006B4E0D">
        <w:t> 2013)</w:t>
      </w:r>
      <w:r>
        <w:t xml:space="preserve">. This will reinforce the global trend toward fewer, but larger, ‘global scale’ component suppliers (discussed below). </w:t>
      </w:r>
    </w:p>
    <w:p w:rsidR="00727498" w:rsidRDefault="00727498" w:rsidP="008322AB">
      <w:pPr>
        <w:pStyle w:val="Heading3"/>
      </w:pPr>
      <w:r>
        <w:t>Increasingly stringent regulations will increase costs</w:t>
      </w:r>
    </w:p>
    <w:p w:rsidR="00727498" w:rsidRPr="00582645" w:rsidRDefault="00727498" w:rsidP="0008346C">
      <w:pPr>
        <w:pStyle w:val="BodyText"/>
      </w:pPr>
      <w:r>
        <w:t>While strong competition is constraining the price of most vehicles, particularly for the smaller, low</w:t>
      </w:r>
      <w:r>
        <w:noBreakHyphen/>
        <w:t>margin, high</w:t>
      </w:r>
      <w:r>
        <w:noBreakHyphen/>
        <w:t>volume models, increasingly stringent government regulations are likely to increase costs for motor vehicle producers and component manufacturers. For example, the United States’ Corporate Average Fuel Economy standards set the average fuel economy that producers in the United States must meet, based on their sales</w:t>
      </w:r>
      <w:r>
        <w:noBreakHyphen/>
        <w:t xml:space="preserve">weighted ‘footprint’ (a measure related to vehicle size). The footprint standards were introduced for passenger motor vehicles and light trucks as a way of ensuring manufacturers improve fuel efficiency across their vehicle range </w:t>
      </w:r>
      <w:r w:rsidRPr="00EA44B0">
        <w:t>(</w:t>
      </w:r>
      <w:proofErr w:type="spellStart"/>
      <w:r w:rsidRPr="00EA44B0">
        <w:t>EIA</w:t>
      </w:r>
      <w:proofErr w:type="spellEnd"/>
      <w:r w:rsidRPr="00EA44B0">
        <w:t> 2012)</w:t>
      </w:r>
      <w:r>
        <w:t xml:space="preserve">. Manufacturers who fail to comply with the standards can be (and have been) required to pay ‘gas guzzler’ taxes </w:t>
      </w:r>
      <w:r w:rsidRPr="0001023D">
        <w:t>(</w:t>
      </w:r>
      <w:proofErr w:type="spellStart"/>
      <w:r w:rsidRPr="0001023D">
        <w:t>EIA</w:t>
      </w:r>
      <w:proofErr w:type="spellEnd"/>
      <w:r w:rsidRPr="0001023D">
        <w:t> 2013)</w:t>
      </w:r>
      <w:r>
        <w:t>.</w:t>
      </w:r>
    </w:p>
    <w:p w:rsidR="00727498" w:rsidRDefault="00727498" w:rsidP="000B58EF">
      <w:pPr>
        <w:pStyle w:val="BodyText"/>
      </w:pPr>
      <w:r>
        <w:t>Globally, motor vehicle manufacturers are continuing to invest in research and development to improve the fuel efficiency and environmental performance of passenger vehicles — exploring options such as fuel</w:t>
      </w:r>
      <w:r>
        <w:noBreakHyphen/>
        <w:t xml:space="preserve">cell technology, hybrid and electric vehicles, and continuing to improve the efficiency of gas, petrol, and diesel powered engines </w:t>
      </w:r>
      <w:r w:rsidRPr="00471A63">
        <w:t>(</w:t>
      </w:r>
      <w:proofErr w:type="spellStart"/>
      <w:r w:rsidRPr="00471A63">
        <w:t>IbisWorld</w:t>
      </w:r>
      <w:proofErr w:type="spellEnd"/>
      <w:r w:rsidRPr="00471A63">
        <w:t> </w:t>
      </w:r>
      <w:proofErr w:type="spellStart"/>
      <w:r w:rsidRPr="00471A63">
        <w:t>2013a</w:t>
      </w:r>
      <w:proofErr w:type="spellEnd"/>
      <w:r w:rsidRPr="00471A63">
        <w:t>; KPMG 2013)</w:t>
      </w:r>
      <w:r>
        <w:t xml:space="preserve">. Future growth in these technological innovations will be affected by factors such as the relative costs of fuel and electric power (including the cost of batteries over the life of the vehicle), consumer environmental concerns, the availability of supporting infrastructure and policy settings in relation to carbon emissions and other environmental standards </w:t>
      </w:r>
      <w:r w:rsidRPr="001127C6">
        <w:t>(</w:t>
      </w:r>
      <w:proofErr w:type="spellStart"/>
      <w:r w:rsidRPr="001127C6">
        <w:t>IbisWorld</w:t>
      </w:r>
      <w:proofErr w:type="spellEnd"/>
      <w:r w:rsidRPr="001127C6">
        <w:t> </w:t>
      </w:r>
      <w:proofErr w:type="spellStart"/>
      <w:r w:rsidRPr="001127C6">
        <w:t>2013a</w:t>
      </w:r>
      <w:proofErr w:type="spellEnd"/>
      <w:r w:rsidRPr="001127C6">
        <w:t>; KPMG 2013; McKinsey &amp; Company </w:t>
      </w:r>
      <w:proofErr w:type="spellStart"/>
      <w:r w:rsidRPr="001127C6">
        <w:t>2013b</w:t>
      </w:r>
      <w:proofErr w:type="spellEnd"/>
      <w:r w:rsidRPr="001127C6">
        <w:t>)</w:t>
      </w:r>
      <w:r>
        <w:t>.</w:t>
      </w:r>
    </w:p>
    <w:p w:rsidR="00727498" w:rsidRDefault="00727498" w:rsidP="000B58EF">
      <w:pPr>
        <w:pStyle w:val="BodyText"/>
      </w:pPr>
      <w:r>
        <w:t>S</w:t>
      </w:r>
      <w:r w:rsidRPr="001165F9">
        <w:t>afety standards vary between</w:t>
      </w:r>
      <w:r>
        <w:t xml:space="preserve"> (and sometimes within)</w:t>
      </w:r>
      <w:r w:rsidRPr="001165F9">
        <w:t xml:space="preserve"> </w:t>
      </w:r>
      <w:r>
        <w:t>countries</w:t>
      </w:r>
      <w:r w:rsidRPr="001165F9">
        <w:t xml:space="preserve">, </w:t>
      </w:r>
      <w:r>
        <w:t>and can</w:t>
      </w:r>
      <w:r w:rsidRPr="001165F9">
        <w:t xml:space="preserve"> also be a source of increased costs </w:t>
      </w:r>
      <w:r>
        <w:t>of vehicle manufacture</w:t>
      </w:r>
      <w:r w:rsidRPr="001165F9">
        <w:t>. For example, McKinsey</w:t>
      </w:r>
      <w:r>
        <w:t xml:space="preserve"> &amp;</w:t>
      </w:r>
      <w:r w:rsidRPr="001165F9">
        <w:t xml:space="preserve"> Company noted that </w:t>
      </w:r>
      <w:r>
        <w:t>between</w:t>
      </w:r>
      <w:r w:rsidRPr="001165F9">
        <w:t xml:space="preserve"> 2001–10, </w:t>
      </w:r>
      <w:r>
        <w:t>producers</w:t>
      </w:r>
      <w:r w:rsidRPr="001165F9">
        <w:t xml:space="preserve"> in the U</w:t>
      </w:r>
      <w:r>
        <w:t xml:space="preserve">nited </w:t>
      </w:r>
      <w:r w:rsidRPr="001165F9">
        <w:t>S</w:t>
      </w:r>
      <w:r>
        <w:t>tates were required</w:t>
      </w:r>
      <w:r w:rsidRPr="001165F9">
        <w:t xml:space="preserve"> to spend an additional $400 per vehicle on components to </w:t>
      </w:r>
      <w:r>
        <w:t xml:space="preserve">satisfy increased </w:t>
      </w:r>
      <w:r w:rsidRPr="001165F9">
        <w:t xml:space="preserve">safety standards </w:t>
      </w:r>
      <w:r w:rsidRPr="00532CBC">
        <w:t>(McKinsey &amp; Company 2012)</w:t>
      </w:r>
      <w:r w:rsidRPr="001165F9">
        <w:t>.</w:t>
      </w:r>
    </w:p>
    <w:p w:rsidR="00727498" w:rsidRDefault="00911C43" w:rsidP="00384461">
      <w:pPr>
        <w:pStyle w:val="Heading2"/>
      </w:pPr>
      <w:r>
        <w:fldChar w:fldCharType="begin" w:fldLock="1"/>
      </w:r>
      <w:r>
        <w:instrText xml:space="preserve"> COMMENTS  \* MERGEFORMAT </w:instrText>
      </w:r>
      <w:r>
        <w:fldChar w:fldCharType="separate"/>
      </w:r>
      <w:r w:rsidR="00727498">
        <w:t>2.</w:t>
      </w:r>
      <w:r>
        <w:fldChar w:fldCharType="end"/>
      </w:r>
      <w:r>
        <w:fldChar w:fldCharType="begin" w:fldLock="1"/>
      </w:r>
      <w:r>
        <w:instrText xml:space="preserve"> SEQ Heading2 </w:instrText>
      </w:r>
      <w:r>
        <w:fldChar w:fldCharType="separate"/>
      </w:r>
      <w:r w:rsidR="00727498">
        <w:rPr>
          <w:noProof/>
        </w:rPr>
        <w:t>4</w:t>
      </w:r>
      <w:r>
        <w:rPr>
          <w:noProof/>
        </w:rPr>
        <w:fldChar w:fldCharType="end"/>
      </w:r>
      <w:r w:rsidR="00727498">
        <w:tab/>
        <w:t xml:space="preserve">The automotive component industry is changing </w:t>
      </w:r>
    </w:p>
    <w:p w:rsidR="00727498" w:rsidRDefault="00727498" w:rsidP="00532CBC">
      <w:pPr>
        <w:pStyle w:val="Heading3"/>
        <w:spacing w:before="280"/>
      </w:pPr>
      <w:r>
        <w:t>There is a trend toward larger, global component manufacturers</w:t>
      </w:r>
    </w:p>
    <w:p w:rsidR="00727498" w:rsidRDefault="00727498" w:rsidP="00B27B96">
      <w:pPr>
        <w:pStyle w:val="BodyText"/>
      </w:pPr>
      <w:r>
        <w:t xml:space="preserve">Motor vehicle producers outsource the production of components to a large number of component manufacturers. These manufacturers are often described in terms of ‘tiers’, with tier 1 suppliers supplying directly to the producers, tier 2 suppliers </w:t>
      </w:r>
      <w:r>
        <w:lastRenderedPageBreak/>
        <w:t xml:space="preserve">supplying the tier 1 suppliers, and so on. A component manufacturer can be a tier 1 supplier for one producer, but a tier 2 supplier for another. </w:t>
      </w:r>
    </w:p>
    <w:p w:rsidR="00727498" w:rsidRDefault="00727498" w:rsidP="00B27B96">
      <w:pPr>
        <w:pStyle w:val="BodyText"/>
      </w:pPr>
      <w:r>
        <w:t xml:space="preserve">Motor vehicle producers are seeking to reduce their number of tier 1 (direct) suppliers. For example, Ford is reported to be seeking to reduce its number of suppliers across its global operations from 1260 (as of December 2012) to 750 </w:t>
      </w:r>
      <w:r w:rsidRPr="000731AF">
        <w:t>(Automotive News 2013)</w:t>
      </w:r>
      <w:r>
        <w:t xml:space="preserve">. In some cases, as noted above, the entire assembly of a vehicle can be outsourced to niche producers. </w:t>
      </w:r>
    </w:p>
    <w:p w:rsidR="00727498" w:rsidRDefault="00727498" w:rsidP="00B27B96">
      <w:pPr>
        <w:pStyle w:val="BodyText"/>
      </w:pPr>
      <w:r>
        <w:t>With the move to greater use of global platforms, component manufacturers (increasingly being tasked to produce complete sub</w:t>
      </w:r>
      <w:r>
        <w:noBreakHyphen/>
        <w:t>assembly modules) and systems integrators are now generally responsible for a large proportion of the value of a vehicle — estimates of the share of value added in vehicles by component suppliers range from around two</w:t>
      </w:r>
      <w:r>
        <w:noBreakHyphen/>
        <w:t xml:space="preserve">thirds </w:t>
      </w:r>
      <w:r w:rsidRPr="008322AB">
        <w:t>(</w:t>
      </w:r>
      <w:proofErr w:type="spellStart"/>
      <w:r w:rsidRPr="008322AB">
        <w:t>MEMA</w:t>
      </w:r>
      <w:proofErr w:type="spellEnd"/>
      <w:r w:rsidRPr="008322AB">
        <w:t> 2013; Oliver Wyman 2013)</w:t>
      </w:r>
      <w:r>
        <w:t xml:space="preserve"> to 78 per cent </w:t>
      </w:r>
      <w:r w:rsidRPr="008322AB">
        <w:t>(McKinsey &amp; Company </w:t>
      </w:r>
      <w:proofErr w:type="spellStart"/>
      <w:r w:rsidRPr="008322AB">
        <w:t>2013a</w:t>
      </w:r>
      <w:proofErr w:type="spellEnd"/>
      <w:r w:rsidRPr="008322AB">
        <w:t>)</w:t>
      </w:r>
      <w:r>
        <w:t>.</w:t>
      </w:r>
      <w:r w:rsidRPr="00990DC9">
        <w:t xml:space="preserve"> </w:t>
      </w:r>
      <w:r>
        <w:t>The revenues of the largest component manufacturers between 2001 and 2012 are set out in figure 2.4.</w:t>
      </w:r>
    </w:p>
    <w:p w:rsidR="00727498" w:rsidRDefault="00727498" w:rsidP="00B27B96">
      <w:pPr>
        <w:pStyle w:val="BodyText"/>
      </w:pPr>
      <w:r>
        <w:t xml:space="preserve">While the size of firms in the automotive supply chain has grown, the top 100 suppliers only accounted for 45 per cent of global supply chain revenue in 2011, which is still relatively fragmented compared to other industries </w:t>
      </w:r>
      <w:r w:rsidRPr="001127C6">
        <w:t>(McKinsey &amp; Company </w:t>
      </w:r>
      <w:proofErr w:type="spellStart"/>
      <w:r w:rsidRPr="001127C6">
        <w:t>2013a</w:t>
      </w:r>
      <w:proofErr w:type="spellEnd"/>
      <w:r w:rsidRPr="001127C6">
        <w:t>)</w:t>
      </w:r>
      <w:r>
        <w:t xml:space="preserve">. Mergers and acquisitions are continuing amongst component manufacturers, with 243 merger and acquisition deals valued at around </w:t>
      </w:r>
      <w:proofErr w:type="spellStart"/>
      <w:r>
        <w:t>US$11</w:t>
      </w:r>
      <w:proofErr w:type="spellEnd"/>
      <w:r>
        <w:t xml:space="preserve"> billion taking place in 2012 </w:t>
      </w:r>
      <w:r w:rsidRPr="001127C6">
        <w:t>(PwC 2013)</w:t>
      </w:r>
      <w:r>
        <w:t>.</w:t>
      </w:r>
    </w:p>
    <w:p w:rsidR="00727498" w:rsidRDefault="00727498" w:rsidP="008322AB">
      <w:pPr>
        <w:pStyle w:val="Heading3"/>
      </w:pPr>
      <w:r>
        <w:t>Some component suppliers locate near assembly plants</w:t>
      </w:r>
    </w:p>
    <w:p w:rsidR="00727498" w:rsidRDefault="00727498" w:rsidP="00B27B96">
      <w:pPr>
        <w:pStyle w:val="BodyText"/>
      </w:pPr>
      <w:r>
        <w:t xml:space="preserve">International producers are increasingly requiring that their key suppliers be able to produce in the major motor vehicle production regions, if they are to be considered as a supplier for a new model </w:t>
      </w:r>
      <w:r w:rsidRPr="005E6E38">
        <w:t xml:space="preserve">(KPMG 2005; Sturgeon, Van </w:t>
      </w:r>
      <w:proofErr w:type="spellStart"/>
      <w:r w:rsidRPr="005E6E38">
        <w:t>Biesebroeck</w:t>
      </w:r>
      <w:proofErr w:type="spellEnd"/>
      <w:r w:rsidRPr="005E6E38">
        <w:t xml:space="preserve"> and </w:t>
      </w:r>
      <w:proofErr w:type="spellStart"/>
      <w:r w:rsidRPr="005E6E38">
        <w:t>Gereffi</w:t>
      </w:r>
      <w:proofErr w:type="spellEnd"/>
      <w:r w:rsidRPr="005E6E38">
        <w:t> 2008)</w:t>
      </w:r>
      <w:r>
        <w:t xml:space="preserve">. </w:t>
      </w:r>
    </w:p>
    <w:p w:rsidR="00727498" w:rsidRDefault="00727498" w:rsidP="00B27B96">
      <w:pPr>
        <w:pStyle w:val="BodyText"/>
      </w:pPr>
      <w:r>
        <w:t>Motor vehicle producers exert pressure on some tier 1 automotive component manufacturers to locate near assembly plants to facilitate ‘build to order’ and ‘just</w:t>
      </w:r>
      <w:r>
        <w:noBreakHyphen/>
        <w:t xml:space="preserve">in sequence’ production processes </w:t>
      </w:r>
      <w:r w:rsidRPr="00AC71B1">
        <w:t>(KPMG 2005)</w:t>
      </w:r>
      <w:r>
        <w:t>. Such systems aim to minimise inventories by producing only the amount of a product that is needed, when it is needed and in the sequence in which it is needed, according to the order of model variations coming down the assembly lines. Co</w:t>
      </w:r>
      <w:r>
        <w:noBreakHyphen/>
        <w:t>location with assembly plants improves the logistical integration of the different specialised parts (such as the colour and quality of the seats and interior trim applicable to the particular car next on the assembly line — box 2.2), the reliability of supply and quality control.</w:t>
      </w:r>
    </w:p>
    <w:p w:rsidR="00727498" w:rsidRDefault="00727498" w:rsidP="0050208B">
      <w:pPr>
        <w:pStyle w:val="FigureTitle"/>
      </w:pPr>
      <w:r>
        <w:rPr>
          <w:b w:val="0"/>
        </w:rPr>
        <w:lastRenderedPageBreak/>
        <w:t>Figure 2.4</w:t>
      </w:r>
      <w:r>
        <w:tab/>
        <w:t>Total revenues of the largest global component manufacturers</w:t>
      </w:r>
      <w:r w:rsidRPr="008B7996">
        <w:rPr>
          <w:rStyle w:val="NoteLabel"/>
          <w:b/>
        </w:rPr>
        <w:t>a</w:t>
      </w:r>
    </w:p>
    <w:p w:rsidR="00727498" w:rsidRDefault="00727498" w:rsidP="0050208B">
      <w:pPr>
        <w:pStyle w:val="Subtitle"/>
      </w:pPr>
      <w:r>
        <w:t>2001–2012</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727498" w:rsidTr="00CB7384">
        <w:tc>
          <w:tcPr>
            <w:tcW w:w="8777" w:type="dxa"/>
          </w:tcPr>
          <w:p w:rsidR="00727498" w:rsidRDefault="00727498" w:rsidP="00CB7384">
            <w:pPr>
              <w:pStyle w:val="Figure"/>
            </w:pPr>
            <w:r>
              <w:rPr>
                <w:noProof/>
              </w:rPr>
              <w:drawing>
                <wp:inline distT="0" distB="0" distL="0" distR="0" wp14:anchorId="7A409101" wp14:editId="1A07DB70">
                  <wp:extent cx="5400000" cy="2880000"/>
                  <wp:effectExtent l="0" t="0" r="0" b="0"/>
                  <wp:docPr id="76" name="Chart 76" descr="A chart showing that revenues of the top 20 largest global component manufacturers increased from $US200 million (nominal) in 2001 to just under $US400 million in 2012. Revenues of the top 100 largest global component manufacturers increased from just under $US350 million (nominal) in 2001 to $US700 million in 2012." title="Total revenues of the largest global component manufacturers"/>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tc>
      </w:tr>
    </w:tbl>
    <w:p w:rsidR="00727498" w:rsidRDefault="00727498" w:rsidP="007140E6">
      <w:pPr>
        <w:pStyle w:val="Note"/>
      </w:pPr>
      <w:proofErr w:type="spellStart"/>
      <w:r w:rsidRPr="007140E6">
        <w:rPr>
          <w:rStyle w:val="NoteLabel"/>
        </w:rPr>
        <w:t>a</w:t>
      </w:r>
      <w:proofErr w:type="spellEnd"/>
      <w:r>
        <w:t xml:space="preserve"> Including original equipment (not aftermarket) sales.</w:t>
      </w:r>
    </w:p>
    <w:p w:rsidR="00727498" w:rsidRDefault="00727498" w:rsidP="0050208B">
      <w:pPr>
        <w:pStyle w:val="Source"/>
      </w:pPr>
      <w:r>
        <w:rPr>
          <w:i/>
        </w:rPr>
        <w:t>Sources</w:t>
      </w:r>
      <w:r w:rsidRPr="00167F06">
        <w:t xml:space="preserve">: </w:t>
      </w:r>
      <w:r>
        <w:t xml:space="preserve">Automotive News </w:t>
      </w:r>
      <w:r w:rsidRPr="00AC71B1">
        <w:rPr>
          <w:rFonts w:cs="Arial"/>
        </w:rPr>
        <w:t>(2002, 2008, 2013)</w:t>
      </w:r>
      <w:r>
        <w:t>; Productivity Commission estimates.</w:t>
      </w:r>
    </w:p>
    <w:p w:rsidR="00727498" w:rsidRDefault="00727498" w:rsidP="00706E4C">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27498">
        <w:tc>
          <w:tcPr>
            <w:tcW w:w="8771" w:type="dxa"/>
            <w:tcBorders>
              <w:top w:val="single" w:sz="6" w:space="0" w:color="auto"/>
              <w:bottom w:val="nil"/>
            </w:tcBorders>
          </w:tcPr>
          <w:p w:rsidR="00727498" w:rsidRDefault="00727498" w:rsidP="00A22BE0">
            <w:pPr>
              <w:pStyle w:val="BoxTitle"/>
            </w:pPr>
            <w:r>
              <w:rPr>
                <w:b w:val="0"/>
              </w:rPr>
              <w:t xml:space="preserve">Box </w:t>
            </w:r>
            <w:r>
              <w:rPr>
                <w:b w:val="0"/>
              </w:rPr>
              <w:fldChar w:fldCharType="begin" w:fldLock="1"/>
            </w:r>
            <w:r>
              <w:rPr>
                <w:b w:val="0"/>
              </w:rPr>
              <w:instrText xml:space="preserve"> COMMENTS  \* MERGEFORMAT </w:instrText>
            </w:r>
            <w:r>
              <w:rPr>
                <w:b w:val="0"/>
              </w:rPr>
              <w:fldChar w:fldCharType="separate"/>
            </w:r>
            <w:r>
              <w:rPr>
                <w:b w:val="0"/>
              </w:rPr>
              <w:t>2.</w:t>
            </w:r>
            <w:r>
              <w:rPr>
                <w:b w:val="0"/>
              </w:rPr>
              <w:fldChar w:fldCharType="end"/>
            </w:r>
            <w:r>
              <w:rPr>
                <w:b w:val="0"/>
              </w:rPr>
              <w:fldChar w:fldCharType="begin" w:fldLock="1"/>
            </w:r>
            <w:r>
              <w:rPr>
                <w:b w:val="0"/>
              </w:rPr>
              <w:instrText xml:space="preserve"> SEQ Box \* ARABIC </w:instrText>
            </w:r>
            <w:r>
              <w:rPr>
                <w:b w:val="0"/>
              </w:rPr>
              <w:fldChar w:fldCharType="separate"/>
            </w:r>
            <w:r>
              <w:rPr>
                <w:b w:val="0"/>
                <w:noProof/>
              </w:rPr>
              <w:t>2</w:t>
            </w:r>
            <w:r>
              <w:rPr>
                <w:b w:val="0"/>
              </w:rPr>
              <w:fldChar w:fldCharType="end"/>
            </w:r>
            <w:r>
              <w:tab/>
            </w:r>
            <w:proofErr w:type="spellStart"/>
            <w:r>
              <w:t>Futuris</w:t>
            </w:r>
            <w:proofErr w:type="spellEnd"/>
            <w:r w:rsidR="00275CEC">
              <w:t xml:space="preserve"> Automotive</w:t>
            </w:r>
            <w:r>
              <w:t xml:space="preserve"> — an example of component supply co</w:t>
            </w:r>
            <w:r>
              <w:noBreakHyphen/>
              <w:t>located with assembly operations</w:t>
            </w:r>
          </w:p>
        </w:tc>
      </w:tr>
      <w:tr w:rsidR="00727498">
        <w:trPr>
          <w:cantSplit/>
        </w:trPr>
        <w:tc>
          <w:tcPr>
            <w:tcW w:w="8771" w:type="dxa"/>
            <w:tcBorders>
              <w:top w:val="nil"/>
              <w:left w:val="single" w:sz="6" w:space="0" w:color="auto"/>
              <w:bottom w:val="nil"/>
              <w:right w:val="single" w:sz="6" w:space="0" w:color="auto"/>
            </w:tcBorders>
          </w:tcPr>
          <w:p w:rsidR="00727498" w:rsidRPr="001165F9" w:rsidRDefault="00727498" w:rsidP="001165F9">
            <w:pPr>
              <w:pStyle w:val="Box"/>
            </w:pPr>
            <w:proofErr w:type="spellStart"/>
            <w:r w:rsidRPr="001165F9">
              <w:t>Futuris</w:t>
            </w:r>
            <w:proofErr w:type="spellEnd"/>
            <w:r w:rsidR="00275CEC">
              <w:t xml:space="preserve"> Automotive (</w:t>
            </w:r>
            <w:proofErr w:type="spellStart"/>
            <w:r w:rsidR="00275CEC">
              <w:t>Futuris</w:t>
            </w:r>
            <w:proofErr w:type="spellEnd"/>
            <w:r w:rsidR="00275CEC">
              <w:t>)</w:t>
            </w:r>
            <w:r w:rsidRPr="001165F9">
              <w:t xml:space="preserve"> </w:t>
            </w:r>
            <w:r>
              <w:t>started life as</w:t>
            </w:r>
            <w:r w:rsidRPr="001165F9">
              <w:t xml:space="preserve"> an</w:t>
            </w:r>
            <w:r>
              <w:t xml:space="preserve"> Australian</w:t>
            </w:r>
            <w:r w:rsidRPr="001165F9">
              <w:t xml:space="preserve"> automotive component supplier, specialising in seating and vehicle interiors. The increased use of global vehicle platforms by automotive manufacturers has provided </w:t>
            </w:r>
            <w:proofErr w:type="spellStart"/>
            <w:r w:rsidRPr="001165F9">
              <w:t>Futuris</w:t>
            </w:r>
            <w:proofErr w:type="spellEnd"/>
            <w:r w:rsidRPr="001165F9">
              <w:t xml:space="preserve"> with the opportunity to expand beyond the domestic market to supply producers in China, Thailand and the United States.</w:t>
            </w:r>
          </w:p>
          <w:p w:rsidR="00727498" w:rsidRDefault="00727498" w:rsidP="00990DC9">
            <w:pPr>
              <w:pStyle w:val="Box"/>
            </w:pPr>
            <w:r w:rsidRPr="001165F9">
              <w:t xml:space="preserve">One aspect of </w:t>
            </w:r>
            <w:proofErr w:type="spellStart"/>
            <w:r w:rsidRPr="001165F9">
              <w:t>Futuris’s</w:t>
            </w:r>
            <w:proofErr w:type="spellEnd"/>
            <w:r w:rsidRPr="001165F9">
              <w:t xml:space="preserve"> business model is co</w:t>
            </w:r>
            <w:r>
              <w:noBreakHyphen/>
            </w:r>
            <w:r w:rsidRPr="001165F9">
              <w:t xml:space="preserve">location, with all its manufacturing facilities located in close proximity to </w:t>
            </w:r>
            <w:r>
              <w:t>assembly plants</w:t>
            </w:r>
            <w:r w:rsidRPr="001165F9">
              <w:t xml:space="preserve">. For example, </w:t>
            </w:r>
            <w:proofErr w:type="spellStart"/>
            <w:r w:rsidRPr="001165F9">
              <w:t>Futuris</w:t>
            </w:r>
            <w:proofErr w:type="spellEnd"/>
            <w:r w:rsidRPr="001165F9">
              <w:t xml:space="preserve"> has set up two manufacturing plants for seats and interior components to supply Ford and General Motors vehicle assembly lines in Thailand. </w:t>
            </w:r>
            <w:r>
              <w:t xml:space="preserve">In Australia, </w:t>
            </w:r>
            <w:proofErr w:type="spellStart"/>
            <w:r>
              <w:t>Futuris’s</w:t>
            </w:r>
            <w:proofErr w:type="spellEnd"/>
            <w:r>
              <w:t xml:space="preserve"> South Australian operation is situated in the same business park as GM Holden — to facilitate just</w:t>
            </w:r>
            <w:r>
              <w:noBreakHyphen/>
              <w:t>in</w:t>
            </w:r>
            <w:r>
              <w:noBreakHyphen/>
              <w:t xml:space="preserve">time production approaches. </w:t>
            </w:r>
          </w:p>
        </w:tc>
      </w:tr>
      <w:tr w:rsidR="00727498">
        <w:trPr>
          <w:cantSplit/>
        </w:trPr>
        <w:tc>
          <w:tcPr>
            <w:tcW w:w="8771" w:type="dxa"/>
            <w:tcBorders>
              <w:top w:val="nil"/>
              <w:left w:val="single" w:sz="6" w:space="0" w:color="auto"/>
              <w:bottom w:val="nil"/>
              <w:right w:val="single" w:sz="6" w:space="0" w:color="auto"/>
            </w:tcBorders>
          </w:tcPr>
          <w:p w:rsidR="00727498" w:rsidRDefault="00727498" w:rsidP="001165F9">
            <w:pPr>
              <w:pStyle w:val="BoxSource"/>
            </w:pPr>
            <w:r>
              <w:rPr>
                <w:i/>
              </w:rPr>
              <w:t>Sources</w:t>
            </w:r>
            <w:r w:rsidRPr="00167F06">
              <w:t xml:space="preserve">: </w:t>
            </w:r>
            <w:proofErr w:type="spellStart"/>
            <w:r w:rsidRPr="001165F9">
              <w:t>Futuris</w:t>
            </w:r>
            <w:proofErr w:type="spellEnd"/>
            <w:r w:rsidRPr="001165F9">
              <w:t xml:space="preserve"> Automotive (sub.</w:t>
            </w:r>
            <w:r>
              <w:t> </w:t>
            </w:r>
            <w:r w:rsidRPr="001165F9">
              <w:t>9</w:t>
            </w:r>
            <w:r>
              <w:t xml:space="preserve">); </w:t>
            </w:r>
            <w:proofErr w:type="spellStart"/>
            <w:r>
              <w:t>Futuris</w:t>
            </w:r>
            <w:proofErr w:type="spellEnd"/>
            <w:r>
              <w:t xml:space="preserve"> Automotive </w:t>
            </w:r>
            <w:r w:rsidRPr="001165F9">
              <w:rPr>
                <w:rFonts w:cs="Arial"/>
              </w:rPr>
              <w:t>(2012)</w:t>
            </w:r>
            <w:r>
              <w:t>.</w:t>
            </w:r>
          </w:p>
        </w:tc>
      </w:tr>
      <w:tr w:rsidR="00727498">
        <w:trPr>
          <w:cantSplit/>
        </w:trPr>
        <w:tc>
          <w:tcPr>
            <w:tcW w:w="8771" w:type="dxa"/>
            <w:tcBorders>
              <w:top w:val="nil"/>
              <w:left w:val="single" w:sz="6" w:space="0" w:color="auto"/>
              <w:bottom w:val="single" w:sz="6" w:space="0" w:color="auto"/>
              <w:right w:val="single" w:sz="6" w:space="0" w:color="auto"/>
            </w:tcBorders>
          </w:tcPr>
          <w:p w:rsidR="00727498" w:rsidRDefault="00727498">
            <w:pPr>
              <w:pStyle w:val="Box"/>
              <w:spacing w:before="0" w:line="120" w:lineRule="exact"/>
            </w:pPr>
          </w:p>
        </w:tc>
      </w:tr>
      <w:tr w:rsidR="00727498" w:rsidRPr="000863A5">
        <w:tc>
          <w:tcPr>
            <w:tcW w:w="8771" w:type="dxa"/>
            <w:tcBorders>
              <w:top w:val="nil"/>
              <w:left w:val="nil"/>
              <w:bottom w:val="nil"/>
              <w:right w:val="nil"/>
            </w:tcBorders>
          </w:tcPr>
          <w:p w:rsidR="00727498" w:rsidRPr="00626D32" w:rsidRDefault="00727498" w:rsidP="00C804DB">
            <w:pPr>
              <w:pStyle w:val="BoxSpaceBelow"/>
            </w:pPr>
          </w:p>
        </w:tc>
      </w:tr>
    </w:tbl>
    <w:p w:rsidR="00706E4C" w:rsidRDefault="00706E4C" w:rsidP="00706E4C">
      <w:pPr>
        <w:pStyle w:val="BodyText"/>
      </w:pPr>
      <w:r>
        <w:t>However, the choice between co</w:t>
      </w:r>
      <w:r>
        <w:noBreakHyphen/>
        <w:t>location and achieving the economies of scale most appropriate for component production is dependent on a range of factors</w:t>
      </w:r>
      <w:r>
        <w:fldChar w:fldCharType="begin" w:fldLock="1"/>
      </w:r>
      <w:r>
        <w:fldChar w:fldCharType="separate"/>
      </w:r>
      <w:r w:rsidRPr="00504D43">
        <w:t>(KPMG 2005; Robinet 2012; Sturgeon, Van Biesebroeck and Gereffi 2008)</w:t>
      </w:r>
      <w:r>
        <w:fldChar w:fldCharType="end"/>
      </w:r>
      <w:r>
        <w:t>. Although in some cases, components (such as finished seats) may be logistically difficult to transport and need to be closely integrated into the assembly line, in other cases component producers can source labour</w:t>
      </w:r>
      <w:r>
        <w:noBreakHyphen/>
        <w:t>intensive inputs (such as sewn panels for seats and door trims) from low</w:t>
      </w:r>
      <w:r>
        <w:noBreakHyphen/>
        <w:t xml:space="preserve">cost countries </w:t>
      </w:r>
      <w:r w:rsidRPr="0003211F">
        <w:t xml:space="preserve">(Sturgeon and Van </w:t>
      </w:r>
      <w:proofErr w:type="spellStart"/>
      <w:r w:rsidRPr="0003211F">
        <w:lastRenderedPageBreak/>
        <w:t>Biesebroeck</w:t>
      </w:r>
      <w:proofErr w:type="spellEnd"/>
      <w:r w:rsidRPr="0003211F">
        <w:t> 2011)</w:t>
      </w:r>
      <w:r>
        <w:t xml:space="preserve">. As an example, in 2011 one of Ford’s Michigan assembly plants was directly supplied with </w:t>
      </w:r>
      <w:proofErr w:type="spellStart"/>
      <w:r>
        <w:t>US$3.1</w:t>
      </w:r>
      <w:proofErr w:type="spellEnd"/>
      <w:r>
        <w:t xml:space="preserve"> billion in automotive components from 379 suppliers. Around one</w:t>
      </w:r>
      <w:r>
        <w:noBreakHyphen/>
        <w:t xml:space="preserve">third of this value was from suppliers in Michigan and 86 per cent was from suppliers in the United States, Canada or Mexico (including Michigan) </w:t>
      </w:r>
      <w:r w:rsidRPr="00AC71B1">
        <w:t>(Hill et al. 2013)</w:t>
      </w:r>
      <w:r>
        <w:t xml:space="preserve">. </w:t>
      </w:r>
    </w:p>
    <w:p w:rsidR="00706E4C" w:rsidRDefault="00706E4C" w:rsidP="00706E4C">
      <w:pPr>
        <w:pStyle w:val="FindingTitle"/>
        <w:framePr w:wrap="auto"/>
      </w:pPr>
      <w:r>
        <w:t>Preliminary finding 2.6</w:t>
      </w:r>
    </w:p>
    <w:p w:rsidR="00706E4C" w:rsidRDefault="00706E4C" w:rsidP="00706E4C">
      <w:pPr>
        <w:pStyle w:val="Finding"/>
      </w:pPr>
      <w:r>
        <w:t>There is a trend toward larger, global automotive component manufacturers.</w:t>
      </w:r>
    </w:p>
    <w:p w:rsidR="00706E4C" w:rsidRDefault="00706E4C" w:rsidP="00706E4C">
      <w:pPr>
        <w:pStyle w:val="FindingBullet"/>
      </w:pPr>
      <w:r>
        <w:t>Motor vehicle producers are reducing the number of tier 1 (direct) component suppliers.</w:t>
      </w:r>
    </w:p>
    <w:p w:rsidR="00706E4C" w:rsidRDefault="00706E4C" w:rsidP="00706E4C">
      <w:pPr>
        <w:pStyle w:val="FindingBullet"/>
      </w:pPr>
      <w:r>
        <w:t>Motor vehicle producers are requiring some component manufacturers to locate close to assembly plants to accommodate just</w:t>
      </w:r>
      <w:r>
        <w:noBreakHyphen/>
        <w:t>in</w:t>
      </w:r>
      <w:r>
        <w:noBreakHyphen/>
        <w:t>time and lean manufacturing approaches.</w:t>
      </w:r>
    </w:p>
    <w:p w:rsidR="00727498" w:rsidRDefault="00727498" w:rsidP="00521877">
      <w:pPr>
        <w:pStyle w:val="Heading2"/>
      </w:pPr>
      <w:r w:rsidRPr="00521877">
        <w:t>2.5</w:t>
      </w:r>
      <w:r w:rsidRPr="00521877">
        <w:tab/>
      </w:r>
      <w:r>
        <w:t>The automotive manufacturing services industry</w:t>
      </w:r>
    </w:p>
    <w:p w:rsidR="00727498" w:rsidRDefault="00727498" w:rsidP="006001D2">
      <w:pPr>
        <w:pStyle w:val="BodyText"/>
      </w:pPr>
      <w:r>
        <w:t>The global automotive manufacturing industry consumes a range of services. These include general services, such as administrative, information technology and financial services, and services that are more specifically linked to the manufacturing process — such as R&amp;D, design, engineering and tooling services.</w:t>
      </w:r>
    </w:p>
    <w:p w:rsidR="00727498" w:rsidRDefault="00727498" w:rsidP="006001D2">
      <w:pPr>
        <w:pStyle w:val="BodyText"/>
      </w:pPr>
      <w:r>
        <w:t>The bulk of services, particularly manufacturing services, has historically been provided in</w:t>
      </w:r>
      <w:r>
        <w:noBreakHyphen/>
        <w:t xml:space="preserve">house (Sturgeon and Van </w:t>
      </w:r>
      <w:proofErr w:type="spellStart"/>
      <w:r>
        <w:t>Biesebroeck</w:t>
      </w:r>
      <w:proofErr w:type="spellEnd"/>
      <w:r>
        <w:t xml:space="preserve"> 2009), but a growing trend internationally is to outsource some of these services to independent specialist service providers. Some of these firms are </w:t>
      </w:r>
      <w:r>
        <w:rPr>
          <w:lang w:val="en"/>
        </w:rPr>
        <w:t>global enterprises that have facilities in multiple countries</w:t>
      </w:r>
      <w:r>
        <w:t>. This is particularly evident in the case of European vehicle manufacturers, where the outsourcing of design and engineering functions has led to the development of an industry segment that specialises in the automotive industry (</w:t>
      </w:r>
      <w:proofErr w:type="spellStart"/>
      <w:r>
        <w:t>Eurofound</w:t>
      </w:r>
      <w:proofErr w:type="spellEnd"/>
      <w:r>
        <w:t xml:space="preserve"> 2004). Firms such as </w:t>
      </w:r>
      <w:proofErr w:type="spellStart"/>
      <w:r>
        <w:t>AVL</w:t>
      </w:r>
      <w:proofErr w:type="spellEnd"/>
      <w:r>
        <w:t xml:space="preserve"> (Austria), </w:t>
      </w:r>
      <w:proofErr w:type="spellStart"/>
      <w:r>
        <w:t>EDAG</w:t>
      </w:r>
      <w:proofErr w:type="spellEnd"/>
      <w:r>
        <w:t xml:space="preserve"> Engineering (Germany) and Ricardo (UK) are prominent examples of firms in this sector. </w:t>
      </w:r>
    </w:p>
    <w:p w:rsidR="00727498" w:rsidRDefault="00727498" w:rsidP="006001D2">
      <w:pPr>
        <w:pStyle w:val="BodyText"/>
        <w:rPr>
          <w:lang w:val="en"/>
        </w:rPr>
      </w:pPr>
      <w:r>
        <w:t xml:space="preserve">There is also a trend for the outsourcing of services such as design and product development further down the supply chain (Maxton and </w:t>
      </w:r>
      <w:proofErr w:type="spellStart"/>
      <w:r>
        <w:t>Wormald</w:t>
      </w:r>
      <w:proofErr w:type="spellEnd"/>
      <w:r>
        <w:t xml:space="preserve"> 2004; PC 2002). This allows vehicle </w:t>
      </w:r>
      <w:r>
        <w:rPr>
          <w:lang w:val="en"/>
        </w:rPr>
        <w:t>producers to specify overall system requirements and give suppliers more latitude to innovate, engineer and design a component or module to meet those requirements, as opposed to designing the component in</w:t>
      </w:r>
      <w:r>
        <w:rPr>
          <w:lang w:val="en"/>
        </w:rPr>
        <w:noBreakHyphen/>
        <w:t>house and providing suppliers with detailed technical specifications for production.</w:t>
      </w:r>
    </w:p>
    <w:p w:rsidR="00727498" w:rsidRDefault="00727498" w:rsidP="00443421">
      <w:pPr>
        <w:pStyle w:val="BodyText"/>
      </w:pPr>
      <w:r>
        <w:t xml:space="preserve">Despite these trends, the bulk of vehicle development services remains centralised in or near the design cluster of the headquarters of lead firms — in Japan, the United States, Germany, and France (Sturgeon and Van </w:t>
      </w:r>
      <w:proofErr w:type="spellStart"/>
      <w:r>
        <w:t>Biesebroeck</w:t>
      </w:r>
      <w:proofErr w:type="spellEnd"/>
      <w:r>
        <w:t xml:space="preserve"> 2009). That is </w:t>
      </w:r>
      <w:r>
        <w:lastRenderedPageBreak/>
        <w:t xml:space="preserve">not to say that firms do not perform different facets of their operations at different international locations. In particular, there is a growing impetus to locate services alongside manufacturing facilities in regions where motor vehicle production is increasing, such as China and India </w:t>
      </w:r>
      <w:r w:rsidRPr="00D37ED3">
        <w:t>(</w:t>
      </w:r>
      <w:proofErr w:type="spellStart"/>
      <w:r w:rsidRPr="00D37ED3">
        <w:t>Bernhart</w:t>
      </w:r>
      <w:proofErr w:type="spellEnd"/>
      <w:r w:rsidRPr="00D37ED3">
        <w:t xml:space="preserve">, Dressler and </w:t>
      </w:r>
      <w:proofErr w:type="spellStart"/>
      <w:r w:rsidRPr="00D37ED3">
        <w:t>Toth</w:t>
      </w:r>
      <w:proofErr w:type="spellEnd"/>
      <w:r w:rsidRPr="00D37ED3">
        <w:t xml:space="preserve"> 2010; </w:t>
      </w:r>
      <w:proofErr w:type="spellStart"/>
      <w:r w:rsidRPr="00D37ED3">
        <w:t>Moavenzadeh</w:t>
      </w:r>
      <w:proofErr w:type="spellEnd"/>
      <w:r w:rsidRPr="00D37ED3">
        <w:t> 2008)</w:t>
      </w:r>
      <w:r>
        <w:t xml:space="preserve">. </w:t>
      </w:r>
    </w:p>
    <w:p w:rsidR="00727498" w:rsidRDefault="00727498" w:rsidP="00443421">
      <w:pPr>
        <w:pStyle w:val="BodyText"/>
        <w:rPr>
          <w:lang w:val="en-US"/>
        </w:rPr>
      </w:pPr>
      <w:r>
        <w:t>Motor vehicle producers typically have a number of regional centres that are important for adapting international platforms to local preferences for vehicle models, and increasingly for contributing to the initial development of those platforms. This work can have flow</w:t>
      </w:r>
      <w:r>
        <w:noBreakHyphen/>
        <w:t xml:space="preserve">on effects to component manufacturers (chapter 3). </w:t>
      </w:r>
    </w:p>
    <w:p w:rsidR="00727498" w:rsidRDefault="00911C43" w:rsidP="00807D7E">
      <w:pPr>
        <w:pStyle w:val="Heading2"/>
      </w:pPr>
      <w:r>
        <w:fldChar w:fldCharType="begin" w:fldLock="1"/>
      </w:r>
      <w:r>
        <w:instrText xml:space="preserve"> COMMENTS  \* MERGEFORMAT </w:instrText>
      </w:r>
      <w:r>
        <w:fldChar w:fldCharType="separate"/>
      </w:r>
      <w:r w:rsidR="00727498">
        <w:t>2.</w:t>
      </w:r>
      <w:r>
        <w:fldChar w:fldCharType="end"/>
      </w:r>
      <w:r w:rsidR="00727498">
        <w:t>6</w:t>
      </w:r>
      <w:r w:rsidR="00727498">
        <w:tab/>
        <w:t>The automotive aftermarket</w:t>
      </w:r>
    </w:p>
    <w:p w:rsidR="00727498" w:rsidRDefault="00727498" w:rsidP="00807D7E">
      <w:pPr>
        <w:pStyle w:val="BodyText"/>
      </w:pPr>
      <w:r>
        <w:t xml:space="preserve">The component aftermarket involves the supply of accessories and parts for motor vehicles fitted after a new vehicle has been sold. Vehicle parts can be defined as either original (or ‘genuine’) equipment parts, or aftermarket parts. Original parts are used in the assembly of a new motor vehicle or are purchased by the manufacturer for its service network (most often consisting of franchised dealers), while aftermarket parts are typically sold in a variety of independent workshops and retailers. </w:t>
      </w:r>
    </w:p>
    <w:p w:rsidR="00727498" w:rsidRDefault="00727498" w:rsidP="00807D7E">
      <w:pPr>
        <w:pStyle w:val="BodyText"/>
        <w:rPr>
          <w:sz w:val="24"/>
        </w:rPr>
      </w:pPr>
      <w:r>
        <w:t xml:space="preserve">Describing the aftermarket, particularly at the global level, is problematic, mainly owing to the difficulty of collecting data over a diverse range of businesses. However, available estimates for the sector suggest that its value is large. For example, the value of the US aftermarket, including </w:t>
      </w:r>
      <w:r w:rsidRPr="007140E6">
        <w:rPr>
          <w:szCs w:val="26"/>
        </w:rPr>
        <w:t xml:space="preserve">parts manufacturing and the broader retail and </w:t>
      </w:r>
      <w:r w:rsidRPr="00D37ED3">
        <w:rPr>
          <w:szCs w:val="26"/>
        </w:rPr>
        <w:t>service</w:t>
      </w:r>
      <w:r w:rsidRPr="007140E6">
        <w:rPr>
          <w:szCs w:val="26"/>
        </w:rPr>
        <w:t>s</w:t>
      </w:r>
      <w:r w:rsidRPr="00D37ED3">
        <w:rPr>
          <w:szCs w:val="26"/>
        </w:rPr>
        <w:t xml:space="preserve"> sector </w:t>
      </w:r>
      <w:r w:rsidRPr="007140E6">
        <w:rPr>
          <w:szCs w:val="26"/>
        </w:rPr>
        <w:t>(such as vehicle servicing)</w:t>
      </w:r>
      <w:r w:rsidRPr="00D37ED3">
        <w:rPr>
          <w:sz w:val="24"/>
        </w:rPr>
        <w:t xml:space="preserve"> </w:t>
      </w:r>
      <w:r>
        <w:t xml:space="preserve">was estimated to be about </w:t>
      </w:r>
      <w:proofErr w:type="spellStart"/>
      <w:r>
        <w:t>US$190</w:t>
      </w:r>
      <w:proofErr w:type="spellEnd"/>
      <w:r>
        <w:t xml:space="preserve"> billion in 2010 (</w:t>
      </w:r>
      <w:proofErr w:type="spellStart"/>
      <w:r>
        <w:t>ITA</w:t>
      </w:r>
      <w:proofErr w:type="spellEnd"/>
      <w:r>
        <w:t xml:space="preserve"> 2011). If only the wholesale dollars at the manufacturers’ level are considered, the value of aftermarket sales of components was estimated at between </w:t>
      </w:r>
      <w:proofErr w:type="spellStart"/>
      <w:r>
        <w:t>US$62</w:t>
      </w:r>
      <w:proofErr w:type="spellEnd"/>
      <w:r>
        <w:t xml:space="preserve"> and </w:t>
      </w:r>
      <w:proofErr w:type="spellStart"/>
      <w:r>
        <w:t>US$78</w:t>
      </w:r>
      <w:proofErr w:type="spellEnd"/>
      <w:r>
        <w:t xml:space="preserve"> billion in 2010. In comparison,</w:t>
      </w:r>
      <w:r w:rsidRPr="00330DF1">
        <w:t xml:space="preserve"> the US</w:t>
      </w:r>
      <w:r w:rsidRPr="00463083">
        <w:t xml:space="preserve"> original equipment parts market was valued at </w:t>
      </w:r>
      <w:proofErr w:type="spellStart"/>
      <w:r>
        <w:t>US$141.5</w:t>
      </w:r>
      <w:proofErr w:type="spellEnd"/>
      <w:r>
        <w:t> </w:t>
      </w:r>
      <w:r w:rsidRPr="00463083">
        <w:t>billion in 2010 (</w:t>
      </w:r>
      <w:proofErr w:type="spellStart"/>
      <w:r w:rsidRPr="00463083">
        <w:t>ITA</w:t>
      </w:r>
      <w:proofErr w:type="spellEnd"/>
      <w:r w:rsidRPr="00463083">
        <w:t> 2011)</w:t>
      </w:r>
      <w:r>
        <w:t xml:space="preserve">, and the automotive industry in the United States (including vehicles, trucks, trailers and components) was valued at </w:t>
      </w:r>
      <w:proofErr w:type="spellStart"/>
      <w:r>
        <w:t>US$360</w:t>
      </w:r>
      <w:proofErr w:type="spellEnd"/>
      <w:r>
        <w:t xml:space="preserve"> billion </w:t>
      </w:r>
      <w:r w:rsidRPr="003267FA">
        <w:t>(OECD 2013)</w:t>
      </w:r>
      <w:r w:rsidRPr="00463083">
        <w:t>.</w:t>
      </w:r>
      <w:r>
        <w:t xml:space="preserve"> </w:t>
      </w:r>
    </w:p>
    <w:p w:rsidR="00727498" w:rsidRDefault="00727498" w:rsidP="00807D7E">
      <w:pPr>
        <w:pStyle w:val="BodyText"/>
      </w:pPr>
      <w:r>
        <w:t xml:space="preserve">While these figures can be expected to be highly variable across countries, it is clear that the aftermarket is a significant source of sales for the industry overall, and may be even more important in terms of profit. Traditionally, motor vehicle producers and their franchised retailers have generated much of their profit from the sales of parts and services in the aftermarket, rather than through the sales of actual vehicles (Hawker 2011). For example, in 2007 the aftermarket business accounted for about half of the profits of European motor vehicle producers and suppliers, compared to </w:t>
      </w:r>
      <w:r>
        <w:lastRenderedPageBreak/>
        <w:t>26 per cent for new vehicle sales and 18 per cent for vehicle manufacturing (</w:t>
      </w:r>
      <w:proofErr w:type="spellStart"/>
      <w:r>
        <w:t>Capgemini</w:t>
      </w:r>
      <w:proofErr w:type="spellEnd"/>
      <w:r>
        <w:t xml:space="preserve"> Consulting 2010).</w:t>
      </w:r>
    </w:p>
    <w:p w:rsidR="00727498" w:rsidRDefault="00727498" w:rsidP="00807D7E">
      <w:pPr>
        <w:pStyle w:val="BodyText"/>
      </w:pPr>
      <w:r>
        <w:t>A McKinsey &amp; Company analysis of the top 100 automotive suppliers showed that on average, a supplier that received more than 20 per cent of its sales from the aftermarket earned (earnings before interest and tax) margins that averaged nearly 7.5 per cent, while one that relied on the aftermarket for less than 10 per cent of sales had margins of around 3 per cent (McKinsey &amp; Company </w:t>
      </w:r>
      <w:proofErr w:type="spellStart"/>
      <w:r>
        <w:t>2013a</w:t>
      </w:r>
      <w:proofErr w:type="spellEnd"/>
      <w:r>
        <w:t>).</w:t>
      </w:r>
      <w:r w:rsidRPr="00B90C41">
        <w:t xml:space="preserve"> </w:t>
      </w:r>
      <w:r>
        <w:t xml:space="preserve">The global aftermarket sector is expected to grow significantly in the coming years. Much of this growth is expected to come from developing markets such as those in China, India and Eastern Europe </w:t>
      </w:r>
      <w:r w:rsidRPr="008322AB">
        <w:t>(McKinsey &amp; Company </w:t>
      </w:r>
      <w:proofErr w:type="spellStart"/>
      <w:r w:rsidRPr="008322AB">
        <w:t>2013b</w:t>
      </w:r>
      <w:proofErr w:type="spellEnd"/>
      <w:r w:rsidRPr="008322AB">
        <w:t>)</w:t>
      </w:r>
      <w:r>
        <w:t>.</w:t>
      </w:r>
    </w:p>
    <w:p w:rsidR="00727498" w:rsidRPr="000C1CD3" w:rsidRDefault="00727498" w:rsidP="001278ED">
      <w:pPr>
        <w:pStyle w:val="FindingTitle"/>
        <w:framePr w:wrap="notBeside"/>
      </w:pPr>
      <w:r w:rsidRPr="000C1CD3">
        <w:t>Preliminary Finding 2.7</w:t>
      </w:r>
    </w:p>
    <w:p w:rsidR="00727498" w:rsidRDefault="00727498" w:rsidP="001278ED">
      <w:pPr>
        <w:pStyle w:val="Finding"/>
      </w:pPr>
      <w:r w:rsidRPr="000C1CD3">
        <w:t>The global aftermarket components industry is already large, and is expected to grow significantly in the coming years in response to overall growth in the market for motor vehicles. Demand for aftermarket components in any region will not be significantly influenced by the level of local motor vehicle manufacturing.</w:t>
      </w:r>
    </w:p>
    <w:p w:rsidR="00727498" w:rsidRDefault="00727498" w:rsidP="00555020">
      <w:pPr>
        <w:pStyle w:val="Finding"/>
      </w:pPr>
    </w:p>
    <w:p w:rsidR="00727498" w:rsidRPr="00504D43" w:rsidRDefault="00727498" w:rsidP="00BB607A">
      <w:pPr>
        <w:pStyle w:val="Bibliography"/>
      </w:pPr>
    </w:p>
    <w:p w:rsidR="00727498" w:rsidRDefault="00727498" w:rsidP="00727498">
      <w:pPr>
        <w:sectPr w:rsidR="00727498" w:rsidSect="00727498">
          <w:headerReference w:type="even" r:id="rId32"/>
          <w:headerReference w:type="default" r:id="rId33"/>
          <w:footerReference w:type="default" r:id="rId34"/>
          <w:headerReference w:type="first" r:id="rId35"/>
          <w:type w:val="oddPage"/>
          <w:pgSz w:w="11907" w:h="16840" w:code="9"/>
          <w:pgMar w:top="1985" w:right="1304" w:bottom="1418" w:left="1814" w:header="1701" w:footer="567" w:gutter="0"/>
          <w:pgNumType w:chapSep="period"/>
          <w:cols w:space="720"/>
          <w:docGrid w:linePitch="354"/>
        </w:sectPr>
      </w:pPr>
    </w:p>
    <w:p w:rsidR="00727498" w:rsidRDefault="00727498" w:rsidP="00450BA0">
      <w:pPr>
        <w:pStyle w:val="Heading1"/>
      </w:pPr>
      <w:r>
        <w:lastRenderedPageBreak/>
        <w:t>3</w:t>
      </w:r>
      <w:r>
        <w:tab/>
        <w:t>Australia’s automotive manufacturing industry</w:t>
      </w:r>
    </w:p>
    <w:p w:rsidR="00727498" w:rsidRDefault="00727498" w:rsidP="00312C68">
      <w:pPr>
        <w:pStyle w:val="Heading2"/>
      </w:pPr>
      <w:r>
        <w:t>3.</w:t>
      </w:r>
      <w:r>
        <w:rPr>
          <w:noProof/>
        </w:rPr>
        <w:t>1</w:t>
      </w:r>
      <w:r>
        <w:tab/>
        <w:t>Overview of Australia’s automotive manufacturing industry</w:t>
      </w:r>
    </w:p>
    <w:p w:rsidR="00727498" w:rsidRDefault="00727498" w:rsidP="00312C68">
      <w:pPr>
        <w:pStyle w:val="BodyText"/>
      </w:pPr>
      <w:r w:rsidRPr="009A7529">
        <w:t xml:space="preserve">There are </w:t>
      </w:r>
      <w:r>
        <w:t xml:space="preserve">currently </w:t>
      </w:r>
      <w:r w:rsidRPr="009A7529">
        <w:t>three motor vehicle produ</w:t>
      </w:r>
      <w:r>
        <w:t xml:space="preserve">cers </w:t>
      </w:r>
      <w:r w:rsidRPr="009A7529">
        <w:t>in Australia</w:t>
      </w:r>
      <w:r>
        <w:t xml:space="preserve"> — </w:t>
      </w:r>
      <w:r w:rsidRPr="009A7529">
        <w:t>Ford</w:t>
      </w:r>
      <w:r w:rsidRPr="00E00E7A">
        <w:rPr>
          <w:rFonts w:ascii="Arial" w:hAnsi="Arial"/>
          <w:sz w:val="20"/>
        </w:rPr>
        <w:t xml:space="preserve"> </w:t>
      </w:r>
      <w:r w:rsidRPr="00E00E7A">
        <w:t>Motor Company of Australia</w:t>
      </w:r>
      <w:r>
        <w:t xml:space="preserve"> (Ford),</w:t>
      </w:r>
      <w:r w:rsidRPr="009A7529">
        <w:t xml:space="preserve"> </w:t>
      </w:r>
      <w:r>
        <w:t xml:space="preserve">General Motors </w:t>
      </w:r>
      <w:r w:rsidRPr="009A7529">
        <w:t>Holden</w:t>
      </w:r>
      <w:r>
        <w:t xml:space="preserve"> (Holden) and </w:t>
      </w:r>
      <w:r w:rsidRPr="009A7529">
        <w:t>Toyota</w:t>
      </w:r>
      <w:r w:rsidRPr="00D27CD2">
        <w:t xml:space="preserve"> </w:t>
      </w:r>
      <w:r w:rsidRPr="00E00E7A">
        <w:t xml:space="preserve">Motor Corporation Australia </w:t>
      </w:r>
      <w:r>
        <w:t>(Toyota) — all are foreign</w:t>
      </w:r>
      <w:r>
        <w:noBreakHyphen/>
        <w:t>owned subsidiaries of global companies with affiliates in many countries</w:t>
      </w:r>
      <w:r w:rsidRPr="009A7529">
        <w:t>.</w:t>
      </w:r>
      <w:r>
        <w:t xml:space="preserve"> Ford and General Motors Holden have announced they will cease manufacturing in Australia by 2016 and 2017 respectively.</w:t>
      </w:r>
    </w:p>
    <w:p w:rsidR="00727498" w:rsidRDefault="00727498" w:rsidP="002E6C80">
      <w:pPr>
        <w:pStyle w:val="BodyText"/>
      </w:pPr>
      <w:r>
        <w:t xml:space="preserve">The three production plants, combined, currently assemble six models of passenger </w:t>
      </w:r>
      <w:r w:rsidRPr="001A60D8">
        <w:t>motor vehicle</w:t>
      </w:r>
      <w:r>
        <w:t>s. Production is spread across:</w:t>
      </w:r>
    </w:p>
    <w:p w:rsidR="00727498" w:rsidRDefault="00727498" w:rsidP="008A4727">
      <w:pPr>
        <w:pStyle w:val="ListBullet"/>
      </w:pPr>
      <w:r>
        <w:t>two states —</w:t>
      </w:r>
      <w:r w:rsidRPr="001A60D8">
        <w:t xml:space="preserve"> </w:t>
      </w:r>
      <w:r w:rsidRPr="009A7529">
        <w:t>Victoria (Ford and Toyota) and South Australia (Holden)</w:t>
      </w:r>
    </w:p>
    <w:p w:rsidR="00727498" w:rsidRDefault="00727498" w:rsidP="008A4727">
      <w:pPr>
        <w:pStyle w:val="ListBullet"/>
      </w:pPr>
      <w:r>
        <w:t>four market segments —</w:t>
      </w:r>
      <w:r w:rsidRPr="00537CEB">
        <w:t xml:space="preserve"> small car (Holden </w:t>
      </w:r>
      <w:proofErr w:type="spellStart"/>
      <w:r w:rsidRPr="00537CEB">
        <w:t>Cruze</w:t>
      </w:r>
      <w:proofErr w:type="spellEnd"/>
      <w:r w:rsidRPr="00537CEB">
        <w:t>)</w:t>
      </w:r>
      <w:r>
        <w:t>,</w:t>
      </w:r>
      <w:r w:rsidRPr="00537CEB">
        <w:t xml:space="preserve"> medium</w:t>
      </w:r>
      <w:r>
        <w:noBreakHyphen/>
      </w:r>
      <w:r w:rsidRPr="00537CEB">
        <w:t>sized car (Toyota Camry)</w:t>
      </w:r>
      <w:r>
        <w:t>,</w:t>
      </w:r>
      <w:r w:rsidRPr="00537CEB">
        <w:t xml:space="preserve"> large car (Ford Falcon, Holden Commodore and Toyota </w:t>
      </w:r>
      <w:proofErr w:type="spellStart"/>
      <w:r w:rsidRPr="00537CEB">
        <w:t>Aurion</w:t>
      </w:r>
      <w:proofErr w:type="spellEnd"/>
      <w:r w:rsidRPr="00537CEB">
        <w:t>) and sports utility vehicle (SUV) (Ford Territory)</w:t>
      </w:r>
      <w:r w:rsidR="0092730B">
        <w:t>.</w:t>
      </w:r>
    </w:p>
    <w:p w:rsidR="00727498" w:rsidRDefault="00727498" w:rsidP="008A4727">
      <w:pPr>
        <w:pStyle w:val="BodyText"/>
      </w:pPr>
      <w:r>
        <w:t>The three producers</w:t>
      </w:r>
      <w:r w:rsidRPr="009A7529">
        <w:t xml:space="preserve"> </w:t>
      </w:r>
      <w:r>
        <w:t xml:space="preserve">also </w:t>
      </w:r>
      <w:r w:rsidRPr="009A7529">
        <w:t>manufacture engines and undertake vehicle</w:t>
      </w:r>
      <w:r>
        <w:t xml:space="preserve"> </w:t>
      </w:r>
      <w:r w:rsidRPr="009A7529">
        <w:t>design and engineering in specialty centres located in Victoria.</w:t>
      </w:r>
    </w:p>
    <w:p w:rsidR="00727498" w:rsidRPr="004D3D17" w:rsidRDefault="00727498" w:rsidP="002E6C80">
      <w:pPr>
        <w:pStyle w:val="BodyText"/>
      </w:pPr>
      <w:r>
        <w:t>Around 200 000 vehicles were produced in Australia in 2012. This accounted for one quarter of one per cent of global vehicle production in that year (chapter 2).</w:t>
      </w:r>
    </w:p>
    <w:p w:rsidR="00727498" w:rsidRDefault="00727498" w:rsidP="00685D3A">
      <w:pPr>
        <w:pStyle w:val="BodyText"/>
      </w:pPr>
      <w:r>
        <w:t>There is a complex logistical supply chain of about</w:t>
      </w:r>
      <w:r w:rsidRPr="002172C7">
        <w:t xml:space="preserve"> 160 businesses that </w:t>
      </w:r>
      <w:r>
        <w:t xml:space="preserve">are involved in the engineering, design, tooling and manufacturing of automotive components </w:t>
      </w:r>
      <w:r w:rsidRPr="00B55817">
        <w:rPr>
          <w:szCs w:val="24"/>
        </w:rPr>
        <w:t>(</w:t>
      </w:r>
      <w:proofErr w:type="spellStart"/>
      <w:r w:rsidRPr="00B55817">
        <w:rPr>
          <w:szCs w:val="24"/>
        </w:rPr>
        <w:t>FAPM</w:t>
      </w:r>
      <w:proofErr w:type="spellEnd"/>
      <w:r w:rsidRPr="00B55817">
        <w:rPr>
          <w:szCs w:val="24"/>
        </w:rPr>
        <w:t> 2013)</w:t>
      </w:r>
      <w:r>
        <w:t xml:space="preserve"> and there are at least 260 </w:t>
      </w:r>
      <w:r w:rsidRPr="002172C7">
        <w:t xml:space="preserve">businesses that </w:t>
      </w:r>
      <w:r>
        <w:t xml:space="preserve">manufacture </w:t>
      </w:r>
      <w:r w:rsidRPr="002172C7">
        <w:t>components and a</w:t>
      </w:r>
      <w:r>
        <w:t>ccessories for the aftermarket (</w:t>
      </w:r>
      <w:proofErr w:type="spellStart"/>
      <w:r>
        <w:t>AAAA</w:t>
      </w:r>
      <w:proofErr w:type="spellEnd"/>
      <w:r>
        <w:t>, sub. 54)</w:t>
      </w:r>
      <w:r w:rsidRPr="002172C7">
        <w:t>.</w:t>
      </w:r>
    </w:p>
    <w:p w:rsidR="00727498" w:rsidRDefault="00727498" w:rsidP="00685D3A">
      <w:pPr>
        <w:pStyle w:val="BodyText"/>
      </w:pPr>
      <w:r>
        <w:t>Australia has a comparatively small industry sector that manufactures trucks —</w:t>
      </w:r>
      <w:r w:rsidRPr="005A3CF8">
        <w:t xml:space="preserve">PACCAR and </w:t>
      </w:r>
      <w:proofErr w:type="spellStart"/>
      <w:r w:rsidRPr="005A3CF8">
        <w:t>Iveco</w:t>
      </w:r>
      <w:proofErr w:type="spellEnd"/>
      <w:r w:rsidRPr="005A3CF8">
        <w:t xml:space="preserve"> in Victoria, and Volvo</w:t>
      </w:r>
      <w:r>
        <w:t xml:space="preserve"> </w:t>
      </w:r>
      <w:r w:rsidRPr="005A3CF8">
        <w:t>in Queensland.</w:t>
      </w:r>
      <w:r>
        <w:t xml:space="preserve"> There are also 15 bus manufacturers throughout Australia </w:t>
      </w:r>
      <w:r w:rsidRPr="00E65113">
        <w:rPr>
          <w:szCs w:val="24"/>
        </w:rPr>
        <w:t>(</w:t>
      </w:r>
      <w:proofErr w:type="spellStart"/>
      <w:r w:rsidRPr="00E65113">
        <w:rPr>
          <w:szCs w:val="24"/>
        </w:rPr>
        <w:t>OzeBus</w:t>
      </w:r>
      <w:proofErr w:type="spellEnd"/>
      <w:r w:rsidRPr="00E65113">
        <w:rPr>
          <w:szCs w:val="24"/>
        </w:rPr>
        <w:t> 2013)</w:t>
      </w:r>
      <w:r>
        <w:t>.</w:t>
      </w:r>
    </w:p>
    <w:p w:rsidR="00727498" w:rsidRDefault="00727498" w:rsidP="00701F4A">
      <w:pPr>
        <w:pStyle w:val="Heading2"/>
      </w:pPr>
      <w:r>
        <w:lastRenderedPageBreak/>
        <w:t>3.</w:t>
      </w:r>
      <w:r>
        <w:rPr>
          <w:noProof/>
        </w:rPr>
        <w:t>2</w:t>
      </w:r>
      <w:r>
        <w:tab/>
        <w:t>Automotive manufacturing in the broader manufacturing context</w:t>
      </w:r>
    </w:p>
    <w:p w:rsidR="00727498" w:rsidRDefault="00727498" w:rsidP="007C36DA">
      <w:pPr>
        <w:pStyle w:val="Heading3"/>
        <w:spacing w:before="280"/>
      </w:pPr>
      <w:r>
        <w:t>Trends in the manufacturing sector</w:t>
      </w:r>
    </w:p>
    <w:p w:rsidR="00727498" w:rsidRDefault="00727498" w:rsidP="007C36DA">
      <w:pPr>
        <w:pStyle w:val="BodyText"/>
        <w:keepNext/>
      </w:pPr>
      <w:r>
        <w:t xml:space="preserve">The manufacturing sector is one of the largest contributors to the market sector of the Australian economy. Relative to the other 15 sectors that make up the Australian market sector, in </w:t>
      </w:r>
      <w:r w:rsidRPr="00DA5E31">
        <w:t>2012</w:t>
      </w:r>
      <w:r>
        <w:noBreakHyphen/>
      </w:r>
      <w:r w:rsidRPr="00DA5E31">
        <w:t>13</w:t>
      </w:r>
      <w:r>
        <w:t xml:space="preserve"> the manufacturing sector:</w:t>
      </w:r>
    </w:p>
    <w:p w:rsidR="00727498" w:rsidRDefault="00727498" w:rsidP="00A07B01">
      <w:pPr>
        <w:pStyle w:val="ListBullet"/>
      </w:pPr>
      <w:r>
        <w:t>contributed the fifth largest share of value added</w:t>
      </w:r>
      <w:r w:rsidRPr="00624707">
        <w:rPr>
          <w:rStyle w:val="FootnoteReference"/>
        </w:rPr>
        <w:footnoteReference w:id="3"/>
      </w:r>
    </w:p>
    <w:p w:rsidR="00727498" w:rsidRDefault="00727498" w:rsidP="00A07B01">
      <w:pPr>
        <w:pStyle w:val="ListBullet"/>
      </w:pPr>
      <w:r>
        <w:t>had the second largest share of hours worked</w:t>
      </w:r>
    </w:p>
    <w:p w:rsidR="00727498" w:rsidRDefault="00727498" w:rsidP="00A07B01">
      <w:pPr>
        <w:pStyle w:val="ListBullet"/>
      </w:pPr>
      <w:r>
        <w:t>was the third largest employer (in terms of number employed)</w:t>
      </w:r>
    </w:p>
    <w:p w:rsidR="00727498" w:rsidRDefault="00727498" w:rsidP="00A07B01">
      <w:pPr>
        <w:pStyle w:val="ListBullet"/>
      </w:pPr>
      <w:r>
        <w:t>had the fourth largest share of investment, and the fifth largest share of net capital stock.</w:t>
      </w:r>
    </w:p>
    <w:p w:rsidR="00727498" w:rsidRDefault="00727498" w:rsidP="00A07B01">
      <w:pPr>
        <w:pStyle w:val="BodyText"/>
      </w:pPr>
      <w:r w:rsidRPr="004E510D">
        <w:t>Over the long term, the level of real value added from manufacturing has steadily increased, before plateauing over the past decade (</w:t>
      </w:r>
      <w:r>
        <w:t>figure 3.1</w:t>
      </w:r>
      <w:r w:rsidRPr="004E510D">
        <w:t xml:space="preserve">). </w:t>
      </w:r>
      <w:r>
        <w:t>Despite this plateauing, manufacturing real value added is still larger now than it was in 2000</w:t>
      </w:r>
      <w:r>
        <w:noBreakHyphen/>
        <w:t xml:space="preserve">01. </w:t>
      </w:r>
      <w:r w:rsidRPr="004E510D">
        <w:t xml:space="preserve">Investment in manufacturing grew </w:t>
      </w:r>
      <w:r>
        <w:t>between 1985</w:t>
      </w:r>
      <w:r>
        <w:noBreakHyphen/>
        <w:t>86 and 2005</w:t>
      </w:r>
      <w:r>
        <w:noBreakHyphen/>
        <w:t>06</w:t>
      </w:r>
      <w:r w:rsidRPr="004E510D">
        <w:t xml:space="preserve">. While investment </w:t>
      </w:r>
      <w:r>
        <w:t xml:space="preserve">in the manufacturing sector </w:t>
      </w:r>
      <w:r w:rsidRPr="004E510D">
        <w:t xml:space="preserve">declined around the </w:t>
      </w:r>
      <w:r>
        <w:t xml:space="preserve">time of the </w:t>
      </w:r>
      <w:r w:rsidRPr="004E510D">
        <w:t>global financial crisis, in 2012</w:t>
      </w:r>
      <w:r>
        <w:noBreakHyphen/>
      </w:r>
      <w:r w:rsidRPr="004E510D">
        <w:t>13 it was still higher than in 200</w:t>
      </w:r>
      <w:r>
        <w:t>0</w:t>
      </w:r>
      <w:r>
        <w:noBreakHyphen/>
      </w:r>
      <w:r w:rsidRPr="004E510D">
        <w:t>0</w:t>
      </w:r>
      <w:r>
        <w:t>1</w:t>
      </w:r>
      <w:r w:rsidRPr="004E510D">
        <w:t xml:space="preserve">. </w:t>
      </w:r>
      <w:r>
        <w:t xml:space="preserve">Capital deepening supported the level of production, despite a steady decline in employment </w:t>
      </w:r>
      <w:r>
        <w:rPr>
          <w:szCs w:val="24"/>
        </w:rPr>
        <w:t>(Barnes </w:t>
      </w:r>
      <w:r w:rsidRPr="001A4FF0">
        <w:rPr>
          <w:szCs w:val="24"/>
        </w:rPr>
        <w:t>et al. 2013)</w:t>
      </w:r>
      <w:r>
        <w:t>.</w:t>
      </w:r>
    </w:p>
    <w:p w:rsidR="00727498" w:rsidRPr="004E510D" w:rsidRDefault="00727498" w:rsidP="00A07B01">
      <w:pPr>
        <w:pStyle w:val="BodyText"/>
      </w:pPr>
      <w:r w:rsidRPr="0073500A">
        <w:t>The greater growth of other sectors, such as mining</w:t>
      </w:r>
      <w:r>
        <w:t xml:space="preserve"> and the services sector</w:t>
      </w:r>
      <w:r w:rsidRPr="0073500A">
        <w:t>, has resulted in manufacturing recording a relative decline in its sha</w:t>
      </w:r>
      <w:r>
        <w:t>re of market sector value added and investment, as well as employment</w:t>
      </w:r>
      <w:r w:rsidRPr="0073500A">
        <w:t xml:space="preserve">. </w:t>
      </w:r>
      <w:r>
        <w:t>The declining share of the manufacturing sector as a proportion of GDP is a common trend across developed countries. Nonetheless</w:t>
      </w:r>
      <w:r w:rsidRPr="0073500A">
        <w:t xml:space="preserve">, </w:t>
      </w:r>
      <w:r>
        <w:t>manufacturing</w:t>
      </w:r>
      <w:r w:rsidRPr="0073500A">
        <w:t xml:space="preserve"> remains one of the largest contributors to the market sector of the Australian economy. </w:t>
      </w:r>
      <w:r>
        <w:t>Some of the strongest performers in the manufacturing sector have been</w:t>
      </w:r>
      <w:r w:rsidRPr="0073500A">
        <w:t xml:space="preserve"> pharmaceutical and medicinal product manufacturing and professional and scientific equipment manufacturing</w:t>
      </w:r>
      <w:r>
        <w:t xml:space="preserve"> </w:t>
      </w:r>
      <w:r w:rsidRPr="007C36DA">
        <w:rPr>
          <w:szCs w:val="24"/>
        </w:rPr>
        <w:t>(ABS 2012)</w:t>
      </w:r>
      <w:r w:rsidRPr="0073500A">
        <w:t>.</w:t>
      </w:r>
    </w:p>
    <w:p w:rsidR="00727498" w:rsidRDefault="00727498" w:rsidP="00701F4A">
      <w:pPr>
        <w:pStyle w:val="FigureTitle"/>
      </w:pPr>
      <w:r>
        <w:rPr>
          <w:b w:val="0"/>
        </w:rPr>
        <w:lastRenderedPageBreak/>
        <w:t xml:space="preserve">Figure </w:t>
      </w:r>
      <w:bookmarkStart w:id="4" w:name="OLE_LINK10"/>
      <w:r>
        <w:rPr>
          <w:b w:val="0"/>
        </w:rPr>
        <w:t>3.</w:t>
      </w:r>
      <w:r>
        <w:rPr>
          <w:b w:val="0"/>
          <w:noProof/>
        </w:rPr>
        <w:t>1</w:t>
      </w:r>
      <w:bookmarkEnd w:id="4"/>
      <w:r>
        <w:tab/>
        <w:t>Changes in manufacturing activity, 1985</w:t>
      </w:r>
      <w:r>
        <w:noBreakHyphen/>
        <w:t>86 to 2012</w:t>
      </w:r>
      <w:r>
        <w:noBreakHyphen/>
        <w:t>13</w:t>
      </w:r>
      <w:r w:rsidRPr="007C36DA">
        <w:rPr>
          <w:rStyle w:val="NoteLabel"/>
          <w:b/>
        </w:rPr>
        <w:t>a</w:t>
      </w:r>
    </w:p>
    <w:p w:rsidR="00727498" w:rsidRDefault="00727498" w:rsidP="00701F4A">
      <w:pPr>
        <w:pStyle w:val="Subtitle"/>
      </w:pPr>
      <w:r>
        <w:t>Index 1985</w:t>
      </w:r>
      <w:r>
        <w:noBreakHyphen/>
        <w:t>86 = 100</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727498" w:rsidTr="007A122F">
        <w:tc>
          <w:tcPr>
            <w:tcW w:w="8777" w:type="dxa"/>
          </w:tcPr>
          <w:p w:rsidR="00727498" w:rsidRDefault="00727498" w:rsidP="007A122F">
            <w:pPr>
              <w:pStyle w:val="Figure"/>
            </w:pPr>
            <w:r>
              <w:rPr>
                <w:noProof/>
              </w:rPr>
              <w:drawing>
                <wp:inline distT="0" distB="0" distL="0" distR="0" wp14:anchorId="0CBF5337" wp14:editId="22E816B3">
                  <wp:extent cx="5048250" cy="2533650"/>
                  <wp:effectExtent l="0" t="0" r="0" b="0"/>
                  <wp:docPr id="34" name="Chart 34" descr="A chart showing a 120 per cent increase in gross fixed capital formation, 40 per cent increase in gross value added and 10 per cent decrease in the number of people employed in the manufacturing sector between 1985-86 and 2012-13." title="Changes in manufacturing activity, 1985-86 to 2012-13"/>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tc>
      </w:tr>
    </w:tbl>
    <w:p w:rsidR="00727498" w:rsidRPr="00532CF9" w:rsidRDefault="00727498" w:rsidP="00FD130E">
      <w:pPr>
        <w:pStyle w:val="Note"/>
      </w:pPr>
      <w:proofErr w:type="spellStart"/>
      <w:r w:rsidRPr="00BE20CB">
        <w:rPr>
          <w:rStyle w:val="NoteLabel"/>
        </w:rPr>
        <w:t>a</w:t>
      </w:r>
      <w:proofErr w:type="spellEnd"/>
      <w:r>
        <w:t> Employment numbers are annualised averages of the four quarters to May each year. Both gross fixed capital formation and gross value added numbers are in real terms.</w:t>
      </w:r>
    </w:p>
    <w:p w:rsidR="00727498" w:rsidRDefault="00727498" w:rsidP="00727D54">
      <w:pPr>
        <w:pStyle w:val="Source"/>
      </w:pPr>
      <w:r>
        <w:t>Sources</w:t>
      </w:r>
      <w:r w:rsidRPr="00167F06">
        <w:t xml:space="preserve">: </w:t>
      </w:r>
      <w:r>
        <w:t>ABS (National Accounts, 2012</w:t>
      </w:r>
      <w:r>
        <w:noBreakHyphen/>
        <w:t>13, Cat. no. 5204.0); ABS (Labour Force, Australia, Detailed, Quarterly, August 2013, Cat. no. 6291.0.55.003).</w:t>
      </w:r>
    </w:p>
    <w:p w:rsidR="00727498" w:rsidRPr="00701F4A" w:rsidRDefault="00727498" w:rsidP="00F31587">
      <w:pPr>
        <w:pStyle w:val="Heading3"/>
        <w:spacing w:before="360"/>
      </w:pPr>
      <w:r>
        <w:t xml:space="preserve">Manufacturing in Australia is more than just automotive </w:t>
      </w:r>
      <w:r w:rsidRPr="00FD130E">
        <w:t>manufacturing</w:t>
      </w:r>
    </w:p>
    <w:p w:rsidR="00727498" w:rsidRDefault="00727498" w:rsidP="00A86DC1">
      <w:pPr>
        <w:pStyle w:val="BodyText"/>
        <w:rPr>
          <w:spacing w:val="-2"/>
        </w:rPr>
      </w:pPr>
      <w:r>
        <w:rPr>
          <w:spacing w:val="-2"/>
        </w:rPr>
        <w:t>The Australian manufacturing sector is quite diverse — the largest estimated sector share of manufacturing value added at the ‘group’ level in 2011</w:t>
      </w:r>
      <w:r>
        <w:rPr>
          <w:spacing w:val="-2"/>
        </w:rPr>
        <w:noBreakHyphen/>
        <w:t xml:space="preserve">12 was only 5.5 per cent (structural metal product manufacturing) </w:t>
      </w:r>
      <w:r w:rsidRPr="00F31587">
        <w:rPr>
          <w:szCs w:val="24"/>
        </w:rPr>
        <w:t>(ABS 2012)</w:t>
      </w:r>
      <w:r>
        <w:rPr>
          <w:spacing w:val="-2"/>
        </w:rPr>
        <w:t xml:space="preserve">, followed by the automotive manufacturing industry, including components manufacturers, at 5.3 per cent </w:t>
      </w:r>
      <w:r w:rsidRPr="00FB787D">
        <w:rPr>
          <w:spacing w:val="-2"/>
        </w:rPr>
        <w:t>(figure</w:t>
      </w:r>
      <w:r>
        <w:rPr>
          <w:spacing w:val="-2"/>
        </w:rPr>
        <w:t> </w:t>
      </w:r>
      <w:r>
        <w:t>3.2</w:t>
      </w:r>
      <w:r w:rsidRPr="00FB787D">
        <w:rPr>
          <w:spacing w:val="-2"/>
        </w:rPr>
        <w:t>)</w:t>
      </w:r>
      <w:r>
        <w:rPr>
          <w:spacing w:val="-2"/>
        </w:rPr>
        <w:t>. Automotive manufacturing’s contribution to manufacturing hours worked, employment and capital expenditure was around 5 per cent.</w:t>
      </w:r>
    </w:p>
    <w:p w:rsidR="00727498" w:rsidRPr="0053124F" w:rsidRDefault="00727498" w:rsidP="0053124F">
      <w:pPr>
        <w:pStyle w:val="Heading3"/>
      </w:pPr>
      <w:r w:rsidRPr="0053124F">
        <w:t>Automotive manufacturing workers make up around 20 per cent of the broader automotive workforce</w:t>
      </w:r>
    </w:p>
    <w:p w:rsidR="00727498" w:rsidRPr="00CE7CD3" w:rsidRDefault="00727498" w:rsidP="0053124F">
      <w:pPr>
        <w:pStyle w:val="BodyText"/>
        <w:rPr>
          <w:spacing w:val="-2"/>
        </w:rPr>
      </w:pPr>
      <w:r w:rsidRPr="001770BC">
        <w:rPr>
          <w:spacing w:val="-2"/>
        </w:rPr>
        <w:t>In 2013, around 45 000 people</w:t>
      </w:r>
      <w:r>
        <w:rPr>
          <w:spacing w:val="-2"/>
        </w:rPr>
        <w:t xml:space="preserve"> in Australia</w:t>
      </w:r>
      <w:r w:rsidRPr="001770BC">
        <w:rPr>
          <w:spacing w:val="-2"/>
        </w:rPr>
        <w:t xml:space="preserve"> were employed in the manufacture of cars, trucks and buses</w:t>
      </w:r>
      <w:r>
        <w:rPr>
          <w:spacing w:val="-2"/>
        </w:rPr>
        <w:t>,</w:t>
      </w:r>
      <w:r w:rsidRPr="001770BC">
        <w:rPr>
          <w:spacing w:val="-2"/>
        </w:rPr>
        <w:t xml:space="preserve"> as well as automotive engines, automotive electrical components and products for the automotive aftermarket </w:t>
      </w:r>
      <w:r w:rsidRPr="002B559C">
        <w:rPr>
          <w:spacing w:val="-2"/>
        </w:rPr>
        <w:t>(figure 3.2)</w:t>
      </w:r>
      <w:r w:rsidRPr="00CE7CD3">
        <w:rPr>
          <w:spacing w:val="-2"/>
        </w:rPr>
        <w:t>.</w:t>
      </w:r>
    </w:p>
    <w:p w:rsidR="00727498" w:rsidRPr="008B3854" w:rsidRDefault="00727498" w:rsidP="0053124F">
      <w:pPr>
        <w:pStyle w:val="BodyText"/>
      </w:pPr>
      <w:r>
        <w:rPr>
          <w:szCs w:val="26"/>
        </w:rPr>
        <w:t xml:space="preserve">Another 225 000 people were employed in the </w:t>
      </w:r>
      <w:r>
        <w:t>repair, maintenance and wholesaling of motor vehicles and parts, as distinct from the development or production of motor vehicles or automotive components</w:t>
      </w:r>
      <w:r w:rsidRPr="001A4FF0">
        <w:t xml:space="preserve"> </w:t>
      </w:r>
      <w:r w:rsidRPr="00CB3D68">
        <w:rPr>
          <w:szCs w:val="24"/>
        </w:rPr>
        <w:t>(ABS </w:t>
      </w:r>
      <w:proofErr w:type="spellStart"/>
      <w:r w:rsidRPr="00CB3D68">
        <w:rPr>
          <w:szCs w:val="24"/>
        </w:rPr>
        <w:t>2013a</w:t>
      </w:r>
      <w:proofErr w:type="spellEnd"/>
      <w:r w:rsidRPr="00CB3D68">
        <w:rPr>
          <w:szCs w:val="24"/>
        </w:rPr>
        <w:t>)</w:t>
      </w:r>
      <w:r>
        <w:t>. This workforce is thus largely independent from, and not significantly influenced by, the degree of local manufacturing of vehicles in Australia.</w:t>
      </w:r>
      <w:r w:rsidRPr="00CE7CD3">
        <w:rPr>
          <w:spacing w:val="-2"/>
        </w:rPr>
        <w:t xml:space="preserve"> </w:t>
      </w:r>
    </w:p>
    <w:p w:rsidR="00727498" w:rsidRDefault="00727498" w:rsidP="00A86DC1">
      <w:pPr>
        <w:pStyle w:val="FigureTitle"/>
      </w:pPr>
      <w:r>
        <w:rPr>
          <w:b w:val="0"/>
        </w:rPr>
        <w:lastRenderedPageBreak/>
        <w:t xml:space="preserve">Figure </w:t>
      </w:r>
      <w:bookmarkStart w:id="5" w:name="OLE_LINK3"/>
      <w:r>
        <w:rPr>
          <w:b w:val="0"/>
        </w:rPr>
        <w:t>3.</w:t>
      </w:r>
      <w:r>
        <w:rPr>
          <w:b w:val="0"/>
          <w:noProof/>
        </w:rPr>
        <w:t>2</w:t>
      </w:r>
      <w:bookmarkEnd w:id="5"/>
      <w:r>
        <w:tab/>
        <w:t>Contribution of automotive and automotive component manufacturing to total manufacturing in Australia</w:t>
      </w:r>
      <w:r w:rsidRPr="00DE316E">
        <w:rPr>
          <w:rStyle w:val="NoteLabel"/>
          <w:b/>
        </w:rPr>
        <w:t>a</w:t>
      </w:r>
    </w:p>
    <w:tbl>
      <w:tblPr>
        <w:tblW w:w="8778" w:type="dxa"/>
        <w:tblInd w:w="119" w:type="dxa"/>
        <w:tblBorders>
          <w:top w:val="single" w:sz="6" w:space="0" w:color="auto"/>
          <w:bottom w:val="single" w:sz="6" w:space="0" w:color="auto"/>
        </w:tblBorders>
        <w:tblLayout w:type="fixed"/>
        <w:tblLook w:val="0000" w:firstRow="0" w:lastRow="0" w:firstColumn="0" w:lastColumn="0" w:noHBand="0" w:noVBand="0"/>
      </w:tblPr>
      <w:tblGrid>
        <w:gridCol w:w="2926"/>
        <w:gridCol w:w="2926"/>
        <w:gridCol w:w="2926"/>
      </w:tblGrid>
      <w:tr w:rsidR="00727498" w:rsidTr="00CE7CD3">
        <w:tc>
          <w:tcPr>
            <w:tcW w:w="2926" w:type="dxa"/>
            <w:tcBorders>
              <w:top w:val="single" w:sz="6" w:space="0" w:color="auto"/>
              <w:bottom w:val="nil"/>
            </w:tcBorders>
          </w:tcPr>
          <w:p w:rsidR="00727498" w:rsidRDefault="00727498" w:rsidP="00B8058A">
            <w:pPr>
              <w:pStyle w:val="Figure"/>
              <w:rPr>
                <w:rStyle w:val="NoteLabel"/>
              </w:rPr>
            </w:pPr>
            <w:r w:rsidRPr="00683CF7">
              <w:rPr>
                <w:rFonts w:ascii="Arial" w:hAnsi="Arial" w:cs="Arial"/>
                <w:b/>
                <w:sz w:val="20"/>
              </w:rPr>
              <w:t>Value added</w:t>
            </w:r>
            <w:r w:rsidRPr="00701F4A">
              <w:rPr>
                <w:rStyle w:val="NoteLabel"/>
              </w:rPr>
              <w:t>b</w:t>
            </w:r>
          </w:p>
          <w:p w:rsidR="00727498" w:rsidRPr="00CE7CD3" w:rsidRDefault="00727498" w:rsidP="00B8058A">
            <w:pPr>
              <w:pStyle w:val="Figure"/>
              <w:rPr>
                <w:rFonts w:ascii="Arial" w:hAnsi="Arial" w:cs="Arial"/>
                <w:sz w:val="20"/>
              </w:rPr>
            </w:pPr>
            <w:r w:rsidRPr="00EF5002">
              <w:rPr>
                <w:rStyle w:val="NoteLabel"/>
                <w:b w:val="0"/>
              </w:rPr>
              <w:t>5.30 per cent</w:t>
            </w:r>
          </w:p>
          <w:p w:rsidR="00727498" w:rsidRPr="00683CF7" w:rsidRDefault="00727498" w:rsidP="00B8058A">
            <w:pPr>
              <w:pStyle w:val="Figure"/>
              <w:rPr>
                <w:rFonts w:ascii="Arial" w:hAnsi="Arial" w:cs="Arial"/>
                <w:b/>
                <w:sz w:val="20"/>
              </w:rPr>
            </w:pPr>
            <w:r>
              <w:rPr>
                <w:noProof/>
              </w:rPr>
              <w:drawing>
                <wp:inline distT="0" distB="0" distL="0" distR="0" wp14:anchorId="3CBB8537" wp14:editId="00F26950">
                  <wp:extent cx="1409700" cy="1285875"/>
                  <wp:effectExtent l="0" t="0" r="0" b="0"/>
                  <wp:docPr id="21" name="Chart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tc>
        <w:tc>
          <w:tcPr>
            <w:tcW w:w="2926" w:type="dxa"/>
            <w:tcBorders>
              <w:top w:val="single" w:sz="6" w:space="0" w:color="auto"/>
              <w:bottom w:val="nil"/>
            </w:tcBorders>
          </w:tcPr>
          <w:p w:rsidR="00727498" w:rsidRDefault="00727498" w:rsidP="00B8058A">
            <w:pPr>
              <w:pStyle w:val="Figure"/>
              <w:rPr>
                <w:rStyle w:val="NoteLabel"/>
              </w:rPr>
            </w:pPr>
            <w:r w:rsidRPr="00683CF7">
              <w:rPr>
                <w:rFonts w:ascii="Arial" w:hAnsi="Arial" w:cs="Arial"/>
                <w:b/>
                <w:sz w:val="20"/>
              </w:rPr>
              <w:t>Hours worked</w:t>
            </w:r>
            <w:r w:rsidRPr="00701F4A">
              <w:rPr>
                <w:rStyle w:val="NoteLabel"/>
              </w:rPr>
              <w:t>c</w:t>
            </w:r>
          </w:p>
          <w:p w:rsidR="00727498" w:rsidRPr="00CE7CD3" w:rsidRDefault="00727498" w:rsidP="00B8058A">
            <w:pPr>
              <w:pStyle w:val="Figure"/>
              <w:rPr>
                <w:rFonts w:ascii="Arial" w:hAnsi="Arial" w:cs="Arial"/>
                <w:sz w:val="20"/>
              </w:rPr>
            </w:pPr>
            <w:r w:rsidRPr="00EF5002">
              <w:rPr>
                <w:rStyle w:val="NoteLabel"/>
                <w:b w:val="0"/>
              </w:rPr>
              <w:t>4.86 per cent</w:t>
            </w:r>
          </w:p>
          <w:p w:rsidR="00727498" w:rsidRPr="00683CF7" w:rsidRDefault="00727498" w:rsidP="00B8058A">
            <w:pPr>
              <w:pStyle w:val="Figure"/>
              <w:rPr>
                <w:rFonts w:ascii="Arial" w:hAnsi="Arial" w:cs="Arial"/>
                <w:b/>
                <w:sz w:val="20"/>
              </w:rPr>
            </w:pPr>
            <w:r>
              <w:rPr>
                <w:noProof/>
              </w:rPr>
              <w:drawing>
                <wp:inline distT="0" distB="0" distL="0" distR="0" wp14:anchorId="6EBEC128" wp14:editId="270503FC">
                  <wp:extent cx="1390650" cy="1285875"/>
                  <wp:effectExtent l="0" t="0" r="0" b="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tc>
        <w:tc>
          <w:tcPr>
            <w:tcW w:w="2926" w:type="dxa"/>
            <w:tcBorders>
              <w:top w:val="single" w:sz="6" w:space="0" w:color="auto"/>
              <w:bottom w:val="nil"/>
            </w:tcBorders>
          </w:tcPr>
          <w:p w:rsidR="00727498" w:rsidRDefault="00727498" w:rsidP="00B8058A">
            <w:pPr>
              <w:pStyle w:val="Figure"/>
              <w:rPr>
                <w:rStyle w:val="NoteLabel"/>
              </w:rPr>
            </w:pPr>
            <w:r>
              <w:rPr>
                <w:rFonts w:ascii="Arial" w:hAnsi="Arial" w:cs="Arial"/>
                <w:b/>
                <w:sz w:val="20"/>
              </w:rPr>
              <w:t>Capital expenditure</w:t>
            </w:r>
            <w:r w:rsidRPr="00701F4A">
              <w:rPr>
                <w:rStyle w:val="NoteLabel"/>
              </w:rPr>
              <w:t>d</w:t>
            </w:r>
          </w:p>
          <w:p w:rsidR="00727498" w:rsidRPr="00EF5002" w:rsidRDefault="00727498" w:rsidP="00B8058A">
            <w:pPr>
              <w:pStyle w:val="Figure"/>
              <w:rPr>
                <w:rStyle w:val="NoteLabel"/>
                <w:b w:val="0"/>
              </w:rPr>
            </w:pPr>
            <w:r w:rsidRPr="00EF5002">
              <w:rPr>
                <w:rStyle w:val="NoteLabel"/>
                <w:b w:val="0"/>
              </w:rPr>
              <w:t>5.05 per cent</w:t>
            </w:r>
          </w:p>
          <w:p w:rsidR="00727498" w:rsidRDefault="00727498" w:rsidP="00B8058A">
            <w:pPr>
              <w:pStyle w:val="Figure"/>
              <w:rPr>
                <w:noProof/>
                <w:lang w:val="en-GB" w:eastAsia="en-GB"/>
              </w:rPr>
            </w:pPr>
            <w:r>
              <w:rPr>
                <w:noProof/>
              </w:rPr>
              <w:drawing>
                <wp:inline distT="0" distB="0" distL="0" distR="0" wp14:anchorId="0676A182" wp14:editId="101EAC3B">
                  <wp:extent cx="1419225" cy="1285875"/>
                  <wp:effectExtent l="0" t="0" r="0" b="0"/>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tc>
      </w:tr>
      <w:tr w:rsidR="00727498" w:rsidTr="001A4FF0">
        <w:trPr>
          <w:trHeight w:hRule="exact" w:val="4535"/>
        </w:trPr>
        <w:tc>
          <w:tcPr>
            <w:tcW w:w="8778" w:type="dxa"/>
            <w:gridSpan w:val="3"/>
            <w:tcBorders>
              <w:top w:val="nil"/>
              <w:bottom w:val="single" w:sz="6" w:space="0" w:color="auto"/>
            </w:tcBorders>
          </w:tcPr>
          <w:p w:rsidR="00727498" w:rsidRDefault="00727498" w:rsidP="00EB5B31">
            <w:pPr>
              <w:pStyle w:val="Figure"/>
              <w:rPr>
                <w:rStyle w:val="NoteLabel"/>
              </w:rPr>
            </w:pPr>
            <w:r>
              <w:rPr>
                <w:rFonts w:ascii="Arial" w:hAnsi="Arial" w:cs="Arial"/>
                <w:b/>
                <w:sz w:val="20"/>
              </w:rPr>
              <w:t>Employment</w:t>
            </w:r>
          </w:p>
          <w:p w:rsidR="00727498" w:rsidRPr="00CE7CD3" w:rsidRDefault="00727498" w:rsidP="00EB5B31">
            <w:pPr>
              <w:pStyle w:val="Figure"/>
              <w:rPr>
                <w:rFonts w:ascii="Arial" w:hAnsi="Arial" w:cs="Arial"/>
                <w:sz w:val="20"/>
              </w:rPr>
            </w:pPr>
            <w:r w:rsidRPr="00EF5002">
              <w:rPr>
                <w:rStyle w:val="NoteLabel"/>
                <w:b w:val="0"/>
              </w:rPr>
              <w:t>4.</w:t>
            </w:r>
            <w:r>
              <w:rPr>
                <w:rStyle w:val="NoteLabel"/>
                <w:b w:val="0"/>
              </w:rPr>
              <w:t>77</w:t>
            </w:r>
            <w:r w:rsidRPr="00EF5002">
              <w:rPr>
                <w:rStyle w:val="NoteLabel"/>
                <w:b w:val="0"/>
              </w:rPr>
              <w:t xml:space="preserve"> per cent</w:t>
            </w:r>
          </w:p>
          <w:p w:rsidR="00727498" w:rsidRPr="00701F4A" w:rsidRDefault="00727498" w:rsidP="00746858">
            <w:pPr>
              <w:pStyle w:val="Figure"/>
              <w:rPr>
                <w:rStyle w:val="NoteLabel"/>
              </w:rPr>
            </w:pPr>
            <w:r w:rsidRPr="00A90564">
              <w:rPr>
                <w:rStyle w:val="NoteLabel"/>
                <w:noProof/>
              </w:rPr>
              <w:drawing>
                <wp:inline distT="0" distB="0" distL="0" distR="0" wp14:anchorId="03C20929" wp14:editId="45E62670">
                  <wp:extent cx="5267325" cy="2222500"/>
                  <wp:effectExtent l="0" t="0" r="0" b="6350"/>
                  <wp:docPr id="24" name="Chart 24" descr="Four pie charts showing the share of automotive manufacturing in total manufacturing value added (5.30 per cent), hours worked (4.86 per cent), capital expenditure (5.05 per cent) and employment (4.77 per cent, or 45 026 of 943 790 employees).  " title="Contribution of automotive and automotive component manufacturing to total manufacturing in Australia"/>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tc>
      </w:tr>
    </w:tbl>
    <w:p w:rsidR="00727498" w:rsidRDefault="00727498" w:rsidP="00A86DC1">
      <w:pPr>
        <w:pStyle w:val="Note"/>
      </w:pPr>
      <w:proofErr w:type="spellStart"/>
      <w:r>
        <w:rPr>
          <w:rStyle w:val="NoteLabel"/>
        </w:rPr>
        <w:t>a</w:t>
      </w:r>
      <w:proofErr w:type="spellEnd"/>
      <w:r w:rsidRPr="00DE316E">
        <w:t xml:space="preserve"> </w:t>
      </w:r>
      <w:r>
        <w:t xml:space="preserve">The portion of Australian manufacturing activity attributed to </w:t>
      </w:r>
      <w:r w:rsidRPr="00240299">
        <w:rPr>
          <w:i/>
        </w:rPr>
        <w:t xml:space="preserve">Australia and New Zealand Standard Industrial Classification 2006 </w:t>
      </w:r>
      <w:r>
        <w:t>(</w:t>
      </w:r>
      <w:proofErr w:type="spellStart"/>
      <w:r>
        <w:t>ANZSIC06</w:t>
      </w:r>
      <w:proofErr w:type="spellEnd"/>
      <w:r>
        <w:t xml:space="preserve">) Group 231 — motor vehicle and motor vehicle part manufacturing — is represented by the dark segment of each chart. </w:t>
      </w:r>
      <w:r>
        <w:rPr>
          <w:rStyle w:val="NoteLabel"/>
        </w:rPr>
        <w:t>b</w:t>
      </w:r>
      <w:r>
        <w:t xml:space="preserve"> 2011</w:t>
      </w:r>
      <w:r>
        <w:noBreakHyphen/>
        <w:t xml:space="preserve">12, current dollars. </w:t>
      </w:r>
      <w:r>
        <w:rPr>
          <w:rStyle w:val="NoteLabel"/>
        </w:rPr>
        <w:t>c</w:t>
      </w:r>
      <w:r>
        <w:t xml:space="preserve"> For the year ending August 2013. </w:t>
      </w:r>
      <w:r>
        <w:rPr>
          <w:rStyle w:val="NoteLabel"/>
        </w:rPr>
        <w:t>d</w:t>
      </w:r>
      <w:r>
        <w:t xml:space="preserve"> Share of manufacturing private new capital expenditure attributed to </w:t>
      </w:r>
      <w:r w:rsidRPr="00716CED">
        <w:rPr>
          <w:i/>
        </w:rPr>
        <w:t>Transport Equipment</w:t>
      </w:r>
      <w:r>
        <w:t xml:space="preserve"> ABS subdivision, which is comprised of the </w:t>
      </w:r>
      <w:r w:rsidRPr="00716CED">
        <w:rPr>
          <w:i/>
        </w:rPr>
        <w:t>Machinery and Equipment Manufacturing</w:t>
      </w:r>
      <w:r>
        <w:t xml:space="preserve"> subsector and the </w:t>
      </w:r>
      <w:r w:rsidRPr="00716CED">
        <w:rPr>
          <w:i/>
        </w:rPr>
        <w:t>Transport Equipment Manufacturing</w:t>
      </w:r>
      <w:r>
        <w:t xml:space="preserve"> subsector (which includes the motor vehicle and motor vehicle part manufacturing </w:t>
      </w:r>
      <w:proofErr w:type="spellStart"/>
      <w:r>
        <w:t>ANZSIC06</w:t>
      </w:r>
      <w:proofErr w:type="spellEnd"/>
      <w:r>
        <w:t xml:space="preserve"> Group). </w:t>
      </w:r>
      <w:r w:rsidRPr="00CE7CD3">
        <w:rPr>
          <w:rStyle w:val="NoteLabel"/>
        </w:rPr>
        <w:t>e</w:t>
      </w:r>
      <w:r>
        <w:t xml:space="preserve"> </w:t>
      </w:r>
      <w:r w:rsidRPr="00723E5B">
        <w:t>Includes all motor vehicle, van, truck and bus manufacturing, vehicle body and trailer manufacture</w:t>
      </w:r>
      <w:r>
        <w:t>,</w:t>
      </w:r>
      <w:r w:rsidRPr="00723E5B">
        <w:t xml:space="preserve"> and the manufacture of parts and components</w:t>
      </w:r>
      <w:r>
        <w:t>.</w:t>
      </w:r>
    </w:p>
    <w:p w:rsidR="00727498" w:rsidRDefault="00727498" w:rsidP="00A86DC1">
      <w:pPr>
        <w:pStyle w:val="Source"/>
      </w:pPr>
      <w:r>
        <w:rPr>
          <w:i/>
        </w:rPr>
        <w:t>Sources</w:t>
      </w:r>
      <w:r>
        <w:t>: ABS (</w:t>
      </w:r>
      <w:r>
        <w:rPr>
          <w:i/>
        </w:rPr>
        <w:t>Australian Industry, 2011</w:t>
      </w:r>
      <w:r>
        <w:rPr>
          <w:i/>
        </w:rPr>
        <w:noBreakHyphen/>
        <w:t>12</w:t>
      </w:r>
      <w:r>
        <w:t>, Cat. no. 8155.0); ABS (</w:t>
      </w:r>
      <w:r>
        <w:rPr>
          <w:i/>
        </w:rPr>
        <w:t>Labour Force, Australia, Detailed, Quarterly, August 2013</w:t>
      </w:r>
      <w:r>
        <w:t>, Cat. no. 6291.0.55.003); ABS (</w:t>
      </w:r>
      <w:r>
        <w:rPr>
          <w:i/>
        </w:rPr>
        <w:t>Private New Capital Expenditure and Expected Expenditure, Australia</w:t>
      </w:r>
      <w:r>
        <w:t xml:space="preserve">, Cat. no. 5625.0). </w:t>
      </w:r>
    </w:p>
    <w:p w:rsidR="00727498" w:rsidRDefault="00727498" w:rsidP="00F92227">
      <w:pPr>
        <w:pStyle w:val="FindingTitle"/>
        <w:framePr w:wrap="auto"/>
      </w:pPr>
      <w:r w:rsidRPr="00187BB7">
        <w:lastRenderedPageBreak/>
        <w:t>preli</w:t>
      </w:r>
      <w:r>
        <w:t>minary Finding 3.</w:t>
      </w:r>
      <w:r>
        <w:rPr>
          <w:noProof/>
        </w:rPr>
        <w:t>1</w:t>
      </w:r>
    </w:p>
    <w:p w:rsidR="00727498" w:rsidRPr="000C1CD3" w:rsidRDefault="00727498" w:rsidP="009F720F">
      <w:pPr>
        <w:pStyle w:val="Finding"/>
        <w:keepNext/>
      </w:pPr>
      <w:r w:rsidRPr="000C1CD3">
        <w:t>In 2013, around 45 000 people were employed in the manufacture of cars, trucks and buses</w:t>
      </w:r>
      <w:r>
        <w:t>,</w:t>
      </w:r>
      <w:r w:rsidRPr="000C1CD3">
        <w:t xml:space="preserve"> as well as automotive engines, automotive electrical components and products for the automotive aftermarket.</w:t>
      </w:r>
    </w:p>
    <w:p w:rsidR="00727498" w:rsidRPr="00453844" w:rsidRDefault="00727498" w:rsidP="00566388">
      <w:pPr>
        <w:pStyle w:val="Finding"/>
      </w:pPr>
      <w:r w:rsidRPr="00453844">
        <w:t xml:space="preserve">Another 225 000 people were employed in the repair, maintenance and wholesaling of motor vehicles and parts — these workers are </w:t>
      </w:r>
      <w:r>
        <w:t>not significantly</w:t>
      </w:r>
      <w:r w:rsidRPr="00453844">
        <w:t xml:space="preserve"> influenced by the level of motor vehicle manufacturing undertaken in Australia.</w:t>
      </w:r>
    </w:p>
    <w:p w:rsidR="00727498" w:rsidRDefault="00727498" w:rsidP="00450951">
      <w:pPr>
        <w:pStyle w:val="Heading2"/>
      </w:pPr>
      <w:r>
        <w:t>3.</w:t>
      </w:r>
      <w:r>
        <w:rPr>
          <w:noProof/>
        </w:rPr>
        <w:t>3</w:t>
      </w:r>
      <w:r>
        <w:tab/>
        <w:t>Australia is a high cost producer of vehicles</w:t>
      </w:r>
    </w:p>
    <w:p w:rsidR="00727498" w:rsidRPr="009F720F" w:rsidRDefault="00727498" w:rsidP="00955D33">
      <w:pPr>
        <w:pStyle w:val="BodyText"/>
        <w:rPr>
          <w:spacing w:val="-2"/>
        </w:rPr>
      </w:pPr>
      <w:r w:rsidRPr="009F720F">
        <w:rPr>
          <w:spacing w:val="-2"/>
        </w:rPr>
        <w:t xml:space="preserve">The costs of producing motor vehicles in Australia are high relative to some countries where the three producers in Australia have affiliate operations. Both Holden (sub. 58) and Ford (sub. 65) stated that the cost of motor vehicle manufacturing in Australia is two times higher than in Europe, and four times higher than in Asia (box 3.1), although Holden acknowledged they were taking, as their reference, lower cost assembly plants in Asia and Europe (Holden, trans., p. 198). </w:t>
      </w:r>
    </w:p>
    <w:p w:rsidR="00727498" w:rsidRDefault="00727498" w:rsidP="00955D33">
      <w:pPr>
        <w:pStyle w:val="BodyText"/>
      </w:pPr>
      <w:r>
        <w:t>Holden advised that these higher costs are a result of high input costs (including wages) and the cost of using higher</w:t>
      </w:r>
      <w:r>
        <w:noBreakHyphen/>
        <w:t xml:space="preserve">cost domestic components, or importing other components. High utility costs are another factor increasing the costs of production in Australia (Australian Industry Group, sub. 42; </w:t>
      </w:r>
      <w:proofErr w:type="spellStart"/>
      <w:r>
        <w:t>ROH</w:t>
      </w:r>
      <w:proofErr w:type="spellEnd"/>
      <w:r>
        <w:t xml:space="preserve"> Automotive, sub. 49; Society of Automotive Engineers Australasia, sub. 43). Motor vehicle producers in Australia have noted that substantial cost reductions are needed for Australian assembly operations to be internationally competitive (box 3.1).</w:t>
      </w:r>
    </w:p>
    <w:p w:rsidR="00727498" w:rsidRPr="00CB3D68" w:rsidRDefault="00727498">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27498">
        <w:tc>
          <w:tcPr>
            <w:tcW w:w="8771" w:type="dxa"/>
            <w:tcBorders>
              <w:top w:val="single" w:sz="6" w:space="0" w:color="auto"/>
              <w:bottom w:val="nil"/>
            </w:tcBorders>
          </w:tcPr>
          <w:p w:rsidR="00727498" w:rsidRDefault="00727498">
            <w:pPr>
              <w:pStyle w:val="BoxTitle"/>
            </w:pPr>
            <w:r>
              <w:rPr>
                <w:b w:val="0"/>
              </w:rPr>
              <w:t>Box 3.</w:t>
            </w:r>
            <w:r>
              <w:rPr>
                <w:b w:val="0"/>
                <w:noProof/>
              </w:rPr>
              <w:t>1</w:t>
            </w:r>
            <w:r>
              <w:tab/>
              <w:t>Cost reductions sought by vehicle producers in Australia</w:t>
            </w:r>
          </w:p>
        </w:tc>
      </w:tr>
      <w:tr w:rsidR="00727498">
        <w:trPr>
          <w:cantSplit/>
        </w:trPr>
        <w:tc>
          <w:tcPr>
            <w:tcW w:w="8771" w:type="dxa"/>
            <w:tcBorders>
              <w:top w:val="nil"/>
              <w:left w:val="single" w:sz="6" w:space="0" w:color="auto"/>
              <w:bottom w:val="nil"/>
              <w:right w:val="single" w:sz="6" w:space="0" w:color="auto"/>
            </w:tcBorders>
          </w:tcPr>
          <w:p w:rsidR="00727498" w:rsidRDefault="00727498" w:rsidP="002663DA">
            <w:pPr>
              <w:pStyle w:val="Box"/>
            </w:pPr>
            <w:r>
              <w:t xml:space="preserve">The three producers in Australia all noted that substantial cost reductions would be needed for them to be competitive against other motor vehicle producers (and affiliate operations). </w:t>
            </w:r>
          </w:p>
          <w:p w:rsidR="00727498" w:rsidRPr="00DC0290" w:rsidRDefault="00727498" w:rsidP="00CE7CD3">
            <w:pPr>
              <w:pStyle w:val="BoxQuote"/>
            </w:pPr>
            <w:r w:rsidRPr="002159ED">
              <w:t>… [Toyota] recognised in late 2011 the severity of the factors impacting the Australian manufacturing environment.</w:t>
            </w:r>
            <w:r w:rsidRPr="00DC0290">
              <w:t xml:space="preserve"> … The company has implemented a company</w:t>
            </w:r>
            <w:r>
              <w:noBreakHyphen/>
            </w:r>
            <w:r w:rsidRPr="00DC0290">
              <w:t xml:space="preserve">wide transformation project referred to as </w:t>
            </w:r>
            <w:proofErr w:type="spellStart"/>
            <w:r w:rsidRPr="00DC0290">
              <w:t>TAFBT</w:t>
            </w:r>
            <w:proofErr w:type="spellEnd"/>
            <w:r>
              <w:t xml:space="preserve"> (Toyota Australia Future Business Transformation)</w:t>
            </w:r>
            <w:r w:rsidRPr="00DC0290">
              <w:t xml:space="preserve"> for t</w:t>
            </w:r>
            <w:r>
              <w:t xml:space="preserve">he period 2012 to 2018 aimed at </w:t>
            </w:r>
            <w:r w:rsidRPr="002E6C80">
              <w:t>improving efficiencies and cutting $3800 out of the cost of building a car in Australia,</w:t>
            </w:r>
            <w:r>
              <w:t xml:space="preserve"> </w:t>
            </w:r>
            <w:r w:rsidRPr="002159ED">
              <w:t xml:space="preserve">and, </w:t>
            </w:r>
            <w:r w:rsidRPr="00DC0290">
              <w:t>improvement in organisational and manufacturing efficiencies and maximisation of sales of the locally built Camry/</w:t>
            </w:r>
            <w:proofErr w:type="spellStart"/>
            <w:r w:rsidRPr="00DC0290">
              <w:t>Aurion</w:t>
            </w:r>
            <w:proofErr w:type="spellEnd"/>
            <w:r w:rsidRPr="00DC0290">
              <w:t xml:space="preserve"> in the domestic market. </w:t>
            </w:r>
          </w:p>
          <w:p w:rsidR="00727498" w:rsidRDefault="00727498" w:rsidP="002663DA">
            <w:pPr>
              <w:pStyle w:val="BoxQuote"/>
            </w:pPr>
            <w:r w:rsidRPr="00494B51">
              <w:t xml:space="preserve">The company’s targets are based on the assumption of long term parity between the Australian and US </w:t>
            </w:r>
            <w:r w:rsidRPr="002159ED">
              <w:t>currencies</w:t>
            </w:r>
            <w:r>
              <w:t xml:space="preserve">. (Toyota, sub. 31, pp. 11–12) </w:t>
            </w:r>
          </w:p>
          <w:p w:rsidR="00727498" w:rsidRPr="00E95A6B" w:rsidRDefault="00727498" w:rsidP="0023414E">
            <w:pPr>
              <w:pStyle w:val="Box"/>
            </w:pPr>
            <w:r>
              <w:t>Toyota’s targets are also based on achieving breakeven profit levels at annual production volumes of 80 000 vehicles (Toyota, pers. comm., 18 December 2013).</w:t>
            </w:r>
          </w:p>
          <w:p w:rsidR="00727498" w:rsidRPr="001275D2" w:rsidRDefault="00727498" w:rsidP="002663DA">
            <w:pPr>
              <w:pStyle w:val="BoxQuote"/>
            </w:pPr>
            <w:r w:rsidRPr="001275D2">
              <w:t>Ford’s manufacturing costs in Australia are approximately twice as high as those of a similar facility in Europe and nearly four times greater versus a comparable manufacturing operation located in Asia.</w:t>
            </w:r>
            <w:r>
              <w:t xml:space="preserve"> (Ford, sub. 65, p. 10)</w:t>
            </w:r>
          </w:p>
          <w:p w:rsidR="00727498" w:rsidRDefault="00727498" w:rsidP="002663DA">
            <w:pPr>
              <w:pStyle w:val="BoxQuote"/>
            </w:pPr>
            <w:r w:rsidRPr="001275D2">
              <w:t>Holden/GM pays a significant prem</w:t>
            </w:r>
            <w:r>
              <w:t>ium to manufacture in Australia</w:t>
            </w:r>
            <w:r w:rsidRPr="001275D2">
              <w:t xml:space="preserve"> </w:t>
            </w:r>
            <w:r>
              <w:t>…</w:t>
            </w:r>
            <w:r w:rsidRPr="001275D2">
              <w:t xml:space="preserve"> It is approximately twice as expensive as Europe and f</w:t>
            </w:r>
            <w:r>
              <w:t xml:space="preserve">our times as expensive as Asia </w:t>
            </w:r>
            <w:r w:rsidRPr="001275D2">
              <w:t>… it costs Holden, on average, $3750 more to build cars in Australia, compar</w:t>
            </w:r>
            <w:r>
              <w:t>ed to some other GM plants. (</w:t>
            </w:r>
            <w:r w:rsidRPr="001275D2">
              <w:t>Holden, sub.</w:t>
            </w:r>
            <w:r>
              <w:t> </w:t>
            </w:r>
            <w:r w:rsidRPr="001275D2">
              <w:t>58, p.</w:t>
            </w:r>
            <w:r>
              <w:t> </w:t>
            </w:r>
            <w:r w:rsidRPr="001275D2">
              <w:t>13)</w:t>
            </w:r>
          </w:p>
          <w:p w:rsidR="00727498" w:rsidRDefault="00727498" w:rsidP="003661B6">
            <w:pPr>
              <w:pStyle w:val="Box"/>
            </w:pPr>
            <w:r>
              <w:t>Holden noted that $2000 of this cost gap was due to domestic input costs [of which approximately 80 per cent was due to labour costs], $1500 was due to buying components from local suppliers, and $250 was due to the logistics costs for imported components. Holden also confirmed that this cost gap was benchmarked against General Motors plants in Asia (Holden, trans., p. 198).</w:t>
            </w:r>
          </w:p>
          <w:p w:rsidR="00727498" w:rsidRDefault="00727498" w:rsidP="005E110E">
            <w:pPr>
              <w:pStyle w:val="Box"/>
            </w:pPr>
            <w:r>
              <w:t>Ford noted that it had made its decision to cease manufacturing Australia because it had been unable to find a viable business model:</w:t>
            </w:r>
          </w:p>
          <w:p w:rsidR="00727498" w:rsidRPr="003661B6" w:rsidRDefault="00727498" w:rsidP="00E00E7A">
            <w:pPr>
              <w:pStyle w:val="BoxQuote"/>
            </w:pPr>
            <w:r>
              <w:t>Ford Australia was unable to identify a profitable and sustainable business model to continue to manufacture vehicles in Australia beyond [2016] despite investigating a number of scenarios. (Ford, sub. 65, p. 14)</w:t>
            </w:r>
          </w:p>
        </w:tc>
      </w:tr>
      <w:tr w:rsidR="00727498">
        <w:trPr>
          <w:cantSplit/>
        </w:trPr>
        <w:tc>
          <w:tcPr>
            <w:tcW w:w="8771" w:type="dxa"/>
            <w:tcBorders>
              <w:top w:val="nil"/>
              <w:left w:val="single" w:sz="6" w:space="0" w:color="auto"/>
              <w:bottom w:val="single" w:sz="6" w:space="0" w:color="auto"/>
              <w:right w:val="single" w:sz="6" w:space="0" w:color="auto"/>
            </w:tcBorders>
          </w:tcPr>
          <w:p w:rsidR="00727498" w:rsidRDefault="00727498">
            <w:pPr>
              <w:pStyle w:val="Box"/>
              <w:spacing w:before="0" w:line="120" w:lineRule="exact"/>
            </w:pPr>
          </w:p>
        </w:tc>
      </w:tr>
      <w:tr w:rsidR="00727498" w:rsidRPr="000863A5">
        <w:tc>
          <w:tcPr>
            <w:tcW w:w="8771" w:type="dxa"/>
            <w:tcBorders>
              <w:top w:val="nil"/>
              <w:left w:val="nil"/>
              <w:bottom w:val="nil"/>
              <w:right w:val="nil"/>
            </w:tcBorders>
          </w:tcPr>
          <w:p w:rsidR="00727498" w:rsidRPr="00CB3D68" w:rsidRDefault="00727498" w:rsidP="001A4FF0">
            <w:pPr>
              <w:pStyle w:val="BoxSpaceBelow"/>
            </w:pPr>
          </w:p>
        </w:tc>
      </w:tr>
    </w:tbl>
    <w:p w:rsidR="00727498" w:rsidRDefault="00727498" w:rsidP="00450951">
      <w:pPr>
        <w:pStyle w:val="Heading3"/>
      </w:pPr>
      <w:r>
        <w:t>Labour costs in Australia are relatively high</w:t>
      </w:r>
    </w:p>
    <w:p w:rsidR="00727498" w:rsidRDefault="00727498" w:rsidP="00450951">
      <w:pPr>
        <w:pStyle w:val="BodyText"/>
      </w:pPr>
      <w:r>
        <w:t xml:space="preserve">A number of analysts have compared automotive labour costs across countries, and in each case Australia is among the highest labour cost countries (figure 3.3). According to Morgan Stanley </w:t>
      </w:r>
      <w:r w:rsidRPr="009B08CE">
        <w:t>(2013)</w:t>
      </w:r>
      <w:r>
        <w:t xml:space="preserve"> research, countries such as Germany, Australia, Japan and the United States have significantly higher labour costs than developing countries such as China, India and Thailand. Similarly, the US Bureau of </w:t>
      </w:r>
      <w:proofErr w:type="spellStart"/>
      <w:r>
        <w:t>Labor</w:t>
      </w:r>
      <w:proofErr w:type="spellEnd"/>
      <w:r>
        <w:t xml:space="preserve"> Statistics </w:t>
      </w:r>
      <w:r w:rsidRPr="007C36DA">
        <w:rPr>
          <w:szCs w:val="24"/>
        </w:rPr>
        <w:t>(</w:t>
      </w:r>
      <w:proofErr w:type="spellStart"/>
      <w:r w:rsidRPr="007C36DA">
        <w:rPr>
          <w:szCs w:val="24"/>
        </w:rPr>
        <w:t>BLS</w:t>
      </w:r>
      <w:proofErr w:type="spellEnd"/>
      <w:r w:rsidRPr="007C36DA">
        <w:rPr>
          <w:szCs w:val="24"/>
        </w:rPr>
        <w:t> 2013)</w:t>
      </w:r>
      <w:r>
        <w:t xml:space="preserve"> figures show that Australia has higher automotive wage rates than all countries considered except Germany. Holden stated that input </w:t>
      </w:r>
      <w:r>
        <w:lastRenderedPageBreak/>
        <w:t>cost differences added around $2000 to the cost of producing a vehicle in Australia relative to some other General Motors assembly plants (of which around 80 per cent was due to labour costs) (Holden, trans., p. 207).</w:t>
      </w:r>
    </w:p>
    <w:p w:rsidR="00727498" w:rsidRDefault="00727498" w:rsidP="00450951">
      <w:pPr>
        <w:pStyle w:val="FigureTitle"/>
      </w:pPr>
      <w:r>
        <w:rPr>
          <w:b w:val="0"/>
        </w:rPr>
        <w:t xml:space="preserve">Figure </w:t>
      </w:r>
      <w:bookmarkStart w:id="6" w:name="OLE_LINK23"/>
      <w:bookmarkStart w:id="7" w:name="OLE_LINK4"/>
      <w:r>
        <w:rPr>
          <w:b w:val="0"/>
        </w:rPr>
        <w:t>3.</w:t>
      </w:r>
      <w:bookmarkEnd w:id="6"/>
      <w:r>
        <w:rPr>
          <w:b w:val="0"/>
        </w:rPr>
        <w:t>3</w:t>
      </w:r>
      <w:bookmarkEnd w:id="7"/>
      <w:r>
        <w:tab/>
        <w:t>Hourly labour costs in the automotive industry in selected countries</w:t>
      </w:r>
    </w:p>
    <w:p w:rsidR="00727498" w:rsidRDefault="00727498" w:rsidP="00450951">
      <w:pPr>
        <w:pStyle w:val="Subtitle"/>
      </w:pPr>
      <w:r>
        <w:t>2012</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727498" w:rsidTr="004524EF">
        <w:tc>
          <w:tcPr>
            <w:tcW w:w="8777" w:type="dxa"/>
          </w:tcPr>
          <w:p w:rsidR="00727498" w:rsidRDefault="00727498" w:rsidP="000D7B27">
            <w:pPr>
              <w:pStyle w:val="Figure"/>
            </w:pPr>
            <w:r>
              <w:rPr>
                <w:noProof/>
              </w:rPr>
              <w:t xml:space="preserve"> </w:t>
            </w:r>
            <w:r>
              <w:rPr>
                <w:noProof/>
              </w:rPr>
              <w:drawing>
                <wp:inline distT="0" distB="0" distL="0" distR="0" wp14:anchorId="295D6789" wp14:editId="7F59CC3B">
                  <wp:extent cx="4848225" cy="3041650"/>
                  <wp:effectExtent l="0" t="0" r="0" b="6350"/>
                  <wp:docPr id="10" name="Chart 10" descr="A chart showing how hourly labour costs in the automotive industry vary across countries. Labour costs are relatively high (close to or above $30 per hour) in Australia, Germany, Japan and the United States. Labour costs are substantially lower (less than $10 per hour) in China, India, Mexico and Thailand. Brazil and the Republic of Korea have medium labour costs. " title="Hourly labour costs in the automotive industry in selected countries"/>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tc>
      </w:tr>
    </w:tbl>
    <w:p w:rsidR="00727498" w:rsidRPr="002C336D" w:rsidRDefault="00727498" w:rsidP="002C336D">
      <w:pPr>
        <w:pStyle w:val="Note"/>
      </w:pPr>
      <w:r w:rsidRPr="00CE7CD3">
        <w:rPr>
          <w:i/>
        </w:rPr>
        <w:t>S</w:t>
      </w:r>
      <w:r>
        <w:rPr>
          <w:i/>
        </w:rPr>
        <w:t>ources</w:t>
      </w:r>
      <w:r w:rsidRPr="00167F06">
        <w:t xml:space="preserve">: </w:t>
      </w:r>
      <w:r>
        <w:t xml:space="preserve">Morgan Stanley </w:t>
      </w:r>
      <w:r w:rsidRPr="007B1F04">
        <w:rPr>
          <w:rFonts w:cs="Arial"/>
        </w:rPr>
        <w:t>(2013)</w:t>
      </w:r>
      <w:r>
        <w:t xml:space="preserve">; </w:t>
      </w:r>
      <w:proofErr w:type="spellStart"/>
      <w:r>
        <w:t>BLS</w:t>
      </w:r>
      <w:proofErr w:type="spellEnd"/>
      <w:r>
        <w:t xml:space="preserve"> </w:t>
      </w:r>
      <w:r w:rsidRPr="000D7B27">
        <w:rPr>
          <w:rFonts w:cs="Arial"/>
        </w:rPr>
        <w:t>(2013)</w:t>
      </w:r>
      <w:r>
        <w:t>;</w:t>
      </w:r>
      <w:r w:rsidRPr="002C336D">
        <w:rPr>
          <w:rFonts w:eastAsiaTheme="minorHAnsi" w:cs="Arial"/>
          <w:szCs w:val="18"/>
          <w:lang w:eastAsia="en-US"/>
        </w:rPr>
        <w:t xml:space="preserve"> </w:t>
      </w:r>
      <w:r w:rsidRPr="002C336D">
        <w:t>Commission estimates based on ABS (unpublished Survey of Employee Earnings and Hours data)</w:t>
      </w:r>
      <w:r>
        <w:t>;</w:t>
      </w:r>
      <w:r w:rsidRPr="002C336D">
        <w:t xml:space="preserve"> ABS (</w:t>
      </w:r>
      <w:r w:rsidRPr="002C336D">
        <w:rPr>
          <w:i/>
          <w:iCs/>
        </w:rPr>
        <w:t>Labour Costs, Australia</w:t>
      </w:r>
      <w:r w:rsidRPr="002C336D">
        <w:t xml:space="preserve">, </w:t>
      </w:r>
      <w:r w:rsidRPr="002C336D">
        <w:rPr>
          <w:i/>
          <w:iCs/>
        </w:rPr>
        <w:t>2010</w:t>
      </w:r>
      <w:r>
        <w:rPr>
          <w:i/>
          <w:iCs/>
        </w:rPr>
        <w:noBreakHyphen/>
      </w:r>
      <w:r w:rsidRPr="002C336D">
        <w:rPr>
          <w:i/>
          <w:iCs/>
        </w:rPr>
        <w:t>11</w:t>
      </w:r>
      <w:r w:rsidRPr="002C336D">
        <w:t>, Cat. no. 6348.0).</w:t>
      </w:r>
    </w:p>
    <w:p w:rsidR="00727498" w:rsidRDefault="00727498" w:rsidP="004E0851">
      <w:pPr>
        <w:pStyle w:val="Heading3"/>
      </w:pPr>
      <w:r>
        <w:t>The volume of motor vehicle production in Australia is very low and is not conducive to scale efficiencies</w:t>
      </w:r>
    </w:p>
    <w:p w:rsidR="00727498" w:rsidRDefault="00727498" w:rsidP="004E0851">
      <w:pPr>
        <w:pStyle w:val="BodyText"/>
      </w:pPr>
      <w:r>
        <w:t>The total volume of motor vehicles produced in Australia is very small by global standards, and has declined by almost half since 2004 (figure 3.4). Toyota produced the largest number of vehicles in Australia in 2012, at just over 100 000 vehicles. In that year, Ford produced the lowest volumes at less than 40 000 vehicles and Holden produced just over 80 000 vehicles.</w:t>
      </w:r>
    </w:p>
    <w:p w:rsidR="00727498" w:rsidRDefault="00727498" w:rsidP="00450951">
      <w:pPr>
        <w:pStyle w:val="BodyText"/>
      </w:pPr>
      <w:r>
        <w:t>Most analysts, and some participants to this inquiry considered that a cost competitive scale for an assembly plant for the types of vehicles manufactured in Australia is at least 200 000–300 000 vehicles annually (chapter 2).</w:t>
      </w:r>
    </w:p>
    <w:p w:rsidR="00727498" w:rsidRDefault="00727498" w:rsidP="00450951">
      <w:pPr>
        <w:pStyle w:val="FigureTitle"/>
      </w:pPr>
      <w:r>
        <w:rPr>
          <w:b w:val="0"/>
        </w:rPr>
        <w:lastRenderedPageBreak/>
        <w:t xml:space="preserve">Figure </w:t>
      </w:r>
      <w:bookmarkStart w:id="8" w:name="OLE_LINK11"/>
      <w:r>
        <w:rPr>
          <w:b w:val="0"/>
        </w:rPr>
        <w:t>3.</w:t>
      </w:r>
      <w:bookmarkEnd w:id="8"/>
      <w:r>
        <w:rPr>
          <w:b w:val="0"/>
        </w:rPr>
        <w:t>4</w:t>
      </w:r>
      <w:r>
        <w:tab/>
        <w:t>Motor vehicle production in Australia, by producer</w:t>
      </w:r>
    </w:p>
    <w:p w:rsidR="00727498" w:rsidRDefault="00727498" w:rsidP="00450951">
      <w:pPr>
        <w:pStyle w:val="Subtitle"/>
      </w:pPr>
      <w:r>
        <w:t>Passenger and light commercial vehicles, 2003–2012</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727498" w:rsidTr="000D7B27">
        <w:tc>
          <w:tcPr>
            <w:tcW w:w="8777" w:type="dxa"/>
          </w:tcPr>
          <w:p w:rsidR="00727498" w:rsidRDefault="00727498" w:rsidP="000D7B27">
            <w:pPr>
              <w:pStyle w:val="Figure"/>
            </w:pPr>
            <w:r>
              <w:rPr>
                <w:noProof/>
              </w:rPr>
              <w:drawing>
                <wp:inline distT="0" distB="0" distL="0" distR="0" wp14:anchorId="32FCEEFE" wp14:editId="2C694DFB">
                  <wp:extent cx="5505451" cy="3214688"/>
                  <wp:effectExtent l="0" t="0" r="0" b="0"/>
                  <wp:docPr id="3" name="Chart 3" descr="A chart showing motor vehicle production in Australia by Ford, Holden, Toyota and Mitsubishi between 2003 and 2012. Holden was the biggest producer in Australia in 2003, producing over 150 000 vehicles, whereas Toyota produced just over 100 000 vehicles in Australia in 2012 to be the biggest producer. Mitsubishi scaled down production over this period before ceasing production entirely in 2008. Ford and Holden reduced production between 2004 and 2012, while production by Toyota was at a similar level in 2012 to in 2003." title="Motor vehicle production in Australia, by producer"/>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tc>
      </w:tr>
    </w:tbl>
    <w:p w:rsidR="00727498" w:rsidRDefault="00727498" w:rsidP="00450951">
      <w:pPr>
        <w:pStyle w:val="Source"/>
      </w:pPr>
      <w:r>
        <w:rPr>
          <w:i/>
        </w:rPr>
        <w:t>Sources</w:t>
      </w:r>
      <w:r w:rsidRPr="00167F06">
        <w:t xml:space="preserve">: </w:t>
      </w:r>
      <w:proofErr w:type="spellStart"/>
      <w:r>
        <w:t>DIISR</w:t>
      </w:r>
      <w:proofErr w:type="spellEnd"/>
      <w:r>
        <w:t xml:space="preserve"> </w:t>
      </w:r>
      <w:r w:rsidRPr="00D176BF">
        <w:rPr>
          <w:rFonts w:cs="Arial"/>
        </w:rPr>
        <w:t>(2009)</w:t>
      </w:r>
      <w:r>
        <w:t xml:space="preserve">; </w:t>
      </w:r>
      <w:proofErr w:type="spellStart"/>
      <w:r>
        <w:t>DIT</w:t>
      </w:r>
      <w:proofErr w:type="spellEnd"/>
      <w:r>
        <w:t xml:space="preserve"> </w:t>
      </w:r>
      <w:r w:rsidRPr="00605301">
        <w:rPr>
          <w:rFonts w:cs="Arial"/>
        </w:rPr>
        <w:t>(2013)</w:t>
      </w:r>
      <w:r>
        <w:t>.</w:t>
      </w:r>
    </w:p>
    <w:p w:rsidR="00727498" w:rsidRDefault="00727498" w:rsidP="009469DB">
      <w:pPr>
        <w:pStyle w:val="BodyText"/>
      </w:pPr>
      <w:r>
        <w:t xml:space="preserve">Higher production volumes allow producers to spread their fixed costs over a greater number of vehicles. By way of example, Holden’s </w:t>
      </w:r>
      <w:proofErr w:type="spellStart"/>
      <w:r>
        <w:t>Cruze</w:t>
      </w:r>
      <w:proofErr w:type="spellEnd"/>
      <w:r>
        <w:t xml:space="preserve"> competes in the highly competitive and price sensitive small car segment of the market and does not make a high contribution to profit margins. However, the production volume of the </w:t>
      </w:r>
      <w:proofErr w:type="spellStart"/>
      <w:r>
        <w:t>Cruze</w:t>
      </w:r>
      <w:proofErr w:type="spellEnd"/>
      <w:r>
        <w:t xml:space="preserve"> assists the financial performance of Holden’s overall operations by providing greater throughput over which it can recover the high fixed costs of vehicle assembly (Holden, sub. 58). </w:t>
      </w:r>
    </w:p>
    <w:p w:rsidR="00727498" w:rsidRDefault="00727498" w:rsidP="009469DB">
      <w:pPr>
        <w:pStyle w:val="BodyText"/>
      </w:pPr>
      <w:r>
        <w:t xml:space="preserve">Similarly, </w:t>
      </w:r>
      <w:r w:rsidRPr="008F6D2A">
        <w:t xml:space="preserve">Toyota produced around 75 000 </w:t>
      </w:r>
      <w:proofErr w:type="spellStart"/>
      <w:r w:rsidRPr="008F6D2A">
        <w:t>Camrys</w:t>
      </w:r>
      <w:proofErr w:type="spellEnd"/>
      <w:r w:rsidRPr="008F6D2A">
        <w:t xml:space="preserve"> for export in 2012 to</w:t>
      </w:r>
      <w:r>
        <w:t xml:space="preserve"> achieve higher production volumes than can be sold on the domestic market, thereby improving</w:t>
      </w:r>
      <w:r w:rsidRPr="008F6D2A">
        <w:t xml:space="preserve"> </w:t>
      </w:r>
      <w:r>
        <w:t>its</w:t>
      </w:r>
      <w:r w:rsidRPr="008F6D2A">
        <w:t xml:space="preserve"> scale economies</w:t>
      </w:r>
      <w:r>
        <w:t xml:space="preserve"> (Toyota, sub. 31).</w:t>
      </w:r>
    </w:p>
    <w:p w:rsidR="00727498" w:rsidRDefault="00727498" w:rsidP="007A122F">
      <w:pPr>
        <w:pStyle w:val="BodyText"/>
      </w:pPr>
      <w:r>
        <w:t>Many participants identified the small scale of Australian production as a key issue facing the automotive manufacturing industry. For example, the Federal Chamber of Automotive Industries (</w:t>
      </w:r>
      <w:proofErr w:type="spellStart"/>
      <w:r>
        <w:t>FCAI</w:t>
      </w:r>
      <w:proofErr w:type="spellEnd"/>
      <w:r>
        <w:t>) noted that:</w:t>
      </w:r>
    </w:p>
    <w:p w:rsidR="00727498" w:rsidRPr="00E1038A" w:rsidRDefault="00727498" w:rsidP="007A122F">
      <w:pPr>
        <w:pStyle w:val="Quote"/>
      </w:pPr>
      <w:r>
        <w:t xml:space="preserve">… </w:t>
      </w:r>
      <w:r w:rsidRPr="00E1038A">
        <w:t>in an industry where economies of scale are important in achieving cost competiveness, the current lack of volume is a real disadvantage</w:t>
      </w:r>
      <w:r>
        <w:t xml:space="preserve"> </w:t>
      </w:r>
      <w:r w:rsidRPr="00E1038A">
        <w:t>—</w:t>
      </w:r>
      <w:r>
        <w:t xml:space="preserve"> </w:t>
      </w:r>
      <w:r w:rsidRPr="00E1038A">
        <w:t>both in itself and in flow on to major parts makers.</w:t>
      </w:r>
      <w:r>
        <w:t xml:space="preserve"> (</w:t>
      </w:r>
      <w:proofErr w:type="spellStart"/>
      <w:r>
        <w:t>FCAI</w:t>
      </w:r>
      <w:proofErr w:type="spellEnd"/>
      <w:r>
        <w:t>, sub. 30, p. 5)</w:t>
      </w:r>
    </w:p>
    <w:p w:rsidR="00727498" w:rsidRDefault="00727498" w:rsidP="00450951">
      <w:pPr>
        <w:pStyle w:val="Heading3"/>
      </w:pPr>
      <w:r>
        <w:lastRenderedPageBreak/>
        <w:t>The cost of manufacturing components in Australia is high</w:t>
      </w:r>
    </w:p>
    <w:p w:rsidR="00727498" w:rsidRPr="00084079" w:rsidRDefault="00727498" w:rsidP="000664BF">
      <w:pPr>
        <w:pStyle w:val="BodyText"/>
      </w:pPr>
      <w:r>
        <w:t xml:space="preserve">The small scale of motor vehicle production in Australia has implications for the automotive component suppliers — their financial performance is also dictated by scale economies. Low vehicle production volumes in Australia result in increased unit costs across the supply chain. For example, </w:t>
      </w:r>
      <w:proofErr w:type="spellStart"/>
      <w:r>
        <w:t>Hella</w:t>
      </w:r>
      <w:proofErr w:type="spellEnd"/>
      <w:r>
        <w:t xml:space="preserve"> Australia suggested a doubling in production volumes would ‘reduce our production costs by up to 20 per cent’ (</w:t>
      </w:r>
      <w:proofErr w:type="spellStart"/>
      <w:r>
        <w:t>Hella</w:t>
      </w:r>
      <w:proofErr w:type="spellEnd"/>
      <w:r>
        <w:t xml:space="preserve"> Australia, sub. 45, p. 2) and </w:t>
      </w:r>
      <w:proofErr w:type="spellStart"/>
      <w:r>
        <w:t>Bluescope</w:t>
      </w:r>
      <w:proofErr w:type="spellEnd"/>
      <w:r>
        <w:t xml:space="preserve"> noted that declining volumes make ‘ongoing investment by </w:t>
      </w:r>
      <w:proofErr w:type="spellStart"/>
      <w:r>
        <w:t>Bluescope</w:t>
      </w:r>
      <w:proofErr w:type="spellEnd"/>
      <w:r>
        <w:t xml:space="preserve"> to supply the automotive sector increasingly difficult’ (</w:t>
      </w:r>
      <w:proofErr w:type="spellStart"/>
      <w:r>
        <w:t>Bluescope</w:t>
      </w:r>
      <w:proofErr w:type="spellEnd"/>
      <w:r>
        <w:t>, sub. 52, p. 5).</w:t>
      </w:r>
    </w:p>
    <w:p w:rsidR="00727498" w:rsidRDefault="00727498" w:rsidP="00450951">
      <w:pPr>
        <w:pStyle w:val="BodyText"/>
      </w:pPr>
      <w:r>
        <w:t xml:space="preserve">The costs of automotive component manufacturing in Australia relative to the rest of the world have been analysed by KPMG </w:t>
      </w:r>
      <w:r w:rsidRPr="00AA0438">
        <w:t>(2012)</w:t>
      </w:r>
      <w:r>
        <w:t>. This analysis suggests that in 2012 Australia was the second most expensive country to manufacture components (out of a sample of 14 countries), behind Japan. Australia had the highest transportation and utilities costs, and the third highest labour costs (behind Japan and Germany) for the sample of components assessed (figure 3.5).</w:t>
      </w:r>
    </w:p>
    <w:p w:rsidR="00727498" w:rsidRDefault="00727498" w:rsidP="00A07B01">
      <w:pPr>
        <w:pStyle w:val="BodyText"/>
      </w:pPr>
      <w:r>
        <w:t xml:space="preserve">The cost of domestic components has implications for the costs of vehicle assembly. For example, Holden advised that it pays a $1500 premium per vehicle to purchase components from Australian suppliers compared to the price it would pay for equivalent components delivered to its assembly plants in Asia. </w:t>
      </w:r>
    </w:p>
    <w:p w:rsidR="00727498" w:rsidRDefault="00727498" w:rsidP="00A07B01">
      <w:pPr>
        <w:pStyle w:val="BodyText"/>
      </w:pPr>
      <w:r>
        <w:t xml:space="preserve">There has been a progressive reduction in the value of components sourced from Australian suppliers for vehicle assembly in Australia and a greater proportion of components being imported (figure 3.6). In this respect, Holden noted that the Commodore has a local component content of around 50 per cent, whereas the </w:t>
      </w:r>
      <w:proofErr w:type="spellStart"/>
      <w:r>
        <w:t>Cruze</w:t>
      </w:r>
      <w:proofErr w:type="spellEnd"/>
      <w:r>
        <w:t xml:space="preserve"> (which was first assembled in Australia in 2010) has only 25–30 per cent local content (Holden, trans.). Factors that have led to a reduction in locally</w:t>
      </w:r>
      <w:r>
        <w:noBreakHyphen/>
        <w:t xml:space="preserve">sourced components include the costs of Australian manufactured components, the move by vehicle producers to global platforms and more globally based component suppliers. However, producers are likely to remain reliant on some local component suppliers that provide bulky, difficult to transport products, while recognising that some of those suppliers are also global entities, with factories situated near to assembly plants. </w:t>
      </w:r>
    </w:p>
    <w:p w:rsidR="00727498" w:rsidRDefault="00727498" w:rsidP="00450951">
      <w:pPr>
        <w:pStyle w:val="FigureTitle"/>
      </w:pPr>
      <w:r>
        <w:rPr>
          <w:b w:val="0"/>
        </w:rPr>
        <w:lastRenderedPageBreak/>
        <w:t xml:space="preserve">Figure </w:t>
      </w:r>
      <w:bookmarkStart w:id="9" w:name="OLE_LINK25"/>
      <w:r>
        <w:rPr>
          <w:b w:val="0"/>
        </w:rPr>
        <w:t>3.</w:t>
      </w:r>
      <w:bookmarkEnd w:id="9"/>
      <w:r>
        <w:rPr>
          <w:b w:val="0"/>
        </w:rPr>
        <w:t>5</w:t>
      </w:r>
      <w:r>
        <w:tab/>
        <w:t>Cost of manufacturing automotive components in selected countries</w:t>
      </w:r>
      <w:r w:rsidRPr="00DC0EBC">
        <w:rPr>
          <w:rStyle w:val="NoteLabel"/>
          <w:b/>
        </w:rPr>
        <w:t>a</w:t>
      </w:r>
    </w:p>
    <w:p w:rsidR="00727498" w:rsidRDefault="00727498" w:rsidP="00450951">
      <w:pPr>
        <w:pStyle w:val="Subtitle"/>
      </w:pPr>
      <w:r>
        <w:t>2012, per cent of costs relative to the United States</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727498" w:rsidTr="000D7B27">
        <w:tc>
          <w:tcPr>
            <w:tcW w:w="8777" w:type="dxa"/>
          </w:tcPr>
          <w:p w:rsidR="00727498" w:rsidRDefault="00727498" w:rsidP="000D7B27">
            <w:pPr>
              <w:pStyle w:val="Figure"/>
            </w:pPr>
            <w:r>
              <w:rPr>
                <w:noProof/>
              </w:rPr>
              <w:drawing>
                <wp:inline distT="0" distB="0" distL="0" distR="0" wp14:anchorId="5EE16981" wp14:editId="0899531B">
                  <wp:extent cx="5377218" cy="3029803"/>
                  <wp:effectExtent l="0" t="0" r="0" b="0"/>
                  <wp:docPr id="6" name="Chart 6" descr="A chart showing the cost of manufacturing automotive components (relative to the United States) in Australia, Canada, France, Germany, Italy, the Netherlands, the United Kingdom, Japan, Brazil, Mexico, Russia, China and India. Only Australia and Japan are higher cost than the United States, while costs in Mexico, Russia, China and India are more than 10 per cent less than those in the United States." title="Cost of manufacturing automotive components in selected countries"/>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tc>
      </w:tr>
    </w:tbl>
    <w:p w:rsidR="00727498" w:rsidRDefault="00727498" w:rsidP="00450951">
      <w:pPr>
        <w:pStyle w:val="Note"/>
      </w:pPr>
      <w:proofErr w:type="spellStart"/>
      <w:r>
        <w:rPr>
          <w:rStyle w:val="NoteLabel"/>
        </w:rPr>
        <w:t>a</w:t>
      </w:r>
      <w:proofErr w:type="spellEnd"/>
      <w:r>
        <w:t xml:space="preserve"> This analysis is based on a representative tier 2 or 3 supplier in these countries.</w:t>
      </w:r>
    </w:p>
    <w:p w:rsidR="00727498" w:rsidRDefault="00727498" w:rsidP="00450951">
      <w:pPr>
        <w:pStyle w:val="Source"/>
      </w:pPr>
      <w:r>
        <w:rPr>
          <w:i/>
        </w:rPr>
        <w:t>Source</w:t>
      </w:r>
      <w:r w:rsidRPr="00167F06">
        <w:t xml:space="preserve">: </w:t>
      </w:r>
      <w:r>
        <w:t xml:space="preserve">KPMG </w:t>
      </w:r>
      <w:r w:rsidRPr="006E6E8D">
        <w:rPr>
          <w:rFonts w:cs="Arial"/>
        </w:rPr>
        <w:t>(2012)</w:t>
      </w:r>
      <w:r>
        <w:t>.</w:t>
      </w:r>
    </w:p>
    <w:p w:rsidR="00727498" w:rsidRDefault="00727498" w:rsidP="00A07B01">
      <w:pPr>
        <w:pStyle w:val="FigureTitle"/>
      </w:pPr>
      <w:r>
        <w:rPr>
          <w:b w:val="0"/>
        </w:rPr>
        <w:t xml:space="preserve">Figure </w:t>
      </w:r>
      <w:bookmarkStart w:id="10" w:name="OLE_LINK2"/>
      <w:r>
        <w:rPr>
          <w:b w:val="0"/>
        </w:rPr>
        <w:t>3.</w:t>
      </w:r>
      <w:bookmarkEnd w:id="10"/>
      <w:r>
        <w:rPr>
          <w:b w:val="0"/>
        </w:rPr>
        <w:t>6</w:t>
      </w:r>
      <w:r>
        <w:tab/>
        <w:t>Production, exports and imports of Australian automotive components</w:t>
      </w:r>
    </w:p>
    <w:p w:rsidR="00727498" w:rsidRDefault="00727498" w:rsidP="00A07B01">
      <w:pPr>
        <w:pStyle w:val="Subtitle"/>
      </w:pPr>
      <w:r>
        <w:t>2002–2012, $ billion (nominal)</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727498" w:rsidTr="006041F7">
        <w:tc>
          <w:tcPr>
            <w:tcW w:w="8777" w:type="dxa"/>
          </w:tcPr>
          <w:p w:rsidR="00727498" w:rsidRDefault="00727498" w:rsidP="006041F7">
            <w:pPr>
              <w:pStyle w:val="Figure"/>
            </w:pPr>
            <w:r>
              <w:rPr>
                <w:noProof/>
              </w:rPr>
              <w:drawing>
                <wp:inline distT="0" distB="0" distL="0" distR="0" wp14:anchorId="7D15F318" wp14:editId="4E1BDA13">
                  <wp:extent cx="5381920" cy="3084394"/>
                  <wp:effectExtent l="0" t="0" r="0" b="0"/>
                  <wp:docPr id="7" name="Chart 7" descr="A chart showing that production of automotive components in Australia has declined between 2002 and 2012 (both components used by Australian vehicle assemblers and components exported) while imports of components have increased." title="Production, exports and imports of Australian automotive components"/>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tc>
      </w:tr>
    </w:tbl>
    <w:p w:rsidR="00727498" w:rsidRDefault="00727498" w:rsidP="00A07B01">
      <w:pPr>
        <w:pStyle w:val="Source"/>
      </w:pPr>
      <w:r>
        <w:rPr>
          <w:i/>
        </w:rPr>
        <w:t>Source</w:t>
      </w:r>
      <w:r w:rsidRPr="00167F06">
        <w:t>:</w:t>
      </w:r>
      <w:r>
        <w:t xml:space="preserve"> </w:t>
      </w:r>
      <w:proofErr w:type="spellStart"/>
      <w:r>
        <w:t>DIT</w:t>
      </w:r>
      <w:proofErr w:type="spellEnd"/>
      <w:r w:rsidRPr="00167F06">
        <w:t xml:space="preserve"> </w:t>
      </w:r>
      <w:r w:rsidRPr="00C067C0">
        <w:rPr>
          <w:rFonts w:cs="Arial"/>
        </w:rPr>
        <w:t>(2013)</w:t>
      </w:r>
      <w:r>
        <w:t>.</w:t>
      </w:r>
    </w:p>
    <w:p w:rsidR="00727498" w:rsidRDefault="00727498" w:rsidP="00F92227">
      <w:pPr>
        <w:pStyle w:val="FindingTitle"/>
        <w:framePr w:wrap="auto"/>
      </w:pPr>
      <w:r>
        <w:lastRenderedPageBreak/>
        <w:t>preliminary Finding 3.2</w:t>
      </w:r>
    </w:p>
    <w:p w:rsidR="00727498" w:rsidRDefault="00727498" w:rsidP="00F92227">
      <w:pPr>
        <w:pStyle w:val="Finding"/>
      </w:pPr>
      <w:r>
        <w:t xml:space="preserve">Australia is a high cost producer of motor vehicles. </w:t>
      </w:r>
    </w:p>
    <w:p w:rsidR="00727498" w:rsidRDefault="00727498" w:rsidP="00F92227">
      <w:pPr>
        <w:pStyle w:val="FindingBullet"/>
      </w:pPr>
      <w:r>
        <w:t>Australia’s overall volume of production is small and its three assembly plants are all operating well below the recognised efficient scale of production.</w:t>
      </w:r>
    </w:p>
    <w:p w:rsidR="000E5B6F" w:rsidRDefault="000E5B6F" w:rsidP="000E5B6F">
      <w:pPr>
        <w:pStyle w:val="FindingBullet"/>
      </w:pPr>
      <w:r>
        <w:t>Labour costs are relatively high in Australia. They are not substantially different from those in developed countries such as Germany and</w:t>
      </w:r>
      <w:r w:rsidRPr="00C94D1A">
        <w:t xml:space="preserve"> </w:t>
      </w:r>
      <w:r>
        <w:t>Japan, but are four times or more those of China, Thailand and other developing countries where motor vehicle production is expanding. Producers in Australia incur high logistics and automotive component costs and utilities charges.</w:t>
      </w:r>
    </w:p>
    <w:p w:rsidR="00727498" w:rsidRDefault="00727498" w:rsidP="00450951">
      <w:pPr>
        <w:pStyle w:val="Heading2"/>
      </w:pPr>
      <w:r>
        <w:t>3.</w:t>
      </w:r>
      <w:r>
        <w:rPr>
          <w:noProof/>
        </w:rPr>
        <w:t>4</w:t>
      </w:r>
      <w:r>
        <w:tab/>
        <w:t>Factors affecting the Australian automotive manufacturing industry</w:t>
      </w:r>
    </w:p>
    <w:p w:rsidR="00727498" w:rsidRPr="00151680" w:rsidRDefault="00727498" w:rsidP="009A3962">
      <w:pPr>
        <w:pStyle w:val="Heading3"/>
        <w:spacing w:before="280"/>
      </w:pPr>
      <w:r>
        <w:t>Market factors limit the scope to increase production volumes</w:t>
      </w:r>
    </w:p>
    <w:p w:rsidR="00727498" w:rsidRDefault="00727498" w:rsidP="009A3962">
      <w:pPr>
        <w:pStyle w:val="BodyText"/>
      </w:pPr>
      <w:r>
        <w:t xml:space="preserve">Prior to General Motors announcing that it was ceasing Australian production in 2017, inquiry participants considered that an increase in vehicle production levels was a key issue for improving the long term viability of the Australian automotive industry (for example, </w:t>
      </w:r>
      <w:proofErr w:type="spellStart"/>
      <w:r>
        <w:t>AMWU</w:t>
      </w:r>
      <w:proofErr w:type="spellEnd"/>
      <w:r>
        <w:t xml:space="preserve">, sub. 28; Australian Performance Vehicles, sub. 5; </w:t>
      </w:r>
      <w:proofErr w:type="spellStart"/>
      <w:r>
        <w:t>Autopolis</w:t>
      </w:r>
      <w:proofErr w:type="spellEnd"/>
      <w:r>
        <w:t xml:space="preserve">, sub. 10; Diver Consolidated Industries, sub. 25; </w:t>
      </w:r>
      <w:proofErr w:type="spellStart"/>
      <w:r>
        <w:t>FAPM</w:t>
      </w:r>
      <w:proofErr w:type="spellEnd"/>
      <w:r>
        <w:t xml:space="preserve">, sub. 69; </w:t>
      </w:r>
      <w:proofErr w:type="spellStart"/>
      <w:r>
        <w:t>FCAI</w:t>
      </w:r>
      <w:proofErr w:type="spellEnd"/>
      <w:r>
        <w:t xml:space="preserve">, sub. 30; </w:t>
      </w:r>
      <w:proofErr w:type="spellStart"/>
      <w:r>
        <w:t>Futuris</w:t>
      </w:r>
      <w:proofErr w:type="spellEnd"/>
      <w:r>
        <w:t xml:space="preserve"> Automotive, sub. 9; Toyota, sub. 31; </w:t>
      </w:r>
      <w:proofErr w:type="spellStart"/>
      <w:r>
        <w:t>TXM</w:t>
      </w:r>
      <w:proofErr w:type="spellEnd"/>
      <w:r>
        <w:t xml:space="preserve"> Lean Solutions, sub. 48). </w:t>
      </w:r>
      <w:proofErr w:type="spellStart"/>
      <w:r>
        <w:t>Futuris</w:t>
      </w:r>
      <w:proofErr w:type="spellEnd"/>
      <w:r>
        <w:t xml:space="preserve"> Automotive, for example, considered that the production target should be a minimum of 300 000 vehicles each year.</w:t>
      </w:r>
    </w:p>
    <w:p w:rsidR="00727498" w:rsidRDefault="00727498" w:rsidP="009A3962">
      <w:pPr>
        <w:pStyle w:val="BodyText"/>
      </w:pPr>
      <w:r>
        <w:t>Increased Australian production encounters many constraints due to the nature of the domestic and global markets, and because all three vehicle producers in Australia are subsidiaries of foreign companies — this means vehicle producers in Australia compete against other affiliates in the global group for the right to supply international markets, as well as against other competitors in such markets.</w:t>
      </w:r>
    </w:p>
    <w:p w:rsidR="00727498" w:rsidRPr="00B16241" w:rsidRDefault="00727498" w:rsidP="00917049">
      <w:pPr>
        <w:pStyle w:val="Heading4"/>
      </w:pPr>
      <w:r>
        <w:t>The domestic market for new vehicles is small and fragmented</w:t>
      </w:r>
    </w:p>
    <w:p w:rsidR="00727498" w:rsidRDefault="00727498" w:rsidP="00917049">
      <w:pPr>
        <w:pStyle w:val="BodyText"/>
      </w:pPr>
      <w:r>
        <w:t xml:space="preserve">The Australian market for new motor vehicles is small in global terms — in total, for each market segment and for each vehicle model. As discussed in chapter 2, a little over one million new motor vehicles are sold in Australia annually — amounting to about 1.4 per cent of the global market. </w:t>
      </w:r>
    </w:p>
    <w:p w:rsidR="00727498" w:rsidRDefault="00727498" w:rsidP="00917049">
      <w:pPr>
        <w:pStyle w:val="BodyText"/>
      </w:pPr>
      <w:r>
        <w:t xml:space="preserve">At the same time, due to a high level of import competition (with few barriers to those imports), the Australian automotive market is highly fragmented, and appears to have become more so over the past decade. In 2013, 66 vehicle brands were </w:t>
      </w:r>
      <w:r>
        <w:lastRenderedPageBreak/>
        <w:t>competing for these one million vehicle sales, compared with 56 in 2003 (</w:t>
      </w:r>
      <w:proofErr w:type="spellStart"/>
      <w:r>
        <w:t>FCAI</w:t>
      </w:r>
      <w:proofErr w:type="spellEnd"/>
      <w:r>
        <w:t>, pers. comm., 9 December 2013). As noted by Toyota (sub. 31), countries such as the United States and regions such as the European Union, have a similar number of brands and models competing for annual sales of 16 or 18 million vehicles.</w:t>
      </w:r>
    </w:p>
    <w:p w:rsidR="00727498" w:rsidRDefault="00727498" w:rsidP="001E0EB7">
      <w:pPr>
        <w:pStyle w:val="BodyText"/>
      </w:pPr>
      <w:r>
        <w:t>Due to this fragmentation, the three highest</w:t>
      </w:r>
      <w:r>
        <w:noBreakHyphen/>
        <w:t>selling models in Australia achieve relatively low sales numbers — around 40 000 units in 2012 (figure 3.7). Thus, while some Australian</w:t>
      </w:r>
      <w:r>
        <w:noBreakHyphen/>
        <w:t>made vehicles are still among the highest</w:t>
      </w:r>
      <w:r>
        <w:noBreakHyphen/>
        <w:t>selling in the domestic market, their total sales volumes are limited.</w:t>
      </w:r>
    </w:p>
    <w:p w:rsidR="00727498" w:rsidRDefault="00727498" w:rsidP="000D423A">
      <w:pPr>
        <w:pStyle w:val="FigureTitle"/>
      </w:pPr>
      <w:r>
        <w:rPr>
          <w:b w:val="0"/>
        </w:rPr>
        <w:t xml:space="preserve">Figure </w:t>
      </w:r>
      <w:bookmarkStart w:id="11" w:name="OLE_LINK13"/>
      <w:r>
        <w:rPr>
          <w:b w:val="0"/>
        </w:rPr>
        <w:t>3.</w:t>
      </w:r>
      <w:bookmarkEnd w:id="11"/>
      <w:r>
        <w:rPr>
          <w:b w:val="0"/>
        </w:rPr>
        <w:t>7</w:t>
      </w:r>
      <w:r>
        <w:tab/>
        <w:t>Highest</w:t>
      </w:r>
      <w:r>
        <w:noBreakHyphen/>
        <w:t>selling new motor vehicles in Australia, 2012</w:t>
      </w:r>
    </w:p>
    <w:p w:rsidR="00727498" w:rsidRDefault="00727498" w:rsidP="005A2EA5">
      <w:pPr>
        <w:pStyle w:val="Subtitle"/>
      </w:pPr>
      <w:r>
        <w:t>New vehicle sales by vehicle model</w:t>
      </w:r>
      <w:r>
        <w:rPr>
          <w:rStyle w:val="NoteLabel"/>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727498">
        <w:tc>
          <w:tcPr>
            <w:tcW w:w="8777" w:type="dxa"/>
          </w:tcPr>
          <w:p w:rsidR="00727498" w:rsidRDefault="00727498">
            <w:pPr>
              <w:pStyle w:val="Figure"/>
            </w:pPr>
            <w:r>
              <w:rPr>
                <w:noProof/>
              </w:rPr>
              <w:drawing>
                <wp:inline distT="0" distB="0" distL="0" distR="0" wp14:anchorId="1D89FC92" wp14:editId="51AB3592">
                  <wp:extent cx="5314315" cy="3114675"/>
                  <wp:effectExtent l="0" t="0" r="635" b="0"/>
                  <wp:docPr id="11" name="Chart 11" descr="A chart showing new vehicle sales of the highest selling motor vehicles in Australia, from the Ford Focus (just under 20 000 vehicles per year) to the Mazda3 (just under 45 000 vehicles per year). The highest selling vehicles produced in Australia are the Holden Commodore (just over 30 000 vehicles per year), the Holden Cruze (just under 30 000 vehicles per year) and the Toyota Camry (just over 25 000 vehicles per year)." title="Highest-selling new motor vehicles in Australia, 2012"/>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p>
        </w:tc>
      </w:tr>
    </w:tbl>
    <w:p w:rsidR="00727498" w:rsidRPr="00F30DEB" w:rsidRDefault="00727498" w:rsidP="006C6BD3">
      <w:pPr>
        <w:pStyle w:val="Note"/>
      </w:pPr>
      <w:proofErr w:type="spellStart"/>
      <w:r>
        <w:rPr>
          <w:rStyle w:val="NoteLabel"/>
        </w:rPr>
        <w:t>a</w:t>
      </w:r>
      <w:proofErr w:type="spellEnd"/>
      <w:r>
        <w:t xml:space="preserve"> The dark blue bars represent vehicle models that are assembled in Australia (volumes include some units assembled overseas).</w:t>
      </w:r>
    </w:p>
    <w:p w:rsidR="00727498" w:rsidRDefault="00727498" w:rsidP="006C6BD3">
      <w:pPr>
        <w:pStyle w:val="Source"/>
      </w:pPr>
      <w:r>
        <w:rPr>
          <w:i/>
        </w:rPr>
        <w:t>Source</w:t>
      </w:r>
      <w:r w:rsidRPr="00167F06">
        <w:t xml:space="preserve">: </w:t>
      </w:r>
      <w:r>
        <w:t>Toyota (sub. 31).</w:t>
      </w:r>
    </w:p>
    <w:p w:rsidR="00727498" w:rsidRDefault="00727498" w:rsidP="009A3962">
      <w:pPr>
        <w:pStyle w:val="BodyText"/>
      </w:pPr>
      <w:r>
        <w:t>Australian consumers benefit from a highly competitive new vehicle market. They have greater choice, and competition encourages lower prices, improved vehicle quality and more extras for a vehicle in a particular market segment. However, the fragmented market makes it infeasible for vehicle producers operating in Australia to achieve an internationally competitive scale of production on the basis of supplying the domestic market alone (</w:t>
      </w:r>
      <w:proofErr w:type="spellStart"/>
      <w:r>
        <w:t>AMWU</w:t>
      </w:r>
      <w:proofErr w:type="spellEnd"/>
      <w:r>
        <w:t xml:space="preserve">, sub. 28; </w:t>
      </w:r>
      <w:proofErr w:type="spellStart"/>
      <w:r>
        <w:t>Bluescope</w:t>
      </w:r>
      <w:proofErr w:type="spellEnd"/>
      <w:r>
        <w:t xml:space="preserve">, sub. 52; Diver Consolidated Industries, sub. 25; </w:t>
      </w:r>
      <w:proofErr w:type="spellStart"/>
      <w:r>
        <w:t>FCAI</w:t>
      </w:r>
      <w:proofErr w:type="spellEnd"/>
      <w:r>
        <w:t>, sub. 30; Ford, sub. 65;</w:t>
      </w:r>
      <w:r w:rsidRPr="007A7BE7">
        <w:t xml:space="preserve"> </w:t>
      </w:r>
      <w:r>
        <w:t>Toyota, sub. 31).</w:t>
      </w:r>
    </w:p>
    <w:p w:rsidR="00727498" w:rsidRDefault="00727498" w:rsidP="009A3962">
      <w:pPr>
        <w:pStyle w:val="BodyText"/>
      </w:pPr>
      <w:r>
        <w:t xml:space="preserve">In line with global trends, Australian buyers have been increasingly switching to smaller vehicles and to SUVs — these two categories now make up nearly </w:t>
      </w:r>
      <w:r>
        <w:lastRenderedPageBreak/>
        <w:t>two</w:t>
      </w:r>
      <w:r>
        <w:noBreakHyphen/>
        <w:t>thirds of the market — and away from traditionally</w:t>
      </w:r>
      <w:r>
        <w:noBreakHyphen/>
        <w:t xml:space="preserve">popular large passenger motor vehicles (figure 3.8). Of the six models assembled in Australia there is only one small car (the Holden </w:t>
      </w:r>
      <w:proofErr w:type="spellStart"/>
      <w:r>
        <w:t>Cruze</w:t>
      </w:r>
      <w:proofErr w:type="spellEnd"/>
      <w:r>
        <w:t>) and one SUV (the Ford Territory). Nonetheless the Holden Commodore (large car) and Toyota Camry (mid</w:t>
      </w:r>
      <w:r>
        <w:noBreakHyphen/>
        <w:t xml:space="preserve">sized) are two of the three locally produced vehicles in the top ten selling cars in Australia (along with the Holden </w:t>
      </w:r>
      <w:proofErr w:type="spellStart"/>
      <w:r>
        <w:t>Cruze</w:t>
      </w:r>
      <w:proofErr w:type="spellEnd"/>
      <w:r>
        <w:t>).</w:t>
      </w:r>
    </w:p>
    <w:p w:rsidR="00727498" w:rsidRDefault="00727498" w:rsidP="009A3962">
      <w:pPr>
        <w:pStyle w:val="FigureTitle"/>
      </w:pPr>
      <w:r>
        <w:rPr>
          <w:b w:val="0"/>
        </w:rPr>
        <w:t xml:space="preserve">Figure </w:t>
      </w:r>
      <w:bookmarkStart w:id="12" w:name="OLE_LINK17"/>
      <w:r>
        <w:rPr>
          <w:b w:val="0"/>
        </w:rPr>
        <w:t>3.</w:t>
      </w:r>
      <w:bookmarkEnd w:id="12"/>
      <w:r>
        <w:rPr>
          <w:b w:val="0"/>
        </w:rPr>
        <w:t>8</w:t>
      </w:r>
      <w:r>
        <w:tab/>
        <w:t>Australian new motor vehicle sales by segment</w:t>
      </w:r>
    </w:p>
    <w:p w:rsidR="00727498" w:rsidRDefault="00727498" w:rsidP="009A3962">
      <w:pPr>
        <w:pStyle w:val="Subtitle"/>
      </w:pPr>
      <w:r>
        <w:t>1991 to 2012, passenger motor vehicles and light commercial vehicles</w:t>
      </w:r>
      <w:r w:rsidRPr="007C36DA">
        <w:rPr>
          <w:rStyle w:val="NoteLabel"/>
        </w:rPr>
        <w:t>a</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727498" w:rsidTr="00D2754D">
        <w:tc>
          <w:tcPr>
            <w:tcW w:w="8777" w:type="dxa"/>
          </w:tcPr>
          <w:p w:rsidR="00727498" w:rsidRDefault="00727498" w:rsidP="00D2754D">
            <w:pPr>
              <w:pStyle w:val="Figure"/>
            </w:pPr>
            <w:r>
              <w:rPr>
                <w:noProof/>
              </w:rPr>
              <w:drawing>
                <wp:inline distT="0" distB="0" distL="0" distR="0" wp14:anchorId="3032F549" wp14:editId="2DF8C3CB">
                  <wp:extent cx="5400000" cy="3240000"/>
                  <wp:effectExtent l="0" t="0" r="0" b="0"/>
                  <wp:docPr id="26" name="Chart 26" descr="A chart showing Australian new vehicle sales by segment between 1991 and 2012. Sales of light and small vehicles more than doubled between 1991 and 2012. Sales of SUVs also grew rapidly. Sales of medium and large vehicles declined between 1991 and 2012." title="Australian new motor vehicle sales by segment"/>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inline>
              </w:drawing>
            </w:r>
          </w:p>
        </w:tc>
      </w:tr>
    </w:tbl>
    <w:p w:rsidR="00727498" w:rsidRPr="00FD130E" w:rsidRDefault="00727498" w:rsidP="009A3962">
      <w:pPr>
        <w:pStyle w:val="Note"/>
      </w:pPr>
      <w:r w:rsidRPr="00A26479">
        <w:rPr>
          <w:rStyle w:val="NoteLabel"/>
        </w:rPr>
        <w:t>a</w:t>
      </w:r>
      <w:r>
        <w:t> ‘</w:t>
      </w:r>
      <w:r w:rsidRPr="00A26479">
        <w:t>Other</w:t>
      </w:r>
      <w:r>
        <w:t>’ segment</w:t>
      </w:r>
      <w:r w:rsidRPr="00A26479">
        <w:t xml:space="preserve"> </w:t>
      </w:r>
      <w:r w:rsidRPr="00FD130E">
        <w:t>includes upper large, sports and ‘people mover’ passenger motor vehicles, as well as vans and light buses.</w:t>
      </w:r>
    </w:p>
    <w:p w:rsidR="00727498" w:rsidRDefault="00727498" w:rsidP="009A3962">
      <w:pPr>
        <w:pStyle w:val="Source"/>
      </w:pPr>
      <w:r>
        <w:rPr>
          <w:i/>
        </w:rPr>
        <w:t>Source</w:t>
      </w:r>
      <w:r w:rsidRPr="00167F06">
        <w:t xml:space="preserve">: </w:t>
      </w:r>
      <w:r>
        <w:t xml:space="preserve">AAI </w:t>
      </w:r>
      <w:r w:rsidRPr="00D176BF">
        <w:rPr>
          <w:rFonts w:cs="Arial"/>
        </w:rPr>
        <w:t>(2013)</w:t>
      </w:r>
      <w:r>
        <w:t>.</w:t>
      </w:r>
    </w:p>
    <w:p w:rsidR="00727498" w:rsidRDefault="00727498" w:rsidP="009A3962">
      <w:pPr>
        <w:pStyle w:val="Heading4"/>
      </w:pPr>
      <w:r>
        <w:t>Export markets are highly competitive</w:t>
      </w:r>
    </w:p>
    <w:p w:rsidR="00727498" w:rsidRDefault="00727498" w:rsidP="009A3962">
      <w:pPr>
        <w:pStyle w:val="BodyText"/>
      </w:pPr>
      <w:r>
        <w:t>Currently, Australia exports almost 90 000 units, or 40 per cent of its total production of passenger motor vehicles and SUVs (figure 3.9). In absolute terms, exports have decreased since the mid</w:t>
      </w:r>
      <w:r>
        <w:noBreakHyphen/>
      </w:r>
      <w:proofErr w:type="spellStart"/>
      <w:r>
        <w:t>2000s</w:t>
      </w:r>
      <w:proofErr w:type="spellEnd"/>
      <w:r>
        <w:t xml:space="preserve">, but (because production in total has declined) the export share of domestic production has remained in the range of 30 to 40 per cent since 2001. </w:t>
      </w:r>
    </w:p>
    <w:p w:rsidR="00727498" w:rsidRDefault="00727498" w:rsidP="00A07B01">
      <w:pPr>
        <w:pStyle w:val="BodyText"/>
      </w:pPr>
      <w:r>
        <w:t xml:space="preserve">Toyota is the largest exporter in both absolute and percentage terms: in 2012 it exported 73 per cent of the vehicles it produced in Australia </w:t>
      </w:r>
      <w:r w:rsidRPr="00727498">
        <w:rPr>
          <w:szCs w:val="24"/>
        </w:rPr>
        <w:t>(</w:t>
      </w:r>
      <w:proofErr w:type="spellStart"/>
      <w:r w:rsidRPr="00727498">
        <w:rPr>
          <w:szCs w:val="24"/>
        </w:rPr>
        <w:t>DIISRTE</w:t>
      </w:r>
      <w:proofErr w:type="spellEnd"/>
      <w:r w:rsidRPr="00727498">
        <w:rPr>
          <w:szCs w:val="24"/>
        </w:rPr>
        <w:t> 2013)</w:t>
      </w:r>
      <w:r>
        <w:t>.</w:t>
      </w:r>
      <w:r w:rsidRPr="00CB6C69">
        <w:t xml:space="preserve"> </w:t>
      </w:r>
    </w:p>
    <w:p w:rsidR="00727498" w:rsidRDefault="00727498" w:rsidP="00450951">
      <w:pPr>
        <w:pStyle w:val="FigureTitle"/>
      </w:pPr>
      <w:r>
        <w:rPr>
          <w:b w:val="0"/>
        </w:rPr>
        <w:lastRenderedPageBreak/>
        <w:t xml:space="preserve">Figure </w:t>
      </w:r>
      <w:bookmarkStart w:id="13" w:name="OLE_LINK19"/>
      <w:r>
        <w:rPr>
          <w:b w:val="0"/>
        </w:rPr>
        <w:t>3.</w:t>
      </w:r>
      <w:bookmarkEnd w:id="13"/>
      <w:r>
        <w:rPr>
          <w:b w:val="0"/>
        </w:rPr>
        <w:t>9</w:t>
      </w:r>
      <w:r>
        <w:tab/>
        <w:t>Motor vehicles produced in Australia for the domestic and export markets, and the trade weighted exchange rate</w:t>
      </w:r>
    </w:p>
    <w:p w:rsidR="00727498" w:rsidRDefault="00727498" w:rsidP="00450951">
      <w:pPr>
        <w:pStyle w:val="Subtitle"/>
      </w:pPr>
      <w:r>
        <w:t>1995 to 2012</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727498" w:rsidTr="00EC39FC">
        <w:tc>
          <w:tcPr>
            <w:tcW w:w="8777" w:type="dxa"/>
          </w:tcPr>
          <w:p w:rsidR="00727498" w:rsidRDefault="00727498" w:rsidP="000D7B27">
            <w:pPr>
              <w:pStyle w:val="Figure"/>
            </w:pPr>
            <w:r>
              <w:rPr>
                <w:noProof/>
              </w:rPr>
              <w:drawing>
                <wp:inline distT="0" distB="0" distL="0" distR="0" wp14:anchorId="3B7C0728" wp14:editId="202B5D27">
                  <wp:extent cx="5409565" cy="2876550"/>
                  <wp:effectExtent l="0" t="0" r="635" b="0"/>
                  <wp:docPr id="5" name="Chart 5" descr="A chart showing a decline in the number of motor vehicles produced in Australia for the domestic and export markets between 2004 and 2012 and a 50 per cent increase in the Australian trade weighted exchange rate between 2001 and 2012." title="Motor vehicles produced in Australia for the domestic and export markets and the trade weighted exchange rate"/>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inline>
              </w:drawing>
            </w:r>
          </w:p>
        </w:tc>
      </w:tr>
    </w:tbl>
    <w:p w:rsidR="00727498" w:rsidRDefault="00727498" w:rsidP="00EC39FC">
      <w:pPr>
        <w:pStyle w:val="Note"/>
      </w:pPr>
      <w:r>
        <w:rPr>
          <w:rStyle w:val="NoteLabel"/>
        </w:rPr>
        <w:t>a</w:t>
      </w:r>
      <w:r>
        <w:t xml:space="preserve"> Based on the RBA’s trade weighted index, May 1970=100. Calendar year averages of monthly data, with 2013 based on data for January to October.</w:t>
      </w:r>
    </w:p>
    <w:p w:rsidR="00727498" w:rsidRDefault="00727498" w:rsidP="00450951">
      <w:pPr>
        <w:pStyle w:val="Source"/>
      </w:pPr>
      <w:r>
        <w:rPr>
          <w:i/>
        </w:rPr>
        <w:t>Sources</w:t>
      </w:r>
      <w:r w:rsidRPr="00167F06">
        <w:t>:</w:t>
      </w:r>
      <w:r>
        <w:t xml:space="preserve"> </w:t>
      </w:r>
      <w:proofErr w:type="spellStart"/>
      <w:r>
        <w:t>DIISR</w:t>
      </w:r>
      <w:proofErr w:type="spellEnd"/>
      <w:r>
        <w:t xml:space="preserve"> </w:t>
      </w:r>
      <w:r w:rsidRPr="00DC0290">
        <w:rPr>
          <w:rFonts w:cs="Arial"/>
        </w:rPr>
        <w:t>(2009)</w:t>
      </w:r>
      <w:r>
        <w:t xml:space="preserve">; </w:t>
      </w:r>
      <w:proofErr w:type="spellStart"/>
      <w:r>
        <w:t>DIT</w:t>
      </w:r>
      <w:proofErr w:type="spellEnd"/>
      <w:r>
        <w:t xml:space="preserve"> </w:t>
      </w:r>
      <w:r w:rsidRPr="00DC0290">
        <w:rPr>
          <w:rFonts w:cs="Arial"/>
        </w:rPr>
        <w:t>(2013)</w:t>
      </w:r>
      <w:r>
        <w:t xml:space="preserve">; </w:t>
      </w:r>
      <w:proofErr w:type="spellStart"/>
      <w:r>
        <w:t>DITR</w:t>
      </w:r>
      <w:proofErr w:type="spellEnd"/>
      <w:r>
        <w:t xml:space="preserve"> </w:t>
      </w:r>
      <w:r w:rsidRPr="00DC0290">
        <w:rPr>
          <w:rFonts w:cs="Arial"/>
        </w:rPr>
        <w:t>(2003)</w:t>
      </w:r>
      <w:r>
        <w:t xml:space="preserve">; RBA </w:t>
      </w:r>
      <w:r w:rsidRPr="009C458E">
        <w:rPr>
          <w:rFonts w:cs="Arial"/>
        </w:rPr>
        <w:t>(2013)</w:t>
      </w:r>
      <w:r>
        <w:t>.</w:t>
      </w:r>
    </w:p>
    <w:p w:rsidR="00727498" w:rsidRDefault="00727498" w:rsidP="00450951">
      <w:pPr>
        <w:pStyle w:val="BodyText"/>
      </w:pPr>
      <w:r>
        <w:t>Australia’s automotive exports are mainly to the Middle East, New Zealand and south</w:t>
      </w:r>
      <w:r>
        <w:noBreakHyphen/>
        <w:t xml:space="preserve">east Asia (figure 3.10). The Middle East is Holden’s largest export market, accounting for over 6000 of its 13 778 vehicles exported from Australia in 2012; the company also exports the Commodore to the United States (branded as Chevrolet) (sub. 58). Toyota exports its Camry and </w:t>
      </w:r>
      <w:proofErr w:type="spellStart"/>
      <w:r>
        <w:t>Aurion</w:t>
      </w:r>
      <w:proofErr w:type="spellEnd"/>
      <w:r>
        <w:t xml:space="preserve"> models made in Australia mainly to the Middle East (the Gulf Cooperation Council</w:t>
      </w:r>
      <w:r w:rsidR="002235FF">
        <w:t xml:space="preserve"> (</w:t>
      </w:r>
      <w:proofErr w:type="spellStart"/>
      <w:r w:rsidR="002235FF">
        <w:t>GCC</w:t>
      </w:r>
      <w:proofErr w:type="spellEnd"/>
      <w:r w:rsidR="002235FF">
        <w:t>)</w:t>
      </w:r>
      <w:r>
        <w:t xml:space="preserve"> states</w:t>
      </w:r>
      <w:r w:rsidRPr="00624707">
        <w:rPr>
          <w:rStyle w:val="FootnoteReference"/>
        </w:rPr>
        <w:footnoteReference w:id="4"/>
      </w:r>
      <w:r>
        <w:t>) (Toyota, sub. 31).</w:t>
      </w:r>
    </w:p>
    <w:p w:rsidR="00727498" w:rsidRDefault="00727498" w:rsidP="00A07B01">
      <w:pPr>
        <w:pStyle w:val="BodyText"/>
      </w:pPr>
      <w:r>
        <w:t>Export markets are highly competitive. This competition is likely to increase as global automotive firms seek to increase export volumes to employ the excess capacity in many plants globally to achieve economies of scale. This applies particularly to countries such as those in Europe, Korea, Japan and Thailand (chapter 2). Australian</w:t>
      </w:r>
      <w:r>
        <w:noBreakHyphen/>
        <w:t>based producers compete for the right to supply export markets against the many affiliates of their global parents which operate in other countries. For example, Toyota produces Camry vehicles in manufacturing plants across eight countries, and Toyota Australia competes against manufacturing operations including those in the United States and Japan for the right to supply the Middle Eastern market.</w:t>
      </w:r>
    </w:p>
    <w:p w:rsidR="00727498" w:rsidRDefault="00727498" w:rsidP="00450951">
      <w:pPr>
        <w:pStyle w:val="FigureTitle"/>
      </w:pPr>
      <w:r>
        <w:rPr>
          <w:b w:val="0"/>
        </w:rPr>
        <w:lastRenderedPageBreak/>
        <w:t xml:space="preserve">Figure </w:t>
      </w:r>
      <w:bookmarkStart w:id="14" w:name="OLE_LINK21"/>
      <w:r>
        <w:rPr>
          <w:b w:val="0"/>
        </w:rPr>
        <w:t>3.</w:t>
      </w:r>
      <w:bookmarkEnd w:id="14"/>
      <w:r>
        <w:rPr>
          <w:b w:val="0"/>
        </w:rPr>
        <w:t>10</w:t>
      </w:r>
      <w:r>
        <w:tab/>
        <w:t>Australian automotive exports by destination</w:t>
      </w:r>
    </w:p>
    <w:p w:rsidR="00727498" w:rsidRDefault="00727498" w:rsidP="00450951">
      <w:pPr>
        <w:pStyle w:val="Subtitle"/>
      </w:pPr>
      <w:r>
        <w:t>Value of motor vehicle and parts exports, 2012</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727498" w:rsidTr="000D7B27">
        <w:tc>
          <w:tcPr>
            <w:tcW w:w="8777" w:type="dxa"/>
          </w:tcPr>
          <w:p w:rsidR="00727498" w:rsidRDefault="00727498" w:rsidP="000D7B27">
            <w:pPr>
              <w:pStyle w:val="Figure"/>
            </w:pPr>
            <w:r>
              <w:rPr>
                <w:noProof/>
              </w:rPr>
              <w:drawing>
                <wp:inline distT="0" distB="0" distL="0" distR="0" wp14:anchorId="3AA16FEB" wp14:editId="5E4F6089">
                  <wp:extent cx="5581650" cy="3794125"/>
                  <wp:effectExtent l="0" t="0" r="0" b="0"/>
                  <wp:docPr id="13" name="Chart 13" descr="A chart showing the value of Australian motor vehicle and parts exports in 2002 and 2012. The three countries receiving the greatest value of Australian exports in both years were Saudi Arabia, New Zealand and the United States, and the value of exports to these three destinations declined between 2002 and 2012. " title="Australian automotive exports by destination"/>
                  <wp:cNvGraphicFramePr/>
                  <a:graphic xmlns:a="http://schemas.openxmlformats.org/drawingml/2006/main">
                    <a:graphicData uri="http://schemas.openxmlformats.org/drawingml/2006/chart">
                      <c:chart xmlns:c="http://schemas.openxmlformats.org/drawingml/2006/chart" xmlns:r="http://schemas.openxmlformats.org/officeDocument/2006/relationships" r:id="rId48"/>
                    </a:graphicData>
                  </a:graphic>
                </wp:inline>
              </w:drawing>
            </w:r>
          </w:p>
        </w:tc>
      </w:tr>
    </w:tbl>
    <w:p w:rsidR="00727498" w:rsidRDefault="00727498" w:rsidP="00450951">
      <w:pPr>
        <w:pStyle w:val="Source"/>
      </w:pPr>
      <w:r>
        <w:rPr>
          <w:i/>
        </w:rPr>
        <w:t>Source</w:t>
      </w:r>
      <w:r w:rsidRPr="00167F06">
        <w:t xml:space="preserve">: </w:t>
      </w:r>
      <w:proofErr w:type="spellStart"/>
      <w:r w:rsidRPr="00485923">
        <w:t>DFAT</w:t>
      </w:r>
      <w:proofErr w:type="spellEnd"/>
      <w:r w:rsidRPr="00485923">
        <w:t xml:space="preserve"> STARS Database, based on ABS </w:t>
      </w:r>
      <w:r>
        <w:t>(</w:t>
      </w:r>
      <w:r w:rsidRPr="00485923">
        <w:t>Cat</w:t>
      </w:r>
      <w:r>
        <w:t>.</w:t>
      </w:r>
      <w:r w:rsidRPr="00485923">
        <w:t xml:space="preserve"> </w:t>
      </w:r>
      <w:r>
        <w:t>no.</w:t>
      </w:r>
      <w:r w:rsidRPr="00485923">
        <w:t xml:space="preserve"> 5368.0</w:t>
      </w:r>
      <w:r>
        <w:t>)</w:t>
      </w:r>
      <w:r w:rsidRPr="00485923">
        <w:t>.</w:t>
      </w:r>
    </w:p>
    <w:p w:rsidR="00727498" w:rsidRDefault="00727498" w:rsidP="00450951">
      <w:pPr>
        <w:pStyle w:val="Heading4"/>
      </w:pPr>
      <w:r>
        <w:t>Exchange rate appreciation has affected competitiveness</w:t>
      </w:r>
    </w:p>
    <w:p w:rsidR="00727498" w:rsidRPr="00551EBD" w:rsidRDefault="00727498" w:rsidP="00450951">
      <w:pPr>
        <w:pStyle w:val="BodyText"/>
        <w:rPr>
          <w:spacing w:val="-4"/>
        </w:rPr>
      </w:pPr>
      <w:r w:rsidRPr="00551EBD">
        <w:rPr>
          <w:spacing w:val="-4"/>
        </w:rPr>
        <w:t>Between 2000 and 2013, the Australian dollar appreciated by around 42 per cent in trade</w:t>
      </w:r>
      <w:r w:rsidRPr="00551EBD">
        <w:rPr>
          <w:spacing w:val="-4"/>
        </w:rPr>
        <w:noBreakHyphen/>
        <w:t xml:space="preserve">weighted terms </w:t>
      </w:r>
      <w:r w:rsidRPr="00551EBD">
        <w:rPr>
          <w:spacing w:val="-4"/>
          <w:szCs w:val="24"/>
        </w:rPr>
        <w:t>(RBA 2013)</w:t>
      </w:r>
      <w:r w:rsidRPr="00551EBD">
        <w:rPr>
          <w:spacing w:val="-4"/>
        </w:rPr>
        <w:t xml:space="preserve"> (figure 3.9). A number of submissions cited the high Australian dollar as having been significantly detrimental to the competitiveness of domestically</w:t>
      </w:r>
      <w:r>
        <w:rPr>
          <w:spacing w:val="-4"/>
        </w:rPr>
        <w:noBreakHyphen/>
      </w:r>
      <w:r w:rsidRPr="00551EBD">
        <w:rPr>
          <w:spacing w:val="-4"/>
        </w:rPr>
        <w:t xml:space="preserve">produced vehicles in both the domestic and export markets </w:t>
      </w:r>
      <w:r>
        <w:t xml:space="preserve">(Diver Consolidated Industries, sub. 25; </w:t>
      </w:r>
      <w:proofErr w:type="spellStart"/>
      <w:r>
        <w:t>Futuris</w:t>
      </w:r>
      <w:proofErr w:type="spellEnd"/>
      <w:r>
        <w:t xml:space="preserve"> Automotive, sub. 9; </w:t>
      </w:r>
      <w:proofErr w:type="spellStart"/>
      <w:r>
        <w:t>FCAI</w:t>
      </w:r>
      <w:proofErr w:type="spellEnd"/>
      <w:r>
        <w:t>, sub. 30; Ford, sub. 65; Holden, sub. 58; Government of South Australia, sub. 68;</w:t>
      </w:r>
      <w:r w:rsidRPr="00A03233">
        <w:t xml:space="preserve"> </w:t>
      </w:r>
      <w:proofErr w:type="spellStart"/>
      <w:r>
        <w:t>MTM</w:t>
      </w:r>
      <w:proofErr w:type="spellEnd"/>
      <w:r>
        <w:t>, sub. 29; Toyota, sub. 31)</w:t>
      </w:r>
      <w:r w:rsidRPr="00551EBD">
        <w:rPr>
          <w:spacing w:val="-4"/>
        </w:rPr>
        <w:t xml:space="preserve">. </w:t>
      </w:r>
    </w:p>
    <w:p w:rsidR="00727498" w:rsidRDefault="00727498" w:rsidP="00450951">
      <w:pPr>
        <w:pStyle w:val="BodyText"/>
      </w:pPr>
      <w:r>
        <w:t xml:space="preserve">For example, </w:t>
      </w:r>
      <w:proofErr w:type="spellStart"/>
      <w:r>
        <w:t>Futuris</w:t>
      </w:r>
      <w:proofErr w:type="spellEnd"/>
      <w:r>
        <w:t xml:space="preserve"> Automotive (sub. 9, p. 3) described the exchange rate appreciation as the ‘single biggest issue’ affecting the performance and viability of automotive manufacturing in Australia, and claimed that exchange rate movements have made imports 20–30 per cent more competitive, and Australian exports 30–40 per cent less competitive. Similarly, Diver Consolidated Industries (sub. 25, p. 4) cited the ‘currency effect’ on competitiveness as the ‘greatest’ issue for the domestic industry, suggesting that it had made exports 30 per cent less competitive. </w:t>
      </w:r>
    </w:p>
    <w:p w:rsidR="00727498" w:rsidRDefault="00727498" w:rsidP="00536688">
      <w:pPr>
        <w:pStyle w:val="Heading4"/>
      </w:pPr>
      <w:r>
        <w:lastRenderedPageBreak/>
        <w:t>The influence of tariffs and continuing barriers to trade</w:t>
      </w:r>
    </w:p>
    <w:p w:rsidR="00727498" w:rsidRDefault="00727498" w:rsidP="00536688">
      <w:pPr>
        <w:pStyle w:val="BodyText"/>
      </w:pPr>
      <w:r>
        <w:t xml:space="preserve">Since 2000, Australia has progressively reduced its import tariff on motor vehicles and parts from 15 per cent to 5 per cent </w:t>
      </w:r>
      <w:r w:rsidRPr="007C36DA">
        <w:rPr>
          <w:szCs w:val="24"/>
        </w:rPr>
        <w:t>(</w:t>
      </w:r>
      <w:proofErr w:type="spellStart"/>
      <w:r w:rsidRPr="007C36DA">
        <w:rPr>
          <w:szCs w:val="24"/>
        </w:rPr>
        <w:t>ACBPS</w:t>
      </w:r>
      <w:proofErr w:type="spellEnd"/>
      <w:r w:rsidRPr="007C36DA">
        <w:rPr>
          <w:szCs w:val="24"/>
        </w:rPr>
        <w:t> </w:t>
      </w:r>
      <w:proofErr w:type="spellStart"/>
      <w:r w:rsidRPr="007C36DA">
        <w:rPr>
          <w:szCs w:val="24"/>
        </w:rPr>
        <w:t>nd</w:t>
      </w:r>
      <w:proofErr w:type="spellEnd"/>
      <w:r w:rsidRPr="007C36DA">
        <w:rPr>
          <w:szCs w:val="24"/>
        </w:rPr>
        <w:t>; Lloyd 2007)</w:t>
      </w:r>
      <w:r>
        <w:t>. In the case of several countries with which it has a bilateral or regional trade agreement, there is a zero tariff rate. Toyota advised that because many imported vehicles enter Australia at a zero tariff rate, domestic vehicle producers are under pressure to lower their prices (or offer other consumer discounts such as free petrol or zero</w:t>
      </w:r>
      <w:r>
        <w:noBreakHyphen/>
        <w:t>rate financing) to avoid losing sales in the Australian market (sub. 31). Australian consumers benefit from this competition.</w:t>
      </w:r>
    </w:p>
    <w:p w:rsidR="00727498" w:rsidRDefault="00727498" w:rsidP="00536688">
      <w:pPr>
        <w:pStyle w:val="BodyText"/>
      </w:pPr>
      <w:r>
        <w:t xml:space="preserve">There is some evidence that preferential tariff treatments among other countries have placed Australian exports at a disadvantage. For example, Toyota (sub. 31) noted that the United States is able to export into some </w:t>
      </w:r>
      <w:proofErr w:type="spellStart"/>
      <w:r>
        <w:t>G</w:t>
      </w:r>
      <w:r w:rsidR="007942DF">
        <w:t>CC</w:t>
      </w:r>
      <w:proofErr w:type="spellEnd"/>
      <w:r>
        <w:t xml:space="preserve"> states at a zero tariff rate, due to bilateral trade arrangements with those countries, while Australian exports of the Camry and </w:t>
      </w:r>
      <w:proofErr w:type="spellStart"/>
      <w:r>
        <w:t>Aurion</w:t>
      </w:r>
      <w:proofErr w:type="spellEnd"/>
      <w:r>
        <w:t xml:space="preserve"> into the same countries are subject to a 5 per cent tariff (sub. 31). Australia is currently undertaking regional trade negotiations with these countries and Toyota argued that a ‘r</w:t>
      </w:r>
      <w:r w:rsidRPr="00916403">
        <w:t>enewed effort to progress the Australia</w:t>
      </w:r>
      <w:r>
        <w:noBreakHyphen/>
      </w:r>
      <w:proofErr w:type="spellStart"/>
      <w:r w:rsidRPr="00916403">
        <w:t>GCC</w:t>
      </w:r>
      <w:proofErr w:type="spellEnd"/>
      <w:r w:rsidRPr="00916403">
        <w:t xml:space="preserve"> </w:t>
      </w:r>
      <w:r>
        <w:t>[Free Trade Agreement]</w:t>
      </w:r>
      <w:r w:rsidRPr="00916403">
        <w:t xml:space="preserve"> would significantly support Australian exports to the region</w:t>
      </w:r>
      <w:r>
        <w:t>’ (sub. 31, p. 10).</w:t>
      </w:r>
    </w:p>
    <w:p w:rsidR="00727498" w:rsidRDefault="00727498" w:rsidP="00536688">
      <w:pPr>
        <w:pStyle w:val="BodyText"/>
      </w:pPr>
      <w:r>
        <w:t>Non</w:t>
      </w:r>
      <w:r>
        <w:noBreakHyphen/>
        <w:t>tariff barriers can also impede Australian exports. Australia has bilateral trade arrangements with Thailand, under which there is a zero tariff rate on automotive imports. Thailand is now a significant source of imports to Australia — in 2012 it was the third largest exporter of vehicles and components into Australia (by value) (</w:t>
      </w:r>
      <w:proofErr w:type="spellStart"/>
      <w:r>
        <w:t>DFAT</w:t>
      </w:r>
      <w:proofErr w:type="spellEnd"/>
      <w:r>
        <w:t xml:space="preserve"> STARS database). However, Thailand imposes vehicle excise duties that vary according </w:t>
      </w:r>
      <w:r w:rsidR="00AD0C0D">
        <w:t>to the size and type of engine</w:t>
      </w:r>
      <w:r>
        <w:t>. The excise duty is levied on all vehicles in Thailand, whether they are imported or manufactured domestically.</w:t>
      </w:r>
    </w:p>
    <w:p w:rsidR="00727498" w:rsidRPr="00BB76B2" w:rsidRDefault="00727498" w:rsidP="00536688">
      <w:pPr>
        <w:pStyle w:val="BodyText"/>
        <w:rPr>
          <w:spacing w:val="-4"/>
        </w:rPr>
      </w:pPr>
      <w:r w:rsidRPr="00BB76B2">
        <w:rPr>
          <w:spacing w:val="-4"/>
        </w:rPr>
        <w:t>Ford pointed out that its Australian</w:t>
      </w:r>
      <w:r>
        <w:rPr>
          <w:spacing w:val="-4"/>
        </w:rPr>
        <w:noBreakHyphen/>
      </w:r>
      <w:r w:rsidRPr="00BB76B2">
        <w:rPr>
          <w:spacing w:val="-4"/>
        </w:rPr>
        <w:t>manufactured Territory attracts a 40 per cent excise duty when exported to Thailand, affecting its competitiveness and restricting its sales potential in that market (sub.</w:t>
      </w:r>
      <w:r>
        <w:rPr>
          <w:spacing w:val="-4"/>
        </w:rPr>
        <w:t> </w:t>
      </w:r>
      <w:r w:rsidRPr="00BB76B2">
        <w:rPr>
          <w:spacing w:val="-4"/>
        </w:rPr>
        <w:t>65). Further, Toyota submitted that its four</w:t>
      </w:r>
      <w:r>
        <w:rPr>
          <w:spacing w:val="-4"/>
        </w:rPr>
        <w:noBreakHyphen/>
      </w:r>
      <w:r w:rsidRPr="00BB76B2">
        <w:rPr>
          <w:spacing w:val="-4"/>
        </w:rPr>
        <w:t xml:space="preserve">cylinder Camry attracts an excise duty of 35 per cent in Thailand, and that this is ‘discriminatory’ in view of the much lower rate on light </w:t>
      </w:r>
      <w:r>
        <w:rPr>
          <w:spacing w:val="-4"/>
        </w:rPr>
        <w:t>trucks</w:t>
      </w:r>
      <w:r w:rsidRPr="00BB76B2">
        <w:rPr>
          <w:spacing w:val="-4"/>
        </w:rPr>
        <w:t xml:space="preserve"> (sub. 31, p. 9).</w:t>
      </w:r>
    </w:p>
    <w:p w:rsidR="00397519" w:rsidRDefault="00727498" w:rsidP="00397519">
      <w:pPr>
        <w:pStyle w:val="BodyText"/>
      </w:pPr>
      <w:r w:rsidRPr="00BE6404">
        <w:t>Bilateral trade arrangements between Australia and Korea (the Korea–Australia Free Trade Agreement), announced in December 2013, will also remove tariff barriers on motor vehicles and parts. Korea has agreed to eliminate tariffs on manufactured products</w:t>
      </w:r>
      <w:r w:rsidR="00A2447B">
        <w:t xml:space="preserve"> </w:t>
      </w:r>
      <w:r w:rsidR="00A2447B">
        <w:fldChar w:fldCharType="begin"/>
      </w:r>
      <w:r w:rsidR="00A2447B">
        <w:instrText xml:space="preserve"> ADDIN ZOTERO_ITEM CSL_CITATION {"citationID":"13h6ttigt0","properties":{"formattedCitation":"{\\rtf (DFAT\\uc0\\u160{}2013)}","plainCitation":"(DFAT 2013)"},"citationItems":[{"id":2682,"uris":["http://zotero.org/groups/221603/items/U5NFGAFZ"],"uri":["http://zotero.org/groups/221603/items/U5NFGAFZ"],"itemData":{"id":2682,"type":"webpage","title":"Korea-Australia Free Trade Agreement (KAFTA) - Key outcomes","genre":"Fact sheet","URL":"http://www.dfat.gov.au/fta/akfta/fact-sheet-key-outcomes.html","author":[{"family":"Department of Foreign Affairs and Trade","given":""}],"translator":[{"family":"DFAT","given":""}],"issued":{"date-parts":[["2013",12,5]]},"accessed":{"date-parts":[["2013",12,8]]}}}],"schema":"https://github.com/citation-style-language/schema/raw/master/csl-citation.json"} </w:instrText>
      </w:r>
      <w:r w:rsidR="00A2447B">
        <w:fldChar w:fldCharType="separate"/>
      </w:r>
      <w:r w:rsidR="00A2447B" w:rsidRPr="00A2447B">
        <w:rPr>
          <w:szCs w:val="24"/>
        </w:rPr>
        <w:t>(</w:t>
      </w:r>
      <w:proofErr w:type="spellStart"/>
      <w:r w:rsidR="00A2447B" w:rsidRPr="00A2447B">
        <w:rPr>
          <w:szCs w:val="24"/>
        </w:rPr>
        <w:t>DFAT</w:t>
      </w:r>
      <w:proofErr w:type="spellEnd"/>
      <w:r w:rsidR="00A2447B" w:rsidRPr="00A2447B">
        <w:rPr>
          <w:szCs w:val="24"/>
        </w:rPr>
        <w:t> 2013)</w:t>
      </w:r>
      <w:r w:rsidR="00A2447B">
        <w:fldChar w:fldCharType="end"/>
      </w:r>
      <w:r w:rsidRPr="00BE6404">
        <w:t>.</w:t>
      </w:r>
    </w:p>
    <w:p w:rsidR="00397519" w:rsidRDefault="00397519" w:rsidP="00397519">
      <w:pPr>
        <w:pStyle w:val="BodyText"/>
      </w:pPr>
    </w:p>
    <w:p w:rsidR="00727498" w:rsidRDefault="00727498" w:rsidP="00397519">
      <w:pPr>
        <w:pStyle w:val="BodyText"/>
      </w:pPr>
      <w:r w:rsidRPr="00D12CF5">
        <w:lastRenderedPageBreak/>
        <w:t>As the Commission has observed previously, Australia’s interests would be best served by multilateral reductions in trade barriers. Multilateral, non</w:t>
      </w:r>
      <w:r>
        <w:noBreakHyphen/>
      </w:r>
      <w:r w:rsidRPr="00D12CF5">
        <w:t xml:space="preserve">discriminatory reductions avoid the distorting effects of agreements that promote trade between members, often at the expense of trade </w:t>
      </w:r>
      <w:r>
        <w:t xml:space="preserve">with more efficient producers </w:t>
      </w:r>
      <w:r w:rsidRPr="00CB3D68">
        <w:rPr>
          <w:szCs w:val="24"/>
        </w:rPr>
        <w:t>(PC </w:t>
      </w:r>
      <w:proofErr w:type="spellStart"/>
      <w:r w:rsidRPr="00CB3D68">
        <w:rPr>
          <w:szCs w:val="24"/>
        </w:rPr>
        <w:t>2010a</w:t>
      </w:r>
      <w:proofErr w:type="spellEnd"/>
      <w:r w:rsidRPr="00CB3D68">
        <w:rPr>
          <w:szCs w:val="24"/>
        </w:rPr>
        <w:t>)</w:t>
      </w:r>
      <w:r>
        <w:t>. ‘Behind the border’ measures, such as excise duties, can also represent a barrier to trade.</w:t>
      </w:r>
    </w:p>
    <w:p w:rsidR="00727498" w:rsidRDefault="00727498" w:rsidP="00F92227">
      <w:pPr>
        <w:pStyle w:val="FindingTitle"/>
        <w:framePr w:wrap="auto"/>
      </w:pPr>
      <w:r>
        <w:t>preliminary Finding 3.3</w:t>
      </w:r>
    </w:p>
    <w:p w:rsidR="00727498" w:rsidRDefault="00727498" w:rsidP="00F92227">
      <w:pPr>
        <w:pStyle w:val="Finding"/>
      </w:pPr>
      <w:r>
        <w:t>A substantial increase in the volume of production in Australia would be needed for any motor vehicle producer to improve their financial performance in the long term, but increasing the volume of production is challenging.</w:t>
      </w:r>
    </w:p>
    <w:p w:rsidR="00727498" w:rsidRDefault="00727498" w:rsidP="00F92227">
      <w:pPr>
        <w:pStyle w:val="FindingBullet"/>
      </w:pPr>
      <w:r>
        <w:t>The Australian new car market is growing slowly, but is fragmented and highly competitive, which limits the domestic sales volumes that a single vehicle model can achieve.</w:t>
      </w:r>
    </w:p>
    <w:p w:rsidR="00727498" w:rsidRDefault="00727498" w:rsidP="00F92227">
      <w:pPr>
        <w:pStyle w:val="FindingBullet"/>
      </w:pPr>
      <w:r w:rsidRPr="006B166B">
        <w:t>Export opportunities for a motor vehicle producer in Australia are limited. This is due to competition from lower cost countries, productive capacity in excess of domestic demand in some countries, the high value of the Australian dollar and continuing barriers to trade.</w:t>
      </w:r>
    </w:p>
    <w:p w:rsidR="00727498" w:rsidRDefault="00727498" w:rsidP="002E0FB4">
      <w:pPr>
        <w:pStyle w:val="Heading3"/>
      </w:pPr>
      <w:r>
        <w:t>Competition limits the scope to increase motor vehicle prices</w:t>
      </w:r>
    </w:p>
    <w:p w:rsidR="00727498" w:rsidRDefault="00727498" w:rsidP="009A3962">
      <w:pPr>
        <w:pStyle w:val="BodyText"/>
      </w:pPr>
      <w:r>
        <w:t xml:space="preserve">The fierce competition in the Australian automotive market limits the scope for all sellers of cars in Australia to increase the price of their vehicles. Following sustained increases throughout the late </w:t>
      </w:r>
      <w:proofErr w:type="spellStart"/>
      <w:r>
        <w:t>1980s</w:t>
      </w:r>
      <w:proofErr w:type="spellEnd"/>
      <w:r>
        <w:t xml:space="preserve"> and the </w:t>
      </w:r>
      <w:proofErr w:type="spellStart"/>
      <w:r>
        <w:t>1990s</w:t>
      </w:r>
      <w:proofErr w:type="spellEnd"/>
      <w:r>
        <w:t>, the period from 1998 to 2012 saw relative stability in the average recommended retail price of all motor vehicles — with a nominal increase of less than 5 per cent over the 14 years (figure 3.11). Within that average there was a slight decline in the price of imported vehicles, and a 21 per cent increase in the average recommended retail price of locally</w:t>
      </w:r>
      <w:r>
        <w:noBreakHyphen/>
        <w:t>produced vehicles.</w:t>
      </w:r>
    </w:p>
    <w:p w:rsidR="00727498" w:rsidRDefault="00727498" w:rsidP="009A3962">
      <w:pPr>
        <w:pStyle w:val="FigureTitle"/>
      </w:pPr>
      <w:r>
        <w:rPr>
          <w:b w:val="0"/>
        </w:rPr>
        <w:lastRenderedPageBreak/>
        <w:t xml:space="preserve">Figure </w:t>
      </w:r>
      <w:bookmarkStart w:id="15" w:name="OLE_LINK16"/>
      <w:r>
        <w:rPr>
          <w:b w:val="0"/>
        </w:rPr>
        <w:t>3</w:t>
      </w:r>
      <w:r>
        <w:rPr>
          <w:b w:val="0"/>
        </w:rPr>
        <w:fldChar w:fldCharType="begin" w:fldLock="1"/>
      </w:r>
      <w:r>
        <w:rPr>
          <w:b w:val="0"/>
        </w:rPr>
        <w:instrText xml:space="preserve"> COMMENTS  \* MERGEFORMAT </w:instrText>
      </w:r>
      <w:r>
        <w:rPr>
          <w:b w:val="0"/>
        </w:rPr>
        <w:fldChar w:fldCharType="end"/>
      </w:r>
      <w:bookmarkEnd w:id="15"/>
      <w:r>
        <w:rPr>
          <w:b w:val="0"/>
        </w:rPr>
        <w:t>.11</w:t>
      </w:r>
      <w:r>
        <w:tab/>
        <w:t>Average recommended retail prices of motor vehicles sold in Australia, 1985 to 2012</w:t>
      </w:r>
    </w:p>
    <w:p w:rsidR="00727498" w:rsidRDefault="00727498" w:rsidP="009A3962">
      <w:pPr>
        <w:pStyle w:val="Subtitle"/>
      </w:pPr>
      <w:r>
        <w:t>Index values (1998=100)</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727498" w:rsidTr="00D2754D">
        <w:tc>
          <w:tcPr>
            <w:tcW w:w="8777" w:type="dxa"/>
          </w:tcPr>
          <w:p w:rsidR="00727498" w:rsidRDefault="00727498" w:rsidP="00D2754D">
            <w:pPr>
              <w:pStyle w:val="Figure"/>
            </w:pPr>
            <w:r>
              <w:rPr>
                <w:noProof/>
              </w:rPr>
              <w:drawing>
                <wp:inline distT="0" distB="0" distL="0" distR="0" wp14:anchorId="263763A1" wp14:editId="35F5D4A1">
                  <wp:extent cx="5581935" cy="3382702"/>
                  <wp:effectExtent l="0" t="0" r="0" b="8255"/>
                  <wp:docPr id="4" name="Chart 4" descr="A chart showing changes in the average recommended retail prices of motor vehicles sold in Australia between 1985 and 2012. Following sustained increases throughout the late 1980s and the 1990s, the period from 1998 to 2012 saw relative stability in the average recommended retail price of all motor vehicles." title="Average recommended retail prices of motor vehicles sold in Australia, 1985 to 2012"/>
                  <wp:cNvGraphicFramePr/>
                  <a:graphic xmlns:a="http://schemas.openxmlformats.org/drawingml/2006/main">
                    <a:graphicData uri="http://schemas.openxmlformats.org/drawingml/2006/chart">
                      <c:chart xmlns:c="http://schemas.openxmlformats.org/drawingml/2006/chart" xmlns:r="http://schemas.openxmlformats.org/officeDocument/2006/relationships" r:id="rId49"/>
                    </a:graphicData>
                  </a:graphic>
                </wp:inline>
              </w:drawing>
            </w:r>
          </w:p>
        </w:tc>
      </w:tr>
    </w:tbl>
    <w:p w:rsidR="00727498" w:rsidRDefault="00727498" w:rsidP="009A3962">
      <w:pPr>
        <w:pStyle w:val="Source"/>
      </w:pPr>
      <w:r>
        <w:rPr>
          <w:i/>
        </w:rPr>
        <w:t>Source</w:t>
      </w:r>
      <w:r w:rsidRPr="00167F06">
        <w:t xml:space="preserve">: </w:t>
      </w:r>
      <w:r>
        <w:t xml:space="preserve">AAI </w:t>
      </w:r>
      <w:r w:rsidRPr="00D176BF">
        <w:rPr>
          <w:rFonts w:cs="Arial"/>
        </w:rPr>
        <w:t>(2013)</w:t>
      </w:r>
      <w:r>
        <w:t>.</w:t>
      </w:r>
    </w:p>
    <w:p w:rsidR="00727498" w:rsidRDefault="00727498" w:rsidP="009A3962">
      <w:pPr>
        <w:pStyle w:val="Heading3"/>
      </w:pPr>
      <w:r>
        <w:t>There have been attempts to lower costs, but more needs to be done</w:t>
      </w:r>
    </w:p>
    <w:p w:rsidR="00727498" w:rsidRDefault="00727498" w:rsidP="00152051">
      <w:pPr>
        <w:pStyle w:val="BodyText"/>
      </w:pPr>
      <w:r>
        <w:t>There has been a drive to reduce the cost of vehicle manufacture in Australia, but this needs to be seen in the context of automotive firms relentlessly pursuing cost reductions across their global operations. For motor vehicle producers in Australia to be viable, they need to reduce their costs significantly to close the current gap with producers</w:t>
      </w:r>
      <w:r w:rsidRPr="00D535C7">
        <w:t xml:space="preserve"> </w:t>
      </w:r>
      <w:r>
        <w:t>in other countries — and having done so, they will also need to keep reducing their costs to keep pace with the ongoing reductions that history suggests will be achieved by those overseas producers.</w:t>
      </w:r>
    </w:p>
    <w:p w:rsidR="00727498" w:rsidRDefault="00727498" w:rsidP="009A3962">
      <w:pPr>
        <w:pStyle w:val="BodyText"/>
      </w:pPr>
      <w:r>
        <w:t>In this respect, Toyota is undertaking a transformation project between 2012 and 2018 to increase its productivity and reduce its costs across its Australian operations, in order to be more competitive against alternative Camry producers. Toyota is also looking to improve its supply chain by assisting local suppliers to develop and diversify, and is reviewing the sourcing of imported commodities (both vehicles and components) (Toyota, sub. 31).</w:t>
      </w:r>
    </w:p>
    <w:p w:rsidR="00727498" w:rsidRDefault="00727498" w:rsidP="00151680">
      <w:pPr>
        <w:pStyle w:val="BodyText"/>
      </w:pPr>
      <w:r>
        <w:t xml:space="preserve">As part of this program, Toyota is seeking a variation in its workplace agreement to remove ‘outdated and uncompetitive practices and allowances that increase </w:t>
      </w:r>
      <w:r>
        <w:lastRenderedPageBreak/>
        <w:t xml:space="preserve">Toyota’s labour costs and reduce its global competitiveness’ </w:t>
      </w:r>
      <w:r w:rsidRPr="004E3D41">
        <w:rPr>
          <w:szCs w:val="24"/>
        </w:rPr>
        <w:t>(Toyota Australia </w:t>
      </w:r>
      <w:proofErr w:type="spellStart"/>
      <w:r w:rsidRPr="004E3D41">
        <w:rPr>
          <w:szCs w:val="24"/>
        </w:rPr>
        <w:t>2013c</w:t>
      </w:r>
      <w:proofErr w:type="spellEnd"/>
      <w:r w:rsidRPr="004E3D41">
        <w:rPr>
          <w:szCs w:val="24"/>
        </w:rPr>
        <w:t>)</w:t>
      </w:r>
      <w:r>
        <w:t xml:space="preserve">. In addition, 350 employees were made redundant from Toyota’s Altona plant in 2012, and Toyota has announced it will be a seeking a further 100 voluntary redundancies </w:t>
      </w:r>
      <w:r w:rsidRPr="00EB1B10">
        <w:rPr>
          <w:szCs w:val="24"/>
        </w:rPr>
        <w:t>(Toyota Australia </w:t>
      </w:r>
      <w:proofErr w:type="spellStart"/>
      <w:r w:rsidRPr="00EB1B10">
        <w:rPr>
          <w:szCs w:val="24"/>
        </w:rPr>
        <w:t>2013a</w:t>
      </w:r>
      <w:proofErr w:type="spellEnd"/>
      <w:r w:rsidRPr="00EB1B10">
        <w:rPr>
          <w:szCs w:val="24"/>
        </w:rPr>
        <w:t>)</w:t>
      </w:r>
      <w:r>
        <w:t>.</w:t>
      </w:r>
    </w:p>
    <w:p w:rsidR="00727498" w:rsidRDefault="00727498" w:rsidP="00151680">
      <w:pPr>
        <w:pStyle w:val="BodyText"/>
      </w:pPr>
      <w:r>
        <w:t xml:space="preserve">In relation to its drive for productivity improvements, Toyota Australia’s President and </w:t>
      </w:r>
      <w:proofErr w:type="spellStart"/>
      <w:r>
        <w:t>CEO</w:t>
      </w:r>
      <w:proofErr w:type="spellEnd"/>
      <w:r>
        <w:t>, Max Yasuda, has commented that:</w:t>
      </w:r>
    </w:p>
    <w:p w:rsidR="00727498" w:rsidRDefault="00727498" w:rsidP="00151680">
      <w:pPr>
        <w:pStyle w:val="Quote"/>
      </w:pPr>
      <w:r>
        <w:t>Although we have made progress, the speed of change has not been fast enough. We need to take urgent action because we are now seeing gaps in our transformation plans. We must develop detailed plans to close these gaps if we want to remain at the negotiating table for future in</w:t>
      </w:r>
      <w:r w:rsidRPr="00EF1465">
        <w:t xml:space="preserve">vestments. </w:t>
      </w:r>
      <w:r w:rsidRPr="00DC0290">
        <w:rPr>
          <w:szCs w:val="24"/>
        </w:rPr>
        <w:t>(Toyota Australia </w:t>
      </w:r>
      <w:proofErr w:type="spellStart"/>
      <w:r w:rsidRPr="00DC0290">
        <w:rPr>
          <w:szCs w:val="24"/>
        </w:rPr>
        <w:t>2013c</w:t>
      </w:r>
      <w:proofErr w:type="spellEnd"/>
      <w:r w:rsidRPr="00DC0290">
        <w:rPr>
          <w:szCs w:val="24"/>
        </w:rPr>
        <w:t>)</w:t>
      </w:r>
    </w:p>
    <w:p w:rsidR="00727498" w:rsidRDefault="00727498" w:rsidP="00DF1A6A">
      <w:pPr>
        <w:pStyle w:val="BodyText"/>
      </w:pPr>
      <w:r>
        <w:t xml:space="preserve">Reducing the cost base in motor vehicle production is critical, not only to improve the global competitiveness </w:t>
      </w:r>
      <w:r w:rsidR="00E36FA7">
        <w:t xml:space="preserve">of </w:t>
      </w:r>
      <w:r>
        <w:t>Australian operations, but to also develop resilience against global and local forces that will likely place further pressure on their financial performance in the future.</w:t>
      </w:r>
    </w:p>
    <w:p w:rsidR="00727498" w:rsidRDefault="00727498" w:rsidP="00151680">
      <w:pPr>
        <w:pStyle w:val="Heading3"/>
      </w:pPr>
      <w:r>
        <w:t>Automotive component manufacturers in Australia face challenges</w:t>
      </w:r>
    </w:p>
    <w:p w:rsidR="00727498" w:rsidRDefault="00727498" w:rsidP="0078524E">
      <w:pPr>
        <w:pStyle w:val="BodyText"/>
      </w:pPr>
      <w:r>
        <w:t>Many firms in the automotive component sector have adjusted to changing economic conditions, including lower tariff rates, by diversifying into different industries or into export markets. Some automotive component suppliers, however, remain heavily reliant on motor vehicle production in Australia for their sales revenue and have indicated they are likely to face significant pressure due to the decisions of Ford and Holden to cease manufacturing in Australia. Key industry stakeholders, including the Federation of Automotive Products Manufacturers (sub. 69), accept that the component manufacturing segment needs further rationalisation and productivity improvements to improve the viability of the remaining firms.</w:t>
      </w:r>
    </w:p>
    <w:p w:rsidR="00727498" w:rsidRDefault="00727498" w:rsidP="00A15885">
      <w:pPr>
        <w:pStyle w:val="BodyText"/>
      </w:pPr>
      <w:r>
        <w:t xml:space="preserve">The increased trend toward imported components, and the global trends outlined in chapter 2, are likely to also place increasing pressure on Australian component manufacturers, regardless of the decisions of the vehicle producers in Australia. Many component producers will need to be integrated into global supply chains as motor vehicle producers seek to have fewer, larger direct suppliers. </w:t>
      </w:r>
    </w:p>
    <w:p w:rsidR="00727498" w:rsidRDefault="00727498" w:rsidP="00A15885">
      <w:pPr>
        <w:pStyle w:val="BodyText"/>
      </w:pPr>
      <w:r>
        <w:t>The move toward global vehicle platforms will also have implications for automotive component manufacturers in Australia. Opportunities to supply components for new vehicles that arise from early collaboration between motor vehicle producers and local component manufacturers could be lost if the design and development of global platforms and new models occur</w:t>
      </w:r>
      <w:r w:rsidR="00C8060E">
        <w:t>s</w:t>
      </w:r>
      <w:r>
        <w:t xml:space="preserve"> outside Australia, and Australian component manufacturers are not included in the early supply contracts. </w:t>
      </w:r>
      <w:r>
        <w:lastRenderedPageBreak/>
        <w:t>Conversely, tapping into supply chains to support vehicle assembly based on global platforms may provide opportunities for component manufacturers who are internationally cost competitive.</w:t>
      </w:r>
    </w:p>
    <w:p w:rsidR="00727498" w:rsidRDefault="00727498" w:rsidP="00F92227">
      <w:pPr>
        <w:pStyle w:val="FindingTitle"/>
        <w:framePr w:wrap="auto"/>
      </w:pPr>
      <w:r>
        <w:t>preliminary Finding 3.</w:t>
      </w:r>
      <w:r>
        <w:fldChar w:fldCharType="begin" w:fldLock="1"/>
      </w:r>
      <w:r>
        <w:instrText xml:space="preserve"> COMMENTS  \* MERGEFORMAT </w:instrText>
      </w:r>
      <w:r>
        <w:fldChar w:fldCharType="end"/>
      </w:r>
      <w:r>
        <w:t>4</w:t>
      </w:r>
    </w:p>
    <w:p w:rsidR="00727498" w:rsidRDefault="00727498" w:rsidP="005B6914">
      <w:pPr>
        <w:pStyle w:val="Finding"/>
        <w:keepNext/>
      </w:pPr>
      <w:r>
        <w:t>Component manufacturers in Australia face ongoing pressure to reduce costs and to adjust to changes in the global automotive industry, such as the reduction in tier 1 suppliers and the need to have global scale and presence.</w:t>
      </w:r>
    </w:p>
    <w:p w:rsidR="00727498" w:rsidRDefault="00727498" w:rsidP="005B6914">
      <w:pPr>
        <w:pStyle w:val="FindingBullet"/>
      </w:pPr>
      <w:r>
        <w:t>The shift toward global automotive platforms may create opportunities</w:t>
      </w:r>
      <w:r w:rsidRPr="004E6962">
        <w:t xml:space="preserve"> for some automotive component firms in Australia</w:t>
      </w:r>
      <w:r>
        <w:t xml:space="preserve"> but may lead to the closure of others.</w:t>
      </w:r>
    </w:p>
    <w:p w:rsidR="00727498" w:rsidRDefault="00727498" w:rsidP="00151680">
      <w:pPr>
        <w:pStyle w:val="Heading3"/>
      </w:pPr>
      <w:r>
        <w:t>Workplace relations and tax policies have impacts on the sector</w:t>
      </w:r>
    </w:p>
    <w:p w:rsidR="00727498" w:rsidRPr="00E65113" w:rsidRDefault="00727498" w:rsidP="00DC6BC1">
      <w:pPr>
        <w:pStyle w:val="BodyText"/>
      </w:pPr>
      <w:r w:rsidRPr="00E65113">
        <w:t xml:space="preserve">The broader policy environment affects the operation of firms in the automotive </w:t>
      </w:r>
      <w:r>
        <w:t>manufacturing industry</w:t>
      </w:r>
      <w:r w:rsidRPr="00E65113">
        <w:t xml:space="preserve">. In particular, the enterprise bargaining framework established by the </w:t>
      </w:r>
      <w:r w:rsidRPr="00982787">
        <w:rPr>
          <w:i/>
        </w:rPr>
        <w:t>Fair Work Act 2009</w:t>
      </w:r>
      <w:r w:rsidRPr="00E65113">
        <w:t xml:space="preserve"> (</w:t>
      </w:r>
      <w:proofErr w:type="spellStart"/>
      <w:r w:rsidRPr="00E65113">
        <w:t>Cwlth</w:t>
      </w:r>
      <w:proofErr w:type="spellEnd"/>
      <w:r w:rsidRPr="00E65113">
        <w:t xml:space="preserve">) sets parameters for negotiations between firms and their employees and representatives. To the extent that these parameters impede flexibility at the workplace level, they limit the ways in which the automotive </w:t>
      </w:r>
      <w:r>
        <w:t>manufacturing industry</w:t>
      </w:r>
      <w:r w:rsidRPr="00E65113">
        <w:t xml:space="preserve"> can respond to future challenges</w:t>
      </w:r>
      <w:r>
        <w:t>. Further, rigidities in the policy environment can increase the threat from any future shocks if firms in the industry are not able to continually adapt to changing circumstances</w:t>
      </w:r>
      <w:r w:rsidRPr="00E65113">
        <w:t>. The Federal Court decision</w:t>
      </w:r>
      <w:r w:rsidRPr="00624707">
        <w:rPr>
          <w:rStyle w:val="FootnoteReference"/>
        </w:rPr>
        <w:footnoteReference w:id="5"/>
      </w:r>
      <w:r w:rsidRPr="00E65113">
        <w:t xml:space="preserve"> of 12 December 2013</w:t>
      </w:r>
      <w:r>
        <w:t xml:space="preserve"> in regard to Toyota</w:t>
      </w:r>
      <w:r w:rsidRPr="00E65113">
        <w:t xml:space="preserve"> — which may restrict the scope for enterprise agreements to be varied before their expiry date — is likely to be influential in this regard</w:t>
      </w:r>
      <w:r>
        <w:t>.</w:t>
      </w:r>
      <w:r w:rsidRPr="00E65113">
        <w:t xml:space="preserve"> (</w:t>
      </w:r>
      <w:r w:rsidR="00C8060E">
        <w:t xml:space="preserve">On 19 December 2013, </w:t>
      </w:r>
      <w:r w:rsidRPr="00E65113">
        <w:t xml:space="preserve">Toyota </w:t>
      </w:r>
      <w:r w:rsidR="00C8060E">
        <w:t>lodged an appeal against</w:t>
      </w:r>
      <w:r w:rsidRPr="00E65113">
        <w:t xml:space="preserve"> the Court’s decision </w:t>
      </w:r>
      <w:r w:rsidRPr="00DC6BC1">
        <w:t>(Toyota Australia </w:t>
      </w:r>
      <w:proofErr w:type="spellStart"/>
      <w:r w:rsidRPr="00DC6BC1">
        <w:t>2013b</w:t>
      </w:r>
      <w:proofErr w:type="spellEnd"/>
      <w:r w:rsidRPr="00DC6BC1">
        <w:t>)</w:t>
      </w:r>
      <w:r>
        <w:t>.</w:t>
      </w:r>
      <w:r w:rsidR="00A56D49">
        <w:rPr>
          <w:rStyle w:val="FootnoteReference"/>
        </w:rPr>
        <w:footnoteReference w:id="6"/>
      </w:r>
      <w:r w:rsidR="00C8060E">
        <w:t>)</w:t>
      </w:r>
    </w:p>
    <w:p w:rsidR="00727498" w:rsidRDefault="00727498" w:rsidP="00E65113">
      <w:pPr>
        <w:pStyle w:val="BodyText"/>
      </w:pPr>
      <w:r>
        <w:t>General t</w:t>
      </w:r>
      <w:r w:rsidRPr="00E65113">
        <w:t>axation policy</w:t>
      </w:r>
      <w:r>
        <w:t xml:space="preserve">, including payroll and company tax policy, affects all sectors of the economy. </w:t>
      </w:r>
      <w:r w:rsidRPr="001371C7">
        <w:t>Particularly where Australian businesses operate in globally exposed industries such as the automotive manufacturing industry, it is vital that Australia’s overall taxation regime does not inhibit firms becoming, and remaining, internationally competitive</w:t>
      </w:r>
      <w:r>
        <w:t xml:space="preserve">. The focus of this inquiry will be taxation policies that specifically affect the automotive manufacturing industry — </w:t>
      </w:r>
      <w:r w:rsidRPr="00E65113">
        <w:t xml:space="preserve">the luxury car tax and the fringe benefits tax exemption for certain classes of commercial vehicles. Removing distortions created by </w:t>
      </w:r>
      <w:r>
        <w:t xml:space="preserve">these </w:t>
      </w:r>
      <w:r w:rsidRPr="00E65113">
        <w:t>taxes has the potential to improve</w:t>
      </w:r>
      <w:r>
        <w:t xml:space="preserve"> economic</w:t>
      </w:r>
      <w:r w:rsidRPr="00E65113">
        <w:t xml:space="preserve"> efficiency, to the benefit of the sector a</w:t>
      </w:r>
      <w:r>
        <w:t>nd the broader economy (this will be discussed further in the position paper).</w:t>
      </w:r>
    </w:p>
    <w:p w:rsidR="00727498" w:rsidRPr="00BC4628" w:rsidRDefault="00002FEC" w:rsidP="00381234">
      <w:pPr>
        <w:pStyle w:val="Heading3"/>
      </w:pPr>
      <w:r>
        <w:lastRenderedPageBreak/>
        <w:t>Assistance to t</w:t>
      </w:r>
      <w:r w:rsidR="00727498" w:rsidRPr="00BC4628">
        <w:t>he automotive manufacturing industry</w:t>
      </w:r>
      <w:r w:rsidR="00727498">
        <w:t xml:space="preserve"> in Australia</w:t>
      </w:r>
    </w:p>
    <w:p w:rsidR="00727498" w:rsidRPr="00BC4628" w:rsidRDefault="00727498" w:rsidP="00381234">
      <w:pPr>
        <w:pStyle w:val="BodyText"/>
      </w:pPr>
      <w:r w:rsidRPr="00BC4628">
        <w:t>Policy reforms that resulted in steady reductions in tariff assistance to the automotive industry were coupled with industry</w:t>
      </w:r>
      <w:r>
        <w:noBreakHyphen/>
      </w:r>
      <w:r w:rsidRPr="00BC4628">
        <w:t>specific budgetary measures to assist the industry to adjust. The Automotive Competitiveness and Investment Scheme (</w:t>
      </w:r>
      <w:proofErr w:type="spellStart"/>
      <w:r w:rsidRPr="00BC4628">
        <w:t>ACIS</w:t>
      </w:r>
      <w:proofErr w:type="spellEnd"/>
      <w:r w:rsidRPr="00BC4628">
        <w:t>) was</w:t>
      </w:r>
      <w:r w:rsidR="00C8060E">
        <w:t xml:space="preserve"> implemented in 2001</w:t>
      </w:r>
      <w:r w:rsidRPr="00BC4628">
        <w:t xml:space="preserve"> to provide transitional assistance to the industry to encourage investment and innovation so it could achieve sustainable growth</w:t>
      </w:r>
      <w:r>
        <w:t xml:space="preserve"> </w:t>
      </w:r>
      <w:r w:rsidRPr="007C36DA">
        <w:rPr>
          <w:szCs w:val="24"/>
        </w:rPr>
        <w:t>(Minchin 1999)</w:t>
      </w:r>
      <w:r w:rsidRPr="00BC4628">
        <w:t>.</w:t>
      </w:r>
    </w:p>
    <w:p w:rsidR="00727498" w:rsidRPr="00BC4628" w:rsidRDefault="00727498" w:rsidP="00381234">
      <w:pPr>
        <w:pStyle w:val="BodyText"/>
      </w:pPr>
      <w:r w:rsidRPr="00BC4628">
        <w:t xml:space="preserve">In 2011, </w:t>
      </w:r>
      <w:proofErr w:type="spellStart"/>
      <w:r w:rsidRPr="00BC4628">
        <w:t>ACIS</w:t>
      </w:r>
      <w:proofErr w:type="spellEnd"/>
      <w:r w:rsidRPr="00BC4628">
        <w:t xml:space="preserve"> was replaced </w:t>
      </w:r>
      <w:r w:rsidR="00E05FD2">
        <w:t>by</w:t>
      </w:r>
      <w:r w:rsidRPr="00BC4628">
        <w:t xml:space="preserve"> the Automotive Transformation Scheme (</w:t>
      </w:r>
      <w:proofErr w:type="spellStart"/>
      <w:r w:rsidRPr="00BC4628">
        <w:t>ATS</w:t>
      </w:r>
      <w:proofErr w:type="spellEnd"/>
      <w:r w:rsidRPr="00BC4628">
        <w:t xml:space="preserve">) — part of a transitional package that committed $6.2 billion for the automotive manufacturing industry of which $3.3 billion has been budgeted to the </w:t>
      </w:r>
      <w:proofErr w:type="spellStart"/>
      <w:r w:rsidRPr="00BC4628">
        <w:t>ATS</w:t>
      </w:r>
      <w:proofErr w:type="spellEnd"/>
      <w:r>
        <w:t xml:space="preserve"> </w:t>
      </w:r>
      <w:r w:rsidRPr="007C36DA">
        <w:rPr>
          <w:szCs w:val="24"/>
        </w:rPr>
        <w:t>(</w:t>
      </w:r>
      <w:proofErr w:type="spellStart"/>
      <w:r w:rsidRPr="007C36DA">
        <w:rPr>
          <w:szCs w:val="24"/>
        </w:rPr>
        <w:t>DIISR</w:t>
      </w:r>
      <w:proofErr w:type="spellEnd"/>
      <w:r w:rsidRPr="007C36DA">
        <w:rPr>
          <w:szCs w:val="24"/>
        </w:rPr>
        <w:t> 2008)</w:t>
      </w:r>
      <w:r w:rsidRPr="00BC4628">
        <w:t xml:space="preserve">. Importantly, the legislated level of assistance in the </w:t>
      </w:r>
      <w:proofErr w:type="spellStart"/>
      <w:r w:rsidRPr="00BC4628">
        <w:t>ATS</w:t>
      </w:r>
      <w:proofErr w:type="spellEnd"/>
      <w:r w:rsidRPr="00BC4628">
        <w:t xml:space="preserve"> is phased down progressively and is scheduled to cease in 2020</w:t>
      </w:r>
      <w:r>
        <w:noBreakHyphen/>
      </w:r>
      <w:r w:rsidRPr="00BC4628">
        <w:t xml:space="preserve">21. The </w:t>
      </w:r>
      <w:proofErr w:type="spellStart"/>
      <w:r w:rsidRPr="00BC4628">
        <w:t>ATS</w:t>
      </w:r>
      <w:proofErr w:type="spellEnd"/>
      <w:r w:rsidRPr="00BC4628">
        <w:t xml:space="preserve"> is open to eligible motor vehicle producers, automotive component producers, machine tool and tooling producers, and automotive service providers.</w:t>
      </w:r>
    </w:p>
    <w:p w:rsidR="00727498" w:rsidRPr="00BC4628" w:rsidRDefault="00727498" w:rsidP="00381234">
      <w:pPr>
        <w:pStyle w:val="BodyText"/>
      </w:pPr>
      <w:r w:rsidRPr="00BC4628">
        <w:t>Another part of the transitional package was the Green Car Innovation Fund. Funding for the Green Car Innovation Fund was reduced by $200 million in the 2010</w:t>
      </w:r>
      <w:r>
        <w:noBreakHyphen/>
      </w:r>
      <w:r w:rsidRPr="00BC4628">
        <w:t>11 budget in response to lower than expected demand. In 2011 the early closure of the Green Car Innovation Fund was announced to help fund Queensland flood recovery.</w:t>
      </w:r>
    </w:p>
    <w:p w:rsidR="00727498" w:rsidRPr="00BC4628" w:rsidRDefault="00727498" w:rsidP="00381234">
      <w:pPr>
        <w:pStyle w:val="BodyText"/>
      </w:pPr>
      <w:r w:rsidRPr="00BC4628">
        <w:t>In addition to industry</w:t>
      </w:r>
      <w:r>
        <w:noBreakHyphen/>
      </w:r>
      <w:r w:rsidRPr="00BC4628">
        <w:t>specific Australian and state government budgetary assistance measures and tariffs of 5 per cent on imported vehicles from some countries, firms in the automotive manufacturing industry can access a range of generally available Australian Government assistance measures such as R&amp;D tax concessions and access to export facilitation programs.</w:t>
      </w:r>
    </w:p>
    <w:p w:rsidR="00727498" w:rsidRDefault="00727498" w:rsidP="00381234">
      <w:pPr>
        <w:pStyle w:val="BodyText"/>
      </w:pPr>
      <w:r w:rsidRPr="00BC4628">
        <w:t>The Commission’s net combined assistance estimates suggest that around $30 billion (2011</w:t>
      </w:r>
      <w:r>
        <w:noBreakHyphen/>
      </w:r>
      <w:r w:rsidRPr="00BC4628">
        <w:t>12 dollars) was provided to the automotive industry between 1997 and 2012 (figure </w:t>
      </w:r>
      <w:r>
        <w:t>3.12</w:t>
      </w:r>
      <w:r w:rsidRPr="00BC4628">
        <w:t>).</w:t>
      </w:r>
    </w:p>
    <w:p w:rsidR="00727498" w:rsidRPr="00BC4628" w:rsidRDefault="00727498" w:rsidP="00E05FD2">
      <w:pPr>
        <w:pStyle w:val="Heading4"/>
      </w:pPr>
      <w:r w:rsidRPr="00BC4628">
        <w:t>Automotive manufacturing assistance is high relative to other industries</w:t>
      </w:r>
    </w:p>
    <w:p w:rsidR="00727498" w:rsidRPr="00BC4628" w:rsidRDefault="00727498" w:rsidP="00A35FDD">
      <w:pPr>
        <w:pStyle w:val="BodyText"/>
      </w:pPr>
      <w:r w:rsidRPr="00BC4628">
        <w:t>The automotive manufacturing industry is heavily assisted. While some participants noted that the total budgetary assistance provided to the industry was less by value than a range of other industries and sectors, this does not take into account the relative sizes of the industries. In 2011</w:t>
      </w:r>
      <w:r>
        <w:noBreakHyphen/>
      </w:r>
      <w:r w:rsidRPr="00BC4628">
        <w:t>12 the effective rate of assistance</w:t>
      </w:r>
      <w:r>
        <w:t xml:space="preserve"> — that is, the value of assistance as a proportion of the </w:t>
      </w:r>
      <w:r w:rsidRPr="00BC4628">
        <w:t>particular industry’s</w:t>
      </w:r>
      <w:r>
        <w:t xml:space="preserve"> (unassisted)</w:t>
      </w:r>
      <w:r w:rsidRPr="00BC4628">
        <w:t xml:space="preserve"> value added</w:t>
      </w:r>
      <w:r>
        <w:t xml:space="preserve"> —</w:t>
      </w:r>
      <w:r w:rsidRPr="00BC4628">
        <w:t xml:space="preserve"> for the automotive industry was almost 10 per cent</w:t>
      </w:r>
      <w:r>
        <w:t>. This was s</w:t>
      </w:r>
      <w:r w:rsidRPr="00BC4628">
        <w:t>ubstantially higher than</w:t>
      </w:r>
      <w:r>
        <w:t xml:space="preserve"> for</w:t>
      </w:r>
      <w:r w:rsidRPr="00BC4628">
        <w:t xml:space="preserve"> industries such as mining (0.3 per cent) and the broader </w:t>
      </w:r>
      <w:r w:rsidRPr="00BC4628">
        <w:lastRenderedPageBreak/>
        <w:t>manufacturing sector (around 4 per cent</w:t>
      </w:r>
      <w:r>
        <w:t xml:space="preserve"> inclusive of the automotive manufacturing industry</w:t>
      </w:r>
      <w:r w:rsidRPr="00BC4628">
        <w:t>)</w:t>
      </w:r>
      <w:r>
        <w:t xml:space="preserve"> </w:t>
      </w:r>
      <w:r w:rsidRPr="007C36DA">
        <w:rPr>
          <w:szCs w:val="24"/>
        </w:rPr>
        <w:t>(PC 2013)</w:t>
      </w:r>
      <w:r w:rsidRPr="00BC4628">
        <w:t>.</w:t>
      </w:r>
    </w:p>
    <w:p w:rsidR="00727498" w:rsidRDefault="00727498" w:rsidP="00381234">
      <w:pPr>
        <w:pStyle w:val="BodyText"/>
      </w:pPr>
      <w:r>
        <w:t xml:space="preserve">Although automotive manufacturing is </w:t>
      </w:r>
      <w:r w:rsidR="00E05FD2">
        <w:t>heavily assisted</w:t>
      </w:r>
      <w:r>
        <w:t>, this assistance has not secured future motor vehicle production</w:t>
      </w:r>
      <w:r w:rsidRPr="003D7CFD">
        <w:t xml:space="preserve"> </w:t>
      </w:r>
      <w:r>
        <w:t>in Australia. Ford stated that it made the decision to cease vehicle manufacturing in Australia on the basis that it was unable to identify a profitable and sustainable business model (Ford, sub. 65). Holden attributed its decision to cease manufacturing motor vehicles</w:t>
      </w:r>
      <w:r w:rsidRPr="00F92419">
        <w:t xml:space="preserve"> to the negative influences the automotive industry faces in Australia, including the sustained strength of the Australian dollar, the high cost of production, and the small, highly competitive and fragmented domestic market </w:t>
      </w:r>
      <w:r w:rsidRPr="00727498">
        <w:rPr>
          <w:szCs w:val="24"/>
        </w:rPr>
        <w:t>(General Motors 2013)</w:t>
      </w:r>
      <w:r w:rsidRPr="00F92419">
        <w:t>.</w:t>
      </w:r>
    </w:p>
    <w:p w:rsidR="00727498" w:rsidRDefault="00727498" w:rsidP="00381234">
      <w:pPr>
        <w:pStyle w:val="FigureTitle"/>
      </w:pPr>
      <w:r w:rsidRPr="00BC4628">
        <w:rPr>
          <w:b w:val="0"/>
        </w:rPr>
        <w:t xml:space="preserve">Figure </w:t>
      </w:r>
      <w:r>
        <w:rPr>
          <w:b w:val="0"/>
        </w:rPr>
        <w:t>3.12</w:t>
      </w:r>
      <w:r w:rsidRPr="00BC4628">
        <w:tab/>
        <w:t>Net combined assistance to the automotive manufacturing industry</w:t>
      </w:r>
      <w:r w:rsidRPr="00C91C4B">
        <w:rPr>
          <w:rStyle w:val="NoteLabel"/>
          <w:b/>
        </w:rPr>
        <w:t>a</w:t>
      </w:r>
    </w:p>
    <w:p w:rsidR="00727498" w:rsidRDefault="00727498" w:rsidP="0053668E">
      <w:pPr>
        <w:pStyle w:val="Subtitle"/>
      </w:pPr>
      <w:r>
        <w:t>1996</w:t>
      </w:r>
      <w:r>
        <w:noBreakHyphen/>
        <w:t>97 to 2011</w:t>
      </w:r>
      <w:r>
        <w:noBreakHyphen/>
        <w:t>12</w:t>
      </w:r>
      <w:r w:rsidRPr="0053668E">
        <w:rPr>
          <w:rStyle w:val="NoteLabel"/>
        </w:rPr>
        <w:t>b</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727498" w:rsidRPr="00BC4628" w:rsidTr="00362617">
        <w:tc>
          <w:tcPr>
            <w:tcW w:w="8777" w:type="dxa"/>
          </w:tcPr>
          <w:p w:rsidR="00727498" w:rsidRPr="00BC4628" w:rsidRDefault="00727498" w:rsidP="001A4FF0">
            <w:pPr>
              <w:pStyle w:val="Figure"/>
            </w:pPr>
            <w:r>
              <w:rPr>
                <w:noProof/>
              </w:rPr>
              <w:drawing>
                <wp:inline distT="0" distB="0" distL="0" distR="0" wp14:anchorId="32EB06B8" wp14:editId="7D6D9FB3">
                  <wp:extent cx="5404513" cy="3481648"/>
                  <wp:effectExtent l="0" t="0" r="5715" b="5080"/>
                  <wp:docPr id="12" name="Chart 12" descr="As discussed in the text, this figure illustrates that around $30 billion (2011-12 dollars) was provided to the automotive industry between 1997 and 2012." title="Net combined assistance to the automotive manufacturing industry"/>
                  <wp:cNvGraphicFramePr/>
                  <a:graphic xmlns:a="http://schemas.openxmlformats.org/drawingml/2006/main">
                    <a:graphicData uri="http://schemas.openxmlformats.org/drawingml/2006/chart">
                      <c:chart xmlns:c="http://schemas.openxmlformats.org/drawingml/2006/chart" xmlns:r="http://schemas.openxmlformats.org/officeDocument/2006/relationships" r:id="rId50"/>
                    </a:graphicData>
                  </a:graphic>
                </wp:inline>
              </w:drawing>
            </w:r>
          </w:p>
        </w:tc>
      </w:tr>
    </w:tbl>
    <w:p w:rsidR="00727498" w:rsidRDefault="00727498" w:rsidP="007C36DA">
      <w:pPr>
        <w:pStyle w:val="Note"/>
      </w:pPr>
      <w:proofErr w:type="spellStart"/>
      <w:r w:rsidRPr="00FE3616">
        <w:rPr>
          <w:rStyle w:val="NoteLabel"/>
          <w:szCs w:val="24"/>
        </w:rPr>
        <w:t>a</w:t>
      </w:r>
      <w:proofErr w:type="spellEnd"/>
      <w:r>
        <w:t> For</w:t>
      </w:r>
      <w:r w:rsidRPr="00FE3616">
        <w:t xml:space="preserve"> the Commission’s annual Trade </w:t>
      </w:r>
      <w:r>
        <w:t>&amp;</w:t>
      </w:r>
      <w:r w:rsidRPr="00FE3616">
        <w:t xml:space="preserve"> Assistance Review</w:t>
      </w:r>
      <w:r>
        <w:t>, assistance estimates are constructed</w:t>
      </w:r>
      <w:r w:rsidRPr="00FE3616">
        <w:t xml:space="preserve"> in series of approximately 5 years in length, with each new series benchmarked against more recent input</w:t>
      </w:r>
      <w:r>
        <w:t>–</w:t>
      </w:r>
      <w:r w:rsidRPr="00FE3616">
        <w:t>output data on industry structure. Where multiple series overlap, data from the most recent series have been used</w:t>
      </w:r>
      <w:r>
        <w:t xml:space="preserve"> (breaks in series are shown in the figure by vertical dotted lines)</w:t>
      </w:r>
      <w:r w:rsidRPr="00FE3616">
        <w:t xml:space="preserve">. </w:t>
      </w:r>
      <w:r>
        <w:t>Also, a</w:t>
      </w:r>
      <w:r w:rsidRPr="00FE3616">
        <w:t>ssistance estimates from the 1996</w:t>
      </w:r>
      <w:r>
        <w:noBreakHyphen/>
      </w:r>
      <w:r w:rsidRPr="00FE3616">
        <w:t>97 series have been re</w:t>
      </w:r>
      <w:r>
        <w:noBreakHyphen/>
      </w:r>
      <w:r w:rsidRPr="00FE3616">
        <w:t xml:space="preserve">estimated to </w:t>
      </w:r>
      <w:r>
        <w:t>treat</w:t>
      </w:r>
      <w:r w:rsidRPr="00FE3616">
        <w:t xml:space="preserve"> </w:t>
      </w:r>
      <w:proofErr w:type="spellStart"/>
      <w:r w:rsidRPr="00FE3616">
        <w:t>ACIS</w:t>
      </w:r>
      <w:proofErr w:type="spellEnd"/>
      <w:r>
        <w:t xml:space="preserve"> tariff concession programs as budgetary assistance measures,</w:t>
      </w:r>
      <w:r w:rsidRPr="00FE3616">
        <w:t xml:space="preserve"> consistent with</w:t>
      </w:r>
      <w:r>
        <w:t xml:space="preserve"> their treatment in</w:t>
      </w:r>
      <w:r w:rsidRPr="00FE3616">
        <w:t xml:space="preserve"> subsequent series. </w:t>
      </w:r>
      <w:r w:rsidRPr="00FE3616">
        <w:rPr>
          <w:rStyle w:val="NoteLabel"/>
          <w:szCs w:val="24"/>
        </w:rPr>
        <w:t>b</w:t>
      </w:r>
      <w:r>
        <w:t> </w:t>
      </w:r>
      <w:r w:rsidRPr="00FE3616">
        <w:t xml:space="preserve">Converted </w:t>
      </w:r>
      <w:r>
        <w:t xml:space="preserve">from current dollars reported in the Trade &amp; Assistance Review </w:t>
      </w:r>
      <w:r w:rsidRPr="00FE3616">
        <w:t>to 2011</w:t>
      </w:r>
      <w:r>
        <w:noBreakHyphen/>
      </w:r>
      <w:r w:rsidRPr="00FE3616">
        <w:t>12 dollars using the ABS implicit GDP price deflator.</w:t>
      </w:r>
    </w:p>
    <w:p w:rsidR="00727498" w:rsidRDefault="00727498" w:rsidP="0053668E">
      <w:pPr>
        <w:pStyle w:val="Source"/>
      </w:pPr>
      <w:r>
        <w:rPr>
          <w:i/>
        </w:rPr>
        <w:t>Sources</w:t>
      </w:r>
      <w:r w:rsidRPr="00167F06">
        <w:t xml:space="preserve">: </w:t>
      </w:r>
      <w:r>
        <w:t xml:space="preserve">Commission estimates based on PC </w:t>
      </w:r>
      <w:r w:rsidRPr="002910BD">
        <w:rPr>
          <w:rFonts w:cs="Arial"/>
        </w:rPr>
        <w:t>(</w:t>
      </w:r>
      <w:proofErr w:type="spellStart"/>
      <w:r w:rsidRPr="002910BD">
        <w:rPr>
          <w:rFonts w:cs="Arial"/>
        </w:rPr>
        <w:t>2010b</w:t>
      </w:r>
      <w:proofErr w:type="spellEnd"/>
      <w:r w:rsidRPr="002910BD">
        <w:rPr>
          <w:rFonts w:cs="Arial"/>
        </w:rPr>
        <w:t>, 2013)</w:t>
      </w:r>
      <w:r>
        <w:t>.</w:t>
      </w:r>
    </w:p>
    <w:p w:rsidR="00727498" w:rsidRDefault="00727498" w:rsidP="00E05FD2">
      <w:pPr>
        <w:pStyle w:val="Heading3"/>
      </w:pPr>
      <w:r>
        <w:lastRenderedPageBreak/>
        <w:t>Factors affecting other segments of the automotive manufacturing industry</w:t>
      </w:r>
    </w:p>
    <w:p w:rsidR="00727498" w:rsidRDefault="00727498" w:rsidP="009A3962">
      <w:pPr>
        <w:pStyle w:val="Heading4"/>
        <w:spacing w:before="240"/>
      </w:pPr>
      <w:r>
        <w:t>The Australian automotive manufacturing services industry</w:t>
      </w:r>
    </w:p>
    <w:p w:rsidR="00727498" w:rsidRDefault="00727498" w:rsidP="00151680">
      <w:pPr>
        <w:pStyle w:val="BodyText"/>
      </w:pPr>
      <w:r>
        <w:t>Submissions to the inquiry noted the strength of Australia’s capacity in pre</w:t>
      </w:r>
      <w:r>
        <w:noBreakHyphen/>
        <w:t xml:space="preserve">production manufacturing services, including R&amp;D, design and engineering (box 3.2). </w:t>
      </w:r>
    </w:p>
    <w:p w:rsidR="00727498" w:rsidRPr="00CB3D68" w:rsidRDefault="00727498">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27498">
        <w:tc>
          <w:tcPr>
            <w:tcW w:w="8771" w:type="dxa"/>
            <w:tcBorders>
              <w:top w:val="single" w:sz="6" w:space="0" w:color="auto"/>
              <w:bottom w:val="nil"/>
            </w:tcBorders>
          </w:tcPr>
          <w:p w:rsidR="00727498" w:rsidRDefault="00727498" w:rsidP="002A0D02">
            <w:pPr>
              <w:pStyle w:val="BoxTitle"/>
            </w:pPr>
            <w:r>
              <w:rPr>
                <w:b w:val="0"/>
              </w:rPr>
              <w:t>Box 3.</w:t>
            </w:r>
            <w:r>
              <w:rPr>
                <w:b w:val="0"/>
                <w:noProof/>
              </w:rPr>
              <w:t>2</w:t>
            </w:r>
            <w:r>
              <w:tab/>
              <w:t>Participant views on the automotive manufacturing services sector</w:t>
            </w:r>
          </w:p>
        </w:tc>
      </w:tr>
      <w:tr w:rsidR="00727498">
        <w:trPr>
          <w:cantSplit/>
        </w:trPr>
        <w:tc>
          <w:tcPr>
            <w:tcW w:w="8771" w:type="dxa"/>
            <w:tcBorders>
              <w:top w:val="nil"/>
              <w:left w:val="single" w:sz="6" w:space="0" w:color="auto"/>
              <w:bottom w:val="nil"/>
              <w:right w:val="single" w:sz="6" w:space="0" w:color="auto"/>
            </w:tcBorders>
          </w:tcPr>
          <w:p w:rsidR="00727498" w:rsidRDefault="00727498" w:rsidP="002A0D02">
            <w:pPr>
              <w:pStyle w:val="Box"/>
            </w:pPr>
            <w:r>
              <w:t>Several participants noted that Australia has a strong manufacturing services sector.</w:t>
            </w:r>
          </w:p>
          <w:p w:rsidR="00727498" w:rsidRPr="002A0D02" w:rsidRDefault="00727498" w:rsidP="002A0D02">
            <w:pPr>
              <w:pStyle w:val="BoxQuote"/>
            </w:pPr>
            <w:r w:rsidRPr="002A0D02">
              <w:t>One of Australia’s great strengths across each of the three domestic automotive manufacturers rests with their considerable design, engineering and R&amp;D capacities. (</w:t>
            </w:r>
            <w:proofErr w:type="spellStart"/>
            <w:r w:rsidRPr="002A0D02">
              <w:t>FCAI</w:t>
            </w:r>
            <w:proofErr w:type="spellEnd"/>
            <w:r w:rsidRPr="002A0D02">
              <w:t>, sub.</w:t>
            </w:r>
            <w:r>
              <w:t> </w:t>
            </w:r>
            <w:r w:rsidRPr="002A0D02">
              <w:t>30, p.</w:t>
            </w:r>
            <w:r>
              <w:t> </w:t>
            </w:r>
            <w:r w:rsidRPr="002A0D02">
              <w:t>8)</w:t>
            </w:r>
          </w:p>
          <w:p w:rsidR="00727498" w:rsidRPr="002A0D02" w:rsidRDefault="00727498" w:rsidP="002A0D02">
            <w:pPr>
              <w:pStyle w:val="BoxQuote"/>
            </w:pPr>
            <w:r w:rsidRPr="002A0D02">
              <w:t>Despite the challenges facing domestic manufacturing, Ford Australia sees a substantial and significant role for its extensive product development function into the future. … Ford Australia sees an opportunity to grow this role and to increase its presence in the corporate global supply chain as a provider of R&amp;D expertise, design, development and advanced engineering services. (Ford, sub.</w:t>
            </w:r>
            <w:r>
              <w:t> </w:t>
            </w:r>
            <w:r w:rsidRPr="002A0D02">
              <w:t>65, p.</w:t>
            </w:r>
            <w:r>
              <w:t> </w:t>
            </w:r>
            <w:r w:rsidRPr="002A0D02">
              <w:t>16)</w:t>
            </w:r>
          </w:p>
          <w:p w:rsidR="00727498" w:rsidRDefault="00727498" w:rsidP="002A0D02">
            <w:pPr>
              <w:pStyle w:val="BoxQuote"/>
            </w:pPr>
            <w:r w:rsidRPr="002A0D02">
              <w:t>Australia</w:t>
            </w:r>
            <w:r>
              <w:t>’</w:t>
            </w:r>
            <w:r w:rsidRPr="002A0D02">
              <w:t>s neighbouring auto markets of China, India, Thailand, Indonesia, Malaysia may all have greater production volumes and low labour costs than Australia, but none have the experience and vehicle development facilities available in Australia. A clear example of this is Ford. Whilst they have several Technical Centres in China and thousands of engineers in Asia Pacific, they will still rely on the Australian capability and excellent development facilities for at least another six years. (</w:t>
            </w:r>
            <w:r>
              <w:t>Allan Robins, sub. 14, pp. 3–4)</w:t>
            </w:r>
          </w:p>
          <w:p w:rsidR="00727498" w:rsidRPr="002A0D02" w:rsidRDefault="00727498" w:rsidP="002A0D02">
            <w:pPr>
              <w:pStyle w:val="BoxQuote"/>
            </w:pPr>
            <w:r w:rsidRPr="002A0D02">
              <w:t>Australian product engineering is cost competitive. The multinational car companies recognise this. (John Lyons, sub.</w:t>
            </w:r>
            <w:r>
              <w:t> </w:t>
            </w:r>
            <w:r w:rsidRPr="002A0D02">
              <w:t>12, p.</w:t>
            </w:r>
            <w:r>
              <w:t> </w:t>
            </w:r>
            <w:r w:rsidRPr="002A0D02">
              <w:t>2)</w:t>
            </w:r>
          </w:p>
          <w:p w:rsidR="00727498" w:rsidRDefault="00727498" w:rsidP="002A0D02">
            <w:pPr>
              <w:pStyle w:val="BoxQuote"/>
            </w:pPr>
            <w:r w:rsidRPr="002A0D02">
              <w:t>The Australian environment offers some advantages to automobile manufacturers such as</w:t>
            </w:r>
            <w:r>
              <w:t xml:space="preserve"> </w:t>
            </w:r>
            <w:r w:rsidRPr="002A0D02">
              <w:t>… strong research</w:t>
            </w:r>
            <w:r>
              <w:t xml:space="preserve"> [and]</w:t>
            </w:r>
            <w:r w:rsidRPr="002A0D02">
              <w:t xml:space="preserve"> industry sectors in both automobile engineering and information technology</w:t>
            </w:r>
            <w:r>
              <w:t xml:space="preserve"> …</w:t>
            </w:r>
            <w:r w:rsidRPr="002A0D02">
              <w:t xml:space="preserve"> (Engineers Australia, sub.</w:t>
            </w:r>
            <w:r>
              <w:t> </w:t>
            </w:r>
            <w:r w:rsidRPr="002A0D02">
              <w:t>38, p.</w:t>
            </w:r>
            <w:r>
              <w:t> </w:t>
            </w:r>
            <w:r w:rsidRPr="002A0D02">
              <w:t>2)</w:t>
            </w:r>
          </w:p>
        </w:tc>
      </w:tr>
      <w:tr w:rsidR="00727498">
        <w:trPr>
          <w:cantSplit/>
        </w:trPr>
        <w:tc>
          <w:tcPr>
            <w:tcW w:w="8771" w:type="dxa"/>
            <w:tcBorders>
              <w:top w:val="nil"/>
              <w:left w:val="single" w:sz="6" w:space="0" w:color="auto"/>
              <w:bottom w:val="single" w:sz="6" w:space="0" w:color="auto"/>
              <w:right w:val="single" w:sz="6" w:space="0" w:color="auto"/>
            </w:tcBorders>
          </w:tcPr>
          <w:p w:rsidR="00727498" w:rsidRDefault="00727498">
            <w:pPr>
              <w:pStyle w:val="Box"/>
              <w:spacing w:before="0" w:line="120" w:lineRule="exact"/>
            </w:pPr>
          </w:p>
        </w:tc>
      </w:tr>
      <w:tr w:rsidR="00727498" w:rsidRPr="000863A5">
        <w:tc>
          <w:tcPr>
            <w:tcW w:w="8771" w:type="dxa"/>
            <w:tcBorders>
              <w:top w:val="nil"/>
              <w:left w:val="nil"/>
              <w:bottom w:val="nil"/>
              <w:right w:val="nil"/>
            </w:tcBorders>
          </w:tcPr>
          <w:p w:rsidR="00727498" w:rsidRPr="00CB3D68" w:rsidRDefault="00727498" w:rsidP="007A122F">
            <w:pPr>
              <w:pStyle w:val="BoxSpaceBelow"/>
            </w:pPr>
          </w:p>
        </w:tc>
      </w:tr>
    </w:tbl>
    <w:p w:rsidR="00397519" w:rsidRDefault="00397519" w:rsidP="008D3FAA">
      <w:pPr>
        <w:pStyle w:val="BodyText"/>
      </w:pPr>
      <w:r>
        <w:t>In 2011</w:t>
      </w:r>
      <w:r>
        <w:noBreakHyphen/>
        <w:t xml:space="preserve">12, the automotive industry undertook around $690 million of research and </w:t>
      </w:r>
      <w:r w:rsidRPr="008D3FAA">
        <w:t>development</w:t>
      </w:r>
      <w:r>
        <w:t>. This was around 15 per cent of all manufacturing research and development, and around 2 per cent of all research and development activity undertaken in Australia (figure 3.13).</w:t>
      </w:r>
    </w:p>
    <w:p w:rsidR="00397519" w:rsidRDefault="00397519" w:rsidP="00397519">
      <w:pPr>
        <w:pStyle w:val="BodyText"/>
      </w:pPr>
      <w:r>
        <w:t xml:space="preserve">Although much of the automotive manufacturing services capability is due to dedicated vehicle design and engineering centres linked to the vehicle producers, there is also considerable capacity located in independent firms. A Victorian Government survey estimated that the design centres linked to the vehicle producers (all located in Victoria) employ over 2000 design engineers, but that there are </w:t>
      </w:r>
      <w:r>
        <w:lastRenderedPageBreak/>
        <w:t>approximately 900</w:t>
      </w:r>
      <w:r>
        <w:rPr>
          <w:rFonts w:eastAsiaTheme="minorHAnsi"/>
        </w:rPr>
        <w:t xml:space="preserve"> additional design engineers employed and dedicated</w:t>
      </w:r>
      <w:r>
        <w:t xml:space="preserve"> to the automotive manufacturing industry in the state (sub. 70).</w:t>
      </w:r>
    </w:p>
    <w:p w:rsidR="00727498" w:rsidRDefault="00727498" w:rsidP="00EE4BC5">
      <w:pPr>
        <w:pStyle w:val="BodyText"/>
      </w:pPr>
      <w:r>
        <w:t xml:space="preserve">Much of the design and engineering work undertaken by Australian vehicle producers is for global platforms and vehicle models produced overseas, and is therefore not necessarily tied to domestic assembly operations. It is worth noting that the </w:t>
      </w:r>
      <w:proofErr w:type="spellStart"/>
      <w:r>
        <w:t>ATS</w:t>
      </w:r>
      <w:proofErr w:type="spellEnd"/>
      <w:r>
        <w:t xml:space="preserve"> does not provide support for design for local vehicles. Ford and Holden’s intention to continue operating their design centres after the closure of their assembly lines further demonstrates this point, albeit the issue about ongoing </w:t>
      </w:r>
      <w:proofErr w:type="spellStart"/>
      <w:r>
        <w:t>ATS</w:t>
      </w:r>
      <w:proofErr w:type="spellEnd"/>
      <w:r>
        <w:t xml:space="preserve"> funding after both companies cease to be vehicle manufacturers requires clarification and may be important in influencing </w:t>
      </w:r>
      <w:r w:rsidR="0049719D">
        <w:t>future</w:t>
      </w:r>
      <w:r>
        <w:t xml:space="preserve"> decision</w:t>
      </w:r>
      <w:r w:rsidR="0049719D">
        <w:t>s</w:t>
      </w:r>
      <w:r>
        <w:t xml:space="preserve"> by both of them in this respect. </w:t>
      </w:r>
    </w:p>
    <w:p w:rsidR="00727498" w:rsidRDefault="00727498" w:rsidP="002E0FB4">
      <w:pPr>
        <w:pStyle w:val="FigureTitle"/>
      </w:pPr>
      <w:r>
        <w:rPr>
          <w:b w:val="0"/>
          <w:bCs/>
        </w:rPr>
        <w:t>Figure 3.13</w:t>
      </w:r>
      <w:r>
        <w:tab/>
        <w:t>Expenditure on research and development</w:t>
      </w:r>
    </w:p>
    <w:p w:rsidR="00727498" w:rsidRDefault="00727498" w:rsidP="002E0FB4">
      <w:pPr>
        <w:pStyle w:val="Subtitle"/>
      </w:pPr>
      <w:r>
        <w:t>2011</w:t>
      </w:r>
      <w:r>
        <w:noBreakHyphen/>
        <w:t>12</w:t>
      </w:r>
      <w:r>
        <w:rPr>
          <w:rStyle w:val="NoteLabel"/>
          <w:szCs w:val="18"/>
        </w:rPr>
        <w:t>a</w:t>
      </w:r>
    </w:p>
    <w:tbl>
      <w:tblPr>
        <w:tblW w:w="0" w:type="auto"/>
        <w:tblInd w:w="11" w:type="dxa"/>
        <w:tblCellMar>
          <w:left w:w="0" w:type="dxa"/>
          <w:right w:w="0" w:type="dxa"/>
        </w:tblCellMar>
        <w:tblLook w:val="04A0" w:firstRow="1" w:lastRow="0" w:firstColumn="1" w:lastColumn="0" w:noHBand="0" w:noVBand="1"/>
      </w:tblPr>
      <w:tblGrid>
        <w:gridCol w:w="8777"/>
      </w:tblGrid>
      <w:tr w:rsidR="00727498" w:rsidTr="00D2754D">
        <w:tc>
          <w:tcPr>
            <w:tcW w:w="8777" w:type="dxa"/>
            <w:tcBorders>
              <w:top w:val="single" w:sz="8" w:space="0" w:color="auto"/>
              <w:left w:val="nil"/>
              <w:bottom w:val="single" w:sz="8" w:space="0" w:color="auto"/>
              <w:right w:val="nil"/>
            </w:tcBorders>
            <w:hideMark/>
          </w:tcPr>
          <w:p w:rsidR="00727498" w:rsidRDefault="00727498" w:rsidP="00036D1B">
            <w:pPr>
              <w:pStyle w:val="Figure"/>
              <w:jc w:val="right"/>
              <w:rPr>
                <w:rFonts w:ascii="Arial" w:hAnsi="Arial"/>
                <w:i/>
                <w:caps/>
              </w:rPr>
            </w:pPr>
            <w:r>
              <w:rPr>
                <w:noProof/>
              </w:rPr>
              <w:t xml:space="preserve"> </w:t>
            </w:r>
            <w:r>
              <w:rPr>
                <w:noProof/>
              </w:rPr>
              <w:drawing>
                <wp:inline distT="0" distB="0" distL="0" distR="0" wp14:anchorId="71949494" wp14:editId="6C14EA06">
                  <wp:extent cx="5305425" cy="3295650"/>
                  <wp:effectExtent l="0" t="0" r="0" b="0"/>
                  <wp:docPr id="15" name="Chart 15" descr="A pie chart showing expenditure on research and development in Australia in 2011-12. Government, higher education and non-profit expenditure on research and development was $12.7 billion, while business expenditure on research and development was $18.3 billion. Of total business expenditure, $4.5 billion was in manufacturing; $0.7 billion of this was in automotive manufacturing." title="Expenditure on research and development"/>
                  <wp:cNvGraphicFramePr/>
                  <a:graphic xmlns:a="http://schemas.openxmlformats.org/drawingml/2006/main">
                    <a:graphicData uri="http://schemas.openxmlformats.org/drawingml/2006/chart">
                      <c:chart xmlns:c="http://schemas.openxmlformats.org/drawingml/2006/chart" xmlns:r="http://schemas.openxmlformats.org/officeDocument/2006/relationships" r:id="rId51"/>
                    </a:graphicData>
                  </a:graphic>
                </wp:inline>
              </w:drawing>
            </w:r>
          </w:p>
        </w:tc>
      </w:tr>
    </w:tbl>
    <w:p w:rsidR="00727498" w:rsidRDefault="00727498" w:rsidP="002E0FB4">
      <w:pPr>
        <w:pStyle w:val="Note"/>
        <w:rPr>
          <w:rFonts w:eastAsiaTheme="minorHAnsi"/>
          <w:szCs w:val="18"/>
        </w:rPr>
      </w:pPr>
      <w:r>
        <w:rPr>
          <w:rStyle w:val="NoteLabel"/>
        </w:rPr>
        <w:t>a</w:t>
      </w:r>
      <w:r>
        <w:t xml:space="preserve"> Higher education expenditure on research and development according to the latest available data (for 2010).</w:t>
      </w:r>
    </w:p>
    <w:p w:rsidR="00727498" w:rsidRDefault="00727498" w:rsidP="002E0FB4">
      <w:pPr>
        <w:pStyle w:val="Source"/>
      </w:pPr>
      <w:r>
        <w:rPr>
          <w:i/>
          <w:iCs/>
        </w:rPr>
        <w:t>Sources</w:t>
      </w:r>
      <w:r>
        <w:t>: ABS (Cat. nos. 8104.0, 8109.0, 8111.0).</w:t>
      </w:r>
    </w:p>
    <w:p w:rsidR="00727498" w:rsidRDefault="00727498" w:rsidP="009A3962">
      <w:pPr>
        <w:pStyle w:val="Heading4"/>
      </w:pPr>
      <w:r>
        <w:t>Australia’s automotive component aftermarket</w:t>
      </w:r>
    </w:p>
    <w:p w:rsidR="00727498" w:rsidRPr="004261EC" w:rsidRDefault="00727498" w:rsidP="009A3962">
      <w:pPr>
        <w:pStyle w:val="BodyText"/>
        <w:rPr>
          <w:spacing w:val="-2"/>
        </w:rPr>
      </w:pPr>
      <w:r w:rsidRPr="004261EC">
        <w:rPr>
          <w:spacing w:val="-2"/>
        </w:rPr>
        <w:t xml:space="preserve">Australian aftermarket </w:t>
      </w:r>
      <w:r w:rsidR="00FB6192">
        <w:rPr>
          <w:spacing w:val="-2"/>
        </w:rPr>
        <w:t xml:space="preserve">component manufacturers are </w:t>
      </w:r>
      <w:r w:rsidRPr="004261EC">
        <w:rPr>
          <w:spacing w:val="-2"/>
        </w:rPr>
        <w:t xml:space="preserve">focused on the production of components for specialist markets — such as performance improvement, emissions control, stability, safety, replacement parts, collision repair and </w:t>
      </w:r>
      <w:proofErr w:type="spellStart"/>
      <w:r w:rsidRPr="004261EC">
        <w:rPr>
          <w:spacing w:val="-2"/>
        </w:rPr>
        <w:t>4WD</w:t>
      </w:r>
      <w:proofErr w:type="spellEnd"/>
      <w:r w:rsidRPr="004261EC">
        <w:rPr>
          <w:spacing w:val="-2"/>
        </w:rPr>
        <w:t xml:space="preserve"> component parts (</w:t>
      </w:r>
      <w:proofErr w:type="spellStart"/>
      <w:r w:rsidRPr="004261EC">
        <w:rPr>
          <w:spacing w:val="-2"/>
        </w:rPr>
        <w:t>AAAA</w:t>
      </w:r>
      <w:proofErr w:type="spellEnd"/>
      <w:r w:rsidRPr="004261EC">
        <w:rPr>
          <w:spacing w:val="-2"/>
        </w:rPr>
        <w:t>, sub.</w:t>
      </w:r>
      <w:r>
        <w:rPr>
          <w:spacing w:val="-2"/>
        </w:rPr>
        <w:t> </w:t>
      </w:r>
      <w:r w:rsidRPr="004261EC">
        <w:rPr>
          <w:spacing w:val="-2"/>
        </w:rPr>
        <w:t xml:space="preserve">54). The Australian Automotive Aftermarket Association </w:t>
      </w:r>
      <w:r w:rsidRPr="004261EC">
        <w:rPr>
          <w:spacing w:val="-2"/>
        </w:rPr>
        <w:lastRenderedPageBreak/>
        <w:t>(</w:t>
      </w:r>
      <w:proofErr w:type="spellStart"/>
      <w:r w:rsidRPr="004261EC">
        <w:rPr>
          <w:spacing w:val="-2"/>
        </w:rPr>
        <w:t>AAAA</w:t>
      </w:r>
      <w:proofErr w:type="spellEnd"/>
      <w:r w:rsidRPr="004261EC">
        <w:rPr>
          <w:spacing w:val="-2"/>
        </w:rPr>
        <w:t>) submitted that its member</w:t>
      </w:r>
      <w:r>
        <w:rPr>
          <w:spacing w:val="-2"/>
        </w:rPr>
        <w:t>s</w:t>
      </w:r>
      <w:r w:rsidRPr="004261EC">
        <w:rPr>
          <w:spacing w:val="-2"/>
        </w:rPr>
        <w:t xml:space="preserve"> have an annual turnover of over $4 billion and about 16 000 employees (sub.</w:t>
      </w:r>
      <w:r>
        <w:rPr>
          <w:spacing w:val="-2"/>
        </w:rPr>
        <w:t> </w:t>
      </w:r>
      <w:r w:rsidRPr="004261EC">
        <w:rPr>
          <w:spacing w:val="-2"/>
        </w:rPr>
        <w:t>54)</w:t>
      </w:r>
      <w:r w:rsidRPr="004261EC">
        <w:rPr>
          <w:rStyle w:val="FootnoteReference"/>
          <w:spacing w:val="-2"/>
        </w:rPr>
        <w:footnoteReference w:id="7"/>
      </w:r>
      <w:r w:rsidRPr="004261EC">
        <w:rPr>
          <w:spacing w:val="-2"/>
        </w:rPr>
        <w:t xml:space="preserve">. A survey of </w:t>
      </w:r>
      <w:proofErr w:type="spellStart"/>
      <w:r w:rsidRPr="004261EC">
        <w:rPr>
          <w:spacing w:val="-2"/>
        </w:rPr>
        <w:t>AAAA</w:t>
      </w:r>
      <w:proofErr w:type="spellEnd"/>
      <w:r w:rsidRPr="004261EC">
        <w:rPr>
          <w:spacing w:val="-2"/>
        </w:rPr>
        <w:t xml:space="preserve"> members (103 firms responded to the survey) found that exports accounted for </w:t>
      </w:r>
      <w:r>
        <w:rPr>
          <w:spacing w:val="-2"/>
        </w:rPr>
        <w:t xml:space="preserve">an average of </w:t>
      </w:r>
      <w:r w:rsidRPr="004261EC">
        <w:rPr>
          <w:spacing w:val="-2"/>
        </w:rPr>
        <w:t>about 14 per cent of their total turnover</w:t>
      </w:r>
      <w:r>
        <w:rPr>
          <w:spacing w:val="-2"/>
        </w:rPr>
        <w:t>,</w:t>
      </w:r>
      <w:r w:rsidRPr="004261EC">
        <w:rPr>
          <w:spacing w:val="-2"/>
        </w:rPr>
        <w:t xml:space="preserve"> and that 88 per cent of firms were majority Australian owned (sub.</w:t>
      </w:r>
      <w:r>
        <w:rPr>
          <w:spacing w:val="-2"/>
        </w:rPr>
        <w:t> </w:t>
      </w:r>
      <w:r w:rsidRPr="004261EC">
        <w:rPr>
          <w:spacing w:val="-2"/>
        </w:rPr>
        <w:t>54).</w:t>
      </w:r>
    </w:p>
    <w:p w:rsidR="00727498" w:rsidRDefault="00727498" w:rsidP="009A3962">
      <w:pPr>
        <w:pStyle w:val="BodyText"/>
      </w:pPr>
      <w:r>
        <w:t xml:space="preserve">Many firms in the </w:t>
      </w:r>
      <w:proofErr w:type="spellStart"/>
      <w:r>
        <w:t>AAAA</w:t>
      </w:r>
      <w:proofErr w:type="spellEnd"/>
      <w:r>
        <w:t xml:space="preserve"> survey reported healthy levels of profitability. The weighted average profit margin (as measured using earnings before interest and tax) for aftermarket firms that responded to the survey was approximately 15 per cent for the past 12 months (</w:t>
      </w:r>
      <w:proofErr w:type="spellStart"/>
      <w:r>
        <w:t>AAAA</w:t>
      </w:r>
      <w:proofErr w:type="spellEnd"/>
      <w:r>
        <w:t xml:space="preserve">, sub. 54). The </w:t>
      </w:r>
      <w:proofErr w:type="spellStart"/>
      <w:r>
        <w:t>AAAA</w:t>
      </w:r>
      <w:proofErr w:type="spellEnd"/>
      <w:r>
        <w:t xml:space="preserve"> also reported that it estimates that from 2004–2012 the sector has experienced 3 per cent growth year on year.</w:t>
      </w:r>
    </w:p>
    <w:p w:rsidR="00727498" w:rsidRPr="00E05FD2" w:rsidRDefault="00727498" w:rsidP="00E05FD2">
      <w:pPr>
        <w:pStyle w:val="Heading4"/>
      </w:pPr>
      <w:r w:rsidRPr="00E05FD2">
        <w:t>The truck and bus manufacturing industry</w:t>
      </w:r>
    </w:p>
    <w:p w:rsidR="00727498" w:rsidRDefault="00727498" w:rsidP="00151680">
      <w:pPr>
        <w:pStyle w:val="BodyText"/>
      </w:pPr>
      <w:r w:rsidRPr="00C61974">
        <w:t>Participant commentary to this inquiry has concentrated on the passenger motor vehicle market. However, the automotive</w:t>
      </w:r>
      <w:r w:rsidR="00C8349D">
        <w:t xml:space="preserve"> manufacturing</w:t>
      </w:r>
      <w:r w:rsidRPr="00C61974">
        <w:t xml:space="preserve"> industry also </w:t>
      </w:r>
      <w:r>
        <w:t xml:space="preserve">includes vans, trucks and buses — </w:t>
      </w:r>
      <w:r w:rsidR="00C8349D">
        <w:t>al</w:t>
      </w:r>
      <w:r>
        <w:t xml:space="preserve">though these manufacturers do not receive assistance under the </w:t>
      </w:r>
      <w:proofErr w:type="spellStart"/>
      <w:r>
        <w:t>ATS</w:t>
      </w:r>
      <w:proofErr w:type="spellEnd"/>
      <w:r>
        <w:t>.</w:t>
      </w:r>
      <w:r w:rsidRPr="00C61974">
        <w:t xml:space="preserve"> </w:t>
      </w:r>
      <w:r>
        <w:t xml:space="preserve">Other government policies, such as the purchasing of </w:t>
      </w:r>
      <w:r w:rsidR="00C8349D">
        <w:t xml:space="preserve">vehicles for </w:t>
      </w:r>
      <w:r>
        <w:t>bus fleet</w:t>
      </w:r>
      <w:r w:rsidR="00C8349D">
        <w:t>s</w:t>
      </w:r>
      <w:r>
        <w:t xml:space="preserve">, may separately impact on the viability of the industry. </w:t>
      </w:r>
    </w:p>
    <w:p w:rsidR="00727498" w:rsidRPr="00C61974" w:rsidRDefault="00727498" w:rsidP="00151680">
      <w:pPr>
        <w:pStyle w:val="BodyText"/>
      </w:pPr>
      <w:r>
        <w:t>While the heavy commercial vehicle sector does not receive assistance</w:t>
      </w:r>
      <w:r w:rsidR="00C8349D">
        <w:t xml:space="preserve"> under the </w:t>
      </w:r>
      <w:proofErr w:type="spellStart"/>
      <w:r w:rsidR="00C8349D">
        <w:t>ATS</w:t>
      </w:r>
      <w:proofErr w:type="spellEnd"/>
      <w:r>
        <w:t xml:space="preserve">, production levels of these vehicles have been stable in recent years at around 6000–7000 units per annum </w:t>
      </w:r>
      <w:r w:rsidRPr="007C36DA">
        <w:rPr>
          <w:szCs w:val="24"/>
        </w:rPr>
        <w:t>(AAI 2013)</w:t>
      </w:r>
      <w:r>
        <w:t xml:space="preserve">. </w:t>
      </w:r>
      <w:r w:rsidRPr="00C61974">
        <w:t>The A</w:t>
      </w:r>
      <w:r>
        <w:t>ustralian Industry</w:t>
      </w:r>
      <w:r w:rsidRPr="00C61974">
        <w:t xml:space="preserve"> Group (sub.</w:t>
      </w:r>
      <w:r>
        <w:t> </w:t>
      </w:r>
      <w:r w:rsidRPr="00C61974">
        <w:t>42, p.</w:t>
      </w:r>
      <w:r>
        <w:t> </w:t>
      </w:r>
      <w:r w:rsidRPr="00C61974">
        <w:t>28) reported that:</w:t>
      </w:r>
    </w:p>
    <w:p w:rsidR="00727498" w:rsidRDefault="00727498" w:rsidP="00151680">
      <w:pPr>
        <w:pStyle w:val="Quote"/>
      </w:pPr>
      <w:r w:rsidRPr="00C61974">
        <w:t xml:space="preserve">… businesses in, or supplying components to, [the bus and truck manufacturing] sectors are generally faring much better than businesses manufacturing cars, and see themselves as quite distinct from car manufacturers and suppliers to the car industry. </w:t>
      </w:r>
    </w:p>
    <w:p w:rsidR="00727498" w:rsidRDefault="00727498" w:rsidP="00536688">
      <w:pPr>
        <w:pStyle w:val="BodyText"/>
      </w:pPr>
      <w:r>
        <w:t xml:space="preserve">Both </w:t>
      </w:r>
      <w:proofErr w:type="spellStart"/>
      <w:r>
        <w:t>CNH</w:t>
      </w:r>
      <w:proofErr w:type="spellEnd"/>
      <w:r>
        <w:t xml:space="preserve"> Industrial </w:t>
      </w:r>
      <w:proofErr w:type="spellStart"/>
      <w:r>
        <w:t>ANZ</w:t>
      </w:r>
      <w:proofErr w:type="spellEnd"/>
      <w:r>
        <w:t xml:space="preserve"> (sub. 60) and PACCAR Australia (sub. 61) noted that they remained committed to Australian manufacturing, </w:t>
      </w:r>
      <w:r w:rsidR="00C8349D">
        <w:t>al</w:t>
      </w:r>
      <w:r>
        <w:t xml:space="preserve">though they also argued that the industry should be recognised in the development of future policies for the automotive industry. </w:t>
      </w:r>
    </w:p>
    <w:p w:rsidR="00727498" w:rsidRDefault="00727498" w:rsidP="00F92227">
      <w:pPr>
        <w:pStyle w:val="FindingTitle"/>
        <w:framePr w:wrap="auto"/>
      </w:pPr>
      <w:r w:rsidRPr="00FD1371">
        <w:lastRenderedPageBreak/>
        <w:t>preliminary</w:t>
      </w:r>
      <w:r>
        <w:t xml:space="preserve"> Finding 3.</w:t>
      </w:r>
      <w:r>
        <w:fldChar w:fldCharType="begin" w:fldLock="1"/>
      </w:r>
      <w:r>
        <w:instrText xml:space="preserve"> COMMENTS  \* MERGEFORMAT </w:instrText>
      </w:r>
      <w:r>
        <w:fldChar w:fldCharType="end"/>
      </w:r>
      <w:r>
        <w:t>5</w:t>
      </w:r>
    </w:p>
    <w:p w:rsidR="00727498" w:rsidRDefault="00727498" w:rsidP="008D3FAA">
      <w:pPr>
        <w:pStyle w:val="Finding"/>
        <w:keepNext/>
      </w:pPr>
      <w:r>
        <w:t xml:space="preserve">Some segments of the automotive manufacturing industry </w:t>
      </w:r>
      <w:r w:rsidRPr="009B51F4">
        <w:t>operate without the benefit of the</w:t>
      </w:r>
      <w:r>
        <w:t xml:space="preserve"> Automotive Transformation Scheme, including the truck and bus assembling segments, and many firms in the aftermarket parts manufacturing segment.</w:t>
      </w:r>
    </w:p>
    <w:p w:rsidR="00727498" w:rsidRPr="00504D43" w:rsidRDefault="008D4C58" w:rsidP="00F92227">
      <w:pPr>
        <w:pStyle w:val="FindingBullet"/>
      </w:pPr>
      <w:r>
        <w:t>It is estimated that t</w:t>
      </w:r>
      <w:r w:rsidR="00727498">
        <w:t>he aftermarket segment has achieved year</w:t>
      </w:r>
      <w:r w:rsidR="00727498">
        <w:noBreakHyphen/>
        <w:t>on</w:t>
      </w:r>
      <w:r w:rsidR="00727498">
        <w:noBreakHyphen/>
        <w:t xml:space="preserve">year growth of 3 per cent </w:t>
      </w:r>
      <w:r w:rsidR="00340C41">
        <w:t xml:space="preserve">over the period 2004 to 2012, </w:t>
      </w:r>
      <w:r w:rsidR="00727498">
        <w:t>and many firms have reported healthy levels of profitability.</w:t>
      </w:r>
    </w:p>
    <w:p w:rsidR="00727498" w:rsidRDefault="00727498" w:rsidP="00F92227">
      <w:pPr>
        <w:pStyle w:val="FindingTitle"/>
        <w:framePr w:wrap="auto"/>
      </w:pPr>
    </w:p>
    <w:p w:rsidR="00727498" w:rsidRDefault="00727498" w:rsidP="00727498">
      <w:pPr>
        <w:sectPr w:rsidR="00727498" w:rsidSect="00727498">
          <w:headerReference w:type="even" r:id="rId52"/>
          <w:headerReference w:type="default" r:id="rId53"/>
          <w:footerReference w:type="default" r:id="rId54"/>
          <w:headerReference w:type="first" r:id="rId55"/>
          <w:footnotePr>
            <w:numRestart w:val="eachSect"/>
          </w:footnotePr>
          <w:type w:val="oddPage"/>
          <w:pgSz w:w="11907" w:h="16840" w:code="9"/>
          <w:pgMar w:top="1985" w:right="1304" w:bottom="1418" w:left="1814" w:header="1701" w:footer="567" w:gutter="0"/>
          <w:pgNumType w:chapSep="period"/>
          <w:cols w:space="720"/>
          <w:docGrid w:linePitch="354"/>
        </w:sectPr>
      </w:pPr>
    </w:p>
    <w:p w:rsidR="00727498" w:rsidRDefault="00727498" w:rsidP="00D05B3D">
      <w:pPr>
        <w:pStyle w:val="Heading1"/>
      </w:pPr>
      <w:r>
        <w:lastRenderedPageBreak/>
        <w:t>Preliminary findings</w:t>
      </w:r>
    </w:p>
    <w:p w:rsidR="00727498" w:rsidRPr="00962F04" w:rsidRDefault="00727498" w:rsidP="00962F04">
      <w:pPr>
        <w:pStyle w:val="Heading3"/>
      </w:pPr>
      <w:r>
        <w:t>Global forces are changing the location and structure of demand and supply</w:t>
      </w:r>
    </w:p>
    <w:p w:rsidR="00727498" w:rsidRDefault="00727498" w:rsidP="00DB7430">
      <w:pPr>
        <w:pStyle w:val="FindingTitle"/>
        <w:framePr w:wrap="notBeside"/>
      </w:pPr>
      <w:r>
        <w:t>Preliminary finding 2.1</w:t>
      </w:r>
    </w:p>
    <w:p w:rsidR="00727498" w:rsidRDefault="00727498" w:rsidP="00DB7430">
      <w:pPr>
        <w:pStyle w:val="Finding"/>
      </w:pPr>
      <w:r>
        <w:t>Demand for motor vehicles in a number of developed countries has been slow to rebound from the global financial crisis, but is growing rapidly in some developing countries, particularly in China. Consumers are favouring either smaller vehicles or sports utility vehicles.</w:t>
      </w:r>
    </w:p>
    <w:p w:rsidR="00727498" w:rsidRPr="00E02BFD" w:rsidRDefault="00727498" w:rsidP="00B55808">
      <w:pPr>
        <w:pStyle w:val="FindingTitle"/>
        <w:framePr w:wrap="auto"/>
      </w:pPr>
      <w:r w:rsidRPr="00E02BFD">
        <w:t>Preliminary finding 2.</w:t>
      </w:r>
      <w:r>
        <w:t>2</w:t>
      </w:r>
    </w:p>
    <w:p w:rsidR="001D56D4" w:rsidRDefault="001D56D4" w:rsidP="00B55808">
      <w:pPr>
        <w:pStyle w:val="Finding"/>
      </w:pPr>
      <w:r w:rsidRPr="001D56D4">
        <w:t>Motor vehicle production in the United States, European Union and Japan has declined in absolute terms, and as a share of global production, over the period 2002 to 2012.</w:t>
      </w:r>
    </w:p>
    <w:p w:rsidR="00727498" w:rsidRDefault="00727498" w:rsidP="00B55808">
      <w:pPr>
        <w:pStyle w:val="Finding"/>
      </w:pPr>
      <w:r>
        <w:t>Motor vehicle production is increasing in many developing countries.</w:t>
      </w:r>
    </w:p>
    <w:p w:rsidR="00727498" w:rsidRDefault="00727498" w:rsidP="00DB7430">
      <w:pPr>
        <w:pStyle w:val="FindingBullet"/>
      </w:pPr>
      <w:r>
        <w:t>Motor vehicle producers are investing in large</w:t>
      </w:r>
      <w:r>
        <w:noBreakHyphen/>
        <w:t xml:space="preserve">scale assembly plants in countries that have relatively low labour costs and are in a region of growing demand for motor vehicles, such as Brazil and China. </w:t>
      </w:r>
    </w:p>
    <w:p w:rsidR="00727498" w:rsidRPr="00E02BFD" w:rsidRDefault="00727498" w:rsidP="00DB7430">
      <w:pPr>
        <w:pStyle w:val="FindingBullet"/>
      </w:pPr>
      <w:r>
        <w:t>Demand for motor vehicles is largely met through intra</w:t>
      </w:r>
      <w:r>
        <w:noBreakHyphen/>
        <w:t>regional trade, with production increasing in export</w:t>
      </w:r>
      <w:r>
        <w:noBreakHyphen/>
        <w:t>oriented countries such as Korea, Mexico and, increasingly, Thailand.</w:t>
      </w:r>
    </w:p>
    <w:p w:rsidR="00727498" w:rsidRDefault="00727498" w:rsidP="00B55808">
      <w:pPr>
        <w:pStyle w:val="FindingTitle"/>
        <w:framePr w:wrap="auto"/>
      </w:pPr>
      <w:r>
        <w:t>Preliminary finding 2.3</w:t>
      </w:r>
    </w:p>
    <w:p w:rsidR="00727498" w:rsidRPr="001D7692" w:rsidRDefault="00727498" w:rsidP="00B55808">
      <w:pPr>
        <w:pStyle w:val="Finding"/>
      </w:pPr>
      <w:r w:rsidRPr="001D7692">
        <w:t xml:space="preserve">At a global level, production capacity exceeds demand for motor vehicles. </w:t>
      </w:r>
    </w:p>
    <w:p w:rsidR="00727498" w:rsidRPr="001D7692" w:rsidRDefault="00727498" w:rsidP="00DB7430">
      <w:pPr>
        <w:pStyle w:val="FindingBullet"/>
      </w:pPr>
      <w:r w:rsidRPr="001D7692">
        <w:t>As a result of this overcapacity, plant closures and rationalisation within developed countries ha</w:t>
      </w:r>
      <w:r>
        <w:t>ve</w:t>
      </w:r>
      <w:r w:rsidRPr="001D7692">
        <w:t xml:space="preserve"> occurred.</w:t>
      </w:r>
    </w:p>
    <w:p w:rsidR="00727498" w:rsidRDefault="00727498" w:rsidP="00DB7430">
      <w:pPr>
        <w:pStyle w:val="FindingBullet"/>
      </w:pPr>
      <w:r w:rsidRPr="001D7692">
        <w:t>There is significant financial pressure on motor vehicle producers to further reduce this overcapacity.</w:t>
      </w:r>
    </w:p>
    <w:p w:rsidR="00727498" w:rsidRDefault="00727498" w:rsidP="00962F04">
      <w:pPr>
        <w:pStyle w:val="FindingBullet"/>
        <w:numPr>
          <w:ilvl w:val="0"/>
          <w:numId w:val="0"/>
        </w:numPr>
        <w:ind w:left="340" w:hanging="340"/>
      </w:pPr>
    </w:p>
    <w:p w:rsidR="00727498" w:rsidRPr="00962F04" w:rsidRDefault="00727498" w:rsidP="00962F04">
      <w:pPr>
        <w:pStyle w:val="Heading3"/>
      </w:pPr>
      <w:r w:rsidRPr="00962F04">
        <w:lastRenderedPageBreak/>
        <w:t>Competition in motor vehicle markets is intense</w:t>
      </w:r>
    </w:p>
    <w:p w:rsidR="00727498" w:rsidRDefault="00727498" w:rsidP="00B55808">
      <w:pPr>
        <w:pStyle w:val="FindingTitle"/>
        <w:framePr w:wrap="auto"/>
      </w:pPr>
      <w:r>
        <w:t>Preliminary finding 2.4</w:t>
      </w:r>
    </w:p>
    <w:p w:rsidR="00727498" w:rsidRDefault="00727498" w:rsidP="00B55808">
      <w:pPr>
        <w:pStyle w:val="Finding"/>
      </w:pPr>
      <w:r>
        <w:t>The selling prices for most high</w:t>
      </w:r>
      <w:r>
        <w:noBreakHyphen/>
        <w:t>volume, low</w:t>
      </w:r>
      <w:r>
        <w:noBreakHyphen/>
        <w:t>margin vehicles are held down by fierce competition in domestic and export markets.</w:t>
      </w:r>
    </w:p>
    <w:p w:rsidR="00727498" w:rsidRDefault="00727498" w:rsidP="00DB7430">
      <w:pPr>
        <w:pStyle w:val="FindingBullet"/>
      </w:pPr>
      <w:r>
        <w:t xml:space="preserve">The relentless pressures on motor vehicle producers to reduce manufacturing costs are extended to component manufacturers throughout the supply chain. </w:t>
      </w:r>
    </w:p>
    <w:p w:rsidR="00727498" w:rsidRDefault="00727498" w:rsidP="00B55808">
      <w:pPr>
        <w:pStyle w:val="FindingTitle"/>
        <w:framePr w:wrap="auto"/>
        <w:tabs>
          <w:tab w:val="left" w:pos="6453"/>
        </w:tabs>
      </w:pPr>
      <w:r>
        <w:t>Preliminary finding 2.5</w:t>
      </w:r>
    </w:p>
    <w:p w:rsidR="00727498" w:rsidRDefault="00727498" w:rsidP="00B55808">
      <w:pPr>
        <w:pStyle w:val="Finding"/>
      </w:pPr>
      <w:r w:rsidRPr="00562004">
        <w:t>For smaller lower</w:t>
      </w:r>
      <w:r>
        <w:noBreakHyphen/>
      </w:r>
      <w:r w:rsidRPr="00562004">
        <w:t xml:space="preserve">priced </w:t>
      </w:r>
      <w:r>
        <w:t>mass</w:t>
      </w:r>
      <w:r>
        <w:noBreakHyphen/>
        <w:t xml:space="preserve">market motor </w:t>
      </w:r>
      <w:r w:rsidRPr="00562004">
        <w:t>vehicles</w:t>
      </w:r>
      <w:r>
        <w:t xml:space="preserve"> that do not command high profit margins</w:t>
      </w:r>
      <w:r w:rsidRPr="00562004">
        <w:t>, high</w:t>
      </w:r>
      <w:r>
        <w:noBreakHyphen/>
      </w:r>
      <w:r w:rsidRPr="00562004">
        <w:t>volume low</w:t>
      </w:r>
      <w:r>
        <w:noBreakHyphen/>
      </w:r>
      <w:r w:rsidRPr="00562004">
        <w:t>cost production is critical in order to be globally competitive.</w:t>
      </w:r>
    </w:p>
    <w:p w:rsidR="00727498" w:rsidRDefault="00727498" w:rsidP="00B55808">
      <w:pPr>
        <w:pStyle w:val="Finding"/>
      </w:pPr>
      <w:r w:rsidRPr="00562004">
        <w:t>Vehicles that command higher selling prices</w:t>
      </w:r>
      <w:r>
        <w:t>,</w:t>
      </w:r>
      <w:r w:rsidRPr="00562004">
        <w:t xml:space="preserve"> </w:t>
      </w:r>
      <w:r>
        <w:t>such as luxury and niche vehicles, have higher profit margins that permit,</w:t>
      </w:r>
      <w:r w:rsidRPr="00562004">
        <w:t xml:space="preserve"> </w:t>
      </w:r>
      <w:r>
        <w:t xml:space="preserve">and in some cases necessitate, </w:t>
      </w:r>
      <w:r w:rsidRPr="00562004">
        <w:t>smaller</w:t>
      </w:r>
      <w:r>
        <w:noBreakHyphen/>
      </w:r>
      <w:r w:rsidRPr="00562004">
        <w:t>scale production.</w:t>
      </w:r>
    </w:p>
    <w:p w:rsidR="00727498" w:rsidRDefault="00727498" w:rsidP="001A1902">
      <w:pPr>
        <w:pStyle w:val="Heading3"/>
      </w:pPr>
      <w:r>
        <w:t>There is a trend toward larger, global component manufacturers</w:t>
      </w:r>
    </w:p>
    <w:p w:rsidR="00727498" w:rsidRDefault="00727498" w:rsidP="00B55808">
      <w:pPr>
        <w:pStyle w:val="FindingTitle"/>
        <w:framePr w:wrap="auto"/>
      </w:pPr>
      <w:r>
        <w:t>Preliminary finding 2.6</w:t>
      </w:r>
    </w:p>
    <w:p w:rsidR="00727498" w:rsidRDefault="00727498" w:rsidP="00B55808">
      <w:pPr>
        <w:pStyle w:val="Finding"/>
      </w:pPr>
      <w:r>
        <w:t>There is a trend toward larger, global automotive component manufacturers.</w:t>
      </w:r>
    </w:p>
    <w:p w:rsidR="00727498" w:rsidRDefault="00727498" w:rsidP="00963395">
      <w:pPr>
        <w:pStyle w:val="FindingBullet"/>
      </w:pPr>
      <w:r>
        <w:t>Motor vehicle producers are reducing the number of tier 1 (direct) component suppliers.</w:t>
      </w:r>
    </w:p>
    <w:p w:rsidR="00727498" w:rsidRDefault="00727498" w:rsidP="00963395">
      <w:pPr>
        <w:pStyle w:val="FindingBullet"/>
      </w:pPr>
      <w:r>
        <w:t>Motor vehicle producers are requiring some component manufacturers to locate close to assembly plants to accommodate just</w:t>
      </w:r>
      <w:r>
        <w:noBreakHyphen/>
        <w:t>in</w:t>
      </w:r>
      <w:r>
        <w:noBreakHyphen/>
        <w:t>time and lean manufacturing approaches.</w:t>
      </w:r>
    </w:p>
    <w:p w:rsidR="00727498" w:rsidRPr="000C1CD3" w:rsidRDefault="00727498" w:rsidP="00DB7430">
      <w:pPr>
        <w:pStyle w:val="FindingTitle"/>
        <w:framePr w:wrap="notBeside"/>
      </w:pPr>
      <w:r w:rsidRPr="000C1CD3">
        <w:t>Preliminary Finding 2.7</w:t>
      </w:r>
    </w:p>
    <w:p w:rsidR="00727498" w:rsidRDefault="00727498" w:rsidP="00453844">
      <w:pPr>
        <w:pStyle w:val="Finding"/>
      </w:pPr>
      <w:r w:rsidRPr="000C1CD3">
        <w:t>The global aftermarket components industry is already large, and is expected to grow significantly in the coming years in response to overall growth in the market for motor vehicles. Demand for aftermarket components in any region will not be significantly influenced by the level of local motor vehicle manufacturing.</w:t>
      </w:r>
    </w:p>
    <w:p w:rsidR="00727498" w:rsidRDefault="00727498" w:rsidP="00962F04">
      <w:pPr>
        <w:pStyle w:val="Heading3"/>
      </w:pPr>
      <w:r>
        <w:lastRenderedPageBreak/>
        <w:t>The Australian automotive manufacturing industry is small scale and high cost</w:t>
      </w:r>
    </w:p>
    <w:p w:rsidR="00727498" w:rsidRDefault="00727498" w:rsidP="00D05B3D">
      <w:pPr>
        <w:pStyle w:val="FindingTitle"/>
        <w:framePr w:wrap="auto"/>
      </w:pPr>
      <w:r w:rsidRPr="00187BB7">
        <w:t>preli</w:t>
      </w:r>
      <w:r>
        <w:t>minary Finding 3.</w:t>
      </w:r>
      <w:r>
        <w:rPr>
          <w:noProof/>
        </w:rPr>
        <w:t>1</w:t>
      </w:r>
    </w:p>
    <w:p w:rsidR="00727498" w:rsidRPr="000C1CD3" w:rsidRDefault="00727498" w:rsidP="00D05B3D">
      <w:pPr>
        <w:pStyle w:val="Finding"/>
      </w:pPr>
      <w:r w:rsidRPr="000C1CD3">
        <w:t>In 2013, around 45 000 people were employed in the manufacture of cars, trucks and buses</w:t>
      </w:r>
      <w:r>
        <w:t>,</w:t>
      </w:r>
      <w:r w:rsidRPr="000C1CD3">
        <w:t xml:space="preserve"> as well as automotive engines, automotive electrical components and products for the automotive aftermarket.</w:t>
      </w:r>
    </w:p>
    <w:p w:rsidR="00727498" w:rsidRPr="00453844" w:rsidRDefault="00727498" w:rsidP="00D05B3D">
      <w:pPr>
        <w:pStyle w:val="Finding"/>
      </w:pPr>
      <w:r w:rsidRPr="00453844">
        <w:t xml:space="preserve">Another 225 000 people were employed in the repair, maintenance and wholesaling of motor vehicles and parts — these workers are </w:t>
      </w:r>
      <w:r>
        <w:t>not significantly</w:t>
      </w:r>
      <w:r w:rsidRPr="00453844">
        <w:t xml:space="preserve"> influenced by the level of motor vehicle manufacturing undertaken in Australia.</w:t>
      </w:r>
    </w:p>
    <w:p w:rsidR="00727498" w:rsidRDefault="00727498" w:rsidP="00792B86">
      <w:pPr>
        <w:pStyle w:val="FindingTitle"/>
        <w:framePr w:wrap="auto"/>
      </w:pPr>
      <w:r>
        <w:t>preliminary Finding 3.2</w:t>
      </w:r>
    </w:p>
    <w:p w:rsidR="00727498" w:rsidRDefault="00727498" w:rsidP="00792B86">
      <w:pPr>
        <w:pStyle w:val="Finding"/>
      </w:pPr>
      <w:r>
        <w:t xml:space="preserve">Australia is a high cost producer of motor vehicles. </w:t>
      </w:r>
    </w:p>
    <w:p w:rsidR="00727498" w:rsidRDefault="00727498" w:rsidP="00792B86">
      <w:pPr>
        <w:pStyle w:val="FindingBullet"/>
      </w:pPr>
      <w:r>
        <w:t>Australia’s overall volume of production is small and its three assembly plants are all operating well below the recognised efficient scale of production.</w:t>
      </w:r>
    </w:p>
    <w:p w:rsidR="00727498" w:rsidRDefault="00727498" w:rsidP="00792B86">
      <w:pPr>
        <w:pStyle w:val="FindingBullet"/>
      </w:pPr>
      <w:r>
        <w:t>Labour costs are relatively high in Australia. They are not substantially different from those in developed countries such as Germany and</w:t>
      </w:r>
      <w:r w:rsidRPr="00C94D1A">
        <w:t xml:space="preserve"> </w:t>
      </w:r>
      <w:r>
        <w:t xml:space="preserve">Japan, but are four times or more those of China, Thailand and other developing countries where motor vehicle production is expanding. </w:t>
      </w:r>
      <w:r w:rsidR="00083090">
        <w:t>P</w:t>
      </w:r>
      <w:r>
        <w:t>roducers</w:t>
      </w:r>
      <w:r w:rsidR="00083090">
        <w:t xml:space="preserve"> in Australia</w:t>
      </w:r>
      <w:r>
        <w:t xml:space="preserve"> incur high logistics and automotive component costs and utilities charges.</w:t>
      </w:r>
    </w:p>
    <w:p w:rsidR="00727498" w:rsidRDefault="00727498" w:rsidP="00D05B3D">
      <w:pPr>
        <w:pStyle w:val="FindingTitle"/>
        <w:framePr w:wrap="auto"/>
      </w:pPr>
      <w:r>
        <w:t>preliminary Finding 3.3</w:t>
      </w:r>
    </w:p>
    <w:p w:rsidR="00727498" w:rsidRDefault="00727498" w:rsidP="00D05B3D">
      <w:pPr>
        <w:pStyle w:val="Finding"/>
      </w:pPr>
      <w:r>
        <w:t>A substantial increase in the volume of production in Australia would be needed for any motor vehicle producer to improve their financial performance in the long term, but increasing the volume of production is challenging.</w:t>
      </w:r>
    </w:p>
    <w:p w:rsidR="00727498" w:rsidRDefault="00727498" w:rsidP="00D05B3D">
      <w:pPr>
        <w:pStyle w:val="FindingBullet"/>
      </w:pPr>
      <w:r>
        <w:t>The Australian new car market is growing slowly, but is fragmented and highly competitive, which limits the domestic sales volumes that a single vehicle model can achieve.</w:t>
      </w:r>
    </w:p>
    <w:p w:rsidR="00727498" w:rsidRDefault="00727498" w:rsidP="006B166B">
      <w:pPr>
        <w:pStyle w:val="FindingBullet"/>
      </w:pPr>
      <w:r w:rsidRPr="006B166B">
        <w:t>Export opportunities for a motor vehicle producer in Australia are limited. This is due to competition from lower cost countries, productive capacity in excess of domestic demand in some countries, the high value of the Australian dollar and continuing barriers to trade.</w:t>
      </w:r>
    </w:p>
    <w:p w:rsidR="00727498" w:rsidRDefault="00727498" w:rsidP="00D05B3D">
      <w:pPr>
        <w:pStyle w:val="FindingTitle"/>
        <w:framePr w:wrap="auto"/>
      </w:pPr>
      <w:r>
        <w:lastRenderedPageBreak/>
        <w:t>preliminary Finding 3.</w:t>
      </w:r>
      <w:r>
        <w:fldChar w:fldCharType="begin" w:fldLock="1"/>
      </w:r>
      <w:r>
        <w:instrText xml:space="preserve"> COMMENTS  \* MERGEFORMAT </w:instrText>
      </w:r>
      <w:r>
        <w:fldChar w:fldCharType="end"/>
      </w:r>
      <w:r>
        <w:t>4</w:t>
      </w:r>
    </w:p>
    <w:p w:rsidR="00727498" w:rsidRDefault="00727498" w:rsidP="00530AA8">
      <w:pPr>
        <w:pStyle w:val="Finding"/>
        <w:keepNext/>
      </w:pPr>
      <w:r>
        <w:t>Component manufacturers in Australia face ongoing pressure to reduce costs and to adjust to changes in the global automotive industry, such as the reduction in tier 1 suppliers and the need to have global scale and presence.</w:t>
      </w:r>
    </w:p>
    <w:p w:rsidR="00727498" w:rsidRDefault="00727498" w:rsidP="00D05B3D">
      <w:pPr>
        <w:pStyle w:val="FindingBullet"/>
      </w:pPr>
      <w:r>
        <w:t>The shift toward global automotive platforms may create opportunities</w:t>
      </w:r>
      <w:r w:rsidRPr="004E6962">
        <w:t xml:space="preserve"> for some automotive component firms in Australia</w:t>
      </w:r>
      <w:r>
        <w:t xml:space="preserve"> but may lead to the closure of others.</w:t>
      </w:r>
    </w:p>
    <w:p w:rsidR="00727498" w:rsidRDefault="00727498" w:rsidP="00D05B3D">
      <w:pPr>
        <w:pStyle w:val="FindingTitle"/>
        <w:framePr w:wrap="auto"/>
      </w:pPr>
      <w:r w:rsidRPr="00FD1371">
        <w:t>preliminary</w:t>
      </w:r>
      <w:r>
        <w:t xml:space="preserve"> Finding 3.</w:t>
      </w:r>
      <w:r>
        <w:fldChar w:fldCharType="begin" w:fldLock="1"/>
      </w:r>
      <w:r>
        <w:instrText xml:space="preserve"> COMMENTS  \* MERGEFORMAT </w:instrText>
      </w:r>
      <w:r>
        <w:fldChar w:fldCharType="end"/>
      </w:r>
      <w:r>
        <w:t>5</w:t>
      </w:r>
    </w:p>
    <w:p w:rsidR="00727498" w:rsidRDefault="00727498" w:rsidP="00D05B3D">
      <w:pPr>
        <w:pStyle w:val="Finding"/>
      </w:pPr>
      <w:r>
        <w:t xml:space="preserve">Some segments of the automotive manufacturing industry </w:t>
      </w:r>
      <w:r w:rsidRPr="009B51F4">
        <w:t>operate without the benefit of the</w:t>
      </w:r>
      <w:r>
        <w:t xml:space="preserve"> Automotive Transformation Scheme, including the truck and bus assembling segments, and many firms in the aftermarket parts manufacturing segment.</w:t>
      </w:r>
    </w:p>
    <w:p w:rsidR="008D4C58" w:rsidRPr="00504D43" w:rsidRDefault="008D4C58" w:rsidP="008D4C58">
      <w:pPr>
        <w:pStyle w:val="FindingBullet"/>
      </w:pPr>
      <w:r>
        <w:t>It is estimated that the aftermarket segment has achieved year</w:t>
      </w:r>
      <w:r>
        <w:noBreakHyphen/>
        <w:t>on</w:t>
      </w:r>
      <w:r>
        <w:noBreakHyphen/>
        <w:t xml:space="preserve">year growth of 3 per cent </w:t>
      </w:r>
      <w:r w:rsidR="00845192">
        <w:t xml:space="preserve">over the period 2004 to 2012, </w:t>
      </w:r>
      <w:r>
        <w:t>and many firms have reported healthy levels of profitability.</w:t>
      </w:r>
    </w:p>
    <w:p w:rsidR="00727498" w:rsidRDefault="00727498" w:rsidP="00727498">
      <w:pPr>
        <w:sectPr w:rsidR="00727498" w:rsidSect="00727498">
          <w:headerReference w:type="even" r:id="rId56"/>
          <w:headerReference w:type="default" r:id="rId57"/>
          <w:footerReference w:type="default" r:id="rId58"/>
          <w:headerReference w:type="first" r:id="rId59"/>
          <w:type w:val="oddPage"/>
          <w:pgSz w:w="11907" w:h="16840" w:code="9"/>
          <w:pgMar w:top="1985" w:right="1304" w:bottom="1418" w:left="1814" w:header="1701" w:footer="567" w:gutter="0"/>
          <w:pgNumType w:chapSep="period"/>
          <w:cols w:space="720"/>
          <w:docGrid w:linePitch="354"/>
        </w:sectPr>
      </w:pPr>
    </w:p>
    <w:p w:rsidR="00727498" w:rsidRDefault="00727498" w:rsidP="00713BD3">
      <w:pPr>
        <w:pStyle w:val="Heading1"/>
      </w:pPr>
      <w:r>
        <w:lastRenderedPageBreak/>
        <w:t>A</w:t>
      </w:r>
      <w:r>
        <w:tab/>
        <w:t>Conduct of the inquiry</w:t>
      </w:r>
    </w:p>
    <w:p w:rsidR="00727498" w:rsidRPr="0005383F" w:rsidRDefault="00727498" w:rsidP="00D45FD7">
      <w:pPr>
        <w:pStyle w:val="BodyText"/>
      </w:pPr>
      <w:r w:rsidRPr="0005383F">
        <w:t xml:space="preserve">The Commission received the terms of reference for this </w:t>
      </w:r>
      <w:r w:rsidRPr="00D45FD7">
        <w:t>inquiry on 30 October 2013.</w:t>
      </w:r>
      <w:r>
        <w:t xml:space="preserve"> </w:t>
      </w:r>
      <w:r w:rsidRPr="0005383F">
        <w:t xml:space="preserve">Following receipt of the terms of reference, the Commission placed notices in the press and on its website inviting public participation in the inquiry. Information about the inquiry was also circulated to people and organisations likely to have an interest in it. </w:t>
      </w:r>
    </w:p>
    <w:p w:rsidR="00727498" w:rsidRPr="0005383F" w:rsidRDefault="00727498" w:rsidP="00AD4277">
      <w:pPr>
        <w:spacing w:before="240" w:line="320" w:lineRule="atLeast"/>
        <w:jc w:val="both"/>
        <w:rPr>
          <w:szCs w:val="26"/>
        </w:rPr>
      </w:pPr>
      <w:r w:rsidRPr="0005383F">
        <w:rPr>
          <w:szCs w:val="20"/>
        </w:rPr>
        <w:t>The Commission released an issues paper in November 201</w:t>
      </w:r>
      <w:r>
        <w:rPr>
          <w:szCs w:val="20"/>
        </w:rPr>
        <w:t>3,</w:t>
      </w:r>
      <w:r w:rsidRPr="0005383F">
        <w:rPr>
          <w:color w:val="7030A0"/>
          <w:szCs w:val="20"/>
        </w:rPr>
        <w:t xml:space="preserve"> </w:t>
      </w:r>
      <w:r w:rsidRPr="0005383F">
        <w:rPr>
          <w:szCs w:val="26"/>
        </w:rPr>
        <w:t xml:space="preserve">inviting public submissions and indicating particular matters on which it sought information. </w:t>
      </w:r>
    </w:p>
    <w:p w:rsidR="00727498" w:rsidRDefault="00727498" w:rsidP="00AD4277">
      <w:pPr>
        <w:spacing w:before="240" w:line="320" w:lineRule="atLeast"/>
        <w:rPr>
          <w:szCs w:val="26"/>
        </w:rPr>
      </w:pPr>
      <w:r w:rsidRPr="0005383F">
        <w:rPr>
          <w:szCs w:val="20"/>
        </w:rPr>
        <w:t xml:space="preserve">In total, </w:t>
      </w:r>
      <w:r>
        <w:rPr>
          <w:szCs w:val="20"/>
        </w:rPr>
        <w:t>226</w:t>
      </w:r>
      <w:r w:rsidRPr="0005383F">
        <w:rPr>
          <w:szCs w:val="20"/>
        </w:rPr>
        <w:t xml:space="preserve"> submissions were received</w:t>
      </w:r>
      <w:r>
        <w:rPr>
          <w:szCs w:val="20"/>
        </w:rPr>
        <w:t xml:space="preserve"> (</w:t>
      </w:r>
      <w:r>
        <w:rPr>
          <w:szCs w:val="26"/>
        </w:rPr>
        <w:t>t</w:t>
      </w:r>
      <w:r w:rsidRPr="0005383F">
        <w:rPr>
          <w:szCs w:val="26"/>
        </w:rPr>
        <w:t>able </w:t>
      </w:r>
      <w:proofErr w:type="spellStart"/>
      <w:r w:rsidRPr="0005383F">
        <w:rPr>
          <w:szCs w:val="26"/>
        </w:rPr>
        <w:t>A.1</w:t>
      </w:r>
      <w:proofErr w:type="spellEnd"/>
      <w:r>
        <w:rPr>
          <w:szCs w:val="26"/>
        </w:rPr>
        <w:t xml:space="preserve">). All submissions are available online at </w:t>
      </w:r>
      <w:proofErr w:type="spellStart"/>
      <w:r w:rsidRPr="002A555B">
        <w:rPr>
          <w:szCs w:val="26"/>
        </w:rPr>
        <w:t>www.pc.gov.au</w:t>
      </w:r>
      <w:proofErr w:type="spellEnd"/>
      <w:r w:rsidRPr="002A555B">
        <w:rPr>
          <w:szCs w:val="26"/>
        </w:rPr>
        <w:t>/projects/inquiry/automotive/submissions</w:t>
      </w:r>
      <w:r w:rsidRPr="00A9316A">
        <w:rPr>
          <w:szCs w:val="26"/>
        </w:rPr>
        <w:t>.</w:t>
      </w:r>
    </w:p>
    <w:p w:rsidR="00727498" w:rsidRDefault="00727498" w:rsidP="00AD4277">
      <w:pPr>
        <w:spacing w:before="240" w:line="320" w:lineRule="atLeast"/>
        <w:jc w:val="both"/>
        <w:rPr>
          <w:szCs w:val="26"/>
        </w:rPr>
      </w:pPr>
      <w:r>
        <w:rPr>
          <w:szCs w:val="26"/>
        </w:rPr>
        <w:t>T</w:t>
      </w:r>
      <w:r w:rsidRPr="0005383F">
        <w:rPr>
          <w:szCs w:val="26"/>
        </w:rPr>
        <w:t xml:space="preserve">he Commission held </w:t>
      </w:r>
      <w:r>
        <w:rPr>
          <w:szCs w:val="26"/>
        </w:rPr>
        <w:t>meetings</w:t>
      </w:r>
      <w:r w:rsidRPr="0005383F">
        <w:rPr>
          <w:szCs w:val="26"/>
        </w:rPr>
        <w:t xml:space="preserve"> with </w:t>
      </w:r>
      <w:r>
        <w:rPr>
          <w:szCs w:val="26"/>
        </w:rPr>
        <w:t>a wide range of stakeholders across Australia. These included government departments</w:t>
      </w:r>
      <w:r w:rsidRPr="0005383F">
        <w:rPr>
          <w:szCs w:val="26"/>
        </w:rPr>
        <w:t xml:space="preserve">, regulatory bodies, industry groups, </w:t>
      </w:r>
      <w:r>
        <w:rPr>
          <w:szCs w:val="26"/>
        </w:rPr>
        <w:t xml:space="preserve">unions, </w:t>
      </w:r>
      <w:r w:rsidRPr="0005383F">
        <w:rPr>
          <w:szCs w:val="26"/>
        </w:rPr>
        <w:t xml:space="preserve">as well as a number of </w:t>
      </w:r>
      <w:r>
        <w:rPr>
          <w:szCs w:val="26"/>
        </w:rPr>
        <w:t>non-government organisation and academics</w:t>
      </w:r>
      <w:r w:rsidRPr="0005383F">
        <w:rPr>
          <w:szCs w:val="26"/>
        </w:rPr>
        <w:t xml:space="preserve"> (</w:t>
      </w:r>
      <w:r>
        <w:rPr>
          <w:szCs w:val="26"/>
        </w:rPr>
        <w:t>t</w:t>
      </w:r>
      <w:r w:rsidRPr="0005383F">
        <w:rPr>
          <w:szCs w:val="26"/>
        </w:rPr>
        <w:t>able</w:t>
      </w:r>
      <w:r>
        <w:rPr>
          <w:szCs w:val="26"/>
        </w:rPr>
        <w:t> </w:t>
      </w:r>
      <w:proofErr w:type="spellStart"/>
      <w:r w:rsidRPr="0005383F">
        <w:rPr>
          <w:szCs w:val="26"/>
        </w:rPr>
        <w:t>A.2</w:t>
      </w:r>
      <w:proofErr w:type="spellEnd"/>
      <w:r w:rsidRPr="0005383F">
        <w:rPr>
          <w:szCs w:val="26"/>
        </w:rPr>
        <w:t xml:space="preserve">). </w:t>
      </w:r>
      <w:r>
        <w:rPr>
          <w:szCs w:val="26"/>
        </w:rPr>
        <w:t xml:space="preserve"> In addition, meetings with similar stakeholders were held in the United States and Japan (table </w:t>
      </w:r>
      <w:proofErr w:type="spellStart"/>
      <w:r>
        <w:rPr>
          <w:szCs w:val="26"/>
        </w:rPr>
        <w:t>A.3</w:t>
      </w:r>
      <w:proofErr w:type="spellEnd"/>
      <w:r>
        <w:rPr>
          <w:szCs w:val="26"/>
        </w:rPr>
        <w:t xml:space="preserve">). </w:t>
      </w:r>
    </w:p>
    <w:p w:rsidR="00727498" w:rsidRPr="0005383F" w:rsidRDefault="00727498" w:rsidP="00AD4277">
      <w:pPr>
        <w:spacing w:before="240" w:line="320" w:lineRule="atLeast"/>
        <w:jc w:val="both"/>
        <w:rPr>
          <w:szCs w:val="20"/>
        </w:rPr>
      </w:pPr>
      <w:r>
        <w:rPr>
          <w:szCs w:val="20"/>
        </w:rPr>
        <w:t xml:space="preserve">Public hearings were </w:t>
      </w:r>
      <w:r w:rsidRPr="0005383F">
        <w:rPr>
          <w:szCs w:val="20"/>
        </w:rPr>
        <w:t xml:space="preserve">held in </w:t>
      </w:r>
      <w:r>
        <w:rPr>
          <w:szCs w:val="20"/>
        </w:rPr>
        <w:t xml:space="preserve">Adelaide on 2 December 2013 and in </w:t>
      </w:r>
      <w:r w:rsidRPr="0005383F">
        <w:rPr>
          <w:szCs w:val="20"/>
        </w:rPr>
        <w:t xml:space="preserve">Melbourne on </w:t>
      </w:r>
      <w:r>
        <w:rPr>
          <w:szCs w:val="20"/>
        </w:rPr>
        <w:t>3 and 10 December</w:t>
      </w:r>
      <w:r w:rsidRPr="0005383F">
        <w:rPr>
          <w:szCs w:val="20"/>
        </w:rPr>
        <w:t xml:space="preserve"> 2013</w:t>
      </w:r>
      <w:r>
        <w:rPr>
          <w:szCs w:val="20"/>
        </w:rPr>
        <w:t>. Participants in the public hearings are listed in t</w:t>
      </w:r>
      <w:r w:rsidRPr="0005383F">
        <w:rPr>
          <w:szCs w:val="20"/>
        </w:rPr>
        <w:t xml:space="preserve">able </w:t>
      </w:r>
      <w:proofErr w:type="spellStart"/>
      <w:r w:rsidRPr="0005383F">
        <w:rPr>
          <w:szCs w:val="20"/>
        </w:rPr>
        <w:t>A.</w:t>
      </w:r>
      <w:r>
        <w:rPr>
          <w:szCs w:val="20"/>
        </w:rPr>
        <w:t>4</w:t>
      </w:r>
      <w:proofErr w:type="spellEnd"/>
      <w:r w:rsidRPr="0005383F">
        <w:rPr>
          <w:szCs w:val="20"/>
        </w:rPr>
        <w:t xml:space="preserve">. </w:t>
      </w:r>
    </w:p>
    <w:p w:rsidR="00727498" w:rsidRDefault="00727498" w:rsidP="00AD4277">
      <w:pPr>
        <w:spacing w:before="240" w:line="320" w:lineRule="atLeast"/>
        <w:jc w:val="both"/>
        <w:rPr>
          <w:szCs w:val="26"/>
        </w:rPr>
      </w:pPr>
      <w:r w:rsidRPr="0005383F">
        <w:rPr>
          <w:szCs w:val="26"/>
        </w:rPr>
        <w:t xml:space="preserve">The Commission </w:t>
      </w:r>
      <w:r>
        <w:rPr>
          <w:szCs w:val="26"/>
        </w:rPr>
        <w:t xml:space="preserve">is due to </w:t>
      </w:r>
      <w:r w:rsidRPr="0005383F">
        <w:rPr>
          <w:szCs w:val="26"/>
        </w:rPr>
        <w:t xml:space="preserve">release a </w:t>
      </w:r>
      <w:r>
        <w:rPr>
          <w:szCs w:val="26"/>
        </w:rPr>
        <w:t>position paper</w:t>
      </w:r>
      <w:r w:rsidRPr="0005383F">
        <w:rPr>
          <w:szCs w:val="26"/>
        </w:rPr>
        <w:t xml:space="preserve"> for public comment on </w:t>
      </w:r>
      <w:r>
        <w:rPr>
          <w:szCs w:val="26"/>
        </w:rPr>
        <w:t>31 January 2014</w:t>
      </w:r>
      <w:r w:rsidRPr="0005383F">
        <w:rPr>
          <w:szCs w:val="26"/>
        </w:rPr>
        <w:t xml:space="preserve">. </w:t>
      </w:r>
    </w:p>
    <w:p w:rsidR="00727498" w:rsidRDefault="00727498" w:rsidP="00AD4277">
      <w:pPr>
        <w:pStyle w:val="BodyText"/>
      </w:pPr>
      <w:r w:rsidRPr="0005383F">
        <w:t>The Commission would like to thank all those</w:t>
      </w:r>
      <w:r>
        <w:t xml:space="preserve"> who have contributed to the inquiry so far.</w:t>
      </w:r>
    </w:p>
    <w:p w:rsidR="00727498" w:rsidRDefault="00727498" w:rsidP="00CF341E">
      <w:pPr>
        <w:pStyle w:val="TableTitle"/>
      </w:pPr>
      <w:r>
        <w:rPr>
          <w:b w:val="0"/>
        </w:rPr>
        <w:lastRenderedPageBreak/>
        <w:t xml:space="preserve">Table </w:t>
      </w:r>
      <w:r>
        <w:fldChar w:fldCharType="begin" w:fldLock="1"/>
      </w:r>
      <w:r>
        <w:rPr>
          <w:b w:val="0"/>
        </w:rPr>
        <w:instrText xml:space="preserve"> COMMENTS  \* MERGEFORMAT </w:instrText>
      </w:r>
      <w:r>
        <w:fldChar w:fldCharType="separate"/>
      </w:r>
      <w:proofErr w:type="spellStart"/>
      <w:r>
        <w:rPr>
          <w:b w:val="0"/>
        </w:rPr>
        <w:t>A.</w:t>
      </w:r>
      <w:r>
        <w:fldChar w:fldCharType="end"/>
      </w:r>
      <w:r>
        <w:fldChar w:fldCharType="begin" w:fldLock="1"/>
      </w:r>
      <w:r>
        <w:rPr>
          <w:b w:val="0"/>
        </w:rPr>
        <w:instrText xml:space="preserve"> SEQ Table \* ARABIC </w:instrText>
      </w:r>
      <w:r>
        <w:fldChar w:fldCharType="separate"/>
      </w:r>
      <w:r>
        <w:rPr>
          <w:b w:val="0"/>
          <w:noProof/>
        </w:rPr>
        <w:t>1</w:t>
      </w:r>
      <w:proofErr w:type="spellEnd"/>
      <w:r>
        <w:fldChar w:fldCharType="end"/>
      </w:r>
      <w:r>
        <w:tab/>
        <w:t>Submissions received</w:t>
      </w:r>
      <w:r w:rsidRPr="00AA492B">
        <w:rPr>
          <w:rStyle w:val="NoteLabel"/>
          <w:b/>
        </w:rPr>
        <w:t>a</w:t>
      </w:r>
      <w:r>
        <w:t xml:space="preserve"> </w:t>
      </w:r>
      <w:r>
        <w:tab/>
      </w:r>
    </w:p>
    <w:tbl>
      <w:tblPr>
        <w:tblW w:w="5000" w:type="pct"/>
        <w:tblCellMar>
          <w:left w:w="0" w:type="dxa"/>
          <w:right w:w="0" w:type="dxa"/>
        </w:tblCellMar>
        <w:tblLook w:val="0000" w:firstRow="0" w:lastRow="0" w:firstColumn="0" w:lastColumn="0" w:noHBand="0" w:noVBand="0"/>
      </w:tblPr>
      <w:tblGrid>
        <w:gridCol w:w="6664"/>
        <w:gridCol w:w="2125"/>
      </w:tblGrid>
      <w:tr w:rsidR="00727498" w:rsidTr="00AA492B">
        <w:tc>
          <w:tcPr>
            <w:tcW w:w="3791" w:type="pct"/>
            <w:tcBorders>
              <w:top w:val="single" w:sz="6" w:space="0" w:color="auto"/>
              <w:bottom w:val="single" w:sz="6" w:space="0" w:color="auto"/>
            </w:tcBorders>
            <w:shd w:val="clear" w:color="auto" w:fill="auto"/>
          </w:tcPr>
          <w:p w:rsidR="00727498" w:rsidRDefault="00727498" w:rsidP="00F40FA3">
            <w:pPr>
              <w:pStyle w:val="TableColumnHeading"/>
              <w:spacing w:line="240" w:lineRule="exact"/>
              <w:jc w:val="left"/>
            </w:pPr>
            <w:r w:rsidRPr="0005383F">
              <w:t>Individual or organisation</w:t>
            </w:r>
          </w:p>
        </w:tc>
        <w:tc>
          <w:tcPr>
            <w:tcW w:w="1209" w:type="pct"/>
            <w:tcBorders>
              <w:top w:val="single" w:sz="6" w:space="0" w:color="auto"/>
              <w:bottom w:val="single" w:sz="6" w:space="0" w:color="auto"/>
            </w:tcBorders>
            <w:shd w:val="clear" w:color="auto" w:fill="auto"/>
          </w:tcPr>
          <w:p w:rsidR="00727498" w:rsidRDefault="00727498" w:rsidP="00F40FA3">
            <w:pPr>
              <w:pStyle w:val="TableColumnHeading"/>
              <w:spacing w:line="240" w:lineRule="exact"/>
              <w:ind w:right="0"/>
            </w:pPr>
            <w:r w:rsidRPr="0005383F">
              <w:t>Submission number</w:t>
            </w:r>
          </w:p>
        </w:tc>
      </w:tr>
      <w:tr w:rsidR="00727498" w:rsidRPr="0005383F" w:rsidTr="002F70AF">
        <w:tblPrEx>
          <w:tblLook w:val="04A0" w:firstRow="1" w:lastRow="0" w:firstColumn="1" w:lastColumn="0" w:noHBand="0" w:noVBand="1"/>
        </w:tblPrEx>
        <w:trPr>
          <w:trHeight w:val="20"/>
        </w:trPr>
        <w:tc>
          <w:tcPr>
            <w:tcW w:w="3791" w:type="pct"/>
            <w:tcBorders>
              <w:top w:val="single" w:sz="6" w:space="0" w:color="auto"/>
            </w:tcBorders>
          </w:tcPr>
          <w:p w:rsidR="00727498" w:rsidRPr="0005383F" w:rsidRDefault="00727498" w:rsidP="00F40FA3">
            <w:pPr>
              <w:keepNext/>
              <w:keepLines/>
              <w:spacing w:before="40" w:after="40" w:line="240" w:lineRule="exact"/>
              <w:ind w:left="6" w:right="113"/>
              <w:rPr>
                <w:rFonts w:ascii="Arial" w:hAnsi="Arial"/>
                <w:sz w:val="20"/>
                <w:szCs w:val="20"/>
              </w:rPr>
            </w:pPr>
            <w:r>
              <w:rPr>
                <w:rFonts w:ascii="Arial" w:hAnsi="Arial"/>
                <w:sz w:val="20"/>
                <w:szCs w:val="20"/>
              </w:rPr>
              <w:t xml:space="preserve">Abbott, Bonnie </w:t>
            </w:r>
          </w:p>
        </w:tc>
        <w:tc>
          <w:tcPr>
            <w:tcW w:w="1209" w:type="pct"/>
            <w:tcBorders>
              <w:top w:val="single" w:sz="6" w:space="0" w:color="auto"/>
            </w:tcBorders>
          </w:tcPr>
          <w:p w:rsidR="00727498" w:rsidRPr="0005383F" w:rsidRDefault="00727498" w:rsidP="00F40FA3">
            <w:pPr>
              <w:keepNext/>
              <w:keepLines/>
              <w:spacing w:before="40" w:after="40" w:line="240" w:lineRule="exact"/>
              <w:ind w:left="6"/>
              <w:jc w:val="right"/>
              <w:rPr>
                <w:rFonts w:ascii="Arial" w:hAnsi="Arial"/>
                <w:sz w:val="20"/>
                <w:szCs w:val="20"/>
              </w:rPr>
            </w:pPr>
            <w:r>
              <w:rPr>
                <w:rFonts w:ascii="Arial" w:hAnsi="Arial"/>
                <w:sz w:val="20"/>
                <w:szCs w:val="20"/>
              </w:rPr>
              <w:t>154</w:t>
            </w:r>
          </w:p>
        </w:tc>
      </w:tr>
      <w:tr w:rsidR="00727498" w:rsidRPr="0005383F" w:rsidTr="00355B74">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Amato, Cosmo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204</w:t>
            </w:r>
          </w:p>
        </w:tc>
      </w:tr>
      <w:tr w:rsidR="00727498" w:rsidRPr="0005383F" w:rsidTr="00355B74">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proofErr w:type="spellStart"/>
            <w:r>
              <w:rPr>
                <w:rFonts w:ascii="Arial" w:hAnsi="Arial"/>
                <w:sz w:val="20"/>
                <w:szCs w:val="20"/>
              </w:rPr>
              <w:t>ANCAP</w:t>
            </w:r>
            <w:proofErr w:type="spellEnd"/>
            <w:r>
              <w:rPr>
                <w:rFonts w:ascii="Arial" w:hAnsi="Arial"/>
                <w:sz w:val="20"/>
                <w:szCs w:val="20"/>
              </w:rPr>
              <w:t xml:space="preserve"> Australasia Limited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18</w:t>
            </w:r>
          </w:p>
        </w:tc>
      </w:tr>
      <w:tr w:rsidR="00727498" w:rsidRPr="0005383F" w:rsidTr="00355B74">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proofErr w:type="spellStart"/>
            <w:r>
              <w:rPr>
                <w:rFonts w:ascii="Arial" w:hAnsi="Arial"/>
                <w:sz w:val="20"/>
                <w:szCs w:val="20"/>
              </w:rPr>
              <w:t>Angwin</w:t>
            </w:r>
            <w:proofErr w:type="spellEnd"/>
            <w:r>
              <w:rPr>
                <w:rFonts w:ascii="Arial" w:hAnsi="Arial"/>
                <w:sz w:val="20"/>
                <w:szCs w:val="20"/>
              </w:rPr>
              <w:t xml:space="preserve">, </w:t>
            </w:r>
            <w:proofErr w:type="spellStart"/>
            <w:r>
              <w:rPr>
                <w:rFonts w:ascii="Arial" w:hAnsi="Arial"/>
                <w:sz w:val="20"/>
                <w:szCs w:val="20"/>
              </w:rPr>
              <w:t>Elicia</w:t>
            </w:r>
            <w:proofErr w:type="spellEnd"/>
            <w:r>
              <w:rPr>
                <w:rFonts w:ascii="Arial" w:hAnsi="Arial"/>
                <w:sz w:val="20"/>
                <w:szCs w:val="20"/>
              </w:rPr>
              <w:t xml:space="preserve">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144</w:t>
            </w:r>
          </w:p>
        </w:tc>
      </w:tr>
      <w:tr w:rsidR="00727498" w:rsidRPr="0005383F" w:rsidTr="00355B74">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Australasian Fleet Management Association (</w:t>
            </w:r>
            <w:proofErr w:type="spellStart"/>
            <w:r>
              <w:rPr>
                <w:rFonts w:ascii="Arial" w:hAnsi="Arial"/>
                <w:sz w:val="20"/>
                <w:szCs w:val="20"/>
              </w:rPr>
              <w:t>AFMA</w:t>
            </w:r>
            <w:proofErr w:type="spellEnd"/>
            <w:r>
              <w:rPr>
                <w:rFonts w:ascii="Arial" w:hAnsi="Arial"/>
                <w:sz w:val="20"/>
                <w:szCs w:val="20"/>
              </w:rPr>
              <w:t xml:space="preserve">)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41</w:t>
            </w:r>
          </w:p>
        </w:tc>
      </w:tr>
      <w:tr w:rsidR="00727498" w:rsidRPr="0005383F" w:rsidTr="00355B74">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Australian Arrow Pty Ltd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17</w:t>
            </w:r>
          </w:p>
        </w:tc>
      </w:tr>
      <w:tr w:rsidR="00727498" w:rsidRPr="0005383F" w:rsidTr="00355B74">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Australian Automobile Association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77</w:t>
            </w:r>
          </w:p>
        </w:tc>
      </w:tr>
      <w:tr w:rsidR="00727498" w:rsidRPr="0005383F" w:rsidTr="00355B74">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Australian Automotive Aftermarket Association (</w:t>
            </w:r>
            <w:proofErr w:type="spellStart"/>
            <w:r>
              <w:rPr>
                <w:rFonts w:ascii="Arial" w:hAnsi="Arial"/>
                <w:sz w:val="20"/>
                <w:szCs w:val="20"/>
              </w:rPr>
              <w:t>AAAA</w:t>
            </w:r>
            <w:proofErr w:type="spellEnd"/>
            <w:r>
              <w:rPr>
                <w:rFonts w:ascii="Arial" w:hAnsi="Arial"/>
                <w:sz w:val="20"/>
                <w:szCs w:val="20"/>
              </w:rPr>
              <w:t xml:space="preserve">)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54</w:t>
            </w:r>
          </w:p>
        </w:tc>
      </w:tr>
      <w:tr w:rsidR="00727498" w:rsidRPr="0005383F" w:rsidTr="00355B74">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Australian Chamber of Commerce and Industry (</w:t>
            </w:r>
            <w:proofErr w:type="spellStart"/>
            <w:r>
              <w:rPr>
                <w:rFonts w:ascii="Arial" w:hAnsi="Arial"/>
                <w:sz w:val="20"/>
                <w:szCs w:val="20"/>
              </w:rPr>
              <w:t>ACCI</w:t>
            </w:r>
            <w:proofErr w:type="spellEnd"/>
            <w:r>
              <w:rPr>
                <w:rFonts w:ascii="Arial" w:hAnsi="Arial"/>
                <w:sz w:val="20"/>
                <w:szCs w:val="20"/>
              </w:rPr>
              <w:t xml:space="preserve">)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71#</w:t>
            </w:r>
          </w:p>
        </w:tc>
      </w:tr>
      <w:tr w:rsidR="00727498" w:rsidRPr="0005383F" w:rsidTr="00355B74">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Australian Industry Group</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42#</w:t>
            </w:r>
          </w:p>
        </w:tc>
      </w:tr>
      <w:tr w:rsidR="00727498" w:rsidRPr="0005383F" w:rsidTr="00355B74">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Australian Manufacturing Workers’ Union (</w:t>
            </w:r>
            <w:proofErr w:type="spellStart"/>
            <w:r>
              <w:rPr>
                <w:rFonts w:ascii="Arial" w:hAnsi="Arial"/>
                <w:sz w:val="20"/>
                <w:szCs w:val="20"/>
              </w:rPr>
              <w:t>AMWU</w:t>
            </w:r>
            <w:proofErr w:type="spellEnd"/>
            <w:r>
              <w:rPr>
                <w:rFonts w:ascii="Arial" w:hAnsi="Arial"/>
                <w:sz w:val="20"/>
                <w:szCs w:val="20"/>
              </w:rPr>
              <w:t xml:space="preserve">)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28</w:t>
            </w:r>
          </w:p>
        </w:tc>
      </w:tr>
      <w:tr w:rsidR="00727498" w:rsidRPr="0005383F" w:rsidTr="00355B74">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Australian Motor Industry Federation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74</w:t>
            </w:r>
          </w:p>
        </w:tc>
      </w:tr>
      <w:tr w:rsidR="00727498" w:rsidRPr="0005383F" w:rsidTr="00355B74">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Australian Performance Vehicles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5</w:t>
            </w:r>
          </w:p>
        </w:tc>
      </w:tr>
      <w:tr w:rsidR="00727498" w:rsidRPr="0005383F" w:rsidTr="00355B74">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Australian Productivity Council Pty Ltd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13</w:t>
            </w:r>
          </w:p>
        </w:tc>
      </w:tr>
      <w:tr w:rsidR="00727498" w:rsidRPr="0005383F" w:rsidTr="00355B74">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Australian Workplace Innovation and Social Research Centre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8</w:t>
            </w:r>
          </w:p>
        </w:tc>
      </w:tr>
      <w:tr w:rsidR="00727498" w:rsidRPr="0005383F" w:rsidTr="00355B74">
        <w:tblPrEx>
          <w:tblLook w:val="04A0" w:firstRow="1" w:lastRow="0" w:firstColumn="1" w:lastColumn="0" w:noHBand="0" w:noVBand="1"/>
        </w:tblPrEx>
        <w:trPr>
          <w:trHeight w:val="20"/>
        </w:trPr>
        <w:tc>
          <w:tcPr>
            <w:tcW w:w="3791" w:type="pct"/>
          </w:tcPr>
          <w:p w:rsidR="00727498" w:rsidRPr="001B6E36" w:rsidRDefault="00727498" w:rsidP="00F40FA3">
            <w:pPr>
              <w:keepNext/>
              <w:keepLines/>
              <w:spacing w:after="40" w:line="240" w:lineRule="exact"/>
              <w:ind w:left="6" w:right="113"/>
              <w:rPr>
                <w:rFonts w:ascii="Arial" w:hAnsi="Arial"/>
                <w:sz w:val="20"/>
                <w:szCs w:val="20"/>
              </w:rPr>
            </w:pPr>
            <w:proofErr w:type="spellStart"/>
            <w:r>
              <w:rPr>
                <w:rFonts w:ascii="Arial" w:hAnsi="Arial"/>
                <w:sz w:val="20"/>
                <w:szCs w:val="20"/>
              </w:rPr>
              <w:t>AutoCRC</w:t>
            </w:r>
            <w:proofErr w:type="spellEnd"/>
            <w:r>
              <w:rPr>
                <w:rFonts w:ascii="Arial" w:hAnsi="Arial"/>
                <w:sz w:val="20"/>
                <w:szCs w:val="20"/>
              </w:rPr>
              <w:t xml:space="preserve"> Limited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39</w:t>
            </w:r>
          </w:p>
        </w:tc>
      </w:tr>
      <w:tr w:rsidR="00727498" w:rsidRPr="0005383F" w:rsidTr="00355B74">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proofErr w:type="spellStart"/>
            <w:r>
              <w:rPr>
                <w:rFonts w:ascii="Arial" w:hAnsi="Arial"/>
                <w:sz w:val="20"/>
                <w:szCs w:val="20"/>
              </w:rPr>
              <w:t>Autopolis</w:t>
            </w:r>
            <w:proofErr w:type="spellEnd"/>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10, 224#</w:t>
            </w:r>
          </w:p>
        </w:tc>
      </w:tr>
      <w:tr w:rsidR="00727498" w:rsidRPr="0005383F" w:rsidTr="00355B74">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proofErr w:type="spellStart"/>
            <w:r>
              <w:rPr>
                <w:rFonts w:ascii="Arial" w:hAnsi="Arial"/>
                <w:sz w:val="20"/>
                <w:szCs w:val="20"/>
              </w:rPr>
              <w:t>Backwell</w:t>
            </w:r>
            <w:proofErr w:type="spellEnd"/>
            <w:r>
              <w:rPr>
                <w:rFonts w:ascii="Arial" w:hAnsi="Arial"/>
                <w:sz w:val="20"/>
                <w:szCs w:val="20"/>
              </w:rPr>
              <w:t xml:space="preserve"> </w:t>
            </w:r>
            <w:proofErr w:type="spellStart"/>
            <w:r>
              <w:rPr>
                <w:rFonts w:ascii="Arial" w:hAnsi="Arial"/>
                <w:sz w:val="20"/>
                <w:szCs w:val="20"/>
              </w:rPr>
              <w:t>IXL</w:t>
            </w:r>
            <w:proofErr w:type="spellEnd"/>
            <w:r>
              <w:rPr>
                <w:rFonts w:ascii="Arial" w:hAnsi="Arial"/>
                <w:sz w:val="20"/>
                <w:szCs w:val="20"/>
              </w:rPr>
              <w:t xml:space="preserve">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21</w:t>
            </w:r>
          </w:p>
        </w:tc>
      </w:tr>
      <w:tr w:rsidR="00727498" w:rsidRPr="0005383F" w:rsidTr="00355B74">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Baker, David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16</w:t>
            </w:r>
          </w:p>
        </w:tc>
      </w:tr>
      <w:tr w:rsidR="00727498" w:rsidRPr="0005383F" w:rsidTr="00355B74">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proofErr w:type="spellStart"/>
            <w:r>
              <w:rPr>
                <w:rFonts w:ascii="Arial" w:hAnsi="Arial"/>
                <w:sz w:val="20"/>
                <w:szCs w:val="20"/>
              </w:rPr>
              <w:t>Bannwart</w:t>
            </w:r>
            <w:proofErr w:type="spellEnd"/>
            <w:r>
              <w:rPr>
                <w:rFonts w:ascii="Arial" w:hAnsi="Arial"/>
                <w:sz w:val="20"/>
                <w:szCs w:val="20"/>
              </w:rPr>
              <w:t xml:space="preserve">, Robert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198</w:t>
            </w:r>
          </w:p>
        </w:tc>
      </w:tr>
      <w:tr w:rsidR="00727498" w:rsidRPr="0005383F" w:rsidTr="00355B74">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proofErr w:type="spellStart"/>
            <w:r>
              <w:rPr>
                <w:rFonts w:ascii="Arial" w:hAnsi="Arial"/>
                <w:sz w:val="20"/>
                <w:szCs w:val="20"/>
              </w:rPr>
              <w:t>Beggs</w:t>
            </w:r>
            <w:proofErr w:type="spellEnd"/>
            <w:r>
              <w:rPr>
                <w:rFonts w:ascii="Arial" w:hAnsi="Arial"/>
                <w:sz w:val="20"/>
                <w:szCs w:val="20"/>
              </w:rPr>
              <w:t xml:space="preserve">, Anthony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205</w:t>
            </w:r>
          </w:p>
        </w:tc>
      </w:tr>
      <w:tr w:rsidR="00727498" w:rsidRPr="0005383F" w:rsidTr="00355B74">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Bell, Adrian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82</w:t>
            </w:r>
          </w:p>
        </w:tc>
      </w:tr>
      <w:tr w:rsidR="00727498" w:rsidRPr="0005383F" w:rsidTr="00355B74">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proofErr w:type="spellStart"/>
            <w:r>
              <w:rPr>
                <w:rFonts w:ascii="Arial" w:hAnsi="Arial"/>
                <w:sz w:val="20"/>
                <w:szCs w:val="20"/>
              </w:rPr>
              <w:t>Bernasconi</w:t>
            </w:r>
            <w:proofErr w:type="spellEnd"/>
            <w:r>
              <w:rPr>
                <w:rFonts w:ascii="Arial" w:hAnsi="Arial"/>
                <w:sz w:val="20"/>
                <w:szCs w:val="20"/>
              </w:rPr>
              <w:t xml:space="preserve">, James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67</w:t>
            </w:r>
          </w:p>
        </w:tc>
      </w:tr>
      <w:tr w:rsidR="00727498" w:rsidRPr="0005383F" w:rsidTr="00355B74">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Berry, John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106</w:t>
            </w:r>
          </w:p>
        </w:tc>
      </w:tr>
      <w:tr w:rsidR="00727498" w:rsidRPr="0005383F" w:rsidTr="00355B74">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proofErr w:type="spellStart"/>
            <w:r>
              <w:rPr>
                <w:rFonts w:ascii="Arial" w:hAnsi="Arial"/>
                <w:sz w:val="20"/>
                <w:szCs w:val="20"/>
              </w:rPr>
              <w:t>Bettinzoli</w:t>
            </w:r>
            <w:proofErr w:type="spellEnd"/>
            <w:r>
              <w:rPr>
                <w:rFonts w:ascii="Arial" w:hAnsi="Arial"/>
                <w:sz w:val="20"/>
                <w:szCs w:val="20"/>
              </w:rPr>
              <w:t xml:space="preserve">, Roberto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220</w:t>
            </w:r>
          </w:p>
        </w:tc>
      </w:tr>
      <w:tr w:rsidR="00727498" w:rsidRPr="0005383F" w:rsidTr="00355B74">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Birch, Cheryl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119</w:t>
            </w:r>
          </w:p>
        </w:tc>
      </w:tr>
      <w:tr w:rsidR="00727498" w:rsidRPr="0005383F" w:rsidTr="00355B74">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proofErr w:type="spellStart"/>
            <w:r>
              <w:rPr>
                <w:rFonts w:ascii="Arial" w:hAnsi="Arial"/>
                <w:sz w:val="20"/>
                <w:szCs w:val="20"/>
              </w:rPr>
              <w:t>Bisset</w:t>
            </w:r>
            <w:proofErr w:type="spellEnd"/>
            <w:r>
              <w:rPr>
                <w:rFonts w:ascii="Arial" w:hAnsi="Arial"/>
                <w:sz w:val="20"/>
                <w:szCs w:val="20"/>
              </w:rPr>
              <w:t xml:space="preserve">, Jane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222</w:t>
            </w:r>
          </w:p>
        </w:tc>
      </w:tr>
      <w:tr w:rsidR="00727498" w:rsidRPr="0005383F" w:rsidTr="00355B74">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Black, Simon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206</w:t>
            </w:r>
          </w:p>
        </w:tc>
      </w:tr>
      <w:tr w:rsidR="00727498" w:rsidRPr="0005383F" w:rsidTr="00355B74">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Blackwell, Judi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180</w:t>
            </w:r>
          </w:p>
        </w:tc>
      </w:tr>
      <w:tr w:rsidR="00727498" w:rsidRPr="0005383F" w:rsidTr="00355B74">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Blackwell, Simon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210</w:t>
            </w:r>
          </w:p>
        </w:tc>
      </w:tr>
      <w:tr w:rsidR="00727498" w:rsidRPr="0005383F" w:rsidTr="00355B74">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BlueScope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52</w:t>
            </w:r>
          </w:p>
        </w:tc>
      </w:tr>
      <w:tr w:rsidR="00727498" w:rsidRPr="0005383F" w:rsidTr="00355B74">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Bond, Geoffrey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185</w:t>
            </w:r>
          </w:p>
        </w:tc>
      </w:tr>
      <w:tr w:rsidR="00727498" w:rsidRPr="0005383F" w:rsidTr="00355B74">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Breen, </w:t>
            </w:r>
            <w:proofErr w:type="spellStart"/>
            <w:r>
              <w:rPr>
                <w:rFonts w:ascii="Arial" w:hAnsi="Arial"/>
                <w:sz w:val="20"/>
                <w:szCs w:val="20"/>
              </w:rPr>
              <w:t>Lyndal</w:t>
            </w:r>
            <w:proofErr w:type="spellEnd"/>
            <w:r>
              <w:rPr>
                <w:rFonts w:ascii="Arial" w:hAnsi="Arial"/>
                <w:sz w:val="20"/>
                <w:szCs w:val="20"/>
              </w:rPr>
              <w:t xml:space="preserve">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197</w:t>
            </w:r>
          </w:p>
        </w:tc>
      </w:tr>
      <w:tr w:rsidR="00727498" w:rsidRPr="0005383F" w:rsidTr="00355B74">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proofErr w:type="spellStart"/>
            <w:r>
              <w:rPr>
                <w:rFonts w:ascii="Arial" w:hAnsi="Arial"/>
                <w:sz w:val="20"/>
                <w:szCs w:val="20"/>
              </w:rPr>
              <w:t>Brokenbrough</w:t>
            </w:r>
            <w:proofErr w:type="spellEnd"/>
            <w:r>
              <w:rPr>
                <w:rFonts w:ascii="Arial" w:hAnsi="Arial"/>
                <w:sz w:val="20"/>
                <w:szCs w:val="20"/>
              </w:rPr>
              <w:t xml:space="preserve">, Matthew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178</w:t>
            </w:r>
          </w:p>
        </w:tc>
      </w:tr>
      <w:tr w:rsidR="00727498" w:rsidRPr="0005383F" w:rsidTr="00355B74">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Brown, Chrissy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194</w:t>
            </w:r>
          </w:p>
        </w:tc>
      </w:tr>
      <w:tr w:rsidR="00727498" w:rsidRPr="0005383F" w:rsidTr="00355B74">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Bryant, Carole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209</w:t>
            </w:r>
          </w:p>
        </w:tc>
      </w:tr>
      <w:tr w:rsidR="00727498" w:rsidRPr="0005383F" w:rsidTr="00355B74">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Bus Industry Confederation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73</w:t>
            </w:r>
          </w:p>
        </w:tc>
      </w:tr>
      <w:tr w:rsidR="00727498" w:rsidRPr="0005383F" w:rsidTr="00355B74">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Business SA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46</w:t>
            </w:r>
          </w:p>
        </w:tc>
      </w:tr>
      <w:tr w:rsidR="00727498" w:rsidRPr="0005383F" w:rsidTr="00355B74">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proofErr w:type="spellStart"/>
            <w:r>
              <w:rPr>
                <w:rFonts w:ascii="Arial" w:hAnsi="Arial"/>
                <w:sz w:val="20"/>
                <w:szCs w:val="20"/>
              </w:rPr>
              <w:t>BuyAustralianMade</w:t>
            </w:r>
            <w:proofErr w:type="spellEnd"/>
            <w:r>
              <w:rPr>
                <w:rFonts w:ascii="Arial" w:hAnsi="Arial"/>
                <w:sz w:val="20"/>
                <w:szCs w:val="20"/>
              </w:rPr>
              <w:t xml:space="preserve">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40</w:t>
            </w:r>
          </w:p>
        </w:tc>
      </w:tr>
      <w:tr w:rsidR="00727498" w:rsidRPr="0005383F" w:rsidTr="00355B74">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Carmichael, Benjamin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167</w:t>
            </w:r>
          </w:p>
        </w:tc>
      </w:tr>
      <w:tr w:rsidR="00727498" w:rsidRPr="0005383F" w:rsidTr="00355B74">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Carroll, Julie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196</w:t>
            </w:r>
          </w:p>
        </w:tc>
      </w:tr>
      <w:tr w:rsidR="00727498" w:rsidRPr="0005383F" w:rsidTr="002F70AF">
        <w:tblPrEx>
          <w:tblLook w:val="04A0" w:firstRow="1" w:lastRow="0" w:firstColumn="1" w:lastColumn="0" w:noHBand="0" w:noVBand="1"/>
        </w:tblPrEx>
        <w:trPr>
          <w:trHeight w:val="20"/>
        </w:trPr>
        <w:tc>
          <w:tcPr>
            <w:tcW w:w="3791" w:type="pct"/>
            <w:tcBorders>
              <w:bottom w:val="single" w:sz="6" w:space="0" w:color="auto"/>
            </w:tcBorders>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Carter, Susan </w:t>
            </w:r>
          </w:p>
        </w:tc>
        <w:tc>
          <w:tcPr>
            <w:tcW w:w="1209" w:type="pct"/>
            <w:tcBorders>
              <w:bottom w:val="single" w:sz="6" w:space="0" w:color="auto"/>
            </w:tcBorders>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215</w:t>
            </w:r>
          </w:p>
        </w:tc>
      </w:tr>
    </w:tbl>
    <w:p w:rsidR="00727498" w:rsidRPr="00355B74" w:rsidRDefault="00727498" w:rsidP="00355B74">
      <w:pPr>
        <w:pStyle w:val="Continued"/>
        <w:rPr>
          <w:b/>
        </w:rPr>
      </w:pPr>
      <w:r>
        <w:rPr>
          <w:rStyle w:val="NoteLabel"/>
          <w:b w:val="0"/>
        </w:rPr>
        <w:t>(</w:t>
      </w:r>
      <w:r w:rsidRPr="00355B74">
        <w:rPr>
          <w:rStyle w:val="NoteLabel"/>
          <w:b w:val="0"/>
        </w:rPr>
        <w:t>Continued next page</w:t>
      </w:r>
      <w:r>
        <w:rPr>
          <w:rStyle w:val="NoteLabel"/>
          <w:b w:val="0"/>
        </w:rPr>
        <w:t>)</w:t>
      </w:r>
    </w:p>
    <w:p w:rsidR="00727498" w:rsidRDefault="00727498" w:rsidP="00553284">
      <w:pPr>
        <w:pStyle w:val="TableTitle"/>
      </w:pPr>
      <w:r w:rsidRPr="00553284">
        <w:rPr>
          <w:b w:val="0"/>
        </w:rPr>
        <w:lastRenderedPageBreak/>
        <w:t xml:space="preserve">Table </w:t>
      </w:r>
      <w:proofErr w:type="spellStart"/>
      <w:r w:rsidRPr="00F67D68">
        <w:rPr>
          <w:b w:val="0"/>
        </w:rPr>
        <w:t>A.1</w:t>
      </w:r>
      <w:proofErr w:type="spellEnd"/>
      <w:r w:rsidRPr="00553284">
        <w:rPr>
          <w:b w:val="0"/>
        </w:rPr>
        <w:tab/>
      </w:r>
      <w:r w:rsidRPr="00553284">
        <w:rPr>
          <w:b w:val="0"/>
          <w:sz w:val="18"/>
        </w:rPr>
        <w:t>(</w:t>
      </w:r>
      <w:r>
        <w:rPr>
          <w:b w:val="0"/>
          <w:sz w:val="18"/>
        </w:rPr>
        <w:t>c</w:t>
      </w:r>
      <w:r w:rsidRPr="00553284">
        <w:rPr>
          <w:b w:val="0"/>
          <w:sz w:val="18"/>
        </w:rPr>
        <w:t>ontinued)</w:t>
      </w:r>
      <w:r w:rsidRPr="00553284">
        <w:rPr>
          <w:sz w:val="18"/>
        </w:rPr>
        <w:t xml:space="preserve"> </w:t>
      </w:r>
    </w:p>
    <w:tbl>
      <w:tblPr>
        <w:tblW w:w="5000" w:type="pct"/>
        <w:tblCellMar>
          <w:left w:w="0" w:type="dxa"/>
          <w:right w:w="0" w:type="dxa"/>
        </w:tblCellMar>
        <w:tblLook w:val="0000" w:firstRow="0" w:lastRow="0" w:firstColumn="0" w:lastColumn="0" w:noHBand="0" w:noVBand="0"/>
      </w:tblPr>
      <w:tblGrid>
        <w:gridCol w:w="6664"/>
        <w:gridCol w:w="2125"/>
      </w:tblGrid>
      <w:tr w:rsidR="00727498" w:rsidTr="0058085C">
        <w:tc>
          <w:tcPr>
            <w:tcW w:w="3791" w:type="pct"/>
            <w:tcBorders>
              <w:top w:val="single" w:sz="6" w:space="0" w:color="auto"/>
              <w:bottom w:val="single" w:sz="6" w:space="0" w:color="auto"/>
            </w:tcBorders>
            <w:shd w:val="clear" w:color="auto" w:fill="auto"/>
          </w:tcPr>
          <w:p w:rsidR="00727498" w:rsidRDefault="00727498" w:rsidP="00F40FA3">
            <w:pPr>
              <w:pStyle w:val="TableColumnHeading"/>
              <w:spacing w:line="240" w:lineRule="exact"/>
              <w:jc w:val="left"/>
            </w:pPr>
            <w:r w:rsidRPr="0005383F">
              <w:t>Individual or organisation</w:t>
            </w:r>
          </w:p>
        </w:tc>
        <w:tc>
          <w:tcPr>
            <w:tcW w:w="1209" w:type="pct"/>
            <w:tcBorders>
              <w:top w:val="single" w:sz="6" w:space="0" w:color="auto"/>
              <w:bottom w:val="single" w:sz="6" w:space="0" w:color="auto"/>
            </w:tcBorders>
            <w:shd w:val="clear" w:color="auto" w:fill="auto"/>
          </w:tcPr>
          <w:p w:rsidR="00727498" w:rsidRDefault="00727498" w:rsidP="00F40FA3">
            <w:pPr>
              <w:pStyle w:val="TableColumnHeading"/>
              <w:spacing w:line="240" w:lineRule="exact"/>
              <w:ind w:right="0"/>
            </w:pPr>
            <w:r w:rsidRPr="0005383F">
              <w:t>Submission number</w:t>
            </w:r>
          </w:p>
        </w:tc>
      </w:tr>
      <w:tr w:rsidR="00727498" w:rsidRPr="0005383F" w:rsidTr="002F70AF">
        <w:tblPrEx>
          <w:tblLook w:val="04A0" w:firstRow="1" w:lastRow="0" w:firstColumn="1" w:lastColumn="0" w:noHBand="0" w:noVBand="1"/>
        </w:tblPrEx>
        <w:trPr>
          <w:trHeight w:val="20"/>
        </w:trPr>
        <w:tc>
          <w:tcPr>
            <w:tcW w:w="3791" w:type="pct"/>
            <w:tcBorders>
              <w:top w:val="single" w:sz="6" w:space="0" w:color="auto"/>
            </w:tcBorders>
          </w:tcPr>
          <w:p w:rsidR="00727498" w:rsidRPr="0005383F" w:rsidRDefault="00727498" w:rsidP="00F40FA3">
            <w:pPr>
              <w:keepNext/>
              <w:keepLines/>
              <w:spacing w:before="40" w:after="40" w:line="240" w:lineRule="exact"/>
              <w:ind w:left="6" w:right="113"/>
              <w:rPr>
                <w:rFonts w:ascii="Arial" w:hAnsi="Arial"/>
                <w:sz w:val="20"/>
                <w:szCs w:val="20"/>
              </w:rPr>
            </w:pPr>
            <w:r>
              <w:rPr>
                <w:rFonts w:ascii="Arial" w:hAnsi="Arial"/>
                <w:sz w:val="20"/>
                <w:szCs w:val="20"/>
              </w:rPr>
              <w:t xml:space="preserve">Centre of Policy Studies </w:t>
            </w:r>
          </w:p>
        </w:tc>
        <w:tc>
          <w:tcPr>
            <w:tcW w:w="1209" w:type="pct"/>
            <w:tcBorders>
              <w:top w:val="single" w:sz="6" w:space="0" w:color="auto"/>
            </w:tcBorders>
          </w:tcPr>
          <w:p w:rsidR="00727498" w:rsidRPr="0005383F" w:rsidRDefault="00727498" w:rsidP="00F40FA3">
            <w:pPr>
              <w:keepNext/>
              <w:keepLines/>
              <w:spacing w:before="40" w:after="40" w:line="240" w:lineRule="exact"/>
              <w:ind w:left="6"/>
              <w:jc w:val="right"/>
              <w:rPr>
                <w:rFonts w:ascii="Arial" w:hAnsi="Arial"/>
                <w:sz w:val="20"/>
                <w:szCs w:val="20"/>
              </w:rPr>
            </w:pPr>
            <w:r>
              <w:rPr>
                <w:rFonts w:ascii="Arial" w:hAnsi="Arial"/>
                <w:sz w:val="20"/>
                <w:szCs w:val="20"/>
              </w:rPr>
              <w:t>7</w:t>
            </w:r>
          </w:p>
        </w:tc>
      </w:tr>
      <w:tr w:rsidR="00727498" w:rsidRPr="0005383F" w:rsidTr="0058085C">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Chassis Brakes International (Australia) Pty Ltd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53</w:t>
            </w:r>
          </w:p>
        </w:tc>
      </w:tr>
      <w:tr w:rsidR="00727498" w:rsidRPr="0005383F" w:rsidTr="0058085C">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Chop Wood Pty Ltd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2</w:t>
            </w:r>
          </w:p>
        </w:tc>
      </w:tr>
      <w:tr w:rsidR="00727498" w:rsidRPr="0005383F" w:rsidTr="0058085C">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proofErr w:type="spellStart"/>
            <w:r>
              <w:rPr>
                <w:rFonts w:ascii="Arial" w:hAnsi="Arial"/>
                <w:sz w:val="20"/>
                <w:szCs w:val="20"/>
              </w:rPr>
              <w:t>ClimateWorks</w:t>
            </w:r>
            <w:proofErr w:type="spellEnd"/>
            <w:r>
              <w:rPr>
                <w:rFonts w:ascii="Arial" w:hAnsi="Arial"/>
                <w:sz w:val="20"/>
                <w:szCs w:val="20"/>
              </w:rPr>
              <w:t xml:space="preserve"> Australia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63</w:t>
            </w:r>
          </w:p>
        </w:tc>
      </w:tr>
      <w:tr w:rsidR="00727498" w:rsidRPr="0005383F" w:rsidTr="0058085C">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proofErr w:type="spellStart"/>
            <w:r>
              <w:rPr>
                <w:rFonts w:ascii="Arial" w:hAnsi="Arial"/>
                <w:sz w:val="20"/>
                <w:szCs w:val="20"/>
              </w:rPr>
              <w:t>CNH</w:t>
            </w:r>
            <w:proofErr w:type="spellEnd"/>
            <w:r>
              <w:rPr>
                <w:rFonts w:ascii="Arial" w:hAnsi="Arial"/>
                <w:sz w:val="20"/>
                <w:szCs w:val="20"/>
              </w:rPr>
              <w:t xml:space="preserve"> Industrial </w:t>
            </w:r>
            <w:proofErr w:type="spellStart"/>
            <w:r>
              <w:rPr>
                <w:rFonts w:ascii="Arial" w:hAnsi="Arial"/>
                <w:sz w:val="20"/>
                <w:szCs w:val="20"/>
              </w:rPr>
              <w:t>ANZ</w:t>
            </w:r>
            <w:proofErr w:type="spellEnd"/>
            <w:r>
              <w:rPr>
                <w:rFonts w:ascii="Arial" w:hAnsi="Arial"/>
                <w:sz w:val="20"/>
                <w:szCs w:val="20"/>
              </w:rPr>
              <w:t xml:space="preserve">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60</w:t>
            </w:r>
          </w:p>
        </w:tc>
      </w:tr>
      <w:tr w:rsidR="00727498" w:rsidRPr="0005383F" w:rsidTr="0058085C">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Confederation of Australian Motor Sport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59</w:t>
            </w:r>
          </w:p>
        </w:tc>
      </w:tr>
      <w:tr w:rsidR="00727498" w:rsidRPr="0005383F" w:rsidTr="0058085C">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Connell, Neil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186</w:t>
            </w:r>
          </w:p>
        </w:tc>
      </w:tr>
      <w:tr w:rsidR="00727498" w:rsidRPr="0005383F" w:rsidTr="0058085C">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Connor, Michael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147</w:t>
            </w:r>
          </w:p>
        </w:tc>
      </w:tr>
      <w:tr w:rsidR="00727498" w:rsidRPr="0005383F" w:rsidTr="0058085C">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Corcoran, Daniel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182</w:t>
            </w:r>
          </w:p>
        </w:tc>
      </w:tr>
      <w:tr w:rsidR="00727498" w:rsidRPr="0005383F" w:rsidTr="0058085C">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Coupe, Mark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166</w:t>
            </w:r>
          </w:p>
        </w:tc>
      </w:tr>
      <w:tr w:rsidR="00727498" w:rsidRPr="0005383F" w:rsidTr="0058085C">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Cowling, Diane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120</w:t>
            </w:r>
          </w:p>
        </w:tc>
      </w:tr>
      <w:tr w:rsidR="00727498" w:rsidRPr="0005383F" w:rsidTr="0058085C">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Crouch, Dean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110</w:t>
            </w:r>
          </w:p>
        </w:tc>
      </w:tr>
      <w:tr w:rsidR="00727498" w:rsidRPr="0005383F" w:rsidTr="0058085C">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Crowe, Robert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202</w:t>
            </w:r>
          </w:p>
        </w:tc>
      </w:tr>
      <w:tr w:rsidR="00727498" w:rsidRPr="0005383F" w:rsidTr="0058085C">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proofErr w:type="spellStart"/>
            <w:r>
              <w:rPr>
                <w:rFonts w:ascii="Arial" w:hAnsi="Arial"/>
                <w:sz w:val="20"/>
                <w:szCs w:val="20"/>
              </w:rPr>
              <w:t>Crundwell</w:t>
            </w:r>
            <w:proofErr w:type="spellEnd"/>
            <w:r>
              <w:rPr>
                <w:rFonts w:ascii="Arial" w:hAnsi="Arial"/>
                <w:sz w:val="20"/>
                <w:szCs w:val="20"/>
              </w:rPr>
              <w:t xml:space="preserve">, Shannon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157</w:t>
            </w:r>
          </w:p>
        </w:tc>
      </w:tr>
      <w:tr w:rsidR="00727498" w:rsidRPr="0005383F" w:rsidTr="0058085C">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proofErr w:type="spellStart"/>
            <w:r>
              <w:rPr>
                <w:rFonts w:ascii="Arial" w:hAnsi="Arial"/>
                <w:sz w:val="20"/>
                <w:szCs w:val="20"/>
              </w:rPr>
              <w:t>Dalkie</w:t>
            </w:r>
            <w:proofErr w:type="spellEnd"/>
            <w:r>
              <w:rPr>
                <w:rFonts w:ascii="Arial" w:hAnsi="Arial"/>
                <w:sz w:val="20"/>
                <w:szCs w:val="20"/>
              </w:rPr>
              <w:t xml:space="preserve">, Danielle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160</w:t>
            </w:r>
          </w:p>
        </w:tc>
      </w:tr>
      <w:tr w:rsidR="00727498" w:rsidRPr="0005383F" w:rsidTr="0058085C">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proofErr w:type="spellStart"/>
            <w:r>
              <w:rPr>
                <w:rFonts w:ascii="Arial" w:hAnsi="Arial"/>
                <w:sz w:val="20"/>
                <w:szCs w:val="20"/>
              </w:rPr>
              <w:t>Darmody</w:t>
            </w:r>
            <w:proofErr w:type="spellEnd"/>
            <w:r>
              <w:rPr>
                <w:rFonts w:ascii="Arial" w:hAnsi="Arial"/>
                <w:sz w:val="20"/>
                <w:szCs w:val="20"/>
              </w:rPr>
              <w:t xml:space="preserve">, Rod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124</w:t>
            </w:r>
          </w:p>
        </w:tc>
      </w:tr>
      <w:tr w:rsidR="00727498" w:rsidRPr="0005383F" w:rsidTr="0058085C">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Delaney, Alex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109</w:t>
            </w:r>
          </w:p>
        </w:tc>
      </w:tr>
      <w:tr w:rsidR="00727498" w:rsidRPr="0005383F" w:rsidTr="0058085C">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Dempsey, Peter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221</w:t>
            </w:r>
          </w:p>
        </w:tc>
      </w:tr>
      <w:tr w:rsidR="00727498" w:rsidRPr="0005383F" w:rsidTr="0058085C">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Denso Automotive Systems Australia Pty Ltd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72</w:t>
            </w:r>
          </w:p>
        </w:tc>
      </w:tr>
      <w:tr w:rsidR="00727498" w:rsidRPr="0005383F" w:rsidTr="0058085C">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proofErr w:type="spellStart"/>
            <w:r>
              <w:rPr>
                <w:rFonts w:ascii="Arial" w:hAnsi="Arial"/>
                <w:sz w:val="20"/>
                <w:szCs w:val="20"/>
              </w:rPr>
              <w:t>Deviesseux</w:t>
            </w:r>
            <w:proofErr w:type="spellEnd"/>
            <w:r>
              <w:rPr>
                <w:rFonts w:ascii="Arial" w:hAnsi="Arial"/>
                <w:sz w:val="20"/>
                <w:szCs w:val="20"/>
              </w:rPr>
              <w:t xml:space="preserve">, Shirley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130</w:t>
            </w:r>
          </w:p>
        </w:tc>
      </w:tr>
      <w:tr w:rsidR="00727498" w:rsidRPr="0005383F" w:rsidTr="0058085C">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proofErr w:type="spellStart"/>
            <w:r>
              <w:rPr>
                <w:rFonts w:ascii="Arial" w:hAnsi="Arial"/>
                <w:sz w:val="20"/>
                <w:szCs w:val="20"/>
              </w:rPr>
              <w:t>DeVries</w:t>
            </w:r>
            <w:proofErr w:type="spellEnd"/>
            <w:r>
              <w:rPr>
                <w:rFonts w:ascii="Arial" w:hAnsi="Arial"/>
                <w:sz w:val="20"/>
                <w:szCs w:val="20"/>
              </w:rPr>
              <w:t xml:space="preserve">, Timothy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3</w:t>
            </w:r>
          </w:p>
        </w:tc>
      </w:tr>
      <w:tr w:rsidR="00727498" w:rsidRPr="0005383F" w:rsidTr="0058085C">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Dewar, Stephen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127</w:t>
            </w:r>
          </w:p>
        </w:tc>
      </w:tr>
      <w:tr w:rsidR="00727498" w:rsidRPr="0005383F" w:rsidTr="0058085C">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Diver Consolidated Industries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25</w:t>
            </w:r>
          </w:p>
        </w:tc>
      </w:tr>
      <w:tr w:rsidR="00727498" w:rsidRPr="0005383F" w:rsidTr="0058085C">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Dixon, Peter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112</w:t>
            </w:r>
          </w:p>
        </w:tc>
      </w:tr>
      <w:tr w:rsidR="00727498" w:rsidRPr="0005383F" w:rsidTr="0058085C">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Docklands Science Park Pty Ltd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11#</w:t>
            </w:r>
          </w:p>
        </w:tc>
      </w:tr>
      <w:tr w:rsidR="00727498" w:rsidRPr="0005383F" w:rsidTr="0058085C">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Dunn, John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168</w:t>
            </w:r>
          </w:p>
        </w:tc>
      </w:tr>
      <w:tr w:rsidR="00727498" w:rsidRPr="0005383F" w:rsidTr="0058085C">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proofErr w:type="spellStart"/>
            <w:r>
              <w:rPr>
                <w:rFonts w:ascii="Arial" w:hAnsi="Arial"/>
                <w:sz w:val="20"/>
                <w:szCs w:val="20"/>
              </w:rPr>
              <w:t>Dymmott</w:t>
            </w:r>
            <w:proofErr w:type="spellEnd"/>
            <w:r>
              <w:rPr>
                <w:rFonts w:ascii="Arial" w:hAnsi="Arial"/>
                <w:sz w:val="20"/>
                <w:szCs w:val="20"/>
              </w:rPr>
              <w:t xml:space="preserve">, Geoffrey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126</w:t>
            </w:r>
          </w:p>
        </w:tc>
      </w:tr>
      <w:tr w:rsidR="00727498" w:rsidRPr="0005383F" w:rsidTr="0058085C">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Eagles, Andrew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207</w:t>
            </w:r>
          </w:p>
        </w:tc>
      </w:tr>
      <w:tr w:rsidR="00727498" w:rsidRPr="0005383F" w:rsidTr="0058085C">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proofErr w:type="spellStart"/>
            <w:r>
              <w:rPr>
                <w:rFonts w:ascii="Arial" w:hAnsi="Arial"/>
                <w:sz w:val="20"/>
                <w:szCs w:val="20"/>
              </w:rPr>
              <w:t>Efron</w:t>
            </w:r>
            <w:proofErr w:type="spellEnd"/>
            <w:r>
              <w:rPr>
                <w:rFonts w:ascii="Arial" w:hAnsi="Arial"/>
                <w:sz w:val="20"/>
                <w:szCs w:val="20"/>
              </w:rPr>
              <w:t xml:space="preserve"> Media Group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26</w:t>
            </w:r>
          </w:p>
        </w:tc>
      </w:tr>
      <w:tr w:rsidR="00727498" w:rsidRPr="0005383F" w:rsidTr="0058085C">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Elisabeth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153</w:t>
            </w:r>
          </w:p>
        </w:tc>
      </w:tr>
      <w:tr w:rsidR="00727498" w:rsidRPr="0005383F" w:rsidTr="0058085C">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Engineers Australia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38</w:t>
            </w:r>
          </w:p>
        </w:tc>
      </w:tr>
      <w:tr w:rsidR="00727498" w:rsidRPr="0005383F" w:rsidTr="0058085C">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Excellent Plating Works Pty Ltd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4</w:t>
            </w:r>
          </w:p>
        </w:tc>
      </w:tr>
      <w:tr w:rsidR="00727498" w:rsidRPr="0005383F" w:rsidTr="0058085C">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Federal Chamber of Automotive Industries (</w:t>
            </w:r>
            <w:proofErr w:type="spellStart"/>
            <w:r>
              <w:rPr>
                <w:rFonts w:ascii="Arial" w:hAnsi="Arial"/>
                <w:sz w:val="20"/>
                <w:szCs w:val="20"/>
              </w:rPr>
              <w:t>FCAI</w:t>
            </w:r>
            <w:proofErr w:type="spellEnd"/>
            <w:r>
              <w:rPr>
                <w:rFonts w:ascii="Arial" w:hAnsi="Arial"/>
                <w:sz w:val="20"/>
                <w:szCs w:val="20"/>
              </w:rPr>
              <w:t xml:space="preserve">)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30#</w:t>
            </w:r>
          </w:p>
        </w:tc>
      </w:tr>
      <w:tr w:rsidR="00727498" w:rsidRPr="0005383F" w:rsidTr="0058085C">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Federation of Automotive Products Manufacturers (</w:t>
            </w:r>
            <w:proofErr w:type="spellStart"/>
            <w:r>
              <w:rPr>
                <w:rFonts w:ascii="Arial" w:hAnsi="Arial"/>
                <w:sz w:val="20"/>
                <w:szCs w:val="20"/>
              </w:rPr>
              <w:t>FAPM</w:t>
            </w:r>
            <w:proofErr w:type="spellEnd"/>
            <w:r>
              <w:rPr>
                <w:rFonts w:ascii="Arial" w:hAnsi="Arial"/>
                <w:sz w:val="20"/>
                <w:szCs w:val="20"/>
              </w:rPr>
              <w:t>)</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69</w:t>
            </w:r>
          </w:p>
        </w:tc>
      </w:tr>
      <w:tr w:rsidR="00727498" w:rsidRPr="0005383F" w:rsidTr="0058085C">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proofErr w:type="spellStart"/>
            <w:r>
              <w:rPr>
                <w:rFonts w:ascii="Arial" w:hAnsi="Arial"/>
                <w:sz w:val="20"/>
                <w:szCs w:val="20"/>
              </w:rPr>
              <w:t>Firehock</w:t>
            </w:r>
            <w:proofErr w:type="spellEnd"/>
            <w:r>
              <w:rPr>
                <w:rFonts w:ascii="Arial" w:hAnsi="Arial"/>
                <w:sz w:val="20"/>
                <w:szCs w:val="20"/>
              </w:rPr>
              <w:t xml:space="preserve">, Andrea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149</w:t>
            </w:r>
          </w:p>
        </w:tc>
      </w:tr>
      <w:tr w:rsidR="00727498" w:rsidRPr="0005383F" w:rsidTr="0058085C">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Fitzgerald, John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183</w:t>
            </w:r>
          </w:p>
        </w:tc>
      </w:tr>
      <w:tr w:rsidR="00727498" w:rsidRPr="0005383F" w:rsidTr="0058085C">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Ford Motor Company of Australia Limited (Ford)</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65*</w:t>
            </w:r>
          </w:p>
        </w:tc>
      </w:tr>
      <w:tr w:rsidR="00727498" w:rsidRPr="0005383F" w:rsidTr="0058085C">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Fordyce, David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133</w:t>
            </w:r>
          </w:p>
        </w:tc>
      </w:tr>
      <w:tr w:rsidR="00727498" w:rsidRPr="0005383F" w:rsidTr="0058085C">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Frith, Matthew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214</w:t>
            </w:r>
          </w:p>
        </w:tc>
      </w:tr>
      <w:tr w:rsidR="00727498" w:rsidRPr="0005383F" w:rsidTr="0058085C">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proofErr w:type="spellStart"/>
            <w:r>
              <w:rPr>
                <w:rFonts w:ascii="Arial" w:hAnsi="Arial"/>
                <w:sz w:val="20"/>
                <w:szCs w:val="20"/>
              </w:rPr>
              <w:t>Futuris</w:t>
            </w:r>
            <w:proofErr w:type="spellEnd"/>
            <w:r>
              <w:rPr>
                <w:rFonts w:ascii="Arial" w:hAnsi="Arial"/>
                <w:sz w:val="20"/>
                <w:szCs w:val="20"/>
              </w:rPr>
              <w:t xml:space="preserve"> Automotive (Australia) Pty Ltd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9</w:t>
            </w:r>
          </w:p>
        </w:tc>
      </w:tr>
      <w:tr w:rsidR="00727498" w:rsidRPr="0005383F" w:rsidTr="0058085C">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Gas Energy Australia (</w:t>
            </w:r>
            <w:proofErr w:type="spellStart"/>
            <w:r>
              <w:rPr>
                <w:rFonts w:ascii="Arial" w:hAnsi="Arial"/>
                <w:sz w:val="20"/>
                <w:szCs w:val="20"/>
              </w:rPr>
              <w:t>GEA</w:t>
            </w:r>
            <w:proofErr w:type="spellEnd"/>
            <w:r>
              <w:rPr>
                <w:rFonts w:ascii="Arial" w:hAnsi="Arial"/>
                <w:sz w:val="20"/>
                <w:szCs w:val="20"/>
              </w:rPr>
              <w:t xml:space="preserve">) and Victorian Automotive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76</w:t>
            </w:r>
          </w:p>
        </w:tc>
      </w:tr>
      <w:tr w:rsidR="00727498" w:rsidTr="004A56C6">
        <w:tc>
          <w:tcPr>
            <w:tcW w:w="3791" w:type="pct"/>
            <w:shd w:val="clear" w:color="auto" w:fill="auto"/>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Geelong Manufacturing Council </w:t>
            </w:r>
          </w:p>
        </w:tc>
        <w:tc>
          <w:tcPr>
            <w:tcW w:w="1209" w:type="pct"/>
            <w:shd w:val="clear" w:color="auto" w:fill="auto"/>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24</w:t>
            </w:r>
          </w:p>
        </w:tc>
      </w:tr>
      <w:tr w:rsidR="00727498" w:rsidTr="002F70AF">
        <w:tc>
          <w:tcPr>
            <w:tcW w:w="3791" w:type="pct"/>
            <w:tcBorders>
              <w:bottom w:val="single" w:sz="6" w:space="0" w:color="auto"/>
            </w:tcBorders>
            <w:shd w:val="clear" w:color="auto" w:fill="auto"/>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Gilbert, Graham </w:t>
            </w:r>
          </w:p>
        </w:tc>
        <w:tc>
          <w:tcPr>
            <w:tcW w:w="1209" w:type="pct"/>
            <w:tcBorders>
              <w:bottom w:val="single" w:sz="6" w:space="0" w:color="auto"/>
            </w:tcBorders>
            <w:shd w:val="clear" w:color="auto" w:fill="auto"/>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226</w:t>
            </w:r>
          </w:p>
        </w:tc>
      </w:tr>
    </w:tbl>
    <w:p w:rsidR="00727498" w:rsidRPr="00355B74" w:rsidRDefault="00727498" w:rsidP="0058085C">
      <w:pPr>
        <w:pStyle w:val="Continued"/>
        <w:rPr>
          <w:b/>
        </w:rPr>
      </w:pPr>
      <w:r>
        <w:rPr>
          <w:rStyle w:val="NoteLabel"/>
          <w:b w:val="0"/>
        </w:rPr>
        <w:t>(</w:t>
      </w:r>
      <w:r w:rsidRPr="00355B74">
        <w:rPr>
          <w:rStyle w:val="NoteLabel"/>
          <w:b w:val="0"/>
        </w:rPr>
        <w:t>Continued next page</w:t>
      </w:r>
      <w:r>
        <w:rPr>
          <w:rStyle w:val="NoteLabel"/>
          <w:b w:val="0"/>
        </w:rPr>
        <w:t>)</w:t>
      </w:r>
    </w:p>
    <w:p w:rsidR="00727498" w:rsidRPr="003C13AD" w:rsidRDefault="00727498" w:rsidP="003C13AD">
      <w:pPr>
        <w:pStyle w:val="TableTitle"/>
      </w:pPr>
      <w:r w:rsidRPr="00DB73C0">
        <w:rPr>
          <w:b w:val="0"/>
        </w:rPr>
        <w:lastRenderedPageBreak/>
        <w:t xml:space="preserve">Table </w:t>
      </w:r>
      <w:proofErr w:type="spellStart"/>
      <w:r w:rsidRPr="00F67D68">
        <w:rPr>
          <w:b w:val="0"/>
        </w:rPr>
        <w:t>A.1</w:t>
      </w:r>
      <w:proofErr w:type="spellEnd"/>
      <w:r w:rsidRPr="003C13AD">
        <w:tab/>
      </w:r>
      <w:r w:rsidRPr="003C13AD">
        <w:rPr>
          <w:b w:val="0"/>
          <w:sz w:val="18"/>
        </w:rPr>
        <w:t>(</w:t>
      </w:r>
      <w:r>
        <w:rPr>
          <w:b w:val="0"/>
          <w:sz w:val="18"/>
        </w:rPr>
        <w:t>c</w:t>
      </w:r>
      <w:r w:rsidRPr="003C13AD">
        <w:rPr>
          <w:b w:val="0"/>
          <w:sz w:val="18"/>
        </w:rPr>
        <w:t xml:space="preserve">ontinued) </w:t>
      </w:r>
    </w:p>
    <w:tbl>
      <w:tblPr>
        <w:tblW w:w="5000" w:type="pct"/>
        <w:tblCellMar>
          <w:left w:w="0" w:type="dxa"/>
          <w:right w:w="0" w:type="dxa"/>
        </w:tblCellMar>
        <w:tblLook w:val="0000" w:firstRow="0" w:lastRow="0" w:firstColumn="0" w:lastColumn="0" w:noHBand="0" w:noVBand="0"/>
      </w:tblPr>
      <w:tblGrid>
        <w:gridCol w:w="6664"/>
        <w:gridCol w:w="2125"/>
      </w:tblGrid>
      <w:tr w:rsidR="00727498" w:rsidTr="003C13AD">
        <w:tc>
          <w:tcPr>
            <w:tcW w:w="3791" w:type="pct"/>
            <w:tcBorders>
              <w:top w:val="single" w:sz="6" w:space="0" w:color="auto"/>
              <w:bottom w:val="single" w:sz="6" w:space="0" w:color="auto"/>
            </w:tcBorders>
            <w:shd w:val="clear" w:color="auto" w:fill="auto"/>
          </w:tcPr>
          <w:p w:rsidR="00727498" w:rsidRDefault="00727498" w:rsidP="00F40FA3">
            <w:pPr>
              <w:pStyle w:val="TableColumnHeading"/>
              <w:spacing w:line="240" w:lineRule="exact"/>
              <w:jc w:val="left"/>
            </w:pPr>
            <w:r w:rsidRPr="0005383F">
              <w:t>Individual or organisation</w:t>
            </w:r>
          </w:p>
        </w:tc>
        <w:tc>
          <w:tcPr>
            <w:tcW w:w="1209" w:type="pct"/>
            <w:tcBorders>
              <w:top w:val="single" w:sz="6" w:space="0" w:color="auto"/>
              <w:bottom w:val="single" w:sz="6" w:space="0" w:color="auto"/>
            </w:tcBorders>
            <w:shd w:val="clear" w:color="auto" w:fill="auto"/>
          </w:tcPr>
          <w:p w:rsidR="00727498" w:rsidRDefault="00727498" w:rsidP="00F40FA3">
            <w:pPr>
              <w:pStyle w:val="TableColumnHeading"/>
              <w:spacing w:line="240" w:lineRule="exact"/>
              <w:ind w:right="0"/>
            </w:pPr>
            <w:r w:rsidRPr="0005383F">
              <w:t>Submission number</w:t>
            </w:r>
          </w:p>
        </w:tc>
      </w:tr>
      <w:tr w:rsidR="00727498" w:rsidRPr="0005383F" w:rsidTr="002F70AF">
        <w:tblPrEx>
          <w:tblLook w:val="04A0" w:firstRow="1" w:lastRow="0" w:firstColumn="1" w:lastColumn="0" w:noHBand="0" w:noVBand="1"/>
        </w:tblPrEx>
        <w:trPr>
          <w:trHeight w:val="20"/>
        </w:trPr>
        <w:tc>
          <w:tcPr>
            <w:tcW w:w="3791" w:type="pct"/>
            <w:tcBorders>
              <w:top w:val="single" w:sz="6" w:space="0" w:color="auto"/>
            </w:tcBorders>
          </w:tcPr>
          <w:p w:rsidR="00727498" w:rsidRPr="0005383F" w:rsidRDefault="00727498" w:rsidP="00F40FA3">
            <w:pPr>
              <w:keepNext/>
              <w:keepLines/>
              <w:spacing w:before="40" w:after="40" w:line="240" w:lineRule="exact"/>
              <w:ind w:left="6" w:right="113"/>
              <w:rPr>
                <w:rFonts w:ascii="Arial" w:hAnsi="Arial"/>
                <w:sz w:val="20"/>
                <w:szCs w:val="20"/>
              </w:rPr>
            </w:pPr>
            <w:r>
              <w:rPr>
                <w:rFonts w:ascii="Arial" w:hAnsi="Arial"/>
                <w:sz w:val="20"/>
                <w:szCs w:val="20"/>
              </w:rPr>
              <w:t xml:space="preserve">GM Holden Ltd </w:t>
            </w:r>
          </w:p>
        </w:tc>
        <w:tc>
          <w:tcPr>
            <w:tcW w:w="1209" w:type="pct"/>
            <w:tcBorders>
              <w:top w:val="single" w:sz="6" w:space="0" w:color="auto"/>
            </w:tcBorders>
          </w:tcPr>
          <w:p w:rsidR="00727498" w:rsidRPr="0005383F" w:rsidRDefault="00727498" w:rsidP="00F40FA3">
            <w:pPr>
              <w:keepNext/>
              <w:keepLines/>
              <w:spacing w:before="40" w:after="40" w:line="240" w:lineRule="exact"/>
              <w:ind w:left="6"/>
              <w:jc w:val="right"/>
              <w:rPr>
                <w:rFonts w:ascii="Arial" w:hAnsi="Arial"/>
                <w:sz w:val="20"/>
                <w:szCs w:val="20"/>
              </w:rPr>
            </w:pPr>
            <w:r>
              <w:rPr>
                <w:rFonts w:ascii="Arial" w:hAnsi="Arial"/>
                <w:sz w:val="20"/>
                <w:szCs w:val="20"/>
              </w:rPr>
              <w:t>58</w:t>
            </w:r>
          </w:p>
        </w:tc>
      </w:tr>
      <w:tr w:rsidR="00727498" w:rsidRPr="0005383F" w:rsidTr="003C13AD">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Government of South Australia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68</w:t>
            </w:r>
          </w:p>
        </w:tc>
      </w:tr>
      <w:tr w:rsidR="00727498" w:rsidRPr="0005383F" w:rsidTr="003C13AD">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proofErr w:type="spellStart"/>
            <w:r>
              <w:rPr>
                <w:rFonts w:ascii="Arial" w:hAnsi="Arial"/>
                <w:sz w:val="20"/>
                <w:szCs w:val="20"/>
              </w:rPr>
              <w:t>Gralton</w:t>
            </w:r>
            <w:proofErr w:type="spellEnd"/>
            <w:r>
              <w:rPr>
                <w:rFonts w:ascii="Arial" w:hAnsi="Arial"/>
                <w:sz w:val="20"/>
                <w:szCs w:val="20"/>
              </w:rPr>
              <w:t xml:space="preserve">, James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150</w:t>
            </w:r>
          </w:p>
        </w:tc>
      </w:tr>
      <w:tr w:rsidR="00727498" w:rsidRPr="0005383F" w:rsidTr="003C13AD">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Greg Marks Consultant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23</w:t>
            </w:r>
          </w:p>
        </w:tc>
      </w:tr>
      <w:tr w:rsidR="00727498" w:rsidRPr="0005383F" w:rsidTr="003C13AD">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Griffiths, Brett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216</w:t>
            </w:r>
          </w:p>
        </w:tc>
      </w:tr>
      <w:tr w:rsidR="00727498" w:rsidRPr="0005383F" w:rsidTr="003C13AD">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Grotty, Adam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187</w:t>
            </w:r>
          </w:p>
        </w:tc>
      </w:tr>
      <w:tr w:rsidR="00727498" w:rsidRPr="0005383F" w:rsidTr="003C13AD">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Haden, Andrew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136</w:t>
            </w:r>
          </w:p>
        </w:tc>
      </w:tr>
      <w:tr w:rsidR="00727498" w:rsidRPr="0005383F" w:rsidTr="003C13AD">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Hargreaves, Den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93</w:t>
            </w:r>
          </w:p>
        </w:tc>
      </w:tr>
      <w:tr w:rsidR="00727498" w:rsidRPr="0005383F" w:rsidTr="003C13AD">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proofErr w:type="spellStart"/>
            <w:r>
              <w:rPr>
                <w:rFonts w:ascii="Arial" w:hAnsi="Arial"/>
                <w:sz w:val="20"/>
                <w:szCs w:val="20"/>
              </w:rPr>
              <w:t>Harkness</w:t>
            </w:r>
            <w:proofErr w:type="spellEnd"/>
            <w:r>
              <w:rPr>
                <w:rFonts w:ascii="Arial" w:hAnsi="Arial"/>
                <w:sz w:val="20"/>
                <w:szCs w:val="20"/>
              </w:rPr>
              <w:t xml:space="preserve">, Peter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83</w:t>
            </w:r>
          </w:p>
        </w:tc>
      </w:tr>
      <w:tr w:rsidR="00727498" w:rsidRPr="0005383F" w:rsidTr="003C13AD">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Harness, Jennifer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200</w:t>
            </w:r>
          </w:p>
        </w:tc>
      </w:tr>
      <w:tr w:rsidR="00727498" w:rsidRPr="0005383F" w:rsidTr="003C13AD">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Harrison, Colin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223</w:t>
            </w:r>
          </w:p>
        </w:tc>
      </w:tr>
      <w:tr w:rsidR="00727498" w:rsidRPr="0005383F" w:rsidTr="003C13AD">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proofErr w:type="spellStart"/>
            <w:r>
              <w:rPr>
                <w:rFonts w:ascii="Arial" w:hAnsi="Arial"/>
                <w:sz w:val="20"/>
                <w:szCs w:val="20"/>
              </w:rPr>
              <w:t>Hatchard</w:t>
            </w:r>
            <w:proofErr w:type="spellEnd"/>
            <w:r>
              <w:rPr>
                <w:rFonts w:ascii="Arial" w:hAnsi="Arial"/>
                <w:sz w:val="20"/>
                <w:szCs w:val="20"/>
              </w:rPr>
              <w:t xml:space="preserve">, Kylie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115</w:t>
            </w:r>
          </w:p>
        </w:tc>
      </w:tr>
      <w:tr w:rsidR="00727498" w:rsidRPr="0005383F" w:rsidTr="003C13AD">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Healey, Earl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179</w:t>
            </w:r>
          </w:p>
        </w:tc>
      </w:tr>
      <w:tr w:rsidR="00727498" w:rsidRPr="0005383F" w:rsidTr="003C13AD">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proofErr w:type="spellStart"/>
            <w:r>
              <w:rPr>
                <w:rFonts w:ascii="Arial" w:hAnsi="Arial"/>
                <w:sz w:val="20"/>
                <w:szCs w:val="20"/>
              </w:rPr>
              <w:t>Hella</w:t>
            </w:r>
            <w:proofErr w:type="spellEnd"/>
            <w:r>
              <w:rPr>
                <w:rFonts w:ascii="Arial" w:hAnsi="Arial"/>
                <w:sz w:val="20"/>
                <w:szCs w:val="20"/>
              </w:rPr>
              <w:t xml:space="preserve"> Australia Pty Ltd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45</w:t>
            </w:r>
          </w:p>
        </w:tc>
      </w:tr>
      <w:tr w:rsidR="00727498" w:rsidRPr="0005383F" w:rsidTr="003C13AD">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proofErr w:type="spellStart"/>
            <w:r>
              <w:rPr>
                <w:rFonts w:ascii="Arial" w:hAnsi="Arial"/>
                <w:sz w:val="20"/>
                <w:szCs w:val="20"/>
              </w:rPr>
              <w:t>Heraud</w:t>
            </w:r>
            <w:proofErr w:type="spellEnd"/>
            <w:r>
              <w:rPr>
                <w:rFonts w:ascii="Arial" w:hAnsi="Arial"/>
                <w:sz w:val="20"/>
                <w:szCs w:val="20"/>
              </w:rPr>
              <w:t xml:space="preserve">, Peter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148</w:t>
            </w:r>
          </w:p>
        </w:tc>
      </w:tr>
      <w:tr w:rsidR="00727498" w:rsidRPr="0005383F" w:rsidTr="003C13AD">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proofErr w:type="spellStart"/>
            <w:r>
              <w:rPr>
                <w:rFonts w:ascii="Arial" w:hAnsi="Arial"/>
                <w:sz w:val="20"/>
                <w:szCs w:val="20"/>
              </w:rPr>
              <w:t>Hewetson</w:t>
            </w:r>
            <w:proofErr w:type="spellEnd"/>
            <w:r>
              <w:rPr>
                <w:rFonts w:ascii="Arial" w:hAnsi="Arial"/>
                <w:sz w:val="20"/>
                <w:szCs w:val="20"/>
              </w:rPr>
              <w:t xml:space="preserve">, Mark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105</w:t>
            </w:r>
          </w:p>
        </w:tc>
      </w:tr>
      <w:tr w:rsidR="00727498" w:rsidRPr="0005383F" w:rsidTr="003C13AD">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Hill OAM, Helga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140</w:t>
            </w:r>
          </w:p>
        </w:tc>
      </w:tr>
      <w:tr w:rsidR="00727498" w:rsidRPr="0005383F" w:rsidTr="003C13AD">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Hill, Kent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132</w:t>
            </w:r>
          </w:p>
        </w:tc>
      </w:tr>
      <w:tr w:rsidR="00727498" w:rsidRPr="0005383F" w:rsidTr="003C13AD">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Hofmann, Michael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114</w:t>
            </w:r>
          </w:p>
        </w:tc>
      </w:tr>
      <w:tr w:rsidR="00727498" w:rsidRPr="0005383F" w:rsidTr="003C13AD">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Hooper, Brad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98</w:t>
            </w:r>
          </w:p>
        </w:tc>
      </w:tr>
      <w:tr w:rsidR="00727498" w:rsidRPr="0005383F" w:rsidTr="003C13AD">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Houston OAM, Rev James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89</w:t>
            </w:r>
          </w:p>
        </w:tc>
      </w:tr>
      <w:tr w:rsidR="00727498" w:rsidRPr="0005383F" w:rsidTr="003C13AD">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Hunter, Patrick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92</w:t>
            </w:r>
          </w:p>
        </w:tc>
      </w:tr>
      <w:tr w:rsidR="00727498" w:rsidRPr="0005383F" w:rsidTr="003C13AD">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Hutchinson, John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141</w:t>
            </w:r>
          </w:p>
        </w:tc>
      </w:tr>
      <w:tr w:rsidR="00727498" w:rsidRPr="0005383F" w:rsidTr="003C13AD">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Hutchison, Robert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184</w:t>
            </w:r>
          </w:p>
        </w:tc>
      </w:tr>
      <w:tr w:rsidR="00727498" w:rsidRPr="0005383F" w:rsidTr="003C13AD">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proofErr w:type="spellStart"/>
            <w:r>
              <w:rPr>
                <w:rFonts w:ascii="Arial" w:hAnsi="Arial"/>
                <w:sz w:val="20"/>
                <w:szCs w:val="20"/>
              </w:rPr>
              <w:t>Jeffress</w:t>
            </w:r>
            <w:proofErr w:type="spellEnd"/>
            <w:r>
              <w:rPr>
                <w:rFonts w:ascii="Arial" w:hAnsi="Arial"/>
                <w:sz w:val="20"/>
                <w:szCs w:val="20"/>
              </w:rPr>
              <w:t xml:space="preserve">, Ross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188</w:t>
            </w:r>
          </w:p>
        </w:tc>
      </w:tr>
      <w:tr w:rsidR="00727498" w:rsidRPr="0005383F" w:rsidTr="003C13AD">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proofErr w:type="spellStart"/>
            <w:r>
              <w:rPr>
                <w:rFonts w:ascii="Arial" w:hAnsi="Arial"/>
                <w:sz w:val="20"/>
                <w:szCs w:val="20"/>
              </w:rPr>
              <w:t>Juric</w:t>
            </w:r>
            <w:proofErr w:type="spellEnd"/>
            <w:r>
              <w:rPr>
                <w:rFonts w:ascii="Arial" w:hAnsi="Arial"/>
                <w:sz w:val="20"/>
                <w:szCs w:val="20"/>
              </w:rPr>
              <w:t xml:space="preserve">, Ivan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135</w:t>
            </w:r>
          </w:p>
        </w:tc>
      </w:tr>
      <w:tr w:rsidR="00727498" w:rsidRPr="0005383F" w:rsidTr="003C13AD">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Kerr, David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75</w:t>
            </w:r>
          </w:p>
        </w:tc>
      </w:tr>
      <w:tr w:rsidR="00727498" w:rsidRPr="0005383F" w:rsidTr="003C13AD">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Kerrigan, Wayne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116</w:t>
            </w:r>
          </w:p>
        </w:tc>
      </w:tr>
      <w:tr w:rsidR="00727498" w:rsidRPr="0005383F" w:rsidTr="003C13AD">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proofErr w:type="spellStart"/>
            <w:r>
              <w:rPr>
                <w:rFonts w:ascii="Arial" w:hAnsi="Arial"/>
                <w:sz w:val="20"/>
                <w:szCs w:val="20"/>
              </w:rPr>
              <w:t>Kiremitciyan</w:t>
            </w:r>
            <w:proofErr w:type="spellEnd"/>
            <w:r>
              <w:rPr>
                <w:rFonts w:ascii="Arial" w:hAnsi="Arial"/>
                <w:sz w:val="20"/>
                <w:szCs w:val="20"/>
              </w:rPr>
              <w:t xml:space="preserve">, Murat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6</w:t>
            </w:r>
          </w:p>
        </w:tc>
      </w:tr>
      <w:tr w:rsidR="00727498" w:rsidRPr="0005383F" w:rsidTr="003C13AD">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proofErr w:type="spellStart"/>
            <w:r>
              <w:rPr>
                <w:rFonts w:ascii="Arial" w:hAnsi="Arial"/>
                <w:sz w:val="20"/>
                <w:szCs w:val="20"/>
              </w:rPr>
              <w:t>Kooiman</w:t>
            </w:r>
            <w:proofErr w:type="spellEnd"/>
            <w:r>
              <w:rPr>
                <w:rFonts w:ascii="Arial" w:hAnsi="Arial"/>
                <w:sz w:val="20"/>
                <w:szCs w:val="20"/>
              </w:rPr>
              <w:t xml:space="preserve">, Lee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203</w:t>
            </w:r>
          </w:p>
        </w:tc>
      </w:tr>
      <w:tr w:rsidR="00727498" w:rsidRPr="0005383F" w:rsidTr="003C13AD">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Law, Valerie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191</w:t>
            </w:r>
          </w:p>
        </w:tc>
      </w:tr>
      <w:tr w:rsidR="00727498" w:rsidRPr="0005383F" w:rsidTr="003C13AD">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Le </w:t>
            </w:r>
            <w:proofErr w:type="spellStart"/>
            <w:r>
              <w:rPr>
                <w:rFonts w:ascii="Arial" w:hAnsi="Arial"/>
                <w:sz w:val="20"/>
                <w:szCs w:val="20"/>
              </w:rPr>
              <w:t>Clerc</w:t>
            </w:r>
            <w:proofErr w:type="spellEnd"/>
            <w:r>
              <w:rPr>
                <w:rFonts w:ascii="Arial" w:hAnsi="Arial"/>
                <w:sz w:val="20"/>
                <w:szCs w:val="20"/>
              </w:rPr>
              <w:t xml:space="preserve">, Tony and Anne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165</w:t>
            </w:r>
          </w:p>
        </w:tc>
      </w:tr>
      <w:tr w:rsidR="00727498" w:rsidRPr="0005383F" w:rsidTr="003C13AD">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Leblanc, Nicholas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146</w:t>
            </w:r>
          </w:p>
        </w:tc>
      </w:tr>
      <w:tr w:rsidR="00727498" w:rsidRPr="0005383F" w:rsidTr="003C13AD">
        <w:tblPrEx>
          <w:tblLook w:val="04A0" w:firstRow="1" w:lastRow="0" w:firstColumn="1" w:lastColumn="0" w:noHBand="0" w:noVBand="1"/>
        </w:tblPrEx>
        <w:trPr>
          <w:trHeight w:val="20"/>
        </w:trPr>
        <w:tc>
          <w:tcPr>
            <w:tcW w:w="3791" w:type="pct"/>
          </w:tcPr>
          <w:p w:rsidR="00727498"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Levis, Mike </w:t>
            </w:r>
          </w:p>
        </w:tc>
        <w:tc>
          <w:tcPr>
            <w:tcW w:w="1209" w:type="pct"/>
          </w:tcPr>
          <w:p w:rsidR="00727498" w:rsidRDefault="00727498" w:rsidP="00F40FA3">
            <w:pPr>
              <w:keepNext/>
              <w:keepLines/>
              <w:spacing w:after="40" w:line="240" w:lineRule="exact"/>
              <w:ind w:left="6"/>
              <w:jc w:val="right"/>
              <w:rPr>
                <w:rFonts w:ascii="Arial" w:hAnsi="Arial"/>
                <w:sz w:val="20"/>
                <w:szCs w:val="20"/>
              </w:rPr>
            </w:pPr>
            <w:r>
              <w:rPr>
                <w:rFonts w:ascii="Arial" w:hAnsi="Arial"/>
                <w:sz w:val="20"/>
                <w:szCs w:val="20"/>
              </w:rPr>
              <w:t>129</w:t>
            </w:r>
          </w:p>
        </w:tc>
      </w:tr>
      <w:tr w:rsidR="00727498" w:rsidRPr="0005383F" w:rsidTr="003C13AD">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Lim, Joseph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175</w:t>
            </w:r>
          </w:p>
        </w:tc>
      </w:tr>
      <w:tr w:rsidR="00727498" w:rsidRPr="0005383F" w:rsidTr="003C13AD">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proofErr w:type="spellStart"/>
            <w:r>
              <w:rPr>
                <w:rFonts w:ascii="Arial" w:hAnsi="Arial"/>
                <w:sz w:val="20"/>
                <w:szCs w:val="20"/>
              </w:rPr>
              <w:t>Lubin</w:t>
            </w:r>
            <w:proofErr w:type="spellEnd"/>
            <w:r>
              <w:rPr>
                <w:rFonts w:ascii="Arial" w:hAnsi="Arial"/>
                <w:sz w:val="20"/>
                <w:szCs w:val="20"/>
              </w:rPr>
              <w:t xml:space="preserve">, Jean-Jacques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145</w:t>
            </w:r>
          </w:p>
        </w:tc>
      </w:tr>
      <w:tr w:rsidR="00727498" w:rsidRPr="0005383F" w:rsidTr="003C13AD">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Lyons, John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12</w:t>
            </w:r>
          </w:p>
        </w:tc>
      </w:tr>
      <w:tr w:rsidR="00727498" w:rsidRPr="0005383F" w:rsidTr="003C13AD">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Macintosh, Stuart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113</w:t>
            </w:r>
          </w:p>
        </w:tc>
      </w:tr>
      <w:tr w:rsidR="00727498" w:rsidRPr="0005383F" w:rsidTr="003C13AD">
        <w:tblPrEx>
          <w:tblLook w:val="04A0" w:firstRow="1" w:lastRow="0" w:firstColumn="1" w:lastColumn="0" w:noHBand="0" w:noVBand="1"/>
        </w:tblPrEx>
        <w:trPr>
          <w:trHeight w:val="20"/>
        </w:trPr>
        <w:tc>
          <w:tcPr>
            <w:tcW w:w="3791" w:type="pct"/>
          </w:tcPr>
          <w:p w:rsidR="00727498" w:rsidRPr="0005383F" w:rsidRDefault="00CD7410" w:rsidP="00F40FA3">
            <w:pPr>
              <w:keepNext/>
              <w:keepLines/>
              <w:spacing w:after="40" w:line="240" w:lineRule="exact"/>
              <w:ind w:left="6" w:right="113"/>
              <w:rPr>
                <w:rFonts w:ascii="Arial" w:hAnsi="Arial"/>
                <w:sz w:val="20"/>
                <w:szCs w:val="20"/>
              </w:rPr>
            </w:pPr>
            <w:r>
              <w:rPr>
                <w:rFonts w:ascii="Arial" w:hAnsi="Arial"/>
                <w:sz w:val="20"/>
                <w:szCs w:val="20"/>
              </w:rPr>
              <w:t>M</w:t>
            </w:r>
            <w:r w:rsidR="00727498">
              <w:rPr>
                <w:rFonts w:ascii="Arial" w:hAnsi="Arial"/>
                <w:sz w:val="20"/>
                <w:szCs w:val="20"/>
              </w:rPr>
              <w:t xml:space="preserve">cLean Management Consultants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57</w:t>
            </w:r>
          </w:p>
        </w:tc>
      </w:tr>
      <w:tr w:rsidR="00727498" w:rsidRPr="0005383F" w:rsidTr="003C13AD">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Maguire, Timothy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156</w:t>
            </w:r>
          </w:p>
        </w:tc>
      </w:tr>
      <w:tr w:rsidR="00727498" w:rsidRPr="0005383F" w:rsidTr="003C13AD">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Mainstream Party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225</w:t>
            </w:r>
          </w:p>
        </w:tc>
      </w:tr>
      <w:tr w:rsidR="00727498" w:rsidTr="003C13AD">
        <w:tc>
          <w:tcPr>
            <w:tcW w:w="3791" w:type="pct"/>
            <w:shd w:val="clear" w:color="auto" w:fill="auto"/>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Manning, Phil </w:t>
            </w:r>
          </w:p>
        </w:tc>
        <w:tc>
          <w:tcPr>
            <w:tcW w:w="1209" w:type="pct"/>
            <w:shd w:val="clear" w:color="auto" w:fill="auto"/>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95</w:t>
            </w:r>
          </w:p>
        </w:tc>
      </w:tr>
      <w:tr w:rsidR="00727498" w:rsidTr="002F70AF">
        <w:tc>
          <w:tcPr>
            <w:tcW w:w="3791" w:type="pct"/>
            <w:tcBorders>
              <w:bottom w:val="single" w:sz="6" w:space="0" w:color="auto"/>
            </w:tcBorders>
            <w:shd w:val="clear" w:color="auto" w:fill="auto"/>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Manufacturing Focus </w:t>
            </w:r>
          </w:p>
        </w:tc>
        <w:tc>
          <w:tcPr>
            <w:tcW w:w="1209" w:type="pct"/>
            <w:tcBorders>
              <w:bottom w:val="single" w:sz="6" w:space="0" w:color="auto"/>
            </w:tcBorders>
            <w:shd w:val="clear" w:color="auto" w:fill="auto"/>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33</w:t>
            </w:r>
          </w:p>
        </w:tc>
      </w:tr>
    </w:tbl>
    <w:p w:rsidR="00727498" w:rsidRDefault="00727498" w:rsidP="00DB73C0">
      <w:pPr>
        <w:pStyle w:val="Continued"/>
      </w:pPr>
      <w:r>
        <w:t xml:space="preserve">(Continued next page) </w:t>
      </w:r>
    </w:p>
    <w:p w:rsidR="00727498" w:rsidRDefault="00727498" w:rsidP="00C1448C">
      <w:pPr>
        <w:pStyle w:val="TableTitle"/>
      </w:pPr>
      <w:r w:rsidRPr="00C1448C">
        <w:rPr>
          <w:b w:val="0"/>
        </w:rPr>
        <w:lastRenderedPageBreak/>
        <w:t xml:space="preserve">Table </w:t>
      </w:r>
      <w:proofErr w:type="spellStart"/>
      <w:r w:rsidRPr="00F67D68">
        <w:rPr>
          <w:b w:val="0"/>
        </w:rPr>
        <w:t>A.1</w:t>
      </w:r>
      <w:proofErr w:type="spellEnd"/>
      <w:r w:rsidRPr="00C1448C">
        <w:rPr>
          <w:b w:val="0"/>
        </w:rPr>
        <w:tab/>
      </w:r>
      <w:r w:rsidRPr="00C1448C">
        <w:rPr>
          <w:b w:val="0"/>
          <w:sz w:val="18"/>
        </w:rPr>
        <w:t>(</w:t>
      </w:r>
      <w:r>
        <w:rPr>
          <w:b w:val="0"/>
          <w:sz w:val="18"/>
        </w:rPr>
        <w:t>c</w:t>
      </w:r>
      <w:r w:rsidRPr="00C1448C">
        <w:rPr>
          <w:b w:val="0"/>
          <w:sz w:val="18"/>
        </w:rPr>
        <w:t xml:space="preserve">ontinued) </w:t>
      </w:r>
    </w:p>
    <w:tbl>
      <w:tblPr>
        <w:tblW w:w="5000" w:type="pct"/>
        <w:tblCellMar>
          <w:left w:w="0" w:type="dxa"/>
          <w:right w:w="0" w:type="dxa"/>
        </w:tblCellMar>
        <w:tblLook w:val="0000" w:firstRow="0" w:lastRow="0" w:firstColumn="0" w:lastColumn="0" w:noHBand="0" w:noVBand="0"/>
      </w:tblPr>
      <w:tblGrid>
        <w:gridCol w:w="6664"/>
        <w:gridCol w:w="2125"/>
      </w:tblGrid>
      <w:tr w:rsidR="00727498" w:rsidTr="004A56C6">
        <w:tc>
          <w:tcPr>
            <w:tcW w:w="3791" w:type="pct"/>
            <w:tcBorders>
              <w:top w:val="single" w:sz="6" w:space="0" w:color="auto"/>
              <w:bottom w:val="single" w:sz="6" w:space="0" w:color="auto"/>
            </w:tcBorders>
            <w:shd w:val="clear" w:color="auto" w:fill="auto"/>
          </w:tcPr>
          <w:p w:rsidR="00727498" w:rsidRDefault="00727498" w:rsidP="00F40FA3">
            <w:pPr>
              <w:pStyle w:val="TableColumnHeading"/>
              <w:spacing w:line="240" w:lineRule="exact"/>
              <w:jc w:val="left"/>
            </w:pPr>
            <w:r w:rsidRPr="0005383F">
              <w:t>Individual or organisation</w:t>
            </w:r>
          </w:p>
        </w:tc>
        <w:tc>
          <w:tcPr>
            <w:tcW w:w="1209" w:type="pct"/>
            <w:tcBorders>
              <w:top w:val="single" w:sz="6" w:space="0" w:color="auto"/>
              <w:bottom w:val="single" w:sz="6" w:space="0" w:color="auto"/>
            </w:tcBorders>
            <w:shd w:val="clear" w:color="auto" w:fill="auto"/>
          </w:tcPr>
          <w:p w:rsidR="00727498" w:rsidRDefault="00727498" w:rsidP="00F40FA3">
            <w:pPr>
              <w:pStyle w:val="TableColumnHeading"/>
              <w:spacing w:line="240" w:lineRule="exact"/>
              <w:ind w:right="0"/>
            </w:pPr>
            <w:r w:rsidRPr="0005383F">
              <w:t>Submission number</w:t>
            </w:r>
          </w:p>
        </w:tc>
      </w:tr>
      <w:tr w:rsidR="00727498" w:rsidRPr="0005383F" w:rsidTr="002F70AF">
        <w:tblPrEx>
          <w:tblLook w:val="04A0" w:firstRow="1" w:lastRow="0" w:firstColumn="1" w:lastColumn="0" w:noHBand="0" w:noVBand="1"/>
        </w:tblPrEx>
        <w:trPr>
          <w:trHeight w:val="20"/>
        </w:trPr>
        <w:tc>
          <w:tcPr>
            <w:tcW w:w="3791" w:type="pct"/>
            <w:tcBorders>
              <w:top w:val="single" w:sz="6" w:space="0" w:color="auto"/>
            </w:tcBorders>
          </w:tcPr>
          <w:p w:rsidR="00727498" w:rsidRPr="0005383F" w:rsidRDefault="00727498" w:rsidP="00F40FA3">
            <w:pPr>
              <w:keepNext/>
              <w:keepLines/>
              <w:spacing w:before="40" w:after="40" w:line="240" w:lineRule="exact"/>
              <w:ind w:left="6" w:right="113"/>
              <w:rPr>
                <w:rFonts w:ascii="Arial" w:hAnsi="Arial"/>
                <w:sz w:val="20"/>
                <w:szCs w:val="20"/>
              </w:rPr>
            </w:pPr>
            <w:proofErr w:type="spellStart"/>
            <w:r>
              <w:rPr>
                <w:rFonts w:ascii="Arial" w:hAnsi="Arial"/>
                <w:sz w:val="20"/>
                <w:szCs w:val="20"/>
              </w:rPr>
              <w:t>Marguin</w:t>
            </w:r>
            <w:proofErr w:type="spellEnd"/>
            <w:r>
              <w:rPr>
                <w:rFonts w:ascii="Arial" w:hAnsi="Arial"/>
                <w:sz w:val="20"/>
                <w:szCs w:val="20"/>
              </w:rPr>
              <w:t xml:space="preserve">, Ariel </w:t>
            </w:r>
          </w:p>
        </w:tc>
        <w:tc>
          <w:tcPr>
            <w:tcW w:w="1209" w:type="pct"/>
            <w:tcBorders>
              <w:top w:val="single" w:sz="6" w:space="0" w:color="auto"/>
            </w:tcBorders>
          </w:tcPr>
          <w:p w:rsidR="00727498" w:rsidRPr="0005383F" w:rsidRDefault="00727498" w:rsidP="00F40FA3">
            <w:pPr>
              <w:keepNext/>
              <w:keepLines/>
              <w:spacing w:before="40" w:after="40" w:line="240" w:lineRule="exact"/>
              <w:ind w:left="6"/>
              <w:jc w:val="right"/>
              <w:rPr>
                <w:rFonts w:ascii="Arial" w:hAnsi="Arial"/>
                <w:sz w:val="20"/>
                <w:szCs w:val="20"/>
              </w:rPr>
            </w:pPr>
            <w:r>
              <w:rPr>
                <w:rFonts w:ascii="Arial" w:hAnsi="Arial"/>
                <w:sz w:val="20"/>
                <w:szCs w:val="20"/>
              </w:rPr>
              <w:t>159</w:t>
            </w:r>
          </w:p>
        </w:tc>
      </w:tr>
      <w:tr w:rsidR="00727498" w:rsidRPr="0005383F" w:rsidTr="00E846CE">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proofErr w:type="spellStart"/>
            <w:r>
              <w:rPr>
                <w:rFonts w:ascii="Arial" w:hAnsi="Arial"/>
                <w:sz w:val="20"/>
                <w:szCs w:val="20"/>
              </w:rPr>
              <w:t>Mascull</w:t>
            </w:r>
            <w:proofErr w:type="spellEnd"/>
            <w:r>
              <w:rPr>
                <w:rFonts w:ascii="Arial" w:hAnsi="Arial"/>
                <w:sz w:val="20"/>
                <w:szCs w:val="20"/>
              </w:rPr>
              <w:t xml:space="preserve">, Troy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171</w:t>
            </w:r>
          </w:p>
        </w:tc>
      </w:tr>
      <w:tr w:rsidR="00727498" w:rsidRPr="0005383F" w:rsidTr="00E846CE">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Masson, Rod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190</w:t>
            </w:r>
          </w:p>
        </w:tc>
      </w:tr>
      <w:tr w:rsidR="00727498" w:rsidRPr="0005383F" w:rsidTr="00E846CE">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Matthews, Roy P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79</w:t>
            </w:r>
          </w:p>
        </w:tc>
      </w:tr>
      <w:tr w:rsidR="00727498" w:rsidRPr="0005383F" w:rsidTr="00E846CE">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May, Barrie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211</w:t>
            </w:r>
          </w:p>
        </w:tc>
      </w:tr>
      <w:tr w:rsidR="00727498" w:rsidRPr="0005383F" w:rsidTr="00E846CE">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McLachlan, Daniel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100</w:t>
            </w:r>
          </w:p>
        </w:tc>
      </w:tr>
      <w:tr w:rsidR="00727498" w:rsidRPr="0005383F" w:rsidTr="00E846CE">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McLean, Wayne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151</w:t>
            </w:r>
          </w:p>
        </w:tc>
      </w:tr>
      <w:tr w:rsidR="00727498" w:rsidRPr="0005383F" w:rsidTr="00E846CE">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McLeish, Amelia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143</w:t>
            </w:r>
          </w:p>
        </w:tc>
      </w:tr>
      <w:tr w:rsidR="00727498" w:rsidRPr="0005383F" w:rsidTr="00E846CE">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proofErr w:type="spellStart"/>
            <w:r>
              <w:rPr>
                <w:rFonts w:ascii="Arial" w:hAnsi="Arial"/>
                <w:sz w:val="20"/>
                <w:szCs w:val="20"/>
              </w:rPr>
              <w:t>Merridew</w:t>
            </w:r>
            <w:proofErr w:type="spellEnd"/>
            <w:r>
              <w:rPr>
                <w:rFonts w:ascii="Arial" w:hAnsi="Arial"/>
                <w:sz w:val="20"/>
                <w:szCs w:val="20"/>
              </w:rPr>
              <w:t xml:space="preserve">, Christopher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80</w:t>
            </w:r>
          </w:p>
        </w:tc>
      </w:tr>
      <w:tr w:rsidR="00727498" w:rsidRPr="0005383F" w:rsidTr="00E846CE">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Meyers, Janis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199</w:t>
            </w:r>
          </w:p>
        </w:tc>
      </w:tr>
      <w:tr w:rsidR="00727498" w:rsidRPr="0005383F" w:rsidTr="00E846CE">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MHG Asia Pacific Pty Ltd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27</w:t>
            </w:r>
          </w:p>
        </w:tc>
      </w:tr>
      <w:tr w:rsidR="00727498" w:rsidRPr="0005383F" w:rsidTr="00E846CE">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Miller, Lee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173</w:t>
            </w:r>
          </w:p>
        </w:tc>
      </w:tr>
      <w:tr w:rsidR="00727498" w:rsidRPr="0005383F" w:rsidTr="00E846CE">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proofErr w:type="spellStart"/>
            <w:r>
              <w:rPr>
                <w:rFonts w:ascii="Arial" w:hAnsi="Arial"/>
                <w:sz w:val="20"/>
                <w:szCs w:val="20"/>
              </w:rPr>
              <w:t>Mortimore</w:t>
            </w:r>
            <w:proofErr w:type="spellEnd"/>
            <w:r>
              <w:rPr>
                <w:rFonts w:ascii="Arial" w:hAnsi="Arial"/>
                <w:sz w:val="20"/>
                <w:szCs w:val="20"/>
              </w:rPr>
              <w:t xml:space="preserve">, Anna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64</w:t>
            </w:r>
          </w:p>
        </w:tc>
      </w:tr>
      <w:tr w:rsidR="00727498" w:rsidRPr="0005383F" w:rsidTr="00E846CE">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proofErr w:type="spellStart"/>
            <w:r>
              <w:rPr>
                <w:rFonts w:ascii="Arial" w:hAnsi="Arial"/>
                <w:sz w:val="20"/>
                <w:szCs w:val="20"/>
              </w:rPr>
              <w:t>MTM</w:t>
            </w:r>
            <w:proofErr w:type="spellEnd"/>
            <w:r>
              <w:rPr>
                <w:rFonts w:ascii="Arial" w:hAnsi="Arial"/>
                <w:sz w:val="20"/>
                <w:szCs w:val="20"/>
              </w:rPr>
              <w:t xml:space="preserve"> Pty Ltd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29</w:t>
            </w:r>
          </w:p>
        </w:tc>
      </w:tr>
      <w:tr w:rsidR="00727498" w:rsidRPr="0005383F" w:rsidTr="00E846CE">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Murphy, Peter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139</w:t>
            </w:r>
          </w:p>
        </w:tc>
      </w:tr>
      <w:tr w:rsidR="00727498" w:rsidRPr="0005383F" w:rsidTr="00E846CE">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Murray, Luke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104</w:t>
            </w:r>
          </w:p>
        </w:tc>
      </w:tr>
      <w:tr w:rsidR="00727498" w:rsidRPr="0005383F" w:rsidTr="00E846CE">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proofErr w:type="spellStart"/>
            <w:r>
              <w:rPr>
                <w:rFonts w:ascii="Arial" w:hAnsi="Arial"/>
                <w:sz w:val="20"/>
                <w:szCs w:val="20"/>
              </w:rPr>
              <w:t>Naumovski</w:t>
            </w:r>
            <w:proofErr w:type="spellEnd"/>
            <w:r>
              <w:rPr>
                <w:rFonts w:ascii="Arial" w:hAnsi="Arial"/>
                <w:sz w:val="20"/>
                <w:szCs w:val="20"/>
              </w:rPr>
              <w:t xml:space="preserve">, George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163</w:t>
            </w:r>
          </w:p>
        </w:tc>
      </w:tr>
      <w:tr w:rsidR="00727498" w:rsidRPr="0005383F" w:rsidTr="00E846CE">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Nesbitt, Michael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122</w:t>
            </w:r>
          </w:p>
        </w:tc>
      </w:tr>
      <w:tr w:rsidR="00727498" w:rsidRPr="0005383F" w:rsidTr="00E846CE">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PACCAR Australia Pty Ltd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61</w:t>
            </w:r>
          </w:p>
        </w:tc>
      </w:tr>
      <w:tr w:rsidR="00727498" w:rsidRPr="0005383F" w:rsidTr="00E846CE">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Palm Products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56</w:t>
            </w:r>
          </w:p>
        </w:tc>
      </w:tr>
      <w:tr w:rsidR="00727498" w:rsidRPr="0005383F" w:rsidTr="00E846CE">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proofErr w:type="spellStart"/>
            <w:r>
              <w:rPr>
                <w:rFonts w:ascii="Arial" w:hAnsi="Arial"/>
                <w:sz w:val="20"/>
                <w:szCs w:val="20"/>
              </w:rPr>
              <w:t>Papanicolaou</w:t>
            </w:r>
            <w:proofErr w:type="spellEnd"/>
            <w:r>
              <w:rPr>
                <w:rFonts w:ascii="Arial" w:hAnsi="Arial"/>
                <w:sz w:val="20"/>
                <w:szCs w:val="20"/>
              </w:rPr>
              <w:t xml:space="preserve">, Dorothy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84</w:t>
            </w:r>
          </w:p>
        </w:tc>
      </w:tr>
      <w:tr w:rsidR="00727498" w:rsidRPr="0005383F" w:rsidTr="00E846CE">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Patrick, Brad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125</w:t>
            </w:r>
          </w:p>
        </w:tc>
      </w:tr>
      <w:tr w:rsidR="00727498" w:rsidRPr="0005383F" w:rsidTr="00E846CE">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Pedersen, Jacqui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88</w:t>
            </w:r>
          </w:p>
        </w:tc>
      </w:tr>
      <w:tr w:rsidR="00727498" w:rsidRPr="0005383F" w:rsidTr="00E846CE">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proofErr w:type="spellStart"/>
            <w:r>
              <w:rPr>
                <w:rFonts w:ascii="Arial" w:hAnsi="Arial"/>
                <w:sz w:val="20"/>
                <w:szCs w:val="20"/>
              </w:rPr>
              <w:t>Peperkamp</w:t>
            </w:r>
            <w:proofErr w:type="spellEnd"/>
            <w:r>
              <w:rPr>
                <w:rFonts w:ascii="Arial" w:hAnsi="Arial"/>
                <w:sz w:val="20"/>
                <w:szCs w:val="20"/>
              </w:rPr>
              <w:t xml:space="preserve">, Ben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103</w:t>
            </w:r>
          </w:p>
        </w:tc>
      </w:tr>
      <w:tr w:rsidR="00727498" w:rsidRPr="0005383F" w:rsidTr="00E846CE">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Perez, Luis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164</w:t>
            </w:r>
          </w:p>
        </w:tc>
      </w:tr>
      <w:tr w:rsidR="00727498" w:rsidRPr="0005383F" w:rsidTr="00E846CE">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Pitcher, Shirley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87</w:t>
            </w:r>
          </w:p>
        </w:tc>
      </w:tr>
      <w:tr w:rsidR="00727498" w:rsidRPr="0005383F" w:rsidTr="00E846CE">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Pitt, Lincoln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111</w:t>
            </w:r>
          </w:p>
        </w:tc>
      </w:tr>
      <w:tr w:rsidR="00727498" w:rsidRPr="0005383F" w:rsidTr="00E846CE">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Plastic Products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35</w:t>
            </w:r>
          </w:p>
        </w:tc>
      </w:tr>
      <w:tr w:rsidR="00727498" w:rsidRPr="0005383F" w:rsidTr="00E846CE">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proofErr w:type="spellStart"/>
            <w:r>
              <w:rPr>
                <w:rFonts w:ascii="Arial" w:hAnsi="Arial"/>
                <w:sz w:val="20"/>
                <w:szCs w:val="20"/>
              </w:rPr>
              <w:t>Podger</w:t>
            </w:r>
            <w:proofErr w:type="spellEnd"/>
            <w:r>
              <w:rPr>
                <w:rFonts w:ascii="Arial" w:hAnsi="Arial"/>
                <w:sz w:val="20"/>
                <w:szCs w:val="20"/>
              </w:rPr>
              <w:t xml:space="preserve">, Geoff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193</w:t>
            </w:r>
          </w:p>
        </w:tc>
      </w:tr>
      <w:tr w:rsidR="00727498" w:rsidRPr="0005383F" w:rsidTr="00E846CE">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proofErr w:type="spellStart"/>
            <w:r>
              <w:rPr>
                <w:rFonts w:ascii="Arial" w:hAnsi="Arial"/>
                <w:sz w:val="20"/>
                <w:szCs w:val="20"/>
              </w:rPr>
              <w:t>PolyPacific</w:t>
            </w:r>
            <w:proofErr w:type="spellEnd"/>
            <w:r>
              <w:rPr>
                <w:rFonts w:ascii="Arial" w:hAnsi="Arial"/>
                <w:sz w:val="20"/>
                <w:szCs w:val="20"/>
              </w:rPr>
              <w:t xml:space="preserve"> Pty Ltd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44</w:t>
            </w:r>
          </w:p>
        </w:tc>
      </w:tr>
      <w:tr w:rsidR="00727498" w:rsidRPr="0005383F" w:rsidTr="00E846CE">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Porter, Matthew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101</w:t>
            </w:r>
          </w:p>
        </w:tc>
      </w:tr>
      <w:tr w:rsidR="00727498" w:rsidRPr="0005383F" w:rsidTr="00E846CE">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Powell, Anthony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217</w:t>
            </w:r>
          </w:p>
        </w:tc>
      </w:tr>
      <w:tr w:rsidR="00727498" w:rsidRPr="0005383F" w:rsidTr="00E846CE">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PPB Advisory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55</w:t>
            </w:r>
          </w:p>
        </w:tc>
      </w:tr>
      <w:tr w:rsidR="00727498" w:rsidRPr="0005383F" w:rsidTr="00E846CE">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Professionals Australia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22</w:t>
            </w:r>
          </w:p>
        </w:tc>
      </w:tr>
      <w:tr w:rsidR="00727498" w:rsidRPr="0005383F" w:rsidTr="00E846CE">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Quinlan, Alan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174</w:t>
            </w:r>
          </w:p>
        </w:tc>
      </w:tr>
      <w:tr w:rsidR="00727498" w:rsidRPr="0005383F" w:rsidTr="00E846CE">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proofErr w:type="spellStart"/>
            <w:r>
              <w:rPr>
                <w:rFonts w:ascii="Arial" w:hAnsi="Arial"/>
                <w:sz w:val="20"/>
                <w:szCs w:val="20"/>
              </w:rPr>
              <w:t>Rebbeck</w:t>
            </w:r>
            <w:proofErr w:type="spellEnd"/>
            <w:r>
              <w:rPr>
                <w:rFonts w:ascii="Arial" w:hAnsi="Arial"/>
                <w:sz w:val="20"/>
                <w:szCs w:val="20"/>
              </w:rPr>
              <w:t xml:space="preserve">, Adam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158</w:t>
            </w:r>
          </w:p>
        </w:tc>
      </w:tr>
      <w:tr w:rsidR="00727498" w:rsidRPr="0005383F" w:rsidTr="00E846CE">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Reed, Karl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47, 138</w:t>
            </w:r>
          </w:p>
        </w:tc>
      </w:tr>
      <w:tr w:rsidR="00727498" w:rsidRPr="0005383F" w:rsidTr="00E846CE">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Reynolds, Mark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108</w:t>
            </w:r>
          </w:p>
        </w:tc>
      </w:tr>
      <w:tr w:rsidR="00727498" w:rsidRPr="0005383F" w:rsidTr="00E846CE">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proofErr w:type="spellStart"/>
            <w:r>
              <w:rPr>
                <w:rFonts w:ascii="Arial" w:hAnsi="Arial"/>
                <w:sz w:val="20"/>
                <w:szCs w:val="20"/>
              </w:rPr>
              <w:t>Richardt</w:t>
            </w:r>
            <w:proofErr w:type="spellEnd"/>
            <w:r>
              <w:rPr>
                <w:rFonts w:ascii="Arial" w:hAnsi="Arial"/>
                <w:sz w:val="20"/>
                <w:szCs w:val="20"/>
              </w:rPr>
              <w:t xml:space="preserve">, Kevin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170</w:t>
            </w:r>
          </w:p>
        </w:tc>
      </w:tr>
      <w:tr w:rsidR="00727498" w:rsidRPr="0005383F" w:rsidTr="00E846CE">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Robert </w:t>
            </w:r>
            <w:proofErr w:type="spellStart"/>
            <w:r>
              <w:rPr>
                <w:rFonts w:ascii="Arial" w:hAnsi="Arial"/>
                <w:sz w:val="20"/>
                <w:szCs w:val="20"/>
              </w:rPr>
              <w:t>Bosche</w:t>
            </w:r>
            <w:proofErr w:type="spellEnd"/>
            <w:r>
              <w:rPr>
                <w:rFonts w:ascii="Arial" w:hAnsi="Arial"/>
                <w:sz w:val="20"/>
                <w:szCs w:val="20"/>
              </w:rPr>
              <w:t xml:space="preserve"> (Australia) Pty Ltd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78*</w:t>
            </w:r>
          </w:p>
        </w:tc>
      </w:tr>
      <w:tr w:rsidR="00727498" w:rsidRPr="0005383F" w:rsidTr="00E846CE">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Robins, Allan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14</w:t>
            </w:r>
          </w:p>
        </w:tc>
      </w:tr>
      <w:tr w:rsidR="00727498" w:rsidRPr="0005383F" w:rsidTr="002F70AF">
        <w:tblPrEx>
          <w:tblLook w:val="04A0" w:firstRow="1" w:lastRow="0" w:firstColumn="1" w:lastColumn="0" w:noHBand="0" w:noVBand="1"/>
        </w:tblPrEx>
        <w:trPr>
          <w:trHeight w:val="20"/>
        </w:trPr>
        <w:tc>
          <w:tcPr>
            <w:tcW w:w="3791" w:type="pct"/>
            <w:tcBorders>
              <w:bottom w:val="single" w:sz="6" w:space="0" w:color="auto"/>
            </w:tcBorders>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Robinson, Gertrude </w:t>
            </w:r>
          </w:p>
        </w:tc>
        <w:tc>
          <w:tcPr>
            <w:tcW w:w="1209" w:type="pct"/>
            <w:tcBorders>
              <w:bottom w:val="single" w:sz="6" w:space="0" w:color="auto"/>
            </w:tcBorders>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131</w:t>
            </w:r>
          </w:p>
        </w:tc>
      </w:tr>
    </w:tbl>
    <w:p w:rsidR="00727498" w:rsidRDefault="00727498" w:rsidP="00E846CE">
      <w:pPr>
        <w:pStyle w:val="Continued"/>
      </w:pPr>
      <w:r>
        <w:t xml:space="preserve">(Continued next page) </w:t>
      </w:r>
    </w:p>
    <w:p w:rsidR="00727498" w:rsidRDefault="00727498" w:rsidP="00E846CE">
      <w:pPr>
        <w:pStyle w:val="TableTitle"/>
      </w:pPr>
      <w:r w:rsidRPr="00C1448C">
        <w:rPr>
          <w:b w:val="0"/>
        </w:rPr>
        <w:lastRenderedPageBreak/>
        <w:t xml:space="preserve">Table </w:t>
      </w:r>
      <w:proofErr w:type="spellStart"/>
      <w:r w:rsidRPr="00F67D68">
        <w:rPr>
          <w:b w:val="0"/>
        </w:rPr>
        <w:t>A.1</w:t>
      </w:r>
      <w:proofErr w:type="spellEnd"/>
      <w:r w:rsidRPr="00C1448C">
        <w:rPr>
          <w:b w:val="0"/>
        </w:rPr>
        <w:tab/>
      </w:r>
      <w:r w:rsidRPr="00C1448C">
        <w:rPr>
          <w:b w:val="0"/>
          <w:sz w:val="18"/>
        </w:rPr>
        <w:t>(</w:t>
      </w:r>
      <w:r>
        <w:rPr>
          <w:b w:val="0"/>
          <w:sz w:val="18"/>
        </w:rPr>
        <w:t>c</w:t>
      </w:r>
      <w:r w:rsidRPr="00C1448C">
        <w:rPr>
          <w:b w:val="0"/>
          <w:sz w:val="18"/>
        </w:rPr>
        <w:t xml:space="preserve">ontinued) </w:t>
      </w:r>
    </w:p>
    <w:tbl>
      <w:tblPr>
        <w:tblW w:w="5000" w:type="pct"/>
        <w:tblCellMar>
          <w:left w:w="0" w:type="dxa"/>
          <w:right w:w="0" w:type="dxa"/>
        </w:tblCellMar>
        <w:tblLook w:val="0000" w:firstRow="0" w:lastRow="0" w:firstColumn="0" w:lastColumn="0" w:noHBand="0" w:noVBand="0"/>
      </w:tblPr>
      <w:tblGrid>
        <w:gridCol w:w="6664"/>
        <w:gridCol w:w="2125"/>
      </w:tblGrid>
      <w:tr w:rsidR="00727498" w:rsidTr="00E846CE">
        <w:tc>
          <w:tcPr>
            <w:tcW w:w="3791" w:type="pct"/>
            <w:tcBorders>
              <w:top w:val="single" w:sz="6" w:space="0" w:color="auto"/>
              <w:bottom w:val="single" w:sz="6" w:space="0" w:color="auto"/>
            </w:tcBorders>
            <w:shd w:val="clear" w:color="auto" w:fill="auto"/>
          </w:tcPr>
          <w:p w:rsidR="00727498" w:rsidRDefault="00727498" w:rsidP="00F40FA3">
            <w:pPr>
              <w:pStyle w:val="TableColumnHeading"/>
              <w:spacing w:line="240" w:lineRule="exact"/>
              <w:jc w:val="left"/>
            </w:pPr>
            <w:r w:rsidRPr="0005383F">
              <w:t>Individual or organisation</w:t>
            </w:r>
          </w:p>
        </w:tc>
        <w:tc>
          <w:tcPr>
            <w:tcW w:w="1209" w:type="pct"/>
            <w:tcBorders>
              <w:top w:val="single" w:sz="6" w:space="0" w:color="auto"/>
              <w:bottom w:val="single" w:sz="6" w:space="0" w:color="auto"/>
            </w:tcBorders>
            <w:shd w:val="clear" w:color="auto" w:fill="auto"/>
          </w:tcPr>
          <w:p w:rsidR="00727498" w:rsidRDefault="00727498" w:rsidP="00F40FA3">
            <w:pPr>
              <w:pStyle w:val="TableColumnHeading"/>
              <w:spacing w:line="240" w:lineRule="exact"/>
              <w:ind w:right="0"/>
            </w:pPr>
            <w:r w:rsidRPr="0005383F">
              <w:t>Submission number</w:t>
            </w:r>
          </w:p>
        </w:tc>
      </w:tr>
      <w:tr w:rsidR="00727498" w:rsidRPr="0005383F" w:rsidTr="002F70AF">
        <w:tblPrEx>
          <w:tblLook w:val="04A0" w:firstRow="1" w:lastRow="0" w:firstColumn="1" w:lastColumn="0" w:noHBand="0" w:noVBand="1"/>
        </w:tblPrEx>
        <w:trPr>
          <w:trHeight w:val="20"/>
        </w:trPr>
        <w:tc>
          <w:tcPr>
            <w:tcW w:w="3791" w:type="pct"/>
            <w:tcBorders>
              <w:top w:val="single" w:sz="6" w:space="0" w:color="auto"/>
            </w:tcBorders>
          </w:tcPr>
          <w:p w:rsidR="00727498" w:rsidRPr="0005383F" w:rsidRDefault="00727498" w:rsidP="00F40FA3">
            <w:pPr>
              <w:keepNext/>
              <w:keepLines/>
              <w:spacing w:before="40" w:after="40" w:line="240" w:lineRule="exact"/>
              <w:ind w:left="6" w:right="113"/>
              <w:rPr>
                <w:rFonts w:ascii="Arial" w:hAnsi="Arial"/>
                <w:sz w:val="20"/>
                <w:szCs w:val="20"/>
              </w:rPr>
            </w:pPr>
            <w:proofErr w:type="spellStart"/>
            <w:r>
              <w:rPr>
                <w:rFonts w:ascii="Arial" w:hAnsi="Arial"/>
                <w:sz w:val="20"/>
                <w:szCs w:val="20"/>
              </w:rPr>
              <w:t>ROH</w:t>
            </w:r>
            <w:proofErr w:type="spellEnd"/>
            <w:r>
              <w:rPr>
                <w:rFonts w:ascii="Arial" w:hAnsi="Arial"/>
                <w:sz w:val="20"/>
                <w:szCs w:val="20"/>
              </w:rPr>
              <w:t xml:space="preserve"> Automotive </w:t>
            </w:r>
          </w:p>
        </w:tc>
        <w:tc>
          <w:tcPr>
            <w:tcW w:w="1209" w:type="pct"/>
            <w:tcBorders>
              <w:top w:val="single" w:sz="6" w:space="0" w:color="auto"/>
            </w:tcBorders>
          </w:tcPr>
          <w:p w:rsidR="00727498" w:rsidRPr="0005383F" w:rsidRDefault="00727498" w:rsidP="00F40FA3">
            <w:pPr>
              <w:keepNext/>
              <w:keepLines/>
              <w:spacing w:before="40" w:after="40" w:line="240" w:lineRule="exact"/>
              <w:ind w:left="6"/>
              <w:jc w:val="right"/>
              <w:rPr>
                <w:rFonts w:ascii="Arial" w:hAnsi="Arial"/>
                <w:sz w:val="20"/>
                <w:szCs w:val="20"/>
              </w:rPr>
            </w:pPr>
            <w:r>
              <w:rPr>
                <w:rFonts w:ascii="Arial" w:hAnsi="Arial"/>
                <w:sz w:val="20"/>
                <w:szCs w:val="20"/>
              </w:rPr>
              <w:t>49</w:t>
            </w:r>
          </w:p>
        </w:tc>
      </w:tr>
      <w:tr w:rsidR="00727498" w:rsidRPr="0005383F" w:rsidTr="006253AD">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Rutherford, Lesley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123</w:t>
            </w:r>
          </w:p>
        </w:tc>
      </w:tr>
      <w:tr w:rsidR="00727498" w:rsidRPr="0005383F" w:rsidTr="006253AD">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proofErr w:type="spellStart"/>
            <w:r>
              <w:rPr>
                <w:rFonts w:ascii="Arial" w:hAnsi="Arial"/>
                <w:sz w:val="20"/>
                <w:szCs w:val="20"/>
              </w:rPr>
              <w:t>Sardelis</w:t>
            </w:r>
            <w:proofErr w:type="spellEnd"/>
            <w:r>
              <w:rPr>
                <w:rFonts w:ascii="Arial" w:hAnsi="Arial"/>
                <w:sz w:val="20"/>
                <w:szCs w:val="20"/>
              </w:rPr>
              <w:t xml:space="preserve">, Bill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86</w:t>
            </w:r>
          </w:p>
        </w:tc>
      </w:tr>
      <w:tr w:rsidR="00727498" w:rsidRPr="0005383F" w:rsidTr="006253AD">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Schafer, Bruce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161</w:t>
            </w:r>
          </w:p>
        </w:tc>
      </w:tr>
      <w:tr w:rsidR="00727498" w:rsidRPr="0005383F" w:rsidTr="006253AD">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proofErr w:type="spellStart"/>
            <w:r>
              <w:rPr>
                <w:rFonts w:ascii="Arial" w:hAnsi="Arial"/>
                <w:sz w:val="20"/>
                <w:szCs w:val="20"/>
              </w:rPr>
              <w:t>Seccombe</w:t>
            </w:r>
            <w:proofErr w:type="spellEnd"/>
            <w:r>
              <w:rPr>
                <w:rFonts w:ascii="Arial" w:hAnsi="Arial"/>
                <w:sz w:val="20"/>
                <w:szCs w:val="20"/>
              </w:rPr>
              <w:t xml:space="preserve">, Roger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176</w:t>
            </w:r>
          </w:p>
        </w:tc>
      </w:tr>
      <w:tr w:rsidR="00727498" w:rsidRPr="0005383F" w:rsidTr="006253AD">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Seymour, Michael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107</w:t>
            </w:r>
          </w:p>
        </w:tc>
      </w:tr>
      <w:tr w:rsidR="00727498" w:rsidRPr="0005383F" w:rsidTr="006253AD">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Shearer, Sandy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155</w:t>
            </w:r>
          </w:p>
        </w:tc>
      </w:tr>
      <w:tr w:rsidR="00727498" w:rsidRPr="0005383F" w:rsidTr="006253AD">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Sherwin, Erik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117</w:t>
            </w:r>
          </w:p>
        </w:tc>
      </w:tr>
      <w:tr w:rsidR="00727498" w:rsidRPr="0005383F" w:rsidTr="006253AD">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Shields, Glenn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192</w:t>
            </w:r>
          </w:p>
        </w:tc>
      </w:tr>
      <w:tr w:rsidR="00727498" w:rsidRPr="0005383F" w:rsidTr="006253AD">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proofErr w:type="spellStart"/>
            <w:r>
              <w:rPr>
                <w:rFonts w:ascii="Arial" w:hAnsi="Arial"/>
                <w:sz w:val="20"/>
                <w:szCs w:val="20"/>
              </w:rPr>
              <w:t>Sipma</w:t>
            </w:r>
            <w:proofErr w:type="spellEnd"/>
            <w:r>
              <w:rPr>
                <w:rFonts w:ascii="Arial" w:hAnsi="Arial"/>
                <w:sz w:val="20"/>
                <w:szCs w:val="20"/>
              </w:rPr>
              <w:t xml:space="preserve">, Christine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195</w:t>
            </w:r>
          </w:p>
        </w:tc>
      </w:tr>
      <w:tr w:rsidR="00727498" w:rsidRPr="0005383F" w:rsidTr="006253AD">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Smith, John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37</w:t>
            </w:r>
          </w:p>
        </w:tc>
      </w:tr>
      <w:tr w:rsidR="00727498" w:rsidRPr="0005383F" w:rsidTr="006253AD">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Smith, Mark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81#</w:t>
            </w:r>
          </w:p>
        </w:tc>
      </w:tr>
      <w:tr w:rsidR="00727498" w:rsidRPr="0005383F" w:rsidTr="006253AD">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proofErr w:type="spellStart"/>
            <w:r>
              <w:rPr>
                <w:rFonts w:ascii="Arial" w:hAnsi="Arial"/>
                <w:sz w:val="20"/>
                <w:szCs w:val="20"/>
              </w:rPr>
              <w:t>SMR</w:t>
            </w:r>
            <w:proofErr w:type="spellEnd"/>
            <w:r>
              <w:rPr>
                <w:rFonts w:ascii="Arial" w:hAnsi="Arial"/>
                <w:sz w:val="20"/>
                <w:szCs w:val="20"/>
              </w:rPr>
              <w:t xml:space="preserve"> Automotive Australia Pty Ltd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51</w:t>
            </w:r>
          </w:p>
        </w:tc>
      </w:tr>
      <w:tr w:rsidR="00727498" w:rsidRPr="0005383F" w:rsidTr="006253AD">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Society of Automotive Engineers Australasia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43</w:t>
            </w:r>
          </w:p>
        </w:tc>
      </w:tr>
      <w:tr w:rsidR="00727498" w:rsidRPr="0005383F" w:rsidTr="006253AD">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Spencer, </w:t>
            </w:r>
            <w:proofErr w:type="spellStart"/>
            <w:r>
              <w:rPr>
                <w:rFonts w:ascii="Arial" w:hAnsi="Arial"/>
                <w:sz w:val="20"/>
                <w:szCs w:val="20"/>
              </w:rPr>
              <w:t>Gwenda</w:t>
            </w:r>
            <w:proofErr w:type="spellEnd"/>
            <w:r>
              <w:rPr>
                <w:rFonts w:ascii="Arial" w:hAnsi="Arial"/>
                <w:sz w:val="20"/>
                <w:szCs w:val="20"/>
              </w:rPr>
              <w:t xml:space="preserve">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189</w:t>
            </w:r>
          </w:p>
        </w:tc>
      </w:tr>
      <w:tr w:rsidR="00727498" w:rsidRPr="0005383F" w:rsidTr="006253AD">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Spittle, Joan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97</w:t>
            </w:r>
          </w:p>
        </w:tc>
      </w:tr>
      <w:tr w:rsidR="00727498" w:rsidRPr="0005383F" w:rsidTr="006253AD">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Stephens, Shaun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152</w:t>
            </w:r>
          </w:p>
        </w:tc>
      </w:tr>
      <w:tr w:rsidR="00727498" w:rsidRPr="0005383F" w:rsidTr="006253AD">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Stokes, Kristen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137</w:t>
            </w:r>
          </w:p>
        </w:tc>
      </w:tr>
      <w:tr w:rsidR="00727498" w:rsidRPr="0005383F" w:rsidTr="006253AD">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proofErr w:type="spellStart"/>
            <w:r>
              <w:rPr>
                <w:rFonts w:ascii="Arial" w:hAnsi="Arial"/>
                <w:sz w:val="20"/>
                <w:szCs w:val="20"/>
              </w:rPr>
              <w:t>Storrar</w:t>
            </w:r>
            <w:proofErr w:type="spellEnd"/>
            <w:r>
              <w:rPr>
                <w:rFonts w:ascii="Arial" w:hAnsi="Arial"/>
                <w:sz w:val="20"/>
                <w:szCs w:val="20"/>
              </w:rPr>
              <w:t xml:space="preserve">, Brian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142</w:t>
            </w:r>
          </w:p>
        </w:tc>
      </w:tr>
      <w:tr w:rsidR="00727498" w:rsidRPr="0005383F" w:rsidTr="006253AD">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proofErr w:type="spellStart"/>
            <w:r>
              <w:rPr>
                <w:rFonts w:ascii="Arial" w:hAnsi="Arial"/>
                <w:sz w:val="20"/>
                <w:szCs w:val="20"/>
              </w:rPr>
              <w:t>Struben</w:t>
            </w:r>
            <w:proofErr w:type="spellEnd"/>
            <w:r>
              <w:rPr>
                <w:rFonts w:ascii="Arial" w:hAnsi="Arial"/>
                <w:sz w:val="20"/>
                <w:szCs w:val="20"/>
              </w:rPr>
              <w:t xml:space="preserve">, Colin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162</w:t>
            </w:r>
          </w:p>
        </w:tc>
      </w:tr>
      <w:tr w:rsidR="00727498" w:rsidRPr="0005383F" w:rsidTr="006253AD">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Sutherland, Heidi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169</w:t>
            </w:r>
          </w:p>
        </w:tc>
      </w:tr>
      <w:tr w:rsidR="00727498" w:rsidRPr="0005383F" w:rsidTr="006253AD">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Swain, Sam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208</w:t>
            </w:r>
          </w:p>
        </w:tc>
      </w:tr>
      <w:tr w:rsidR="00727498" w:rsidRPr="0005383F" w:rsidTr="006253AD">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Swift, Suzanne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121</w:t>
            </w:r>
          </w:p>
        </w:tc>
      </w:tr>
      <w:tr w:rsidR="00727498" w:rsidRPr="0005383F" w:rsidTr="006253AD">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Swinburne University of Technology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36</w:t>
            </w:r>
          </w:p>
        </w:tc>
      </w:tr>
      <w:tr w:rsidR="00727498" w:rsidRPr="0005383F" w:rsidTr="006253AD">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Thomas, Graham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96</w:t>
            </w:r>
          </w:p>
        </w:tc>
      </w:tr>
      <w:tr w:rsidR="00727498" w:rsidRPr="0005383F" w:rsidTr="006253AD">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Thurgood, Peter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201</w:t>
            </w:r>
          </w:p>
        </w:tc>
      </w:tr>
      <w:tr w:rsidR="00727498" w:rsidRPr="0005383F" w:rsidTr="006253AD">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TI Automotive Australia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62</w:t>
            </w:r>
          </w:p>
        </w:tc>
      </w:tr>
      <w:tr w:rsidR="00727498" w:rsidRPr="0005383F" w:rsidTr="006253AD">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proofErr w:type="spellStart"/>
            <w:r>
              <w:rPr>
                <w:rFonts w:ascii="Arial" w:hAnsi="Arial"/>
                <w:sz w:val="20"/>
                <w:szCs w:val="20"/>
              </w:rPr>
              <w:t>Tomcar</w:t>
            </w:r>
            <w:proofErr w:type="spellEnd"/>
            <w:r>
              <w:rPr>
                <w:rFonts w:ascii="Arial" w:hAnsi="Arial"/>
                <w:sz w:val="20"/>
                <w:szCs w:val="20"/>
              </w:rPr>
              <w:t xml:space="preserve"> Australia Pty Ltd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32</w:t>
            </w:r>
          </w:p>
        </w:tc>
      </w:tr>
      <w:tr w:rsidR="00727498" w:rsidRPr="0005383F" w:rsidTr="006253AD">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Toner, Phillip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34</w:t>
            </w:r>
          </w:p>
        </w:tc>
      </w:tr>
      <w:tr w:rsidR="00727498" w:rsidRPr="0005383F" w:rsidTr="006253AD">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Toyota Motor Corporation Australia Limited (Toyota)</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31</w:t>
            </w:r>
          </w:p>
        </w:tc>
      </w:tr>
      <w:tr w:rsidR="00727498" w:rsidRPr="0005383F" w:rsidTr="006253AD">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proofErr w:type="spellStart"/>
            <w:r>
              <w:rPr>
                <w:rFonts w:ascii="Arial" w:hAnsi="Arial"/>
                <w:sz w:val="20"/>
                <w:szCs w:val="20"/>
              </w:rPr>
              <w:t>Trevethan</w:t>
            </w:r>
            <w:proofErr w:type="spellEnd"/>
            <w:r>
              <w:rPr>
                <w:rFonts w:ascii="Arial" w:hAnsi="Arial"/>
                <w:sz w:val="20"/>
                <w:szCs w:val="20"/>
              </w:rPr>
              <w:t xml:space="preserve">, Howard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128</w:t>
            </w:r>
          </w:p>
        </w:tc>
      </w:tr>
      <w:tr w:rsidR="00727498" w:rsidRPr="0005383F" w:rsidTr="006253AD">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proofErr w:type="spellStart"/>
            <w:r>
              <w:rPr>
                <w:rFonts w:ascii="Arial" w:hAnsi="Arial"/>
                <w:sz w:val="20"/>
                <w:szCs w:val="20"/>
              </w:rPr>
              <w:t>Trindall</w:t>
            </w:r>
            <w:proofErr w:type="spellEnd"/>
            <w:r>
              <w:rPr>
                <w:rFonts w:ascii="Arial" w:hAnsi="Arial"/>
                <w:sz w:val="20"/>
                <w:szCs w:val="20"/>
              </w:rPr>
              <w:t xml:space="preserve">, Lyn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181</w:t>
            </w:r>
          </w:p>
        </w:tc>
      </w:tr>
      <w:tr w:rsidR="00727498" w:rsidRPr="0005383F" w:rsidTr="006253AD">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Tucker, </w:t>
            </w:r>
            <w:proofErr w:type="spellStart"/>
            <w:r>
              <w:rPr>
                <w:rFonts w:ascii="Arial" w:hAnsi="Arial"/>
                <w:sz w:val="20"/>
                <w:szCs w:val="20"/>
              </w:rPr>
              <w:t>Lorrella</w:t>
            </w:r>
            <w:proofErr w:type="spellEnd"/>
            <w:r>
              <w:rPr>
                <w:rFonts w:ascii="Arial" w:hAnsi="Arial"/>
                <w:sz w:val="20"/>
                <w:szCs w:val="20"/>
              </w:rPr>
              <w:t xml:space="preserve">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219</w:t>
            </w:r>
          </w:p>
        </w:tc>
      </w:tr>
      <w:tr w:rsidR="00727498" w:rsidRPr="0005383F" w:rsidTr="006253AD">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Turner, Peter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118</w:t>
            </w:r>
          </w:p>
        </w:tc>
      </w:tr>
      <w:tr w:rsidR="00727498" w:rsidRPr="0005383F" w:rsidTr="006253AD">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proofErr w:type="spellStart"/>
            <w:r>
              <w:rPr>
                <w:rFonts w:ascii="Arial" w:hAnsi="Arial"/>
                <w:sz w:val="20"/>
                <w:szCs w:val="20"/>
              </w:rPr>
              <w:t>TXM</w:t>
            </w:r>
            <w:proofErr w:type="spellEnd"/>
            <w:r>
              <w:rPr>
                <w:rFonts w:ascii="Arial" w:hAnsi="Arial"/>
                <w:sz w:val="20"/>
                <w:szCs w:val="20"/>
              </w:rPr>
              <w:t xml:space="preserve"> Lean Solutions Pty Ltd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48</w:t>
            </w:r>
          </w:p>
        </w:tc>
      </w:tr>
      <w:tr w:rsidR="00727498" w:rsidRPr="0005383F" w:rsidTr="006253AD">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proofErr w:type="spellStart"/>
            <w:r>
              <w:rPr>
                <w:rFonts w:ascii="Arial" w:hAnsi="Arial"/>
                <w:sz w:val="20"/>
                <w:szCs w:val="20"/>
              </w:rPr>
              <w:t>VCAMM</w:t>
            </w:r>
            <w:proofErr w:type="spellEnd"/>
            <w:r>
              <w:rPr>
                <w:rFonts w:ascii="Arial" w:hAnsi="Arial"/>
                <w:sz w:val="20"/>
                <w:szCs w:val="20"/>
              </w:rPr>
              <w:t xml:space="preserve"> Ltd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19</w:t>
            </w:r>
          </w:p>
        </w:tc>
      </w:tr>
      <w:tr w:rsidR="00727498" w:rsidRPr="0005383F" w:rsidTr="006253AD">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Victorian Government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70#</w:t>
            </w:r>
          </w:p>
        </w:tc>
      </w:tr>
      <w:tr w:rsidR="00727498" w:rsidRPr="0005383F" w:rsidTr="006253AD">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proofErr w:type="spellStart"/>
            <w:r>
              <w:rPr>
                <w:rFonts w:ascii="Arial" w:hAnsi="Arial"/>
                <w:sz w:val="20"/>
                <w:szCs w:val="20"/>
              </w:rPr>
              <w:t>Votano</w:t>
            </w:r>
            <w:proofErr w:type="spellEnd"/>
            <w:r>
              <w:rPr>
                <w:rFonts w:ascii="Arial" w:hAnsi="Arial"/>
                <w:sz w:val="20"/>
                <w:szCs w:val="20"/>
              </w:rPr>
              <w:t xml:space="preserve">, Maria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91</w:t>
            </w:r>
          </w:p>
        </w:tc>
      </w:tr>
      <w:tr w:rsidR="00727498" w:rsidRPr="0005383F" w:rsidTr="006253AD">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proofErr w:type="spellStart"/>
            <w:r>
              <w:rPr>
                <w:rFonts w:ascii="Arial" w:hAnsi="Arial"/>
                <w:sz w:val="20"/>
                <w:szCs w:val="20"/>
              </w:rPr>
              <w:t>Warrilow</w:t>
            </w:r>
            <w:proofErr w:type="spellEnd"/>
            <w:r>
              <w:rPr>
                <w:rFonts w:ascii="Arial" w:hAnsi="Arial"/>
                <w:sz w:val="20"/>
                <w:szCs w:val="20"/>
              </w:rPr>
              <w:t xml:space="preserve">, Andrew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85</w:t>
            </w:r>
          </w:p>
        </w:tc>
      </w:tr>
      <w:tr w:rsidR="00727498" w:rsidRPr="0005383F" w:rsidTr="006253AD">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Watson, Max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94</w:t>
            </w:r>
          </w:p>
        </w:tc>
      </w:tr>
      <w:tr w:rsidR="00727498" w:rsidRPr="0005383F" w:rsidTr="006253AD">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Watson, Wayne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218</w:t>
            </w:r>
          </w:p>
        </w:tc>
      </w:tr>
      <w:tr w:rsidR="00727498" w:rsidRPr="0005383F" w:rsidTr="006253AD">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Wheatley, Irene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102</w:t>
            </w:r>
          </w:p>
        </w:tc>
      </w:tr>
      <w:tr w:rsidR="00727498" w:rsidRPr="0005383F" w:rsidTr="002F70AF">
        <w:tblPrEx>
          <w:tblLook w:val="04A0" w:firstRow="1" w:lastRow="0" w:firstColumn="1" w:lastColumn="0" w:noHBand="0" w:noVBand="1"/>
        </w:tblPrEx>
        <w:trPr>
          <w:trHeight w:val="20"/>
        </w:trPr>
        <w:tc>
          <w:tcPr>
            <w:tcW w:w="3791" w:type="pct"/>
            <w:tcBorders>
              <w:bottom w:val="single" w:sz="6" w:space="0" w:color="auto"/>
            </w:tcBorders>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White, Garry Martin </w:t>
            </w:r>
          </w:p>
        </w:tc>
        <w:tc>
          <w:tcPr>
            <w:tcW w:w="1209" w:type="pct"/>
            <w:tcBorders>
              <w:bottom w:val="single" w:sz="6" w:space="0" w:color="auto"/>
            </w:tcBorders>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w:t>
            </w:r>
          </w:p>
        </w:tc>
      </w:tr>
    </w:tbl>
    <w:p w:rsidR="00727498" w:rsidRDefault="00727498" w:rsidP="00E846CE">
      <w:pPr>
        <w:pStyle w:val="Continued"/>
      </w:pPr>
      <w:r>
        <w:t xml:space="preserve">(Continued next page) </w:t>
      </w:r>
    </w:p>
    <w:p w:rsidR="00727498" w:rsidRDefault="00727498" w:rsidP="00E846CE">
      <w:pPr>
        <w:pStyle w:val="TableTitle"/>
      </w:pPr>
      <w:r w:rsidRPr="00C1448C">
        <w:rPr>
          <w:b w:val="0"/>
        </w:rPr>
        <w:lastRenderedPageBreak/>
        <w:t xml:space="preserve">Table </w:t>
      </w:r>
      <w:proofErr w:type="spellStart"/>
      <w:r w:rsidRPr="00F67D68">
        <w:rPr>
          <w:b w:val="0"/>
        </w:rPr>
        <w:t>A.1</w:t>
      </w:r>
      <w:proofErr w:type="spellEnd"/>
      <w:r>
        <w:tab/>
      </w:r>
      <w:r w:rsidRPr="00C1448C">
        <w:rPr>
          <w:b w:val="0"/>
          <w:sz w:val="18"/>
        </w:rPr>
        <w:t>(</w:t>
      </w:r>
      <w:r>
        <w:rPr>
          <w:b w:val="0"/>
          <w:sz w:val="18"/>
        </w:rPr>
        <w:t>c</w:t>
      </w:r>
      <w:r w:rsidRPr="00C1448C">
        <w:rPr>
          <w:b w:val="0"/>
          <w:sz w:val="18"/>
        </w:rPr>
        <w:t xml:space="preserve">ontinued) </w:t>
      </w:r>
    </w:p>
    <w:tbl>
      <w:tblPr>
        <w:tblW w:w="5000" w:type="pct"/>
        <w:tblCellMar>
          <w:left w:w="0" w:type="dxa"/>
          <w:right w:w="0" w:type="dxa"/>
        </w:tblCellMar>
        <w:tblLook w:val="0000" w:firstRow="0" w:lastRow="0" w:firstColumn="0" w:lastColumn="0" w:noHBand="0" w:noVBand="0"/>
      </w:tblPr>
      <w:tblGrid>
        <w:gridCol w:w="6664"/>
        <w:gridCol w:w="2125"/>
      </w:tblGrid>
      <w:tr w:rsidR="00727498" w:rsidTr="00E846CE">
        <w:tc>
          <w:tcPr>
            <w:tcW w:w="3791" w:type="pct"/>
            <w:tcBorders>
              <w:top w:val="single" w:sz="6" w:space="0" w:color="auto"/>
              <w:bottom w:val="single" w:sz="6" w:space="0" w:color="auto"/>
            </w:tcBorders>
            <w:shd w:val="clear" w:color="auto" w:fill="auto"/>
          </w:tcPr>
          <w:p w:rsidR="00727498" w:rsidRDefault="00727498" w:rsidP="00F40FA3">
            <w:pPr>
              <w:pStyle w:val="TableColumnHeading"/>
              <w:spacing w:line="240" w:lineRule="exact"/>
              <w:jc w:val="left"/>
            </w:pPr>
            <w:r w:rsidRPr="0005383F">
              <w:t>Individual or organisation</w:t>
            </w:r>
          </w:p>
        </w:tc>
        <w:tc>
          <w:tcPr>
            <w:tcW w:w="1209" w:type="pct"/>
            <w:tcBorders>
              <w:top w:val="single" w:sz="6" w:space="0" w:color="auto"/>
              <w:bottom w:val="single" w:sz="6" w:space="0" w:color="auto"/>
            </w:tcBorders>
            <w:shd w:val="clear" w:color="auto" w:fill="auto"/>
          </w:tcPr>
          <w:p w:rsidR="00727498" w:rsidRDefault="00727498" w:rsidP="00F40FA3">
            <w:pPr>
              <w:pStyle w:val="TableColumnHeading"/>
              <w:spacing w:line="240" w:lineRule="exact"/>
              <w:ind w:right="0"/>
            </w:pPr>
            <w:r w:rsidRPr="0005383F">
              <w:t>Submission number</w:t>
            </w:r>
          </w:p>
        </w:tc>
      </w:tr>
      <w:tr w:rsidR="00727498" w:rsidRPr="0005383F" w:rsidTr="002F70AF">
        <w:tblPrEx>
          <w:tblLook w:val="04A0" w:firstRow="1" w:lastRow="0" w:firstColumn="1" w:lastColumn="0" w:noHBand="0" w:noVBand="1"/>
        </w:tblPrEx>
        <w:trPr>
          <w:trHeight w:val="20"/>
        </w:trPr>
        <w:tc>
          <w:tcPr>
            <w:tcW w:w="3791" w:type="pct"/>
            <w:tcBorders>
              <w:top w:val="single" w:sz="6" w:space="0" w:color="auto"/>
            </w:tcBorders>
          </w:tcPr>
          <w:p w:rsidR="00727498" w:rsidRPr="0005383F" w:rsidRDefault="00727498" w:rsidP="00F40FA3">
            <w:pPr>
              <w:keepNext/>
              <w:keepLines/>
              <w:spacing w:before="40" w:after="40" w:line="240" w:lineRule="exact"/>
              <w:ind w:left="6" w:right="113"/>
              <w:rPr>
                <w:rFonts w:ascii="Arial" w:hAnsi="Arial"/>
                <w:sz w:val="20"/>
                <w:szCs w:val="20"/>
              </w:rPr>
            </w:pPr>
            <w:r>
              <w:rPr>
                <w:rFonts w:ascii="Arial" w:hAnsi="Arial"/>
                <w:sz w:val="20"/>
                <w:szCs w:val="20"/>
              </w:rPr>
              <w:t xml:space="preserve">White, Nathan </w:t>
            </w:r>
          </w:p>
        </w:tc>
        <w:tc>
          <w:tcPr>
            <w:tcW w:w="1209" w:type="pct"/>
            <w:tcBorders>
              <w:top w:val="single" w:sz="6" w:space="0" w:color="auto"/>
            </w:tcBorders>
          </w:tcPr>
          <w:p w:rsidR="00727498" w:rsidRPr="0005383F" w:rsidRDefault="00727498" w:rsidP="00F40FA3">
            <w:pPr>
              <w:keepNext/>
              <w:keepLines/>
              <w:spacing w:before="40" w:after="40" w:line="240" w:lineRule="exact"/>
              <w:ind w:left="6"/>
              <w:jc w:val="right"/>
              <w:rPr>
                <w:rFonts w:ascii="Arial" w:hAnsi="Arial"/>
                <w:sz w:val="20"/>
                <w:szCs w:val="20"/>
              </w:rPr>
            </w:pPr>
            <w:r>
              <w:rPr>
                <w:rFonts w:ascii="Arial" w:hAnsi="Arial"/>
                <w:sz w:val="20"/>
                <w:szCs w:val="20"/>
              </w:rPr>
              <w:t>213</w:t>
            </w:r>
          </w:p>
        </w:tc>
      </w:tr>
      <w:tr w:rsidR="00727498" w:rsidRPr="0005383F" w:rsidTr="006253AD">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White, Peter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20</w:t>
            </w:r>
          </w:p>
        </w:tc>
      </w:tr>
      <w:tr w:rsidR="00727498" w:rsidRPr="0005383F" w:rsidTr="006253AD">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White, Peter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90</w:t>
            </w:r>
          </w:p>
        </w:tc>
      </w:tr>
      <w:tr w:rsidR="00727498" w:rsidRPr="0005383F" w:rsidTr="006253AD">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Will, </w:t>
            </w:r>
            <w:proofErr w:type="spellStart"/>
            <w:r>
              <w:rPr>
                <w:rFonts w:ascii="Arial" w:hAnsi="Arial"/>
                <w:sz w:val="20"/>
                <w:szCs w:val="20"/>
              </w:rPr>
              <w:t>Dr.</w:t>
            </w:r>
            <w:proofErr w:type="spellEnd"/>
            <w:r>
              <w:rPr>
                <w:rFonts w:ascii="Arial" w:hAnsi="Arial"/>
                <w:sz w:val="20"/>
                <w:szCs w:val="20"/>
              </w:rPr>
              <w:t xml:space="preserve"> Frank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50</w:t>
            </w:r>
          </w:p>
        </w:tc>
      </w:tr>
      <w:tr w:rsidR="00727498" w:rsidRPr="0005383F" w:rsidTr="006253AD">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Williamson, Maree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212</w:t>
            </w:r>
          </w:p>
        </w:tc>
      </w:tr>
      <w:tr w:rsidR="00727498" w:rsidRPr="0005383F" w:rsidTr="006253AD">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Wilson, Anthony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172</w:t>
            </w:r>
          </w:p>
        </w:tc>
      </w:tr>
      <w:tr w:rsidR="00727498" w:rsidRPr="0005383F" w:rsidTr="006253AD">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Wilson, Jason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99</w:t>
            </w:r>
          </w:p>
        </w:tc>
      </w:tr>
      <w:tr w:rsidR="00727498" w:rsidRPr="0005383F" w:rsidTr="006253AD">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Women in Adult and Vocational Education</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66</w:t>
            </w:r>
          </w:p>
        </w:tc>
      </w:tr>
      <w:tr w:rsidR="00727498" w:rsidRPr="0005383F" w:rsidTr="006253AD">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Wylie, David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15</w:t>
            </w:r>
          </w:p>
        </w:tc>
      </w:tr>
      <w:tr w:rsidR="00727498" w:rsidRPr="0005383F" w:rsidTr="00E846CE">
        <w:tblPrEx>
          <w:tblLook w:val="04A0" w:firstRow="1" w:lastRow="0" w:firstColumn="1" w:lastColumn="0" w:noHBand="0" w:noVBand="1"/>
        </w:tblPrEx>
        <w:trPr>
          <w:trHeight w:val="20"/>
        </w:trPr>
        <w:tc>
          <w:tcPr>
            <w:tcW w:w="3791" w:type="pct"/>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Wylie, David </w:t>
            </w:r>
          </w:p>
        </w:tc>
        <w:tc>
          <w:tcPr>
            <w:tcW w:w="1209" w:type="pct"/>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134</w:t>
            </w:r>
          </w:p>
        </w:tc>
      </w:tr>
      <w:tr w:rsidR="00727498" w:rsidRPr="0005383F" w:rsidTr="002F70AF">
        <w:tblPrEx>
          <w:tblLook w:val="04A0" w:firstRow="1" w:lastRow="0" w:firstColumn="1" w:lastColumn="0" w:noHBand="0" w:noVBand="1"/>
        </w:tblPrEx>
        <w:trPr>
          <w:trHeight w:val="20"/>
        </w:trPr>
        <w:tc>
          <w:tcPr>
            <w:tcW w:w="3791" w:type="pct"/>
            <w:tcBorders>
              <w:bottom w:val="single" w:sz="6" w:space="0" w:color="auto"/>
            </w:tcBorders>
          </w:tcPr>
          <w:p w:rsidR="00727498" w:rsidRPr="0005383F" w:rsidRDefault="00727498" w:rsidP="00F40FA3">
            <w:pPr>
              <w:keepNext/>
              <w:keepLines/>
              <w:spacing w:after="40" w:line="240" w:lineRule="exact"/>
              <w:ind w:left="6" w:right="113"/>
              <w:rPr>
                <w:rFonts w:ascii="Arial" w:hAnsi="Arial"/>
                <w:sz w:val="20"/>
                <w:szCs w:val="20"/>
              </w:rPr>
            </w:pPr>
            <w:proofErr w:type="spellStart"/>
            <w:r>
              <w:rPr>
                <w:rFonts w:ascii="Arial" w:hAnsi="Arial"/>
                <w:sz w:val="20"/>
                <w:szCs w:val="20"/>
              </w:rPr>
              <w:t>Zakaria</w:t>
            </w:r>
            <w:proofErr w:type="spellEnd"/>
            <w:r>
              <w:rPr>
                <w:rFonts w:ascii="Arial" w:hAnsi="Arial"/>
                <w:sz w:val="20"/>
                <w:szCs w:val="20"/>
              </w:rPr>
              <w:t xml:space="preserve">, Jack </w:t>
            </w:r>
          </w:p>
        </w:tc>
        <w:tc>
          <w:tcPr>
            <w:tcW w:w="1209" w:type="pct"/>
            <w:tcBorders>
              <w:bottom w:val="single" w:sz="6" w:space="0" w:color="auto"/>
            </w:tcBorders>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sz w:val="20"/>
                <w:szCs w:val="20"/>
              </w:rPr>
              <w:t>177</w:t>
            </w:r>
          </w:p>
        </w:tc>
      </w:tr>
    </w:tbl>
    <w:p w:rsidR="00727498" w:rsidRDefault="00727498" w:rsidP="00E846CE">
      <w:pPr>
        <w:pStyle w:val="Note"/>
      </w:pPr>
      <w:proofErr w:type="spellStart"/>
      <w:r w:rsidRPr="00E846CE">
        <w:rPr>
          <w:rStyle w:val="NoteLabel"/>
        </w:rPr>
        <w:t>a</w:t>
      </w:r>
      <w:proofErr w:type="spellEnd"/>
      <w:r>
        <w:t> </w:t>
      </w:r>
      <w:r w:rsidRPr="0005383F">
        <w:t>An asterisk (*) indicates that the submission contains confidential material NOT available to the public.</w:t>
      </w:r>
      <w:r>
        <w:t xml:space="preserve">  A </w:t>
      </w:r>
      <w:r w:rsidRPr="0005383F">
        <w:t>hash (#) indicates that the submission includes attachments.</w:t>
      </w:r>
    </w:p>
    <w:p w:rsidR="00727498" w:rsidRPr="0005383F" w:rsidRDefault="00727498" w:rsidP="00A84CB3">
      <w:pPr>
        <w:keepNext/>
        <w:keepLines/>
        <w:spacing w:before="320" w:after="80" w:line="280" w:lineRule="exact"/>
        <w:ind w:left="1474" w:hanging="1474"/>
        <w:rPr>
          <w:rFonts w:ascii="Arial" w:hAnsi="Arial"/>
          <w:b/>
          <w:sz w:val="24"/>
        </w:rPr>
      </w:pPr>
      <w:r w:rsidRPr="0005383F">
        <w:rPr>
          <w:rFonts w:ascii="Arial" w:hAnsi="Arial"/>
          <w:sz w:val="24"/>
        </w:rPr>
        <w:lastRenderedPageBreak/>
        <w:t xml:space="preserve">Table </w:t>
      </w:r>
      <w:proofErr w:type="spellStart"/>
      <w:r w:rsidRPr="0005383F">
        <w:rPr>
          <w:rFonts w:ascii="Arial" w:hAnsi="Arial"/>
          <w:sz w:val="24"/>
        </w:rPr>
        <w:t>A.2</w:t>
      </w:r>
      <w:proofErr w:type="spellEnd"/>
      <w:r w:rsidRPr="0005383F">
        <w:rPr>
          <w:rFonts w:ascii="Arial" w:hAnsi="Arial"/>
          <w:b/>
          <w:sz w:val="24"/>
        </w:rPr>
        <w:tab/>
        <w:t>Visits and consultations</w:t>
      </w:r>
      <w:r>
        <w:rPr>
          <w:rFonts w:ascii="Arial" w:hAnsi="Arial"/>
          <w:b/>
          <w:sz w:val="24"/>
        </w:rPr>
        <w:t xml:space="preserve"> — Australia </w:t>
      </w:r>
    </w:p>
    <w:tbl>
      <w:tblPr>
        <w:tblW w:w="8789" w:type="dxa"/>
        <w:tblLayout w:type="fixed"/>
        <w:tblCellMar>
          <w:left w:w="0" w:type="dxa"/>
          <w:right w:w="0" w:type="dxa"/>
        </w:tblCellMar>
        <w:tblLook w:val="0000" w:firstRow="0" w:lastRow="0" w:firstColumn="0" w:lastColumn="0" w:noHBand="0" w:noVBand="0"/>
      </w:tblPr>
      <w:tblGrid>
        <w:gridCol w:w="8789"/>
      </w:tblGrid>
      <w:tr w:rsidR="00727498" w:rsidRPr="0005383F" w:rsidTr="006253AD">
        <w:trPr>
          <w:trHeight w:val="20"/>
        </w:trPr>
        <w:tc>
          <w:tcPr>
            <w:tcW w:w="8789" w:type="dxa"/>
            <w:tcBorders>
              <w:top w:val="single" w:sz="6" w:space="0" w:color="auto"/>
              <w:bottom w:val="single" w:sz="6" w:space="0" w:color="auto"/>
            </w:tcBorders>
            <w:shd w:val="clear" w:color="auto" w:fill="auto"/>
          </w:tcPr>
          <w:p w:rsidR="00727498" w:rsidRPr="0005383F" w:rsidRDefault="00727498" w:rsidP="00F40FA3">
            <w:pPr>
              <w:keepNext/>
              <w:keepLines/>
              <w:spacing w:before="80" w:after="80" w:line="240" w:lineRule="exact"/>
              <w:ind w:left="6" w:right="28"/>
              <w:rPr>
                <w:rFonts w:ascii="Arial" w:hAnsi="Arial"/>
                <w:i/>
                <w:sz w:val="20"/>
                <w:szCs w:val="20"/>
              </w:rPr>
            </w:pPr>
            <w:r w:rsidRPr="0005383F">
              <w:rPr>
                <w:rFonts w:ascii="Arial" w:hAnsi="Arial"/>
                <w:i/>
                <w:sz w:val="20"/>
                <w:szCs w:val="20"/>
              </w:rPr>
              <w:t>Individual or organisation</w:t>
            </w:r>
          </w:p>
        </w:tc>
      </w:tr>
      <w:tr w:rsidR="00727498" w:rsidRPr="0005383F" w:rsidTr="002F70AF">
        <w:trPr>
          <w:trHeight w:val="20"/>
        </w:trPr>
        <w:tc>
          <w:tcPr>
            <w:tcW w:w="8789" w:type="dxa"/>
            <w:tcBorders>
              <w:top w:val="single" w:sz="6" w:space="0" w:color="auto"/>
            </w:tcBorders>
            <w:shd w:val="clear" w:color="auto" w:fill="auto"/>
          </w:tcPr>
          <w:p w:rsidR="00727498" w:rsidRPr="0005383F" w:rsidRDefault="00727498" w:rsidP="00F40FA3">
            <w:pPr>
              <w:keepNext/>
              <w:keepLines/>
              <w:tabs>
                <w:tab w:val="left" w:pos="1114"/>
              </w:tabs>
              <w:spacing w:before="40" w:after="40" w:line="240" w:lineRule="exact"/>
              <w:ind w:left="6" w:right="28"/>
              <w:rPr>
                <w:rFonts w:ascii="Arial" w:hAnsi="Arial"/>
                <w:b/>
                <w:i/>
                <w:sz w:val="20"/>
                <w:szCs w:val="20"/>
              </w:rPr>
            </w:pPr>
            <w:r w:rsidRPr="0005383F">
              <w:rPr>
                <w:rFonts w:ascii="Arial" w:hAnsi="Arial"/>
                <w:b/>
                <w:i/>
                <w:sz w:val="20"/>
                <w:szCs w:val="20"/>
              </w:rPr>
              <w:t>ACT</w:t>
            </w:r>
            <w:r>
              <w:rPr>
                <w:rFonts w:ascii="Arial" w:hAnsi="Arial"/>
                <w:b/>
                <w:i/>
                <w:sz w:val="20"/>
                <w:szCs w:val="20"/>
              </w:rPr>
              <w:tab/>
            </w:r>
          </w:p>
        </w:tc>
      </w:tr>
      <w:tr w:rsidR="00727498" w:rsidRPr="0005383F" w:rsidTr="00867368">
        <w:trPr>
          <w:trHeight w:val="20"/>
        </w:trPr>
        <w:tc>
          <w:tcPr>
            <w:tcW w:w="8789" w:type="dxa"/>
            <w:shd w:val="clear" w:color="auto" w:fill="auto"/>
          </w:tcPr>
          <w:p w:rsidR="00727498" w:rsidRDefault="00727498" w:rsidP="00F40FA3">
            <w:pPr>
              <w:pStyle w:val="TableBodyText"/>
              <w:spacing w:line="240" w:lineRule="exact"/>
              <w:jc w:val="left"/>
            </w:pPr>
            <w:r>
              <w:t>Australian Chamber of Commerce and Industry</w:t>
            </w:r>
          </w:p>
        </w:tc>
      </w:tr>
      <w:tr w:rsidR="00727498" w:rsidRPr="0005383F" w:rsidTr="00867368">
        <w:trPr>
          <w:trHeight w:val="20"/>
        </w:trPr>
        <w:tc>
          <w:tcPr>
            <w:tcW w:w="8789" w:type="dxa"/>
            <w:shd w:val="clear" w:color="auto" w:fill="auto"/>
          </w:tcPr>
          <w:p w:rsidR="00727498" w:rsidRDefault="00727498" w:rsidP="00F40FA3">
            <w:pPr>
              <w:pStyle w:val="TableBodyText"/>
              <w:spacing w:line="240" w:lineRule="exact"/>
              <w:jc w:val="left"/>
            </w:pPr>
            <w:r>
              <w:t xml:space="preserve">Australian Industry Group </w:t>
            </w:r>
          </w:p>
        </w:tc>
      </w:tr>
      <w:tr w:rsidR="00727498" w:rsidRPr="0005383F" w:rsidTr="00867368">
        <w:trPr>
          <w:trHeight w:val="20"/>
        </w:trPr>
        <w:tc>
          <w:tcPr>
            <w:tcW w:w="8789" w:type="dxa"/>
            <w:shd w:val="clear" w:color="auto" w:fill="auto"/>
          </w:tcPr>
          <w:p w:rsidR="00727498" w:rsidRDefault="00727498" w:rsidP="00F40FA3">
            <w:pPr>
              <w:pStyle w:val="TableBodyText"/>
              <w:spacing w:line="240" w:lineRule="exact"/>
              <w:jc w:val="left"/>
            </w:pPr>
            <w:r>
              <w:t>Department of Foreign Affairs and Trade</w:t>
            </w:r>
          </w:p>
        </w:tc>
      </w:tr>
      <w:tr w:rsidR="00727498" w:rsidRPr="0005383F" w:rsidTr="00867368">
        <w:trPr>
          <w:trHeight w:val="20"/>
        </w:trPr>
        <w:tc>
          <w:tcPr>
            <w:tcW w:w="8789" w:type="dxa"/>
            <w:shd w:val="clear" w:color="auto" w:fill="auto"/>
          </w:tcPr>
          <w:p w:rsidR="00727498" w:rsidRDefault="00727498" w:rsidP="00F40FA3">
            <w:pPr>
              <w:pStyle w:val="TableBodyText"/>
              <w:spacing w:line="240" w:lineRule="exact"/>
              <w:jc w:val="left"/>
            </w:pPr>
            <w:r>
              <w:t>Department of Industry</w:t>
            </w:r>
          </w:p>
        </w:tc>
      </w:tr>
      <w:tr w:rsidR="00727498" w:rsidRPr="0005383F" w:rsidTr="00867368">
        <w:trPr>
          <w:trHeight w:val="20"/>
        </w:trPr>
        <w:tc>
          <w:tcPr>
            <w:tcW w:w="8789" w:type="dxa"/>
            <w:shd w:val="clear" w:color="auto" w:fill="auto"/>
          </w:tcPr>
          <w:p w:rsidR="00727498" w:rsidRPr="0005383F" w:rsidRDefault="00727498" w:rsidP="00F40FA3">
            <w:pPr>
              <w:pStyle w:val="TableBodyText"/>
              <w:spacing w:line="240" w:lineRule="exact"/>
              <w:jc w:val="left"/>
            </w:pPr>
            <w:r>
              <w:t xml:space="preserve">Department of Prime Minister and Cabinet </w:t>
            </w:r>
          </w:p>
        </w:tc>
      </w:tr>
      <w:tr w:rsidR="00727498" w:rsidRPr="0005383F" w:rsidTr="00867368">
        <w:trPr>
          <w:trHeight w:val="20"/>
        </w:trPr>
        <w:tc>
          <w:tcPr>
            <w:tcW w:w="8789" w:type="dxa"/>
            <w:shd w:val="clear" w:color="auto" w:fill="auto"/>
          </w:tcPr>
          <w:p w:rsidR="00727498" w:rsidRPr="0005383F" w:rsidRDefault="00727498" w:rsidP="00F40FA3">
            <w:pPr>
              <w:pStyle w:val="TableBodyText"/>
              <w:spacing w:line="240" w:lineRule="exact"/>
              <w:jc w:val="left"/>
            </w:pPr>
            <w:r>
              <w:t xml:space="preserve">Federal Chamber of Automotive Industries </w:t>
            </w:r>
          </w:p>
        </w:tc>
      </w:tr>
      <w:tr w:rsidR="00727498" w:rsidRPr="0005383F" w:rsidTr="00867368">
        <w:trPr>
          <w:trHeight w:val="20"/>
        </w:trPr>
        <w:tc>
          <w:tcPr>
            <w:tcW w:w="8789" w:type="dxa"/>
            <w:shd w:val="clear" w:color="auto" w:fill="auto"/>
          </w:tcPr>
          <w:p w:rsidR="00727498" w:rsidRDefault="00727498" w:rsidP="00F40FA3">
            <w:pPr>
              <w:pStyle w:val="TableBodyText"/>
              <w:spacing w:line="240" w:lineRule="exact"/>
              <w:jc w:val="left"/>
            </w:pPr>
            <w:r>
              <w:t xml:space="preserve">Treasury (Commonwealth) </w:t>
            </w:r>
          </w:p>
        </w:tc>
      </w:tr>
      <w:tr w:rsidR="00727498" w:rsidRPr="0005383F" w:rsidTr="006253AD">
        <w:trPr>
          <w:trHeight w:val="20"/>
        </w:trPr>
        <w:tc>
          <w:tcPr>
            <w:tcW w:w="8789" w:type="dxa"/>
            <w:shd w:val="clear" w:color="auto" w:fill="auto"/>
          </w:tcPr>
          <w:p w:rsidR="00727498" w:rsidRPr="0005383F" w:rsidRDefault="00727498" w:rsidP="00F40FA3">
            <w:pPr>
              <w:keepNext/>
              <w:keepLines/>
              <w:tabs>
                <w:tab w:val="left" w:pos="1114"/>
              </w:tabs>
              <w:spacing w:before="240" w:after="40" w:line="240" w:lineRule="exact"/>
              <w:ind w:left="6" w:right="28"/>
              <w:rPr>
                <w:rFonts w:ascii="Arial" w:hAnsi="Arial"/>
                <w:b/>
                <w:i/>
                <w:sz w:val="20"/>
                <w:szCs w:val="20"/>
              </w:rPr>
            </w:pPr>
            <w:r w:rsidRPr="0005383F">
              <w:rPr>
                <w:rFonts w:ascii="Arial" w:hAnsi="Arial"/>
                <w:b/>
                <w:i/>
                <w:sz w:val="20"/>
                <w:szCs w:val="20"/>
              </w:rPr>
              <w:t xml:space="preserve">South Australia </w:t>
            </w:r>
          </w:p>
        </w:tc>
      </w:tr>
      <w:tr w:rsidR="00727498" w:rsidRPr="0005383F" w:rsidTr="006253AD">
        <w:trPr>
          <w:trHeight w:val="20"/>
        </w:trPr>
        <w:tc>
          <w:tcPr>
            <w:tcW w:w="8789" w:type="dxa"/>
            <w:shd w:val="clear" w:color="auto" w:fill="auto"/>
          </w:tcPr>
          <w:p w:rsidR="00727498" w:rsidRPr="001071A8" w:rsidRDefault="00727498" w:rsidP="00F40FA3">
            <w:pPr>
              <w:keepNext/>
              <w:keepLines/>
              <w:spacing w:after="40" w:line="240" w:lineRule="exact"/>
              <w:ind w:left="6" w:right="28"/>
              <w:rPr>
                <w:rFonts w:ascii="Arial" w:hAnsi="Arial"/>
                <w:sz w:val="20"/>
                <w:szCs w:val="20"/>
              </w:rPr>
            </w:pPr>
            <w:proofErr w:type="spellStart"/>
            <w:r w:rsidRPr="001071A8">
              <w:rPr>
                <w:rFonts w:ascii="Arial" w:hAnsi="Arial"/>
                <w:sz w:val="20"/>
                <w:szCs w:val="20"/>
              </w:rPr>
              <w:t>Futuris</w:t>
            </w:r>
            <w:proofErr w:type="spellEnd"/>
          </w:p>
        </w:tc>
      </w:tr>
      <w:tr w:rsidR="00727498" w:rsidRPr="0005383F" w:rsidTr="006253AD">
        <w:trPr>
          <w:trHeight w:val="20"/>
        </w:trPr>
        <w:tc>
          <w:tcPr>
            <w:tcW w:w="8789" w:type="dxa"/>
            <w:shd w:val="clear" w:color="auto" w:fill="auto"/>
          </w:tcPr>
          <w:p w:rsidR="00727498" w:rsidRPr="001071A8" w:rsidRDefault="00727498" w:rsidP="00F40FA3">
            <w:pPr>
              <w:keepNext/>
              <w:keepLines/>
              <w:spacing w:after="40" w:line="240" w:lineRule="exact"/>
              <w:ind w:left="6" w:right="28"/>
              <w:rPr>
                <w:rFonts w:ascii="Arial" w:hAnsi="Arial"/>
                <w:sz w:val="20"/>
                <w:szCs w:val="20"/>
              </w:rPr>
            </w:pPr>
            <w:r w:rsidRPr="001071A8">
              <w:rPr>
                <w:rFonts w:ascii="Arial" w:hAnsi="Arial"/>
                <w:sz w:val="20"/>
                <w:szCs w:val="20"/>
              </w:rPr>
              <w:t xml:space="preserve">South Australian Government </w:t>
            </w:r>
          </w:p>
        </w:tc>
      </w:tr>
      <w:tr w:rsidR="00727498" w:rsidRPr="0005383F" w:rsidTr="006253AD">
        <w:tblPrEx>
          <w:tblLook w:val="04A0" w:firstRow="1" w:lastRow="0" w:firstColumn="1" w:lastColumn="0" w:noHBand="0" w:noVBand="1"/>
        </w:tblPrEx>
        <w:trPr>
          <w:trHeight w:val="20"/>
        </w:trPr>
        <w:tc>
          <w:tcPr>
            <w:tcW w:w="8789" w:type="dxa"/>
          </w:tcPr>
          <w:p w:rsidR="00727498" w:rsidRPr="0005383F" w:rsidRDefault="00727498" w:rsidP="00F40FA3">
            <w:pPr>
              <w:keepNext/>
              <w:keepLines/>
              <w:spacing w:after="40" w:line="240" w:lineRule="exact"/>
              <w:ind w:left="6" w:right="28"/>
              <w:rPr>
                <w:rFonts w:ascii="Arial" w:hAnsi="Arial"/>
                <w:sz w:val="20"/>
                <w:szCs w:val="20"/>
              </w:rPr>
            </w:pPr>
            <w:r>
              <w:rPr>
                <w:rFonts w:ascii="Arial" w:hAnsi="Arial"/>
                <w:sz w:val="20"/>
                <w:szCs w:val="20"/>
              </w:rPr>
              <w:t>TI Automotive</w:t>
            </w:r>
          </w:p>
        </w:tc>
      </w:tr>
      <w:tr w:rsidR="00727498" w:rsidRPr="0005383F" w:rsidTr="006253AD">
        <w:trPr>
          <w:trHeight w:val="20"/>
        </w:trPr>
        <w:tc>
          <w:tcPr>
            <w:tcW w:w="8789" w:type="dxa"/>
            <w:shd w:val="clear" w:color="auto" w:fill="auto"/>
          </w:tcPr>
          <w:p w:rsidR="00727498" w:rsidRPr="0005383F" w:rsidRDefault="00727498" w:rsidP="00F40FA3">
            <w:pPr>
              <w:keepNext/>
              <w:keepLines/>
              <w:tabs>
                <w:tab w:val="left" w:pos="1114"/>
              </w:tabs>
              <w:spacing w:before="240" w:after="40" w:line="240" w:lineRule="exact"/>
              <w:ind w:left="6" w:right="28"/>
              <w:rPr>
                <w:rFonts w:ascii="Arial" w:hAnsi="Arial"/>
                <w:b/>
                <w:i/>
                <w:sz w:val="20"/>
                <w:szCs w:val="20"/>
              </w:rPr>
            </w:pPr>
            <w:r w:rsidRPr="0005383F">
              <w:rPr>
                <w:rFonts w:ascii="Arial" w:hAnsi="Arial"/>
                <w:b/>
                <w:i/>
                <w:sz w:val="20"/>
                <w:szCs w:val="20"/>
              </w:rPr>
              <w:t>Victoria</w:t>
            </w:r>
          </w:p>
        </w:tc>
      </w:tr>
      <w:tr w:rsidR="00727498" w:rsidRPr="0005383F" w:rsidTr="006253AD">
        <w:trPr>
          <w:trHeight w:val="20"/>
        </w:trPr>
        <w:tc>
          <w:tcPr>
            <w:tcW w:w="8789" w:type="dxa"/>
            <w:shd w:val="clear" w:color="auto" w:fill="auto"/>
          </w:tcPr>
          <w:p w:rsidR="00727498" w:rsidRDefault="00727498" w:rsidP="00F40FA3">
            <w:pPr>
              <w:pStyle w:val="TableBodyText"/>
              <w:spacing w:line="240" w:lineRule="exact"/>
              <w:jc w:val="left"/>
            </w:pPr>
            <w:r>
              <w:t xml:space="preserve">Australian Automotive Aftermarket Association </w:t>
            </w:r>
          </w:p>
        </w:tc>
      </w:tr>
      <w:tr w:rsidR="00727498" w:rsidRPr="0005383F" w:rsidTr="006253AD">
        <w:trPr>
          <w:trHeight w:val="20"/>
        </w:trPr>
        <w:tc>
          <w:tcPr>
            <w:tcW w:w="8789" w:type="dxa"/>
            <w:shd w:val="clear" w:color="auto" w:fill="auto"/>
          </w:tcPr>
          <w:p w:rsidR="00727498" w:rsidRPr="0005383F" w:rsidRDefault="00727498" w:rsidP="00F40FA3">
            <w:pPr>
              <w:pStyle w:val="TableBodyText"/>
              <w:spacing w:line="240" w:lineRule="exact"/>
              <w:jc w:val="left"/>
            </w:pPr>
            <w:r>
              <w:t xml:space="preserve">Australian Council of Trade Unions </w:t>
            </w:r>
          </w:p>
        </w:tc>
      </w:tr>
      <w:tr w:rsidR="00727498" w:rsidRPr="0005383F" w:rsidTr="006253AD">
        <w:trPr>
          <w:trHeight w:val="20"/>
        </w:trPr>
        <w:tc>
          <w:tcPr>
            <w:tcW w:w="8789" w:type="dxa"/>
            <w:shd w:val="clear" w:color="auto" w:fill="auto"/>
          </w:tcPr>
          <w:p w:rsidR="00727498" w:rsidRPr="0005383F" w:rsidRDefault="00727498" w:rsidP="00F40FA3">
            <w:pPr>
              <w:pStyle w:val="TableBodyText"/>
              <w:spacing w:line="240" w:lineRule="exact"/>
              <w:jc w:val="left"/>
            </w:pPr>
            <w:r>
              <w:t>Australian Manufacturing Workers’ Union</w:t>
            </w:r>
          </w:p>
        </w:tc>
      </w:tr>
      <w:tr w:rsidR="00727498" w:rsidRPr="0005383F" w:rsidTr="006253AD">
        <w:trPr>
          <w:trHeight w:val="20"/>
        </w:trPr>
        <w:tc>
          <w:tcPr>
            <w:tcW w:w="8789" w:type="dxa"/>
            <w:shd w:val="clear" w:color="auto" w:fill="auto"/>
          </w:tcPr>
          <w:p w:rsidR="00727498" w:rsidRDefault="00727498" w:rsidP="00F40FA3">
            <w:pPr>
              <w:pStyle w:val="TableBodyText"/>
              <w:spacing w:line="240" w:lineRule="exact"/>
              <w:jc w:val="left"/>
            </w:pPr>
            <w:proofErr w:type="spellStart"/>
            <w:r>
              <w:t>AutoCRC</w:t>
            </w:r>
            <w:proofErr w:type="spellEnd"/>
            <w:r>
              <w:t xml:space="preserve"> </w:t>
            </w:r>
          </w:p>
        </w:tc>
      </w:tr>
      <w:tr w:rsidR="00727498" w:rsidRPr="0005383F" w:rsidTr="006253AD">
        <w:trPr>
          <w:trHeight w:val="20"/>
        </w:trPr>
        <w:tc>
          <w:tcPr>
            <w:tcW w:w="8789" w:type="dxa"/>
            <w:shd w:val="clear" w:color="auto" w:fill="auto"/>
          </w:tcPr>
          <w:p w:rsidR="00727498" w:rsidRDefault="00727498" w:rsidP="00F40FA3">
            <w:pPr>
              <w:pStyle w:val="TableBodyText"/>
              <w:spacing w:line="240" w:lineRule="exact"/>
              <w:jc w:val="left"/>
            </w:pPr>
            <w:r>
              <w:t>Automotive Supplier Excellence</w:t>
            </w:r>
            <w:r w:rsidR="00B44491">
              <w:t xml:space="preserve"> Australia</w:t>
            </w:r>
          </w:p>
        </w:tc>
      </w:tr>
      <w:tr w:rsidR="00727498" w:rsidRPr="0005383F" w:rsidTr="006253AD">
        <w:trPr>
          <w:trHeight w:val="20"/>
        </w:trPr>
        <w:tc>
          <w:tcPr>
            <w:tcW w:w="8789" w:type="dxa"/>
            <w:shd w:val="clear" w:color="auto" w:fill="auto"/>
          </w:tcPr>
          <w:p w:rsidR="00727498" w:rsidRDefault="00727498" w:rsidP="00F40FA3">
            <w:pPr>
              <w:pStyle w:val="TableBodyText"/>
              <w:spacing w:line="240" w:lineRule="exact"/>
              <w:jc w:val="left"/>
            </w:pPr>
            <w:r>
              <w:t xml:space="preserve">Federation of Automotive Products Manufacturers </w:t>
            </w:r>
          </w:p>
        </w:tc>
      </w:tr>
      <w:tr w:rsidR="00727498" w:rsidRPr="0005383F" w:rsidTr="006253AD">
        <w:trPr>
          <w:trHeight w:val="20"/>
        </w:trPr>
        <w:tc>
          <w:tcPr>
            <w:tcW w:w="8789" w:type="dxa"/>
            <w:shd w:val="clear" w:color="auto" w:fill="auto"/>
          </w:tcPr>
          <w:p w:rsidR="00727498" w:rsidRDefault="00727498" w:rsidP="00F40FA3">
            <w:pPr>
              <w:pStyle w:val="TableBodyText"/>
              <w:spacing w:line="240" w:lineRule="exact"/>
              <w:jc w:val="left"/>
            </w:pPr>
            <w:r>
              <w:t>Ford Australia</w:t>
            </w:r>
          </w:p>
        </w:tc>
      </w:tr>
      <w:tr w:rsidR="00727498" w:rsidRPr="0005383F" w:rsidTr="006253AD">
        <w:trPr>
          <w:trHeight w:val="20"/>
        </w:trPr>
        <w:tc>
          <w:tcPr>
            <w:tcW w:w="8789" w:type="dxa"/>
            <w:shd w:val="clear" w:color="auto" w:fill="auto"/>
          </w:tcPr>
          <w:p w:rsidR="00727498" w:rsidRDefault="00727498" w:rsidP="00F40FA3">
            <w:pPr>
              <w:pStyle w:val="TableBodyText"/>
              <w:spacing w:line="240" w:lineRule="exact"/>
              <w:jc w:val="left"/>
            </w:pPr>
            <w:r>
              <w:t>General Motors Holden</w:t>
            </w:r>
          </w:p>
        </w:tc>
      </w:tr>
      <w:tr w:rsidR="00727498" w:rsidRPr="0005383F" w:rsidTr="006253AD">
        <w:trPr>
          <w:trHeight w:val="20"/>
        </w:trPr>
        <w:tc>
          <w:tcPr>
            <w:tcW w:w="8789" w:type="dxa"/>
            <w:shd w:val="clear" w:color="auto" w:fill="auto"/>
          </w:tcPr>
          <w:p w:rsidR="00727498" w:rsidRDefault="00727498" w:rsidP="00F40FA3">
            <w:pPr>
              <w:pStyle w:val="TableBodyText"/>
              <w:spacing w:line="240" w:lineRule="exact"/>
              <w:jc w:val="left"/>
            </w:pPr>
            <w:r>
              <w:t>Toyota Australia</w:t>
            </w:r>
          </w:p>
        </w:tc>
      </w:tr>
      <w:tr w:rsidR="00727498" w:rsidRPr="0005383F" w:rsidTr="006253AD">
        <w:trPr>
          <w:trHeight w:val="20"/>
        </w:trPr>
        <w:tc>
          <w:tcPr>
            <w:tcW w:w="8789" w:type="dxa"/>
            <w:shd w:val="clear" w:color="auto" w:fill="auto"/>
          </w:tcPr>
          <w:p w:rsidR="00727498" w:rsidRDefault="00727498" w:rsidP="00F40FA3">
            <w:pPr>
              <w:pStyle w:val="TableBodyText"/>
              <w:spacing w:line="240" w:lineRule="exact"/>
              <w:jc w:val="left"/>
            </w:pPr>
            <w:r>
              <w:t>Victorian Department of Premier and Cabinet</w:t>
            </w:r>
          </w:p>
        </w:tc>
      </w:tr>
      <w:tr w:rsidR="00727498" w:rsidRPr="0005383F" w:rsidTr="006253AD">
        <w:trPr>
          <w:trHeight w:val="20"/>
        </w:trPr>
        <w:tc>
          <w:tcPr>
            <w:tcW w:w="8789" w:type="dxa"/>
            <w:shd w:val="clear" w:color="auto" w:fill="auto"/>
          </w:tcPr>
          <w:p w:rsidR="00727498" w:rsidRPr="0005383F" w:rsidRDefault="00727498" w:rsidP="00F40FA3">
            <w:pPr>
              <w:pStyle w:val="TableBodyText"/>
              <w:spacing w:line="240" w:lineRule="exact"/>
              <w:jc w:val="left"/>
            </w:pPr>
            <w:r>
              <w:t xml:space="preserve">Victorian Department of State Development, Business and Innovation </w:t>
            </w:r>
          </w:p>
        </w:tc>
      </w:tr>
      <w:tr w:rsidR="00727498" w:rsidRPr="0005383F" w:rsidTr="006253AD">
        <w:trPr>
          <w:trHeight w:val="20"/>
        </w:trPr>
        <w:tc>
          <w:tcPr>
            <w:tcW w:w="8789" w:type="dxa"/>
            <w:shd w:val="clear" w:color="auto" w:fill="auto"/>
          </w:tcPr>
          <w:p w:rsidR="00727498" w:rsidRPr="0005383F" w:rsidRDefault="00727498" w:rsidP="00F40FA3">
            <w:pPr>
              <w:pStyle w:val="TableBodyText"/>
              <w:spacing w:line="240" w:lineRule="exact"/>
              <w:jc w:val="left"/>
            </w:pPr>
            <w:r>
              <w:t xml:space="preserve">Victorian Department of Treasury and Finance </w:t>
            </w:r>
          </w:p>
        </w:tc>
      </w:tr>
      <w:tr w:rsidR="00727498" w:rsidRPr="0005383F" w:rsidTr="006253AD">
        <w:trPr>
          <w:trHeight w:val="20"/>
        </w:trPr>
        <w:tc>
          <w:tcPr>
            <w:tcW w:w="8789" w:type="dxa"/>
            <w:shd w:val="clear" w:color="auto" w:fill="auto"/>
          </w:tcPr>
          <w:p w:rsidR="00727498" w:rsidRPr="0005383F" w:rsidRDefault="00727498" w:rsidP="00F40FA3">
            <w:pPr>
              <w:keepNext/>
              <w:keepLines/>
              <w:tabs>
                <w:tab w:val="left" w:pos="1114"/>
              </w:tabs>
              <w:spacing w:before="240" w:after="40" w:line="240" w:lineRule="exact"/>
              <w:ind w:left="6" w:right="28"/>
              <w:rPr>
                <w:rFonts w:ascii="Arial" w:hAnsi="Arial"/>
                <w:b/>
                <w:i/>
                <w:sz w:val="20"/>
                <w:szCs w:val="20"/>
              </w:rPr>
            </w:pPr>
            <w:r w:rsidRPr="0005383F">
              <w:rPr>
                <w:rFonts w:ascii="Arial" w:hAnsi="Arial"/>
                <w:b/>
                <w:i/>
                <w:sz w:val="20"/>
                <w:szCs w:val="20"/>
              </w:rPr>
              <w:t>Western Australia</w:t>
            </w:r>
          </w:p>
        </w:tc>
      </w:tr>
      <w:tr w:rsidR="00727498" w:rsidRPr="0005383F" w:rsidTr="002F70AF">
        <w:trPr>
          <w:trHeight w:val="20"/>
        </w:trPr>
        <w:tc>
          <w:tcPr>
            <w:tcW w:w="8789" w:type="dxa"/>
            <w:tcBorders>
              <w:bottom w:val="single" w:sz="6" w:space="0" w:color="auto"/>
            </w:tcBorders>
            <w:shd w:val="clear" w:color="auto" w:fill="auto"/>
          </w:tcPr>
          <w:p w:rsidR="00727498" w:rsidRPr="0005383F" w:rsidRDefault="00727498" w:rsidP="00F40FA3">
            <w:pPr>
              <w:keepNext/>
              <w:keepLines/>
              <w:spacing w:after="40" w:line="240" w:lineRule="exact"/>
              <w:ind w:left="6" w:right="28"/>
              <w:rPr>
                <w:rFonts w:ascii="Arial" w:hAnsi="Arial"/>
                <w:sz w:val="20"/>
                <w:szCs w:val="20"/>
              </w:rPr>
            </w:pPr>
            <w:r>
              <w:rPr>
                <w:rFonts w:ascii="Arial" w:hAnsi="Arial"/>
                <w:sz w:val="20"/>
                <w:szCs w:val="20"/>
              </w:rPr>
              <w:t xml:space="preserve">Professor </w:t>
            </w:r>
            <w:r w:rsidRPr="0005383F">
              <w:rPr>
                <w:rFonts w:ascii="Arial" w:hAnsi="Arial"/>
                <w:sz w:val="20"/>
                <w:szCs w:val="20"/>
              </w:rPr>
              <w:t>Gor</w:t>
            </w:r>
            <w:r>
              <w:rPr>
                <w:rFonts w:ascii="Arial" w:hAnsi="Arial"/>
                <w:sz w:val="20"/>
                <w:szCs w:val="20"/>
              </w:rPr>
              <w:t>a</w:t>
            </w:r>
            <w:r w:rsidRPr="0005383F">
              <w:rPr>
                <w:rFonts w:ascii="Arial" w:hAnsi="Arial"/>
                <w:sz w:val="20"/>
                <w:szCs w:val="20"/>
              </w:rPr>
              <w:t xml:space="preserve">n </w:t>
            </w:r>
            <w:proofErr w:type="spellStart"/>
            <w:r w:rsidRPr="0005383F">
              <w:rPr>
                <w:rFonts w:ascii="Arial" w:hAnsi="Arial"/>
                <w:sz w:val="20"/>
                <w:szCs w:val="20"/>
              </w:rPr>
              <w:t>Roos</w:t>
            </w:r>
            <w:proofErr w:type="spellEnd"/>
          </w:p>
        </w:tc>
      </w:tr>
    </w:tbl>
    <w:p w:rsidR="00727498" w:rsidRDefault="00727498" w:rsidP="004A56C6">
      <w:pPr>
        <w:pStyle w:val="BodyText"/>
      </w:pPr>
    </w:p>
    <w:p w:rsidR="00727498" w:rsidRPr="0005383F" w:rsidRDefault="00727498" w:rsidP="00BB4BEB">
      <w:pPr>
        <w:keepNext/>
        <w:keepLines/>
        <w:spacing w:before="360" w:after="80" w:line="280" w:lineRule="exact"/>
        <w:ind w:left="1474" w:hanging="1474"/>
        <w:rPr>
          <w:rFonts w:ascii="Arial" w:hAnsi="Arial"/>
          <w:b/>
          <w:sz w:val="24"/>
        </w:rPr>
      </w:pPr>
      <w:r w:rsidRPr="0005383F">
        <w:rPr>
          <w:rFonts w:ascii="Arial" w:hAnsi="Arial"/>
          <w:sz w:val="24"/>
        </w:rPr>
        <w:lastRenderedPageBreak/>
        <w:t xml:space="preserve">Table </w:t>
      </w:r>
      <w:proofErr w:type="spellStart"/>
      <w:r w:rsidRPr="0005383F">
        <w:rPr>
          <w:rFonts w:ascii="Arial" w:hAnsi="Arial"/>
          <w:sz w:val="24"/>
        </w:rPr>
        <w:t>A.</w:t>
      </w:r>
      <w:r>
        <w:rPr>
          <w:rFonts w:ascii="Arial" w:hAnsi="Arial"/>
          <w:sz w:val="24"/>
        </w:rPr>
        <w:t>3</w:t>
      </w:r>
      <w:proofErr w:type="spellEnd"/>
      <w:r w:rsidRPr="0005383F">
        <w:rPr>
          <w:rFonts w:ascii="Arial" w:hAnsi="Arial"/>
          <w:b/>
          <w:sz w:val="24"/>
        </w:rPr>
        <w:tab/>
        <w:t>Visits and consultations</w:t>
      </w:r>
      <w:r>
        <w:rPr>
          <w:rFonts w:ascii="Arial" w:hAnsi="Arial"/>
          <w:b/>
          <w:sz w:val="24"/>
        </w:rPr>
        <w:t xml:space="preserve"> — Japan and United States</w:t>
      </w:r>
    </w:p>
    <w:tbl>
      <w:tblPr>
        <w:tblW w:w="5000" w:type="pct"/>
        <w:tblCellMar>
          <w:left w:w="0" w:type="dxa"/>
          <w:right w:w="0" w:type="dxa"/>
        </w:tblCellMar>
        <w:tblLook w:val="0000" w:firstRow="0" w:lastRow="0" w:firstColumn="0" w:lastColumn="0" w:noHBand="0" w:noVBand="0"/>
      </w:tblPr>
      <w:tblGrid>
        <w:gridCol w:w="8789"/>
      </w:tblGrid>
      <w:tr w:rsidR="00727498" w:rsidTr="00F40FA3">
        <w:tc>
          <w:tcPr>
            <w:tcW w:w="5000" w:type="pct"/>
            <w:tcBorders>
              <w:top w:val="single" w:sz="6" w:space="0" w:color="auto"/>
              <w:bottom w:val="single" w:sz="6" w:space="0" w:color="auto"/>
            </w:tcBorders>
            <w:shd w:val="clear" w:color="auto" w:fill="auto"/>
          </w:tcPr>
          <w:p w:rsidR="00727498" w:rsidRDefault="00727498" w:rsidP="00F40FA3">
            <w:pPr>
              <w:pStyle w:val="TableColumnHeading"/>
              <w:spacing w:line="240" w:lineRule="exact"/>
              <w:ind w:right="28"/>
              <w:jc w:val="left"/>
            </w:pPr>
            <w:r w:rsidRPr="0005383F">
              <w:t>Individual or organisation</w:t>
            </w:r>
          </w:p>
        </w:tc>
      </w:tr>
      <w:tr w:rsidR="00727498" w:rsidRPr="005458DD" w:rsidTr="002F70AF">
        <w:tblPrEx>
          <w:tblLook w:val="04A0" w:firstRow="1" w:lastRow="0" w:firstColumn="1" w:lastColumn="0" w:noHBand="0" w:noVBand="1"/>
        </w:tblPrEx>
        <w:trPr>
          <w:trHeight w:val="20"/>
        </w:trPr>
        <w:tc>
          <w:tcPr>
            <w:tcW w:w="5000" w:type="pct"/>
            <w:tcBorders>
              <w:top w:val="single" w:sz="6" w:space="0" w:color="auto"/>
            </w:tcBorders>
          </w:tcPr>
          <w:p w:rsidR="00727498" w:rsidRPr="005458DD" w:rsidRDefault="00727498" w:rsidP="008924C6">
            <w:pPr>
              <w:keepNext/>
              <w:keepLines/>
              <w:tabs>
                <w:tab w:val="left" w:pos="1114"/>
              </w:tabs>
              <w:spacing w:before="40" w:after="40" w:line="240" w:lineRule="exact"/>
              <w:ind w:left="6" w:right="28"/>
            </w:pPr>
            <w:r w:rsidRPr="006253AD">
              <w:rPr>
                <w:rFonts w:ascii="Arial" w:hAnsi="Arial"/>
                <w:b/>
                <w:i/>
                <w:sz w:val="20"/>
                <w:szCs w:val="20"/>
              </w:rPr>
              <w:t xml:space="preserve">Japan </w:t>
            </w:r>
          </w:p>
        </w:tc>
      </w:tr>
      <w:tr w:rsidR="00727498" w:rsidRPr="005458DD" w:rsidTr="00F40FA3">
        <w:tblPrEx>
          <w:tblLook w:val="04A0" w:firstRow="1" w:lastRow="0" w:firstColumn="1" w:lastColumn="0" w:noHBand="0" w:noVBand="1"/>
        </w:tblPrEx>
        <w:trPr>
          <w:trHeight w:val="20"/>
        </w:trPr>
        <w:tc>
          <w:tcPr>
            <w:tcW w:w="5000" w:type="pct"/>
          </w:tcPr>
          <w:p w:rsidR="00727498" w:rsidRPr="005458DD" w:rsidRDefault="00727498" w:rsidP="008924C6">
            <w:pPr>
              <w:pStyle w:val="TableBodyText"/>
              <w:spacing w:line="240" w:lineRule="exact"/>
              <w:jc w:val="left"/>
            </w:pPr>
            <w:r w:rsidRPr="005458DD">
              <w:t>Austr</w:t>
            </w:r>
            <w:r>
              <w:t>ade</w:t>
            </w:r>
          </w:p>
        </w:tc>
      </w:tr>
      <w:tr w:rsidR="00727498" w:rsidRPr="005458DD" w:rsidTr="00F40FA3">
        <w:tblPrEx>
          <w:tblLook w:val="04A0" w:firstRow="1" w:lastRow="0" w:firstColumn="1" w:lastColumn="0" w:noHBand="0" w:noVBand="1"/>
        </w:tblPrEx>
        <w:trPr>
          <w:trHeight w:val="20"/>
        </w:trPr>
        <w:tc>
          <w:tcPr>
            <w:tcW w:w="5000" w:type="pct"/>
          </w:tcPr>
          <w:p w:rsidR="00727498" w:rsidRPr="005458DD" w:rsidRDefault="00727498" w:rsidP="008924C6">
            <w:pPr>
              <w:pStyle w:val="TableBodyText"/>
              <w:spacing w:line="240" w:lineRule="exact"/>
              <w:jc w:val="left"/>
            </w:pPr>
            <w:r w:rsidRPr="005458DD">
              <w:t xml:space="preserve">Bloomberg News Corporation </w:t>
            </w:r>
          </w:p>
        </w:tc>
      </w:tr>
      <w:tr w:rsidR="00727498" w:rsidRPr="005458DD" w:rsidTr="00F40FA3">
        <w:tblPrEx>
          <w:tblLook w:val="04A0" w:firstRow="1" w:lastRow="0" w:firstColumn="1" w:lastColumn="0" w:noHBand="0" w:noVBand="1"/>
        </w:tblPrEx>
        <w:trPr>
          <w:trHeight w:val="20"/>
        </w:trPr>
        <w:tc>
          <w:tcPr>
            <w:tcW w:w="5000" w:type="pct"/>
          </w:tcPr>
          <w:p w:rsidR="00727498" w:rsidRPr="005458DD" w:rsidRDefault="00727498" w:rsidP="008924C6">
            <w:pPr>
              <w:pStyle w:val="TableBodyText"/>
              <w:spacing w:line="240" w:lineRule="exact"/>
              <w:jc w:val="left"/>
            </w:pPr>
            <w:r>
              <w:t xml:space="preserve">Department of Foreign Affairs and Trade </w:t>
            </w:r>
          </w:p>
        </w:tc>
      </w:tr>
      <w:tr w:rsidR="00727498" w:rsidRPr="005458DD" w:rsidTr="00F40FA3">
        <w:tblPrEx>
          <w:tblLook w:val="04A0" w:firstRow="1" w:lastRow="0" w:firstColumn="1" w:lastColumn="0" w:noHBand="0" w:noVBand="1"/>
        </w:tblPrEx>
        <w:trPr>
          <w:trHeight w:val="20"/>
        </w:trPr>
        <w:tc>
          <w:tcPr>
            <w:tcW w:w="5000" w:type="pct"/>
          </w:tcPr>
          <w:p w:rsidR="00727498" w:rsidRPr="005458DD" w:rsidRDefault="00727498" w:rsidP="008924C6">
            <w:pPr>
              <w:pStyle w:val="TableBodyText"/>
              <w:spacing w:line="240" w:lineRule="exact"/>
              <w:jc w:val="left"/>
            </w:pPr>
            <w:r w:rsidRPr="005458DD">
              <w:t>European Automobile Manufacturers Association (</w:t>
            </w:r>
            <w:proofErr w:type="spellStart"/>
            <w:r w:rsidRPr="005458DD">
              <w:t>ACEA</w:t>
            </w:r>
            <w:proofErr w:type="spellEnd"/>
            <w:r w:rsidRPr="005458DD">
              <w:t>)</w:t>
            </w:r>
          </w:p>
        </w:tc>
      </w:tr>
      <w:tr w:rsidR="00727498" w:rsidRPr="005458DD" w:rsidTr="00F40FA3">
        <w:tblPrEx>
          <w:tblLook w:val="04A0" w:firstRow="1" w:lastRow="0" w:firstColumn="1" w:lastColumn="0" w:noHBand="0" w:noVBand="1"/>
        </w:tblPrEx>
        <w:trPr>
          <w:trHeight w:val="20"/>
        </w:trPr>
        <w:tc>
          <w:tcPr>
            <w:tcW w:w="5000" w:type="pct"/>
          </w:tcPr>
          <w:p w:rsidR="00727498" w:rsidRPr="005458DD" w:rsidRDefault="00727498" w:rsidP="008924C6">
            <w:pPr>
              <w:pStyle w:val="TableBodyText"/>
              <w:spacing w:line="240" w:lineRule="exact"/>
              <w:jc w:val="left"/>
            </w:pPr>
            <w:r w:rsidRPr="005458DD">
              <w:t xml:space="preserve">Fujitsu Research Institute (FRI) </w:t>
            </w:r>
          </w:p>
        </w:tc>
      </w:tr>
      <w:tr w:rsidR="00727498" w:rsidRPr="005458DD" w:rsidTr="00F40FA3">
        <w:tblPrEx>
          <w:tblLook w:val="04A0" w:firstRow="1" w:lastRow="0" w:firstColumn="1" w:lastColumn="0" w:noHBand="0" w:noVBand="1"/>
        </w:tblPrEx>
        <w:trPr>
          <w:trHeight w:val="20"/>
        </w:trPr>
        <w:tc>
          <w:tcPr>
            <w:tcW w:w="5000" w:type="pct"/>
          </w:tcPr>
          <w:p w:rsidR="00727498" w:rsidRPr="005458DD" w:rsidRDefault="00727498" w:rsidP="008924C6">
            <w:pPr>
              <w:pStyle w:val="TableBodyText"/>
              <w:spacing w:line="240" w:lineRule="exact"/>
              <w:jc w:val="left"/>
            </w:pPr>
            <w:r w:rsidRPr="005458DD">
              <w:t>Japan Automobile Importers Association (</w:t>
            </w:r>
            <w:proofErr w:type="spellStart"/>
            <w:r w:rsidRPr="005458DD">
              <w:t>JAIA</w:t>
            </w:r>
            <w:proofErr w:type="spellEnd"/>
            <w:r w:rsidRPr="005458DD">
              <w:t>)</w:t>
            </w:r>
          </w:p>
        </w:tc>
      </w:tr>
      <w:tr w:rsidR="00727498" w:rsidRPr="005458DD" w:rsidTr="00F40FA3">
        <w:tblPrEx>
          <w:tblLook w:val="04A0" w:firstRow="1" w:lastRow="0" w:firstColumn="1" w:lastColumn="0" w:noHBand="0" w:noVBand="1"/>
        </w:tblPrEx>
        <w:trPr>
          <w:trHeight w:val="20"/>
        </w:trPr>
        <w:tc>
          <w:tcPr>
            <w:tcW w:w="5000" w:type="pct"/>
          </w:tcPr>
          <w:p w:rsidR="00727498" w:rsidRPr="005458DD" w:rsidRDefault="00727498" w:rsidP="008924C6">
            <w:pPr>
              <w:pStyle w:val="TableBodyText"/>
              <w:spacing w:line="240" w:lineRule="exact"/>
              <w:jc w:val="left"/>
            </w:pPr>
            <w:r w:rsidRPr="005458DD">
              <w:t>Japan Automobile Manufacturers Association Inc. (</w:t>
            </w:r>
            <w:proofErr w:type="spellStart"/>
            <w:r w:rsidRPr="005458DD">
              <w:t>JAMA</w:t>
            </w:r>
            <w:proofErr w:type="spellEnd"/>
            <w:r w:rsidRPr="005458DD">
              <w:t>)</w:t>
            </w:r>
          </w:p>
        </w:tc>
      </w:tr>
      <w:tr w:rsidR="00727498" w:rsidRPr="005458DD" w:rsidTr="00F40FA3">
        <w:tblPrEx>
          <w:tblLook w:val="04A0" w:firstRow="1" w:lastRow="0" w:firstColumn="1" w:lastColumn="0" w:noHBand="0" w:noVBand="1"/>
        </w:tblPrEx>
        <w:trPr>
          <w:trHeight w:val="20"/>
        </w:trPr>
        <w:tc>
          <w:tcPr>
            <w:tcW w:w="5000" w:type="pct"/>
          </w:tcPr>
          <w:p w:rsidR="00727498" w:rsidRPr="005458DD" w:rsidRDefault="00727498" w:rsidP="008924C6">
            <w:pPr>
              <w:pStyle w:val="TableBodyText"/>
              <w:spacing w:line="240" w:lineRule="exact"/>
              <w:jc w:val="left"/>
            </w:pPr>
            <w:r w:rsidRPr="005458DD">
              <w:t xml:space="preserve">Japan Society for The Promotion of Machine Industry </w:t>
            </w:r>
          </w:p>
        </w:tc>
      </w:tr>
      <w:tr w:rsidR="00727498" w:rsidRPr="005458DD" w:rsidTr="00F40FA3">
        <w:tblPrEx>
          <w:tblLook w:val="04A0" w:firstRow="1" w:lastRow="0" w:firstColumn="1" w:lastColumn="0" w:noHBand="0" w:noVBand="1"/>
        </w:tblPrEx>
        <w:trPr>
          <w:trHeight w:val="20"/>
        </w:trPr>
        <w:tc>
          <w:tcPr>
            <w:tcW w:w="5000" w:type="pct"/>
          </w:tcPr>
          <w:p w:rsidR="00727498" w:rsidRPr="005458DD" w:rsidRDefault="00727498" w:rsidP="008924C6">
            <w:pPr>
              <w:pStyle w:val="TableBodyText"/>
              <w:spacing w:line="240" w:lineRule="exact"/>
              <w:jc w:val="left"/>
            </w:pPr>
            <w:r w:rsidRPr="005458DD">
              <w:t xml:space="preserve">Meiji University, School of Business Administration </w:t>
            </w:r>
          </w:p>
        </w:tc>
      </w:tr>
      <w:tr w:rsidR="00727498" w:rsidRPr="005458DD" w:rsidTr="00F40FA3">
        <w:tblPrEx>
          <w:tblLook w:val="04A0" w:firstRow="1" w:lastRow="0" w:firstColumn="1" w:lastColumn="0" w:noHBand="0" w:noVBand="1"/>
        </w:tblPrEx>
        <w:trPr>
          <w:trHeight w:val="20"/>
        </w:trPr>
        <w:tc>
          <w:tcPr>
            <w:tcW w:w="5000" w:type="pct"/>
          </w:tcPr>
          <w:p w:rsidR="00727498" w:rsidRPr="005458DD" w:rsidRDefault="00727498" w:rsidP="008924C6">
            <w:pPr>
              <w:pStyle w:val="TableBodyText"/>
              <w:spacing w:line="240" w:lineRule="exact"/>
              <w:jc w:val="left"/>
            </w:pPr>
            <w:r w:rsidRPr="005458DD">
              <w:t>Ministry of Economy, Trade and Industry (</w:t>
            </w:r>
            <w:proofErr w:type="spellStart"/>
            <w:r w:rsidRPr="005458DD">
              <w:t>METI</w:t>
            </w:r>
            <w:proofErr w:type="spellEnd"/>
            <w:r w:rsidRPr="005458DD">
              <w:t>)</w:t>
            </w:r>
          </w:p>
        </w:tc>
      </w:tr>
      <w:tr w:rsidR="00727498" w:rsidRPr="005458DD" w:rsidTr="00F40FA3">
        <w:tblPrEx>
          <w:tblLook w:val="04A0" w:firstRow="1" w:lastRow="0" w:firstColumn="1" w:lastColumn="0" w:noHBand="0" w:noVBand="1"/>
        </w:tblPrEx>
        <w:trPr>
          <w:trHeight w:val="20"/>
        </w:trPr>
        <w:tc>
          <w:tcPr>
            <w:tcW w:w="5000" w:type="pct"/>
          </w:tcPr>
          <w:p w:rsidR="00727498" w:rsidRPr="005458DD" w:rsidRDefault="00727498" w:rsidP="008924C6">
            <w:pPr>
              <w:pStyle w:val="TableBodyText"/>
              <w:spacing w:line="240" w:lineRule="exact"/>
              <w:jc w:val="left"/>
            </w:pPr>
            <w:r w:rsidRPr="005458DD">
              <w:t xml:space="preserve">Mizuho Bank, Industry Research Division </w:t>
            </w:r>
          </w:p>
        </w:tc>
      </w:tr>
      <w:tr w:rsidR="00727498" w:rsidRPr="005458DD" w:rsidTr="00F40FA3">
        <w:trPr>
          <w:trHeight w:val="20"/>
        </w:trPr>
        <w:tc>
          <w:tcPr>
            <w:tcW w:w="5000" w:type="pct"/>
          </w:tcPr>
          <w:p w:rsidR="00727498" w:rsidRPr="005458DD" w:rsidRDefault="00727498" w:rsidP="008924C6">
            <w:pPr>
              <w:pStyle w:val="TableBodyText"/>
              <w:spacing w:line="240" w:lineRule="exact"/>
              <w:jc w:val="left"/>
            </w:pPr>
            <w:r w:rsidRPr="005458DD">
              <w:t xml:space="preserve">University of Tokyo, Faculty of Economics </w:t>
            </w:r>
          </w:p>
        </w:tc>
      </w:tr>
      <w:tr w:rsidR="00727498" w:rsidTr="00F40FA3">
        <w:tc>
          <w:tcPr>
            <w:tcW w:w="5000" w:type="pct"/>
          </w:tcPr>
          <w:p w:rsidR="00727498" w:rsidRDefault="00727498" w:rsidP="00F40FA3">
            <w:pPr>
              <w:pStyle w:val="TableBodyText"/>
              <w:spacing w:before="240" w:line="240" w:lineRule="exact"/>
              <w:ind w:right="28"/>
              <w:jc w:val="left"/>
            </w:pPr>
            <w:r w:rsidRPr="006253AD">
              <w:rPr>
                <w:b/>
                <w:i/>
              </w:rPr>
              <w:t>United States</w:t>
            </w:r>
            <w:r>
              <w:t xml:space="preserve"> </w:t>
            </w:r>
          </w:p>
        </w:tc>
      </w:tr>
      <w:tr w:rsidR="00727498" w:rsidTr="00F40FA3">
        <w:tc>
          <w:tcPr>
            <w:tcW w:w="5000" w:type="pct"/>
          </w:tcPr>
          <w:p w:rsidR="00727498" w:rsidRDefault="00727498" w:rsidP="00F40FA3">
            <w:pPr>
              <w:pStyle w:val="TableBodyText"/>
              <w:spacing w:line="240" w:lineRule="exact"/>
              <w:ind w:right="28"/>
              <w:jc w:val="left"/>
            </w:pPr>
            <w:r>
              <w:t xml:space="preserve">Brookings Institution </w:t>
            </w:r>
          </w:p>
        </w:tc>
      </w:tr>
      <w:tr w:rsidR="00727498" w:rsidTr="00F40FA3">
        <w:tc>
          <w:tcPr>
            <w:tcW w:w="5000" w:type="pct"/>
          </w:tcPr>
          <w:p w:rsidR="00727498" w:rsidRDefault="00727498" w:rsidP="00F40FA3">
            <w:pPr>
              <w:pStyle w:val="TableBodyText"/>
              <w:spacing w:line="240" w:lineRule="exact"/>
              <w:ind w:right="28"/>
              <w:jc w:val="left"/>
            </w:pPr>
            <w:r>
              <w:t xml:space="preserve">Congressional Research Service </w:t>
            </w:r>
          </w:p>
        </w:tc>
      </w:tr>
      <w:tr w:rsidR="00727498" w:rsidTr="00F40FA3">
        <w:tc>
          <w:tcPr>
            <w:tcW w:w="5000" w:type="pct"/>
          </w:tcPr>
          <w:p w:rsidR="00727498" w:rsidRDefault="00727498" w:rsidP="00F40FA3">
            <w:pPr>
              <w:pStyle w:val="TableBodyText"/>
              <w:spacing w:line="240" w:lineRule="exact"/>
              <w:ind w:right="28"/>
              <w:jc w:val="left"/>
            </w:pPr>
            <w:r>
              <w:t xml:space="preserve">Terry Barr Sales </w:t>
            </w:r>
          </w:p>
        </w:tc>
      </w:tr>
      <w:tr w:rsidR="00727498" w:rsidTr="00F40FA3">
        <w:tc>
          <w:tcPr>
            <w:tcW w:w="5000" w:type="pct"/>
          </w:tcPr>
          <w:p w:rsidR="00727498" w:rsidRDefault="00727498" w:rsidP="00F40FA3">
            <w:pPr>
              <w:pStyle w:val="TableBodyText"/>
              <w:spacing w:line="240" w:lineRule="exact"/>
              <w:ind w:right="28"/>
              <w:jc w:val="left"/>
            </w:pPr>
            <w:r>
              <w:t xml:space="preserve">University of Michigan, Transportation Research Institute </w:t>
            </w:r>
          </w:p>
        </w:tc>
      </w:tr>
      <w:tr w:rsidR="00727498" w:rsidTr="00F40FA3">
        <w:tc>
          <w:tcPr>
            <w:tcW w:w="5000" w:type="pct"/>
          </w:tcPr>
          <w:p w:rsidR="00727498" w:rsidRDefault="00727498" w:rsidP="00F40FA3">
            <w:pPr>
              <w:pStyle w:val="TableBodyText"/>
              <w:spacing w:line="240" w:lineRule="exact"/>
              <w:ind w:right="28"/>
              <w:jc w:val="left"/>
            </w:pPr>
            <w:r>
              <w:t xml:space="preserve">United States Treasury, Office of Financial Stability </w:t>
            </w:r>
          </w:p>
        </w:tc>
      </w:tr>
      <w:tr w:rsidR="00727498" w:rsidTr="002F70AF">
        <w:tc>
          <w:tcPr>
            <w:tcW w:w="5000" w:type="pct"/>
            <w:tcBorders>
              <w:bottom w:val="single" w:sz="6" w:space="0" w:color="auto"/>
            </w:tcBorders>
            <w:shd w:val="clear" w:color="auto" w:fill="auto"/>
          </w:tcPr>
          <w:p w:rsidR="00727498" w:rsidRDefault="00727498" w:rsidP="00F40FA3">
            <w:pPr>
              <w:pStyle w:val="TableBodyText"/>
              <w:spacing w:line="240" w:lineRule="exact"/>
              <w:ind w:right="28"/>
              <w:jc w:val="left"/>
            </w:pPr>
            <w:r>
              <w:t>U.S. Department of Commerce</w:t>
            </w:r>
          </w:p>
        </w:tc>
      </w:tr>
    </w:tbl>
    <w:p w:rsidR="00727498" w:rsidRDefault="00727498" w:rsidP="00BB4BEB">
      <w:pPr>
        <w:keepNext/>
        <w:keepLines/>
        <w:spacing w:before="360" w:after="80" w:line="280" w:lineRule="exact"/>
        <w:ind w:left="1474" w:hanging="1474"/>
        <w:rPr>
          <w:rFonts w:ascii="Arial" w:hAnsi="Arial"/>
          <w:sz w:val="24"/>
        </w:rPr>
      </w:pPr>
    </w:p>
    <w:p w:rsidR="00727498" w:rsidRDefault="00727498" w:rsidP="00D250DD">
      <w:pPr>
        <w:pStyle w:val="BodyText"/>
      </w:pPr>
      <w:r>
        <w:br w:type="page"/>
      </w:r>
    </w:p>
    <w:p w:rsidR="00727498" w:rsidRPr="0005383F" w:rsidRDefault="00727498" w:rsidP="00BB4BEB">
      <w:pPr>
        <w:keepNext/>
        <w:keepLines/>
        <w:spacing w:before="360" w:after="80" w:line="280" w:lineRule="exact"/>
        <w:ind w:left="1474" w:hanging="1474"/>
        <w:rPr>
          <w:rFonts w:ascii="Arial" w:hAnsi="Arial"/>
          <w:sz w:val="24"/>
        </w:rPr>
      </w:pPr>
      <w:r w:rsidRPr="0005383F">
        <w:rPr>
          <w:rFonts w:ascii="Arial" w:hAnsi="Arial"/>
          <w:sz w:val="24"/>
        </w:rPr>
        <w:lastRenderedPageBreak/>
        <w:t xml:space="preserve">Table </w:t>
      </w:r>
      <w:proofErr w:type="spellStart"/>
      <w:r w:rsidRPr="0005383F">
        <w:rPr>
          <w:rFonts w:ascii="Arial" w:hAnsi="Arial"/>
          <w:sz w:val="24"/>
        </w:rPr>
        <w:t>A.</w:t>
      </w:r>
      <w:r>
        <w:rPr>
          <w:rFonts w:ascii="Arial" w:hAnsi="Arial"/>
          <w:sz w:val="24"/>
        </w:rPr>
        <w:t>4</w:t>
      </w:r>
      <w:proofErr w:type="spellEnd"/>
      <w:r w:rsidRPr="0005383F">
        <w:rPr>
          <w:rFonts w:ascii="Arial" w:hAnsi="Arial"/>
          <w:b/>
          <w:sz w:val="24"/>
        </w:rPr>
        <w:tab/>
        <w:t xml:space="preserve">Public hearings </w:t>
      </w:r>
    </w:p>
    <w:tbl>
      <w:tblPr>
        <w:tblW w:w="8820" w:type="dxa"/>
        <w:tblLayout w:type="fixed"/>
        <w:tblCellMar>
          <w:left w:w="0" w:type="dxa"/>
          <w:right w:w="0" w:type="dxa"/>
        </w:tblCellMar>
        <w:tblLook w:val="0000" w:firstRow="0" w:lastRow="0" w:firstColumn="0" w:lastColumn="0" w:noHBand="0" w:noVBand="0"/>
      </w:tblPr>
      <w:tblGrid>
        <w:gridCol w:w="7513"/>
        <w:gridCol w:w="1307"/>
      </w:tblGrid>
      <w:tr w:rsidR="00727498" w:rsidRPr="0005383F" w:rsidTr="006253AD">
        <w:tc>
          <w:tcPr>
            <w:tcW w:w="8820" w:type="dxa"/>
            <w:gridSpan w:val="2"/>
            <w:tcBorders>
              <w:top w:val="single" w:sz="6" w:space="0" w:color="auto"/>
              <w:bottom w:val="single" w:sz="6" w:space="0" w:color="auto"/>
            </w:tcBorders>
            <w:shd w:val="clear" w:color="auto" w:fill="auto"/>
          </w:tcPr>
          <w:p w:rsidR="00727498" w:rsidRPr="0005383F" w:rsidRDefault="00727498" w:rsidP="00F40FA3">
            <w:pPr>
              <w:keepNext/>
              <w:keepLines/>
              <w:tabs>
                <w:tab w:val="right" w:pos="8789"/>
              </w:tabs>
              <w:spacing w:before="80" w:after="80" w:line="240" w:lineRule="exact"/>
              <w:ind w:left="6" w:right="28"/>
              <w:rPr>
                <w:rFonts w:ascii="Arial" w:hAnsi="Arial"/>
                <w:i/>
                <w:sz w:val="20"/>
                <w:szCs w:val="20"/>
              </w:rPr>
            </w:pPr>
            <w:r w:rsidRPr="0005383F">
              <w:rPr>
                <w:rFonts w:ascii="Arial" w:hAnsi="Arial"/>
                <w:i/>
                <w:sz w:val="20"/>
                <w:szCs w:val="20"/>
              </w:rPr>
              <w:t>Individual or organisation</w:t>
            </w:r>
            <w:r w:rsidRPr="0005383F">
              <w:rPr>
                <w:rFonts w:ascii="Arial" w:hAnsi="Arial"/>
                <w:i/>
                <w:sz w:val="20"/>
                <w:szCs w:val="20"/>
              </w:rPr>
              <w:tab/>
              <w:t>Transcript page numbers</w:t>
            </w:r>
          </w:p>
        </w:tc>
      </w:tr>
      <w:tr w:rsidR="00727498" w:rsidRPr="0005383F" w:rsidTr="002F70AF">
        <w:tc>
          <w:tcPr>
            <w:tcW w:w="7513" w:type="dxa"/>
            <w:tcBorders>
              <w:top w:val="single" w:sz="6" w:space="0" w:color="auto"/>
            </w:tcBorders>
          </w:tcPr>
          <w:p w:rsidR="00727498" w:rsidRPr="0005383F" w:rsidRDefault="00727498" w:rsidP="00F40FA3">
            <w:pPr>
              <w:keepNext/>
              <w:keepLines/>
              <w:spacing w:before="40" w:after="40" w:line="240" w:lineRule="exact"/>
              <w:ind w:left="6" w:right="28"/>
              <w:rPr>
                <w:rFonts w:ascii="Arial" w:hAnsi="Arial"/>
                <w:b/>
                <w:i/>
                <w:sz w:val="20"/>
                <w:szCs w:val="20"/>
              </w:rPr>
            </w:pPr>
            <w:r w:rsidRPr="0005383F">
              <w:rPr>
                <w:rFonts w:ascii="Arial" w:hAnsi="Arial"/>
                <w:b/>
                <w:i/>
                <w:sz w:val="20"/>
                <w:szCs w:val="20"/>
              </w:rPr>
              <w:t>Adelaide</w:t>
            </w:r>
            <w:r>
              <w:rPr>
                <w:rFonts w:ascii="Arial" w:hAnsi="Arial"/>
                <w:b/>
                <w:i/>
                <w:sz w:val="20"/>
                <w:szCs w:val="20"/>
              </w:rPr>
              <w:t xml:space="preserve"> — </w:t>
            </w:r>
            <w:r w:rsidRPr="0005383F">
              <w:rPr>
                <w:rFonts w:ascii="Arial" w:hAnsi="Arial"/>
                <w:b/>
                <w:i/>
                <w:sz w:val="20"/>
                <w:szCs w:val="20"/>
              </w:rPr>
              <w:t>2 December 2013</w:t>
            </w:r>
          </w:p>
        </w:tc>
        <w:tc>
          <w:tcPr>
            <w:tcW w:w="1307" w:type="dxa"/>
            <w:tcBorders>
              <w:top w:val="single" w:sz="6" w:space="0" w:color="auto"/>
            </w:tcBorders>
          </w:tcPr>
          <w:p w:rsidR="00727498" w:rsidRPr="0005383F" w:rsidRDefault="00727498" w:rsidP="00F40FA3">
            <w:pPr>
              <w:keepNext/>
              <w:keepLines/>
              <w:spacing w:before="40" w:after="40" w:line="240" w:lineRule="exact"/>
              <w:ind w:left="6" w:right="28"/>
              <w:rPr>
                <w:rFonts w:ascii="Arial" w:hAnsi="Arial"/>
                <w:b/>
                <w:i/>
                <w:sz w:val="20"/>
                <w:szCs w:val="20"/>
              </w:rPr>
            </w:pPr>
          </w:p>
        </w:tc>
      </w:tr>
      <w:tr w:rsidR="00727498" w:rsidRPr="0005383F" w:rsidTr="006253AD">
        <w:tc>
          <w:tcPr>
            <w:tcW w:w="7513" w:type="dxa"/>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Australian Workplace Innovation and Social Research Centre, The University of Adelaide</w:t>
            </w:r>
          </w:p>
        </w:tc>
        <w:tc>
          <w:tcPr>
            <w:tcW w:w="1307" w:type="dxa"/>
          </w:tcPr>
          <w:p w:rsidR="00727498" w:rsidRPr="0005383F" w:rsidRDefault="00727498" w:rsidP="00F40FA3">
            <w:pPr>
              <w:keepNext/>
              <w:keepLines/>
              <w:spacing w:after="40" w:line="240" w:lineRule="exact"/>
              <w:ind w:left="6"/>
              <w:jc w:val="right"/>
              <w:rPr>
                <w:rFonts w:ascii="Arial" w:hAnsi="Arial"/>
                <w:sz w:val="20"/>
                <w:szCs w:val="20"/>
              </w:rPr>
            </w:pPr>
            <w:r>
              <w:rPr>
                <w:rFonts w:ascii="Arial" w:hAnsi="Arial" w:cs="Arial"/>
                <w:sz w:val="20"/>
                <w:szCs w:val="20"/>
              </w:rPr>
              <w:t>3–</w:t>
            </w:r>
            <w:r w:rsidRPr="008C4C1F">
              <w:rPr>
                <w:rFonts w:ascii="Arial" w:hAnsi="Arial" w:cs="Arial"/>
                <w:sz w:val="20"/>
                <w:szCs w:val="20"/>
              </w:rPr>
              <w:t>12</w:t>
            </w:r>
          </w:p>
        </w:tc>
      </w:tr>
      <w:tr w:rsidR="00727498" w:rsidRPr="0005383F" w:rsidTr="006253AD">
        <w:tc>
          <w:tcPr>
            <w:tcW w:w="7513" w:type="dxa"/>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South Australian Government </w:t>
            </w:r>
          </w:p>
        </w:tc>
        <w:tc>
          <w:tcPr>
            <w:tcW w:w="1307" w:type="dxa"/>
          </w:tcPr>
          <w:p w:rsidR="00727498" w:rsidRPr="008C4C1F" w:rsidRDefault="00727498" w:rsidP="00F40FA3">
            <w:pPr>
              <w:spacing w:after="40" w:line="240" w:lineRule="exact"/>
              <w:jc w:val="right"/>
              <w:rPr>
                <w:rFonts w:ascii="Arial" w:hAnsi="Arial" w:cs="Arial"/>
                <w:sz w:val="20"/>
                <w:szCs w:val="20"/>
              </w:rPr>
            </w:pPr>
            <w:r w:rsidRPr="008C4C1F">
              <w:rPr>
                <w:rFonts w:ascii="Arial" w:hAnsi="Arial" w:cs="Arial"/>
                <w:sz w:val="20"/>
                <w:szCs w:val="20"/>
              </w:rPr>
              <w:t>13</w:t>
            </w:r>
            <w:r>
              <w:rPr>
                <w:rFonts w:ascii="Arial" w:hAnsi="Arial" w:cs="Arial"/>
                <w:sz w:val="20"/>
                <w:szCs w:val="20"/>
              </w:rPr>
              <w:t>–</w:t>
            </w:r>
            <w:r w:rsidRPr="008C4C1F">
              <w:rPr>
                <w:rFonts w:ascii="Arial" w:hAnsi="Arial" w:cs="Arial"/>
                <w:sz w:val="20"/>
                <w:szCs w:val="20"/>
              </w:rPr>
              <w:t>25</w:t>
            </w:r>
          </w:p>
        </w:tc>
      </w:tr>
      <w:tr w:rsidR="00727498" w:rsidRPr="0005383F" w:rsidTr="006253AD">
        <w:tc>
          <w:tcPr>
            <w:tcW w:w="7513" w:type="dxa"/>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Australian Manufacturing Workers’ Union (</w:t>
            </w:r>
            <w:proofErr w:type="spellStart"/>
            <w:r>
              <w:rPr>
                <w:rFonts w:ascii="Arial" w:hAnsi="Arial"/>
                <w:sz w:val="20"/>
                <w:szCs w:val="20"/>
              </w:rPr>
              <w:t>AMWU</w:t>
            </w:r>
            <w:proofErr w:type="spellEnd"/>
            <w:r>
              <w:rPr>
                <w:rFonts w:ascii="Arial" w:hAnsi="Arial"/>
                <w:sz w:val="20"/>
                <w:szCs w:val="20"/>
              </w:rPr>
              <w:t>)</w:t>
            </w:r>
          </w:p>
        </w:tc>
        <w:tc>
          <w:tcPr>
            <w:tcW w:w="1307" w:type="dxa"/>
          </w:tcPr>
          <w:p w:rsidR="00727498" w:rsidRPr="008C4C1F" w:rsidRDefault="00727498" w:rsidP="00F40FA3">
            <w:pPr>
              <w:spacing w:after="40" w:line="240" w:lineRule="exact"/>
              <w:jc w:val="right"/>
              <w:rPr>
                <w:rFonts w:ascii="Arial" w:hAnsi="Arial" w:cs="Arial"/>
                <w:sz w:val="20"/>
                <w:szCs w:val="20"/>
              </w:rPr>
            </w:pPr>
            <w:r w:rsidRPr="008C4C1F">
              <w:rPr>
                <w:rFonts w:ascii="Arial" w:hAnsi="Arial" w:cs="Arial"/>
                <w:sz w:val="20"/>
                <w:szCs w:val="20"/>
              </w:rPr>
              <w:t>26</w:t>
            </w:r>
            <w:r>
              <w:rPr>
                <w:rFonts w:ascii="Arial" w:hAnsi="Arial" w:cs="Arial"/>
                <w:sz w:val="20"/>
                <w:szCs w:val="20"/>
              </w:rPr>
              <w:t>–</w:t>
            </w:r>
            <w:r w:rsidRPr="008C4C1F">
              <w:rPr>
                <w:rFonts w:ascii="Arial" w:hAnsi="Arial" w:cs="Arial"/>
                <w:sz w:val="20"/>
                <w:szCs w:val="20"/>
              </w:rPr>
              <w:t>37</w:t>
            </w:r>
          </w:p>
        </w:tc>
      </w:tr>
      <w:tr w:rsidR="00727498" w:rsidRPr="0005383F" w:rsidTr="006253AD">
        <w:tc>
          <w:tcPr>
            <w:tcW w:w="7513" w:type="dxa"/>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Australian Automotive Aftermarket Association (</w:t>
            </w:r>
            <w:proofErr w:type="spellStart"/>
            <w:r>
              <w:rPr>
                <w:rFonts w:ascii="Arial" w:hAnsi="Arial"/>
                <w:sz w:val="20"/>
                <w:szCs w:val="20"/>
              </w:rPr>
              <w:t>AAAA</w:t>
            </w:r>
            <w:proofErr w:type="spellEnd"/>
            <w:r>
              <w:rPr>
                <w:rFonts w:ascii="Arial" w:hAnsi="Arial"/>
                <w:sz w:val="20"/>
                <w:szCs w:val="20"/>
              </w:rPr>
              <w:t xml:space="preserve">) </w:t>
            </w:r>
          </w:p>
        </w:tc>
        <w:tc>
          <w:tcPr>
            <w:tcW w:w="1307" w:type="dxa"/>
          </w:tcPr>
          <w:p w:rsidR="00727498" w:rsidRPr="008C4C1F" w:rsidRDefault="00727498" w:rsidP="00F40FA3">
            <w:pPr>
              <w:spacing w:after="40" w:line="240" w:lineRule="exact"/>
              <w:jc w:val="right"/>
              <w:rPr>
                <w:rFonts w:ascii="Arial" w:hAnsi="Arial" w:cs="Arial"/>
                <w:sz w:val="20"/>
                <w:szCs w:val="20"/>
              </w:rPr>
            </w:pPr>
            <w:r>
              <w:rPr>
                <w:rFonts w:ascii="Arial" w:hAnsi="Arial" w:cs="Arial"/>
                <w:sz w:val="20"/>
                <w:szCs w:val="20"/>
              </w:rPr>
              <w:t>38–47</w:t>
            </w:r>
          </w:p>
        </w:tc>
      </w:tr>
      <w:tr w:rsidR="00727498" w:rsidRPr="0005383F" w:rsidTr="006253AD">
        <w:tc>
          <w:tcPr>
            <w:tcW w:w="7513" w:type="dxa"/>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Professor Goran </w:t>
            </w:r>
            <w:proofErr w:type="spellStart"/>
            <w:r>
              <w:rPr>
                <w:rFonts w:ascii="Arial" w:hAnsi="Arial"/>
                <w:sz w:val="20"/>
                <w:szCs w:val="20"/>
              </w:rPr>
              <w:t>Roos</w:t>
            </w:r>
            <w:proofErr w:type="spellEnd"/>
            <w:r>
              <w:rPr>
                <w:rFonts w:ascii="Arial" w:hAnsi="Arial"/>
                <w:sz w:val="20"/>
                <w:szCs w:val="20"/>
              </w:rPr>
              <w:t xml:space="preserve"> </w:t>
            </w:r>
          </w:p>
        </w:tc>
        <w:tc>
          <w:tcPr>
            <w:tcW w:w="1307" w:type="dxa"/>
          </w:tcPr>
          <w:p w:rsidR="00727498" w:rsidRPr="008C4C1F" w:rsidRDefault="00727498" w:rsidP="00F40FA3">
            <w:pPr>
              <w:spacing w:after="40" w:line="240" w:lineRule="exact"/>
              <w:jc w:val="right"/>
              <w:rPr>
                <w:rFonts w:ascii="Arial" w:hAnsi="Arial" w:cs="Arial"/>
                <w:sz w:val="20"/>
                <w:szCs w:val="20"/>
              </w:rPr>
            </w:pPr>
            <w:r>
              <w:rPr>
                <w:rFonts w:ascii="Arial" w:hAnsi="Arial" w:cs="Arial"/>
                <w:sz w:val="20"/>
                <w:szCs w:val="20"/>
              </w:rPr>
              <w:t>48–68</w:t>
            </w:r>
          </w:p>
        </w:tc>
      </w:tr>
      <w:tr w:rsidR="00727498" w:rsidRPr="0005383F" w:rsidTr="006253AD">
        <w:tc>
          <w:tcPr>
            <w:tcW w:w="7513" w:type="dxa"/>
          </w:tcPr>
          <w:p w:rsidR="00727498" w:rsidRPr="0005383F" w:rsidRDefault="00727498" w:rsidP="00F40FA3">
            <w:pPr>
              <w:keepNext/>
              <w:keepLines/>
              <w:spacing w:before="240" w:after="40" w:line="240" w:lineRule="exact"/>
              <w:ind w:left="6" w:right="28"/>
              <w:rPr>
                <w:rFonts w:ascii="Arial" w:hAnsi="Arial"/>
                <w:b/>
                <w:i/>
                <w:sz w:val="20"/>
                <w:szCs w:val="20"/>
              </w:rPr>
            </w:pPr>
            <w:r>
              <w:rPr>
                <w:rFonts w:ascii="Arial" w:hAnsi="Arial"/>
                <w:b/>
                <w:i/>
                <w:sz w:val="20"/>
                <w:szCs w:val="20"/>
              </w:rPr>
              <w:t>Melbourne</w:t>
            </w:r>
            <w:r w:rsidRPr="0005383F">
              <w:rPr>
                <w:rFonts w:ascii="Arial" w:hAnsi="Arial"/>
                <w:b/>
                <w:i/>
                <w:sz w:val="20"/>
                <w:szCs w:val="20"/>
              </w:rPr>
              <w:t xml:space="preserve"> </w:t>
            </w:r>
            <w:r>
              <w:rPr>
                <w:rFonts w:ascii="Arial" w:hAnsi="Arial"/>
                <w:b/>
                <w:i/>
                <w:sz w:val="20"/>
                <w:szCs w:val="20"/>
              </w:rPr>
              <w:t xml:space="preserve">— </w:t>
            </w:r>
            <w:r w:rsidRPr="0005383F">
              <w:rPr>
                <w:rFonts w:ascii="Arial" w:hAnsi="Arial"/>
                <w:b/>
                <w:i/>
                <w:sz w:val="20"/>
                <w:szCs w:val="20"/>
              </w:rPr>
              <w:t>3 December 2013</w:t>
            </w:r>
          </w:p>
        </w:tc>
        <w:tc>
          <w:tcPr>
            <w:tcW w:w="1307" w:type="dxa"/>
          </w:tcPr>
          <w:p w:rsidR="00727498" w:rsidRPr="008C4C1F" w:rsidRDefault="00727498" w:rsidP="00F40FA3">
            <w:pPr>
              <w:keepNext/>
              <w:keepLines/>
              <w:spacing w:before="240" w:after="40" w:line="240" w:lineRule="exact"/>
              <w:ind w:left="6"/>
              <w:jc w:val="right"/>
              <w:rPr>
                <w:rFonts w:ascii="Arial" w:hAnsi="Arial" w:cs="Arial"/>
                <w:sz w:val="20"/>
                <w:szCs w:val="20"/>
              </w:rPr>
            </w:pPr>
          </w:p>
        </w:tc>
      </w:tr>
      <w:tr w:rsidR="00727498" w:rsidRPr="0005383F" w:rsidTr="006253AD">
        <w:tc>
          <w:tcPr>
            <w:tcW w:w="7513" w:type="dxa"/>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Australian Industry Group </w:t>
            </w:r>
          </w:p>
        </w:tc>
        <w:tc>
          <w:tcPr>
            <w:tcW w:w="1307" w:type="dxa"/>
          </w:tcPr>
          <w:p w:rsidR="00727498" w:rsidRPr="008C4C1F" w:rsidRDefault="00727498" w:rsidP="00F40FA3">
            <w:pPr>
              <w:spacing w:after="40" w:line="240" w:lineRule="exact"/>
              <w:jc w:val="right"/>
              <w:rPr>
                <w:rFonts w:ascii="Arial" w:hAnsi="Arial" w:cs="Arial"/>
                <w:sz w:val="20"/>
                <w:szCs w:val="20"/>
              </w:rPr>
            </w:pPr>
            <w:r>
              <w:rPr>
                <w:rFonts w:ascii="Arial" w:hAnsi="Arial" w:cs="Arial"/>
                <w:sz w:val="20"/>
                <w:szCs w:val="20"/>
              </w:rPr>
              <w:t>72–82</w:t>
            </w:r>
          </w:p>
        </w:tc>
      </w:tr>
      <w:tr w:rsidR="00727498" w:rsidRPr="0005383F" w:rsidTr="006253AD">
        <w:tc>
          <w:tcPr>
            <w:tcW w:w="7513" w:type="dxa"/>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Palm Products </w:t>
            </w:r>
          </w:p>
        </w:tc>
        <w:tc>
          <w:tcPr>
            <w:tcW w:w="1307" w:type="dxa"/>
          </w:tcPr>
          <w:p w:rsidR="00727498" w:rsidRPr="008C4C1F" w:rsidRDefault="00727498" w:rsidP="00F40FA3">
            <w:pPr>
              <w:spacing w:after="40" w:line="240" w:lineRule="exact"/>
              <w:jc w:val="right"/>
              <w:rPr>
                <w:rFonts w:ascii="Arial" w:hAnsi="Arial" w:cs="Arial"/>
                <w:sz w:val="20"/>
                <w:szCs w:val="20"/>
              </w:rPr>
            </w:pPr>
            <w:r>
              <w:rPr>
                <w:rFonts w:ascii="Arial" w:hAnsi="Arial" w:cs="Arial"/>
                <w:sz w:val="20"/>
                <w:szCs w:val="20"/>
              </w:rPr>
              <w:t>83–89</w:t>
            </w:r>
          </w:p>
        </w:tc>
      </w:tr>
      <w:tr w:rsidR="00727498" w:rsidRPr="0005383F" w:rsidTr="006253AD">
        <w:tc>
          <w:tcPr>
            <w:tcW w:w="7513" w:type="dxa"/>
          </w:tcPr>
          <w:p w:rsidR="00727498" w:rsidRPr="0005383F" w:rsidRDefault="00727498" w:rsidP="00F40FA3">
            <w:pPr>
              <w:keepNext/>
              <w:keepLines/>
              <w:spacing w:after="40" w:line="240" w:lineRule="exact"/>
              <w:ind w:left="6" w:right="113"/>
              <w:rPr>
                <w:rFonts w:ascii="Arial" w:hAnsi="Arial"/>
                <w:sz w:val="20"/>
                <w:szCs w:val="20"/>
              </w:rPr>
            </w:pPr>
            <w:proofErr w:type="spellStart"/>
            <w:r>
              <w:rPr>
                <w:rFonts w:ascii="Arial" w:hAnsi="Arial"/>
                <w:sz w:val="20"/>
                <w:szCs w:val="20"/>
              </w:rPr>
              <w:t>BuyAustralianMade</w:t>
            </w:r>
            <w:proofErr w:type="spellEnd"/>
            <w:r>
              <w:rPr>
                <w:rFonts w:ascii="Arial" w:hAnsi="Arial"/>
                <w:sz w:val="20"/>
                <w:szCs w:val="20"/>
              </w:rPr>
              <w:t xml:space="preserve"> </w:t>
            </w:r>
          </w:p>
        </w:tc>
        <w:tc>
          <w:tcPr>
            <w:tcW w:w="1307" w:type="dxa"/>
          </w:tcPr>
          <w:p w:rsidR="00727498" w:rsidRPr="008C4C1F" w:rsidRDefault="00727498" w:rsidP="00F40FA3">
            <w:pPr>
              <w:spacing w:after="40" w:line="240" w:lineRule="exact"/>
              <w:jc w:val="right"/>
              <w:rPr>
                <w:rFonts w:ascii="Arial" w:hAnsi="Arial" w:cs="Arial"/>
                <w:sz w:val="20"/>
                <w:szCs w:val="20"/>
              </w:rPr>
            </w:pPr>
            <w:r>
              <w:rPr>
                <w:rFonts w:ascii="Arial" w:hAnsi="Arial" w:cs="Arial"/>
                <w:sz w:val="20"/>
                <w:szCs w:val="20"/>
              </w:rPr>
              <w:t>90–94</w:t>
            </w:r>
          </w:p>
        </w:tc>
      </w:tr>
      <w:tr w:rsidR="00727498" w:rsidRPr="0005383F" w:rsidTr="006253AD">
        <w:tc>
          <w:tcPr>
            <w:tcW w:w="7513" w:type="dxa"/>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Federation of Automotive Products Manufacturers (</w:t>
            </w:r>
            <w:proofErr w:type="spellStart"/>
            <w:r>
              <w:rPr>
                <w:rFonts w:ascii="Arial" w:hAnsi="Arial"/>
                <w:sz w:val="20"/>
                <w:szCs w:val="20"/>
              </w:rPr>
              <w:t>FAPM</w:t>
            </w:r>
            <w:proofErr w:type="spellEnd"/>
            <w:r>
              <w:rPr>
                <w:rFonts w:ascii="Arial" w:hAnsi="Arial"/>
                <w:sz w:val="20"/>
                <w:szCs w:val="20"/>
              </w:rPr>
              <w:t xml:space="preserve">) </w:t>
            </w:r>
          </w:p>
        </w:tc>
        <w:tc>
          <w:tcPr>
            <w:tcW w:w="1307" w:type="dxa"/>
          </w:tcPr>
          <w:p w:rsidR="00727498" w:rsidRPr="008C4C1F" w:rsidRDefault="00727498" w:rsidP="00F40FA3">
            <w:pPr>
              <w:spacing w:after="40" w:line="240" w:lineRule="exact"/>
              <w:jc w:val="right"/>
              <w:rPr>
                <w:rFonts w:ascii="Arial" w:hAnsi="Arial" w:cs="Arial"/>
                <w:sz w:val="20"/>
                <w:szCs w:val="20"/>
              </w:rPr>
            </w:pPr>
            <w:r>
              <w:rPr>
                <w:rFonts w:ascii="Arial" w:hAnsi="Arial" w:cs="Arial"/>
                <w:sz w:val="20"/>
                <w:szCs w:val="20"/>
              </w:rPr>
              <w:t>95–112</w:t>
            </w:r>
          </w:p>
        </w:tc>
      </w:tr>
      <w:tr w:rsidR="00727498" w:rsidRPr="0005383F" w:rsidTr="006253AD">
        <w:tc>
          <w:tcPr>
            <w:tcW w:w="7513" w:type="dxa"/>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Diver Consolidated Industries </w:t>
            </w:r>
          </w:p>
        </w:tc>
        <w:tc>
          <w:tcPr>
            <w:tcW w:w="1307" w:type="dxa"/>
          </w:tcPr>
          <w:p w:rsidR="00727498" w:rsidRPr="008C4C1F" w:rsidRDefault="00727498" w:rsidP="00F40FA3">
            <w:pPr>
              <w:spacing w:after="40" w:line="240" w:lineRule="exact"/>
              <w:jc w:val="right"/>
              <w:rPr>
                <w:rFonts w:ascii="Arial" w:hAnsi="Arial" w:cs="Arial"/>
                <w:sz w:val="20"/>
                <w:szCs w:val="20"/>
              </w:rPr>
            </w:pPr>
            <w:r>
              <w:rPr>
                <w:rFonts w:ascii="Arial" w:hAnsi="Arial" w:cs="Arial"/>
                <w:sz w:val="20"/>
                <w:szCs w:val="20"/>
              </w:rPr>
              <w:t>113–117</w:t>
            </w:r>
          </w:p>
        </w:tc>
      </w:tr>
      <w:tr w:rsidR="00727498" w:rsidRPr="0005383F" w:rsidTr="006253AD">
        <w:tc>
          <w:tcPr>
            <w:tcW w:w="7513" w:type="dxa"/>
          </w:tcPr>
          <w:p w:rsidR="00727498" w:rsidRPr="0005383F" w:rsidRDefault="00727498" w:rsidP="00F40FA3">
            <w:pPr>
              <w:keepNext/>
              <w:keepLines/>
              <w:spacing w:after="40" w:line="240" w:lineRule="exact"/>
              <w:ind w:left="6" w:right="113"/>
              <w:rPr>
                <w:rFonts w:ascii="Arial" w:hAnsi="Arial"/>
                <w:sz w:val="20"/>
                <w:szCs w:val="20"/>
              </w:rPr>
            </w:pPr>
            <w:proofErr w:type="spellStart"/>
            <w:r>
              <w:rPr>
                <w:rFonts w:ascii="Arial" w:hAnsi="Arial"/>
                <w:sz w:val="20"/>
                <w:szCs w:val="20"/>
              </w:rPr>
              <w:t>MTM</w:t>
            </w:r>
            <w:proofErr w:type="spellEnd"/>
            <w:r>
              <w:rPr>
                <w:rFonts w:ascii="Arial" w:hAnsi="Arial"/>
                <w:sz w:val="20"/>
                <w:szCs w:val="20"/>
              </w:rPr>
              <w:t xml:space="preserve"> Pty Ltd and </w:t>
            </w:r>
            <w:proofErr w:type="spellStart"/>
            <w:r>
              <w:rPr>
                <w:rFonts w:ascii="Arial" w:hAnsi="Arial"/>
                <w:sz w:val="20"/>
                <w:szCs w:val="20"/>
              </w:rPr>
              <w:t>Tomcar</w:t>
            </w:r>
            <w:proofErr w:type="spellEnd"/>
            <w:r>
              <w:rPr>
                <w:rFonts w:ascii="Arial" w:hAnsi="Arial"/>
                <w:sz w:val="20"/>
                <w:szCs w:val="20"/>
              </w:rPr>
              <w:t xml:space="preserve"> Australia </w:t>
            </w:r>
          </w:p>
        </w:tc>
        <w:tc>
          <w:tcPr>
            <w:tcW w:w="1307" w:type="dxa"/>
          </w:tcPr>
          <w:p w:rsidR="00727498" w:rsidRPr="008C4C1F" w:rsidRDefault="00727498" w:rsidP="00F40FA3">
            <w:pPr>
              <w:spacing w:after="40" w:line="240" w:lineRule="exact"/>
              <w:jc w:val="right"/>
              <w:rPr>
                <w:rFonts w:ascii="Arial" w:hAnsi="Arial" w:cs="Arial"/>
                <w:sz w:val="20"/>
                <w:szCs w:val="20"/>
              </w:rPr>
            </w:pPr>
            <w:r>
              <w:rPr>
                <w:rFonts w:ascii="Arial" w:hAnsi="Arial" w:cs="Arial"/>
                <w:sz w:val="20"/>
                <w:szCs w:val="20"/>
              </w:rPr>
              <w:t>118–128</w:t>
            </w:r>
          </w:p>
        </w:tc>
      </w:tr>
      <w:tr w:rsidR="00727498" w:rsidRPr="0005383F" w:rsidTr="006253AD">
        <w:tc>
          <w:tcPr>
            <w:tcW w:w="7513" w:type="dxa"/>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Australian Productivity Council </w:t>
            </w:r>
          </w:p>
        </w:tc>
        <w:tc>
          <w:tcPr>
            <w:tcW w:w="1307" w:type="dxa"/>
          </w:tcPr>
          <w:p w:rsidR="00727498" w:rsidRPr="008C4C1F" w:rsidRDefault="00727498" w:rsidP="00F40FA3">
            <w:pPr>
              <w:spacing w:after="40" w:line="240" w:lineRule="exact"/>
              <w:jc w:val="right"/>
              <w:rPr>
                <w:rFonts w:ascii="Arial" w:hAnsi="Arial" w:cs="Arial"/>
                <w:sz w:val="20"/>
                <w:szCs w:val="20"/>
              </w:rPr>
            </w:pPr>
            <w:r>
              <w:rPr>
                <w:rFonts w:ascii="Arial" w:hAnsi="Arial" w:cs="Arial"/>
                <w:sz w:val="20"/>
                <w:szCs w:val="20"/>
              </w:rPr>
              <w:t>129–134</w:t>
            </w:r>
          </w:p>
        </w:tc>
      </w:tr>
      <w:tr w:rsidR="00727498" w:rsidRPr="0005383F" w:rsidTr="006253AD">
        <w:tc>
          <w:tcPr>
            <w:tcW w:w="7513" w:type="dxa"/>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Society of Automotive Engineers Australasia </w:t>
            </w:r>
          </w:p>
        </w:tc>
        <w:tc>
          <w:tcPr>
            <w:tcW w:w="1307" w:type="dxa"/>
          </w:tcPr>
          <w:p w:rsidR="00727498" w:rsidRPr="008C4C1F" w:rsidRDefault="00727498" w:rsidP="00F40FA3">
            <w:pPr>
              <w:spacing w:after="40" w:line="240" w:lineRule="exact"/>
              <w:jc w:val="right"/>
              <w:rPr>
                <w:rFonts w:ascii="Arial" w:hAnsi="Arial" w:cs="Arial"/>
                <w:sz w:val="20"/>
                <w:szCs w:val="20"/>
              </w:rPr>
            </w:pPr>
            <w:r>
              <w:rPr>
                <w:rFonts w:ascii="Arial" w:hAnsi="Arial" w:cs="Arial"/>
                <w:sz w:val="20"/>
                <w:szCs w:val="20"/>
              </w:rPr>
              <w:t>135–140</w:t>
            </w:r>
          </w:p>
        </w:tc>
      </w:tr>
      <w:tr w:rsidR="00727498" w:rsidRPr="0005383F" w:rsidTr="006253AD">
        <w:tc>
          <w:tcPr>
            <w:tcW w:w="7513" w:type="dxa"/>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Australian Manufacturing Workers’ Union (</w:t>
            </w:r>
            <w:proofErr w:type="spellStart"/>
            <w:r>
              <w:rPr>
                <w:rFonts w:ascii="Arial" w:hAnsi="Arial"/>
                <w:sz w:val="20"/>
                <w:szCs w:val="20"/>
              </w:rPr>
              <w:t>AMWU</w:t>
            </w:r>
            <w:proofErr w:type="spellEnd"/>
            <w:r>
              <w:rPr>
                <w:rFonts w:ascii="Arial" w:hAnsi="Arial"/>
                <w:sz w:val="20"/>
                <w:szCs w:val="20"/>
              </w:rPr>
              <w:t xml:space="preserve">) </w:t>
            </w:r>
          </w:p>
        </w:tc>
        <w:tc>
          <w:tcPr>
            <w:tcW w:w="1307" w:type="dxa"/>
          </w:tcPr>
          <w:p w:rsidR="00727498" w:rsidRPr="008C4C1F" w:rsidRDefault="00727498" w:rsidP="00F40FA3">
            <w:pPr>
              <w:spacing w:after="40" w:line="240" w:lineRule="exact"/>
              <w:jc w:val="right"/>
              <w:rPr>
                <w:rFonts w:ascii="Arial" w:hAnsi="Arial" w:cs="Arial"/>
                <w:sz w:val="20"/>
                <w:szCs w:val="20"/>
              </w:rPr>
            </w:pPr>
            <w:r>
              <w:rPr>
                <w:rFonts w:ascii="Arial" w:hAnsi="Arial" w:cs="Arial"/>
                <w:sz w:val="20"/>
                <w:szCs w:val="20"/>
              </w:rPr>
              <w:t>141–151</w:t>
            </w:r>
          </w:p>
        </w:tc>
      </w:tr>
      <w:tr w:rsidR="00727498" w:rsidRPr="0005383F" w:rsidTr="006253AD">
        <w:tc>
          <w:tcPr>
            <w:tcW w:w="7513" w:type="dxa"/>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Federal Chamber of Automotive Industries (</w:t>
            </w:r>
            <w:proofErr w:type="spellStart"/>
            <w:r>
              <w:rPr>
                <w:rFonts w:ascii="Arial" w:hAnsi="Arial"/>
                <w:sz w:val="20"/>
                <w:szCs w:val="20"/>
              </w:rPr>
              <w:t>FCAI</w:t>
            </w:r>
            <w:proofErr w:type="spellEnd"/>
            <w:r>
              <w:rPr>
                <w:rFonts w:ascii="Arial" w:hAnsi="Arial"/>
                <w:sz w:val="20"/>
                <w:szCs w:val="20"/>
              </w:rPr>
              <w:t xml:space="preserve">) </w:t>
            </w:r>
          </w:p>
        </w:tc>
        <w:tc>
          <w:tcPr>
            <w:tcW w:w="1307" w:type="dxa"/>
          </w:tcPr>
          <w:p w:rsidR="00727498" w:rsidRPr="008C4C1F" w:rsidRDefault="00727498" w:rsidP="00F40FA3">
            <w:pPr>
              <w:spacing w:after="40" w:line="240" w:lineRule="exact"/>
              <w:jc w:val="right"/>
              <w:rPr>
                <w:rFonts w:ascii="Arial" w:hAnsi="Arial" w:cs="Arial"/>
                <w:sz w:val="20"/>
                <w:szCs w:val="20"/>
              </w:rPr>
            </w:pPr>
            <w:r>
              <w:rPr>
                <w:rFonts w:ascii="Arial" w:hAnsi="Arial" w:cs="Arial"/>
                <w:sz w:val="20"/>
                <w:szCs w:val="20"/>
              </w:rPr>
              <w:t>152–160</w:t>
            </w:r>
          </w:p>
        </w:tc>
      </w:tr>
      <w:tr w:rsidR="00727498" w:rsidRPr="0005383F" w:rsidTr="006253AD">
        <w:tc>
          <w:tcPr>
            <w:tcW w:w="7513" w:type="dxa"/>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Toyota Australia </w:t>
            </w:r>
          </w:p>
        </w:tc>
        <w:tc>
          <w:tcPr>
            <w:tcW w:w="1307" w:type="dxa"/>
          </w:tcPr>
          <w:p w:rsidR="00727498" w:rsidRPr="008C4C1F" w:rsidRDefault="00727498" w:rsidP="00F40FA3">
            <w:pPr>
              <w:spacing w:after="40" w:line="240" w:lineRule="exact"/>
              <w:jc w:val="right"/>
              <w:rPr>
                <w:rFonts w:ascii="Arial" w:hAnsi="Arial" w:cs="Arial"/>
                <w:sz w:val="20"/>
                <w:szCs w:val="20"/>
              </w:rPr>
            </w:pPr>
            <w:r>
              <w:rPr>
                <w:rFonts w:ascii="Arial" w:hAnsi="Arial" w:cs="Arial"/>
                <w:sz w:val="20"/>
                <w:szCs w:val="20"/>
              </w:rPr>
              <w:t>161–173</w:t>
            </w:r>
          </w:p>
        </w:tc>
      </w:tr>
      <w:tr w:rsidR="00727498" w:rsidRPr="0005383F" w:rsidTr="006253AD">
        <w:tc>
          <w:tcPr>
            <w:tcW w:w="7513" w:type="dxa"/>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Frank Will </w:t>
            </w:r>
          </w:p>
        </w:tc>
        <w:tc>
          <w:tcPr>
            <w:tcW w:w="1307" w:type="dxa"/>
          </w:tcPr>
          <w:p w:rsidR="00727498" w:rsidRPr="008C4C1F" w:rsidRDefault="00727498" w:rsidP="00F40FA3">
            <w:pPr>
              <w:spacing w:after="40" w:line="240" w:lineRule="exact"/>
              <w:jc w:val="right"/>
              <w:rPr>
                <w:rFonts w:ascii="Arial" w:hAnsi="Arial" w:cs="Arial"/>
                <w:sz w:val="20"/>
                <w:szCs w:val="20"/>
              </w:rPr>
            </w:pPr>
            <w:r>
              <w:rPr>
                <w:rFonts w:ascii="Arial" w:hAnsi="Arial" w:cs="Arial"/>
                <w:sz w:val="20"/>
                <w:szCs w:val="20"/>
              </w:rPr>
              <w:t>174–180</w:t>
            </w:r>
          </w:p>
        </w:tc>
      </w:tr>
      <w:tr w:rsidR="00727498" w:rsidRPr="0005383F" w:rsidTr="006253AD">
        <w:tc>
          <w:tcPr>
            <w:tcW w:w="7513" w:type="dxa"/>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Australasian Fleet Management Association </w:t>
            </w:r>
          </w:p>
        </w:tc>
        <w:tc>
          <w:tcPr>
            <w:tcW w:w="1307" w:type="dxa"/>
          </w:tcPr>
          <w:p w:rsidR="00727498" w:rsidRPr="008C4C1F" w:rsidRDefault="00727498" w:rsidP="00F40FA3">
            <w:pPr>
              <w:spacing w:after="40" w:line="240" w:lineRule="exact"/>
              <w:jc w:val="right"/>
              <w:rPr>
                <w:rFonts w:ascii="Arial" w:hAnsi="Arial" w:cs="Arial"/>
                <w:sz w:val="20"/>
                <w:szCs w:val="20"/>
              </w:rPr>
            </w:pPr>
            <w:r>
              <w:rPr>
                <w:rFonts w:ascii="Arial" w:hAnsi="Arial" w:cs="Arial"/>
                <w:sz w:val="20"/>
                <w:szCs w:val="20"/>
              </w:rPr>
              <w:t>181–187</w:t>
            </w:r>
          </w:p>
        </w:tc>
      </w:tr>
      <w:tr w:rsidR="00727498" w:rsidRPr="0005383F" w:rsidTr="006253AD">
        <w:tc>
          <w:tcPr>
            <w:tcW w:w="7513" w:type="dxa"/>
          </w:tcPr>
          <w:p w:rsidR="00727498" w:rsidRPr="0005383F" w:rsidRDefault="00727498" w:rsidP="00F40FA3">
            <w:pPr>
              <w:keepNext/>
              <w:keepLines/>
              <w:spacing w:after="40" w:line="240" w:lineRule="exact"/>
              <w:ind w:left="6" w:right="113"/>
              <w:rPr>
                <w:rFonts w:ascii="Arial" w:hAnsi="Arial"/>
                <w:sz w:val="20"/>
                <w:szCs w:val="20"/>
              </w:rPr>
            </w:pPr>
            <w:proofErr w:type="spellStart"/>
            <w:r>
              <w:rPr>
                <w:rFonts w:ascii="Arial" w:hAnsi="Arial"/>
                <w:sz w:val="20"/>
                <w:szCs w:val="20"/>
              </w:rPr>
              <w:t>PolyPacific</w:t>
            </w:r>
            <w:proofErr w:type="spellEnd"/>
            <w:r>
              <w:rPr>
                <w:rFonts w:ascii="Arial" w:hAnsi="Arial"/>
                <w:sz w:val="20"/>
                <w:szCs w:val="20"/>
              </w:rPr>
              <w:t xml:space="preserve"> Pty Ltd </w:t>
            </w:r>
          </w:p>
        </w:tc>
        <w:tc>
          <w:tcPr>
            <w:tcW w:w="1307" w:type="dxa"/>
          </w:tcPr>
          <w:p w:rsidR="00727498" w:rsidRPr="008C4C1F" w:rsidRDefault="00727498" w:rsidP="00F40FA3">
            <w:pPr>
              <w:spacing w:after="40" w:line="240" w:lineRule="exact"/>
              <w:jc w:val="right"/>
              <w:rPr>
                <w:rFonts w:ascii="Arial" w:hAnsi="Arial" w:cs="Arial"/>
                <w:sz w:val="20"/>
                <w:szCs w:val="20"/>
              </w:rPr>
            </w:pPr>
            <w:r>
              <w:rPr>
                <w:rFonts w:ascii="Arial" w:hAnsi="Arial" w:cs="Arial"/>
                <w:sz w:val="20"/>
                <w:szCs w:val="20"/>
              </w:rPr>
              <w:t>188–193</w:t>
            </w:r>
          </w:p>
        </w:tc>
      </w:tr>
      <w:tr w:rsidR="00727498" w:rsidRPr="0005383F" w:rsidTr="00D250DD">
        <w:tc>
          <w:tcPr>
            <w:tcW w:w="7513" w:type="dxa"/>
          </w:tcPr>
          <w:p w:rsidR="00727498" w:rsidRPr="0005383F" w:rsidRDefault="00727498" w:rsidP="00F40FA3">
            <w:pPr>
              <w:keepNext/>
              <w:keepLines/>
              <w:spacing w:before="240" w:after="40" w:line="240" w:lineRule="exact"/>
              <w:ind w:left="6" w:right="28"/>
              <w:rPr>
                <w:rFonts w:ascii="Arial" w:hAnsi="Arial"/>
                <w:b/>
                <w:i/>
                <w:sz w:val="20"/>
                <w:szCs w:val="20"/>
              </w:rPr>
            </w:pPr>
            <w:r>
              <w:rPr>
                <w:rFonts w:ascii="Arial" w:hAnsi="Arial"/>
                <w:b/>
                <w:i/>
                <w:sz w:val="20"/>
                <w:szCs w:val="20"/>
              </w:rPr>
              <w:t>Melbourne — 10</w:t>
            </w:r>
            <w:r w:rsidRPr="0005383F">
              <w:rPr>
                <w:rFonts w:ascii="Arial" w:hAnsi="Arial"/>
                <w:b/>
                <w:i/>
                <w:sz w:val="20"/>
                <w:szCs w:val="20"/>
              </w:rPr>
              <w:t xml:space="preserve"> December 2013</w:t>
            </w:r>
          </w:p>
        </w:tc>
        <w:tc>
          <w:tcPr>
            <w:tcW w:w="1307" w:type="dxa"/>
          </w:tcPr>
          <w:p w:rsidR="00727498" w:rsidRPr="008C4C1F" w:rsidRDefault="00727498" w:rsidP="00F40FA3">
            <w:pPr>
              <w:keepNext/>
              <w:keepLines/>
              <w:spacing w:before="240" w:after="40" w:line="240" w:lineRule="exact"/>
              <w:ind w:left="6"/>
              <w:jc w:val="right"/>
              <w:rPr>
                <w:rFonts w:ascii="Arial" w:hAnsi="Arial" w:cs="Arial"/>
                <w:sz w:val="20"/>
                <w:szCs w:val="20"/>
              </w:rPr>
            </w:pPr>
          </w:p>
        </w:tc>
      </w:tr>
      <w:tr w:rsidR="00727498" w:rsidRPr="0005383F" w:rsidTr="002F70AF">
        <w:tc>
          <w:tcPr>
            <w:tcW w:w="7513" w:type="dxa"/>
            <w:tcBorders>
              <w:bottom w:val="single" w:sz="6" w:space="0" w:color="auto"/>
            </w:tcBorders>
          </w:tcPr>
          <w:p w:rsidR="00727498" w:rsidRPr="0005383F" w:rsidRDefault="00727498" w:rsidP="00F40FA3">
            <w:pPr>
              <w:keepNext/>
              <w:keepLines/>
              <w:spacing w:after="40" w:line="240" w:lineRule="exact"/>
              <w:ind w:left="6" w:right="113"/>
              <w:rPr>
                <w:rFonts w:ascii="Arial" w:hAnsi="Arial"/>
                <w:sz w:val="20"/>
                <w:szCs w:val="20"/>
              </w:rPr>
            </w:pPr>
            <w:r>
              <w:rPr>
                <w:rFonts w:ascii="Arial" w:hAnsi="Arial"/>
                <w:sz w:val="20"/>
                <w:szCs w:val="20"/>
              </w:rPr>
              <w:t xml:space="preserve">GM Holden Australia </w:t>
            </w:r>
          </w:p>
        </w:tc>
        <w:tc>
          <w:tcPr>
            <w:tcW w:w="1307" w:type="dxa"/>
            <w:tcBorders>
              <w:bottom w:val="single" w:sz="6" w:space="0" w:color="auto"/>
            </w:tcBorders>
          </w:tcPr>
          <w:p w:rsidR="00727498" w:rsidRPr="008C4C1F" w:rsidRDefault="00727498" w:rsidP="00F40FA3">
            <w:pPr>
              <w:spacing w:after="40" w:line="240" w:lineRule="exact"/>
              <w:jc w:val="right"/>
              <w:rPr>
                <w:rFonts w:ascii="Arial" w:hAnsi="Arial" w:cs="Arial"/>
                <w:sz w:val="20"/>
                <w:szCs w:val="20"/>
              </w:rPr>
            </w:pPr>
            <w:r>
              <w:rPr>
                <w:rFonts w:ascii="Arial" w:hAnsi="Arial" w:cs="Arial"/>
                <w:sz w:val="20"/>
                <w:szCs w:val="20"/>
              </w:rPr>
              <w:t>196–217</w:t>
            </w:r>
          </w:p>
        </w:tc>
      </w:tr>
    </w:tbl>
    <w:p w:rsidR="00727498" w:rsidRDefault="00727498" w:rsidP="00A84CB3"/>
    <w:p w:rsidR="00727498" w:rsidRDefault="00727498" w:rsidP="00727498">
      <w:pPr>
        <w:sectPr w:rsidR="00727498" w:rsidSect="00727498">
          <w:headerReference w:type="even" r:id="rId60"/>
          <w:headerReference w:type="default" r:id="rId61"/>
          <w:footerReference w:type="default" r:id="rId62"/>
          <w:headerReference w:type="first" r:id="rId63"/>
          <w:type w:val="oddPage"/>
          <w:pgSz w:w="11907" w:h="16840" w:code="9"/>
          <w:pgMar w:top="1985" w:right="1304" w:bottom="1418" w:left="1814" w:header="1701" w:footer="567" w:gutter="0"/>
          <w:pgNumType w:chapSep="period"/>
          <w:cols w:space="720"/>
          <w:docGrid w:linePitch="354"/>
        </w:sectPr>
      </w:pPr>
    </w:p>
    <w:p w:rsidR="00727498" w:rsidRDefault="00727498" w:rsidP="00727498">
      <w:pPr>
        <w:pStyle w:val="Heading1"/>
      </w:pPr>
      <w:bookmarkStart w:id="16" w:name="_GoBack"/>
      <w:bookmarkEnd w:id="16"/>
      <w:r>
        <w:lastRenderedPageBreak/>
        <w:t>References</w:t>
      </w:r>
    </w:p>
    <w:p w:rsidR="00666E8B" w:rsidRDefault="00666E8B" w:rsidP="00666E8B">
      <w:pPr>
        <w:pStyle w:val="Reference"/>
      </w:pPr>
      <w:r>
        <w:t xml:space="preserve">AAI (Australian Automotive Intelligence) 2013, </w:t>
      </w:r>
      <w:r>
        <w:rPr>
          <w:i/>
          <w:iCs/>
        </w:rPr>
        <w:t>Australian Automotive Intelligence Yearbook 2013</w:t>
      </w:r>
      <w:r>
        <w:t>.</w:t>
      </w:r>
    </w:p>
    <w:p w:rsidR="00666E8B" w:rsidRDefault="00666E8B" w:rsidP="00666E8B">
      <w:pPr>
        <w:pStyle w:val="Reference"/>
      </w:pPr>
      <w:r>
        <w:t xml:space="preserve">ABS (Australian Bureau of Statistics) 2012, </w:t>
      </w:r>
      <w:r>
        <w:rPr>
          <w:i/>
          <w:iCs/>
        </w:rPr>
        <w:t>Australian Industry, 2011-12</w:t>
      </w:r>
      <w:r>
        <w:t>, Cat. No. 8155.0.</w:t>
      </w:r>
    </w:p>
    <w:p w:rsidR="00666E8B" w:rsidRDefault="00666E8B" w:rsidP="00666E8B">
      <w:pPr>
        <w:pStyle w:val="Reference"/>
      </w:pPr>
      <w:r>
        <w:t xml:space="preserve">—— </w:t>
      </w:r>
      <w:proofErr w:type="spellStart"/>
      <w:r>
        <w:t>2013a</w:t>
      </w:r>
      <w:proofErr w:type="spellEnd"/>
      <w:r>
        <w:t xml:space="preserve">, </w:t>
      </w:r>
      <w:r>
        <w:rPr>
          <w:i/>
          <w:iCs/>
        </w:rPr>
        <w:t>Labour Force, Australia, Detailed, Quarterly, Aug 2013</w:t>
      </w:r>
      <w:r>
        <w:t>, Cat. no. 6291.0.55.003.</w:t>
      </w:r>
    </w:p>
    <w:p w:rsidR="00666E8B" w:rsidRDefault="00666E8B" w:rsidP="00666E8B">
      <w:pPr>
        <w:pStyle w:val="Reference"/>
      </w:pPr>
      <w:r>
        <w:t xml:space="preserve">—— </w:t>
      </w:r>
      <w:proofErr w:type="spellStart"/>
      <w:r>
        <w:t>2013b</w:t>
      </w:r>
      <w:proofErr w:type="spellEnd"/>
      <w:r>
        <w:t xml:space="preserve">, </w:t>
      </w:r>
      <w:r>
        <w:rPr>
          <w:i/>
          <w:iCs/>
        </w:rPr>
        <w:t>National Accounts, 2012-13</w:t>
      </w:r>
      <w:r>
        <w:t>, Cat. No. 5204.0.</w:t>
      </w:r>
    </w:p>
    <w:p w:rsidR="00666E8B" w:rsidRDefault="00666E8B" w:rsidP="00666E8B">
      <w:pPr>
        <w:pStyle w:val="Reference"/>
      </w:pPr>
      <w:proofErr w:type="spellStart"/>
      <w:r>
        <w:t>ACBPS</w:t>
      </w:r>
      <w:proofErr w:type="spellEnd"/>
      <w:r>
        <w:t xml:space="preserve"> (Australian Customs and Border Protection Service) </w:t>
      </w:r>
      <w:proofErr w:type="spellStart"/>
      <w:r>
        <w:t>nd</w:t>
      </w:r>
      <w:proofErr w:type="spellEnd"/>
      <w:r>
        <w:t xml:space="preserve">, </w:t>
      </w:r>
      <w:r>
        <w:rPr>
          <w:i/>
          <w:iCs/>
        </w:rPr>
        <w:t>Tariff, Duty Rate and Statistical Code Changes for 1 January 2010</w:t>
      </w:r>
      <w:r>
        <w:t xml:space="preserve">, Australian Customs Notice no. 2009/49, Canberra, </w:t>
      </w:r>
      <w:r w:rsidRPr="00D06DD1">
        <w:t>http://</w:t>
      </w:r>
      <w:proofErr w:type="spellStart"/>
      <w:r w:rsidRPr="00D06DD1">
        <w:t>www.customs.gov.au</w:t>
      </w:r>
      <w:proofErr w:type="spellEnd"/>
      <w:r w:rsidRPr="00D06DD1">
        <w:t>/</w:t>
      </w:r>
      <w:proofErr w:type="spellStart"/>
      <w:r w:rsidRPr="00D06DD1">
        <w:t>webdata</w:t>
      </w:r>
      <w:proofErr w:type="spellEnd"/>
      <w:r w:rsidRPr="00D06DD1">
        <w:t xml:space="preserve">/resources/files/ </w:t>
      </w:r>
      <w:proofErr w:type="spellStart"/>
      <w:r w:rsidRPr="00D06DD1">
        <w:t>ACN0949.pdf</w:t>
      </w:r>
      <w:proofErr w:type="spellEnd"/>
      <w:r>
        <w:t xml:space="preserve"> (accessed 19 December 2013).</w:t>
      </w:r>
    </w:p>
    <w:p w:rsidR="00666E8B" w:rsidRDefault="00666E8B" w:rsidP="00666E8B">
      <w:pPr>
        <w:pStyle w:val="Reference"/>
      </w:pPr>
      <w:proofErr w:type="spellStart"/>
      <w:r>
        <w:t>AFP</w:t>
      </w:r>
      <w:proofErr w:type="spellEnd"/>
      <w:r>
        <w:t xml:space="preserve"> (</w:t>
      </w:r>
      <w:proofErr w:type="spellStart"/>
      <w:r>
        <w:t>Agence</w:t>
      </w:r>
      <w:proofErr w:type="spellEnd"/>
      <w:r>
        <w:t xml:space="preserve"> France-</w:t>
      </w:r>
      <w:proofErr w:type="spellStart"/>
      <w:r>
        <w:t>Presse</w:t>
      </w:r>
      <w:proofErr w:type="spellEnd"/>
      <w:r>
        <w:t xml:space="preserve">) 2013, </w:t>
      </w:r>
      <w:proofErr w:type="spellStart"/>
      <w:r>
        <w:rPr>
          <w:i/>
          <w:iCs/>
        </w:rPr>
        <w:t>Gewinn</w:t>
      </w:r>
      <w:proofErr w:type="spellEnd"/>
      <w:r>
        <w:rPr>
          <w:i/>
          <w:iCs/>
        </w:rPr>
        <w:t xml:space="preserve"> der </w:t>
      </w:r>
      <w:proofErr w:type="spellStart"/>
      <w:r>
        <w:rPr>
          <w:i/>
          <w:iCs/>
        </w:rPr>
        <w:t>Autohersteller</w:t>
      </w:r>
      <w:proofErr w:type="spellEnd"/>
      <w:r>
        <w:t>, 7 August.</w:t>
      </w:r>
    </w:p>
    <w:p w:rsidR="00666E8B" w:rsidRDefault="00666E8B" w:rsidP="00666E8B">
      <w:pPr>
        <w:pStyle w:val="Reference"/>
      </w:pPr>
      <w:r>
        <w:t xml:space="preserve">Automotive News 2002, </w:t>
      </w:r>
      <w:r>
        <w:rPr>
          <w:i/>
          <w:iCs/>
        </w:rPr>
        <w:t>Top 100 Global OEM Parts Suppliers Ranked on 2001 Global OEM Automotive Parts Sales</w:t>
      </w:r>
      <w:r>
        <w:t>, June.</w:t>
      </w:r>
    </w:p>
    <w:p w:rsidR="00666E8B" w:rsidRDefault="00666E8B" w:rsidP="00666E8B">
      <w:pPr>
        <w:pStyle w:val="Reference"/>
      </w:pPr>
      <w:r>
        <w:t xml:space="preserve">—— 2008, </w:t>
      </w:r>
      <w:r>
        <w:rPr>
          <w:i/>
          <w:iCs/>
        </w:rPr>
        <w:t>Top 100 Global Suppliers: The Top 100 Global OEM Parts Suppliers Ranked by 2007 Global OEM Parts Sales</w:t>
      </w:r>
      <w:r>
        <w:t>, June.</w:t>
      </w:r>
    </w:p>
    <w:p w:rsidR="00666E8B" w:rsidRDefault="00666E8B" w:rsidP="00666E8B">
      <w:pPr>
        <w:pStyle w:val="Reference"/>
      </w:pPr>
      <w:r>
        <w:t xml:space="preserve">—— 2013, </w:t>
      </w:r>
      <w:r>
        <w:rPr>
          <w:i/>
          <w:iCs/>
        </w:rPr>
        <w:t>Top Suppliers: North America, Europe and the World</w:t>
      </w:r>
      <w:r>
        <w:t>, Supplement, 17 June.</w:t>
      </w:r>
    </w:p>
    <w:p w:rsidR="00666E8B" w:rsidRDefault="00666E8B" w:rsidP="00666E8B">
      <w:pPr>
        <w:pStyle w:val="Reference"/>
      </w:pPr>
      <w:r>
        <w:t xml:space="preserve">Automotive News Europe 2013, </w:t>
      </w:r>
      <w:r>
        <w:rPr>
          <w:i/>
          <w:iCs/>
        </w:rPr>
        <w:t>Opel Confirms Bochum Plant to Close in Late 2014</w:t>
      </w:r>
      <w:r>
        <w:t>, April, http://</w:t>
      </w:r>
      <w:proofErr w:type="spellStart"/>
      <w:r>
        <w:t>europe.autonews.com</w:t>
      </w:r>
      <w:proofErr w:type="spellEnd"/>
      <w:r>
        <w:t>/article/20130417/</w:t>
      </w:r>
      <w:proofErr w:type="spellStart"/>
      <w:r>
        <w:t>ANE</w:t>
      </w:r>
      <w:proofErr w:type="spellEnd"/>
      <w:r>
        <w:t>/130419910/</w:t>
      </w:r>
      <w:r w:rsidR="007C40FD">
        <w:br/>
      </w:r>
      <w:proofErr w:type="spellStart"/>
      <w:r>
        <w:t>opel-confirms-bochum-plant-to-close-in-late-2014#axzz2kZbHN5vV</w:t>
      </w:r>
      <w:proofErr w:type="spellEnd"/>
      <w:r>
        <w:t xml:space="preserve"> (accessed 14 November 2013).</w:t>
      </w:r>
    </w:p>
    <w:p w:rsidR="00666E8B" w:rsidRDefault="00666E8B" w:rsidP="00666E8B">
      <w:pPr>
        <w:pStyle w:val="Reference"/>
      </w:pPr>
      <w:proofErr w:type="spellStart"/>
      <w:r>
        <w:t>Autonews</w:t>
      </w:r>
      <w:proofErr w:type="spellEnd"/>
      <w:r>
        <w:t xml:space="preserve"> 2012, </w:t>
      </w:r>
      <w:r>
        <w:rPr>
          <w:i/>
          <w:iCs/>
        </w:rPr>
        <w:t>Guide to Global Automaker Partnerships</w:t>
      </w:r>
      <w:r>
        <w:t>, Michigan, http://</w:t>
      </w:r>
      <w:proofErr w:type="spellStart"/>
      <w:r>
        <w:t>www.autonews.com</w:t>
      </w:r>
      <w:proofErr w:type="spellEnd"/>
      <w:r>
        <w:t>/assets/PDF/</w:t>
      </w:r>
      <w:proofErr w:type="spellStart"/>
      <w:r>
        <w:t>CA78666316.PDF</w:t>
      </w:r>
      <w:proofErr w:type="spellEnd"/>
      <w:r>
        <w:t xml:space="preserve"> (accessed 12 November 2013).</w:t>
      </w:r>
    </w:p>
    <w:p w:rsidR="00666E8B" w:rsidRDefault="00666E8B" w:rsidP="00666E8B">
      <w:pPr>
        <w:pStyle w:val="Reference"/>
      </w:pPr>
      <w:r>
        <w:t xml:space="preserve">Baker, M. and </w:t>
      </w:r>
      <w:proofErr w:type="spellStart"/>
      <w:r>
        <w:t>Hyvonen</w:t>
      </w:r>
      <w:proofErr w:type="spellEnd"/>
      <w:r>
        <w:t xml:space="preserve">, M. 2011, </w:t>
      </w:r>
      <w:r>
        <w:rPr>
          <w:i/>
          <w:iCs/>
        </w:rPr>
        <w:t>The Emergence of the Chinese Automobile Sector</w:t>
      </w:r>
      <w:r>
        <w:t>, Reserve Bank of Australia Bulletin, March.</w:t>
      </w:r>
    </w:p>
    <w:p w:rsidR="00666E8B" w:rsidRDefault="00666E8B" w:rsidP="00666E8B">
      <w:pPr>
        <w:pStyle w:val="Reference"/>
      </w:pPr>
      <w:r>
        <w:t xml:space="preserve">Barnes, P., </w:t>
      </w:r>
      <w:proofErr w:type="spellStart"/>
      <w:r>
        <w:t>Soames</w:t>
      </w:r>
      <w:proofErr w:type="spellEnd"/>
      <w:r>
        <w:t xml:space="preserve">, L., Li, C. and Munoz, M. 2013, </w:t>
      </w:r>
      <w:r>
        <w:rPr>
          <w:i/>
          <w:iCs/>
        </w:rPr>
        <w:t>Productivity in Manufacturing: Measurement and Interpretation</w:t>
      </w:r>
      <w:r>
        <w:t>, Staff Working Paper, Productivity Commission, Canberra.</w:t>
      </w:r>
    </w:p>
    <w:p w:rsidR="00666E8B" w:rsidRDefault="00666E8B" w:rsidP="00666E8B">
      <w:pPr>
        <w:pStyle w:val="Reference"/>
      </w:pPr>
      <w:proofErr w:type="spellStart"/>
      <w:r>
        <w:lastRenderedPageBreak/>
        <w:t>Bernhart</w:t>
      </w:r>
      <w:proofErr w:type="spellEnd"/>
      <w:r>
        <w:t xml:space="preserve">, W., Dressler, N. and </w:t>
      </w:r>
      <w:proofErr w:type="spellStart"/>
      <w:r>
        <w:t>Toth</w:t>
      </w:r>
      <w:proofErr w:type="spellEnd"/>
      <w:r>
        <w:t xml:space="preserve">, A. 2010, </w:t>
      </w:r>
      <w:r>
        <w:rPr>
          <w:i/>
          <w:iCs/>
        </w:rPr>
        <w:t>Mastering Engineering Service Outsourcing in the automotive industry</w:t>
      </w:r>
      <w:r>
        <w:t>, Roland Berger Strategy Consultants, Munich, Germany.</w:t>
      </w:r>
    </w:p>
    <w:p w:rsidR="00666E8B" w:rsidRDefault="00666E8B" w:rsidP="00666E8B">
      <w:pPr>
        <w:pStyle w:val="Reference"/>
      </w:pPr>
      <w:r>
        <w:t xml:space="preserve">Bhattacharya, A. 2013, </w:t>
      </w:r>
      <w:r>
        <w:rPr>
          <w:i/>
          <w:iCs/>
        </w:rPr>
        <w:t>China SUV Maker has Great Wall to Climb</w:t>
      </w:r>
      <w:r>
        <w:t xml:space="preserve">, The Wall Street Journal Online, </w:t>
      </w:r>
      <w:r w:rsidR="007C40FD" w:rsidRPr="007C40FD">
        <w:t>http://</w:t>
      </w:r>
      <w:proofErr w:type="spellStart"/>
      <w:r w:rsidR="007C40FD" w:rsidRPr="007C40FD">
        <w:t>online.wsj.com</w:t>
      </w:r>
      <w:proofErr w:type="spellEnd"/>
      <w:r w:rsidR="007C40FD" w:rsidRPr="007C40FD">
        <w:t>/news/articles/</w:t>
      </w:r>
      <w:r w:rsidR="007C40FD">
        <w:br/>
      </w:r>
      <w:proofErr w:type="spellStart"/>
      <w:r w:rsidR="007C40FD" w:rsidRPr="007C40FD">
        <w:t>SB1000142412788732390680</w:t>
      </w:r>
      <w:r>
        <w:t>579038752738052312</w:t>
      </w:r>
      <w:proofErr w:type="spellEnd"/>
      <w:r>
        <w:t xml:space="preserve"> (accessed 11 November 2013).</w:t>
      </w:r>
    </w:p>
    <w:p w:rsidR="00666E8B" w:rsidRDefault="00666E8B" w:rsidP="00666E8B">
      <w:pPr>
        <w:pStyle w:val="Reference"/>
      </w:pPr>
      <w:proofErr w:type="spellStart"/>
      <w:r>
        <w:t>BLS</w:t>
      </w:r>
      <w:proofErr w:type="spellEnd"/>
      <w:r>
        <w:t xml:space="preserve"> (Bureau of </w:t>
      </w:r>
      <w:proofErr w:type="spellStart"/>
      <w:r>
        <w:t>Labor</w:t>
      </w:r>
      <w:proofErr w:type="spellEnd"/>
      <w:r>
        <w:t xml:space="preserve"> Statistics) 2013, </w:t>
      </w:r>
      <w:r>
        <w:rPr>
          <w:i/>
          <w:iCs/>
        </w:rPr>
        <w:t>International Comparisons of Hourly Compensation Costs in Manufacturing Industries, 2012</w:t>
      </w:r>
      <w:r>
        <w:t>, August.</w:t>
      </w:r>
    </w:p>
    <w:p w:rsidR="00666E8B" w:rsidRDefault="00666E8B" w:rsidP="00666E8B">
      <w:pPr>
        <w:pStyle w:val="Reference"/>
      </w:pPr>
      <w:proofErr w:type="spellStart"/>
      <w:r>
        <w:t>Bracks</w:t>
      </w:r>
      <w:proofErr w:type="spellEnd"/>
      <w:r>
        <w:t xml:space="preserve">, S. 2008, </w:t>
      </w:r>
      <w:r>
        <w:rPr>
          <w:i/>
          <w:iCs/>
        </w:rPr>
        <w:t>Review of Australia’s Automotive Industry</w:t>
      </w:r>
      <w:r>
        <w:t>, Final Report, July, Canberra.</w:t>
      </w:r>
    </w:p>
    <w:p w:rsidR="00666E8B" w:rsidRDefault="00666E8B" w:rsidP="00666E8B">
      <w:pPr>
        <w:pStyle w:val="Reference"/>
      </w:pPr>
      <w:proofErr w:type="spellStart"/>
      <w:r>
        <w:t>Capgemini</w:t>
      </w:r>
      <w:proofErr w:type="spellEnd"/>
      <w:r>
        <w:t xml:space="preserve"> Consulting 2010, </w:t>
      </w:r>
      <w:r>
        <w:rPr>
          <w:i/>
          <w:iCs/>
        </w:rPr>
        <w:t>The Aftermarket in the Automotive Industry: How to Optimize Aftermarket Performance in Established and Emerging Markets</w:t>
      </w:r>
      <w:r>
        <w:t>, Germany.</w:t>
      </w:r>
    </w:p>
    <w:p w:rsidR="00666E8B" w:rsidRDefault="00666E8B" w:rsidP="00666E8B">
      <w:pPr>
        <w:pStyle w:val="Reference"/>
      </w:pPr>
      <w:proofErr w:type="spellStart"/>
      <w:r>
        <w:t>Ciravegna</w:t>
      </w:r>
      <w:proofErr w:type="spellEnd"/>
      <w:r>
        <w:t xml:space="preserve">, L., Romano, P. and Pilkington, A. 2013, ‘Outsourcing practices in automotive supply networks: An exploratory study of full service vehicle suppliers’, </w:t>
      </w:r>
      <w:r>
        <w:rPr>
          <w:i/>
          <w:iCs/>
        </w:rPr>
        <w:t>International Journal of Production Research</w:t>
      </w:r>
      <w:r>
        <w:t>, vol. 51, no. 8, pp. 2478–2490.</w:t>
      </w:r>
    </w:p>
    <w:p w:rsidR="00666E8B" w:rsidRDefault="00666E8B" w:rsidP="00666E8B">
      <w:pPr>
        <w:pStyle w:val="Reference"/>
      </w:pPr>
      <w:proofErr w:type="spellStart"/>
      <w:r>
        <w:t>DIISR</w:t>
      </w:r>
      <w:proofErr w:type="spellEnd"/>
      <w:r>
        <w:t xml:space="preserve"> (Department of Innovation, Industry, Science and Research) 2008, </w:t>
      </w:r>
      <w:r>
        <w:rPr>
          <w:i/>
          <w:iCs/>
        </w:rPr>
        <w:t>A New Car Plan for a Greener Future</w:t>
      </w:r>
      <w:r>
        <w:t>, Canberra.</w:t>
      </w:r>
    </w:p>
    <w:p w:rsidR="00666E8B" w:rsidRDefault="00666E8B" w:rsidP="00666E8B">
      <w:pPr>
        <w:pStyle w:val="Reference"/>
      </w:pPr>
      <w:r>
        <w:t xml:space="preserve">—— 2009, </w:t>
      </w:r>
      <w:r>
        <w:rPr>
          <w:i/>
          <w:iCs/>
        </w:rPr>
        <w:t>Key Automotive Statistics 2008</w:t>
      </w:r>
      <w:r>
        <w:t>, Canberra.</w:t>
      </w:r>
    </w:p>
    <w:p w:rsidR="00666E8B" w:rsidRDefault="00666E8B" w:rsidP="00666E8B">
      <w:pPr>
        <w:pStyle w:val="Reference"/>
      </w:pPr>
      <w:proofErr w:type="spellStart"/>
      <w:r>
        <w:t>DIISRTE</w:t>
      </w:r>
      <w:proofErr w:type="spellEnd"/>
      <w:r>
        <w:t xml:space="preserve"> (Department of Industry, Innovation, Science, Research and Tertiary Education) 2013, </w:t>
      </w:r>
      <w:r>
        <w:rPr>
          <w:i/>
          <w:iCs/>
        </w:rPr>
        <w:t>Key Automotive Statistics 2012</w:t>
      </w:r>
      <w:r>
        <w:t>, Canberra.</w:t>
      </w:r>
    </w:p>
    <w:p w:rsidR="00666E8B" w:rsidRDefault="00666E8B" w:rsidP="00666E8B">
      <w:pPr>
        <w:pStyle w:val="Reference"/>
      </w:pPr>
      <w:proofErr w:type="spellStart"/>
      <w:r>
        <w:t>DITR</w:t>
      </w:r>
      <w:proofErr w:type="spellEnd"/>
      <w:r>
        <w:t xml:space="preserve"> (Department of Industry, Tourism and Resources) 2003, </w:t>
      </w:r>
      <w:r>
        <w:rPr>
          <w:i/>
          <w:iCs/>
        </w:rPr>
        <w:t>Key Automotive Statistics 2002</w:t>
      </w:r>
      <w:r>
        <w:t>, Canberra.</w:t>
      </w:r>
    </w:p>
    <w:p w:rsidR="00A2447B" w:rsidRPr="00A2447B" w:rsidRDefault="00A2447B" w:rsidP="00A2447B">
      <w:pPr>
        <w:pStyle w:val="Reference"/>
      </w:pPr>
      <w:proofErr w:type="spellStart"/>
      <w:r w:rsidRPr="00A2447B">
        <w:t>DFAT</w:t>
      </w:r>
      <w:proofErr w:type="spellEnd"/>
      <w:r w:rsidRPr="00A2447B">
        <w:t xml:space="preserve"> (Department of Foreign Affairs and Trade) 2013, Korea-Australia Free Trade Agreement (</w:t>
      </w:r>
      <w:proofErr w:type="spellStart"/>
      <w:r w:rsidRPr="00A2447B">
        <w:t>KAFTA</w:t>
      </w:r>
      <w:proofErr w:type="spellEnd"/>
      <w:r w:rsidRPr="00A2447B">
        <w:t>) - Key outcomes, Fact sheet, http://</w:t>
      </w:r>
      <w:proofErr w:type="spellStart"/>
      <w:r w:rsidRPr="00A2447B">
        <w:t>www.dfat.gov.au</w:t>
      </w:r>
      <w:proofErr w:type="spellEnd"/>
      <w:r w:rsidRPr="00A2447B">
        <w:t>/</w:t>
      </w:r>
      <w:proofErr w:type="spellStart"/>
      <w:r w:rsidRPr="00A2447B">
        <w:t>fta</w:t>
      </w:r>
      <w:proofErr w:type="spellEnd"/>
      <w:r w:rsidRPr="00A2447B">
        <w:t>/</w:t>
      </w:r>
      <w:proofErr w:type="spellStart"/>
      <w:r w:rsidRPr="00A2447B">
        <w:t>akfta</w:t>
      </w:r>
      <w:proofErr w:type="spellEnd"/>
      <w:r w:rsidRPr="00A2447B">
        <w:t>/fact-sheet-key-</w:t>
      </w:r>
      <w:proofErr w:type="spellStart"/>
      <w:r w:rsidRPr="00A2447B">
        <w:t>outcomes.html</w:t>
      </w:r>
      <w:proofErr w:type="spellEnd"/>
      <w:r w:rsidRPr="00A2447B">
        <w:t xml:space="preserve"> (accessed 8 December 2013).</w:t>
      </w:r>
    </w:p>
    <w:p w:rsidR="00666E8B" w:rsidRDefault="00666E8B" w:rsidP="00666E8B">
      <w:pPr>
        <w:pStyle w:val="Reference"/>
      </w:pPr>
      <w:proofErr w:type="spellStart"/>
      <w:r>
        <w:t>EIA</w:t>
      </w:r>
      <w:proofErr w:type="spellEnd"/>
      <w:r>
        <w:t xml:space="preserve"> (United States Energy Information Administration) 2012, </w:t>
      </w:r>
      <w:r w:rsidRPr="00A40697">
        <w:t>‘</w:t>
      </w:r>
      <w:r w:rsidRPr="00A40697">
        <w:rPr>
          <w:iCs/>
        </w:rPr>
        <w:t>Fuel economy standards have affected vehicle efficiency’</w:t>
      </w:r>
      <w:r w:rsidRPr="00A40697">
        <w:t>,</w:t>
      </w:r>
      <w:r>
        <w:t xml:space="preserve"> </w:t>
      </w:r>
      <w:r w:rsidRPr="00A40697">
        <w:rPr>
          <w:i/>
        </w:rPr>
        <w:t>Today in Energy</w:t>
      </w:r>
      <w:r>
        <w:t>, http://</w:t>
      </w:r>
      <w:proofErr w:type="spellStart"/>
      <w:r>
        <w:t>www.eia.gov</w:t>
      </w:r>
      <w:proofErr w:type="spellEnd"/>
      <w:r>
        <w:t xml:space="preserve">/ </w:t>
      </w:r>
      <w:proofErr w:type="spellStart"/>
      <w:r>
        <w:t>todayinenergy</w:t>
      </w:r>
      <w:proofErr w:type="spellEnd"/>
      <w:r>
        <w:t>/</w:t>
      </w:r>
      <w:proofErr w:type="spellStart"/>
      <w:r>
        <w:t>detail.cfm?id</w:t>
      </w:r>
      <w:proofErr w:type="spellEnd"/>
      <w:r>
        <w:t>=7390 (accessed 11 December 2013).</w:t>
      </w:r>
    </w:p>
    <w:p w:rsidR="00666E8B" w:rsidRDefault="00666E8B" w:rsidP="00666E8B">
      <w:pPr>
        <w:pStyle w:val="Reference"/>
      </w:pPr>
      <w:r>
        <w:t xml:space="preserve">—— 2013, </w:t>
      </w:r>
      <w:r>
        <w:rPr>
          <w:i/>
          <w:iCs/>
        </w:rPr>
        <w:t>New-Vehicle Fuel Economy Continues to Increase</w:t>
      </w:r>
      <w:r>
        <w:t>, http://</w:t>
      </w:r>
      <w:proofErr w:type="spellStart"/>
      <w:r>
        <w:t>www.eia.gov</w:t>
      </w:r>
      <w:proofErr w:type="spellEnd"/>
      <w:r>
        <w:t>/</w:t>
      </w:r>
      <w:proofErr w:type="spellStart"/>
      <w:r>
        <w:t>todayinenergy</w:t>
      </w:r>
      <w:proofErr w:type="spellEnd"/>
      <w:r>
        <w:t>/</w:t>
      </w:r>
      <w:proofErr w:type="spellStart"/>
      <w:r>
        <w:t>detail.cfm?id</w:t>
      </w:r>
      <w:proofErr w:type="spellEnd"/>
      <w:r>
        <w:t xml:space="preserve"> =13351 (accessed 18 December 2013).</w:t>
      </w:r>
    </w:p>
    <w:p w:rsidR="00666E8B" w:rsidRDefault="00666E8B" w:rsidP="00666E8B">
      <w:pPr>
        <w:pStyle w:val="Reference"/>
      </w:pPr>
      <w:r>
        <w:lastRenderedPageBreak/>
        <w:t xml:space="preserve">English, A. 2012, ‘Ford’s closures: the big picture’, </w:t>
      </w:r>
      <w:r>
        <w:rPr>
          <w:i/>
          <w:iCs/>
        </w:rPr>
        <w:t>The Telegraph</w:t>
      </w:r>
      <w:r>
        <w:t>, 25 October, http://www.telegraph.co.uk/motoring/car-manufacturers/ford/9634350/Fords-closures-the-big-picture.html (accessed 11 December 2013).</w:t>
      </w:r>
    </w:p>
    <w:p w:rsidR="00666E8B" w:rsidRDefault="00666E8B" w:rsidP="00666E8B">
      <w:pPr>
        <w:pStyle w:val="Reference"/>
      </w:pPr>
      <w:proofErr w:type="spellStart"/>
      <w:r>
        <w:t>Eurofound</w:t>
      </w:r>
      <w:proofErr w:type="spellEnd"/>
      <w:r>
        <w:t xml:space="preserve"> (European Foundation for the Improvement of Living and Working Conditions) 2004, </w:t>
      </w:r>
      <w:r>
        <w:rPr>
          <w:i/>
          <w:iCs/>
        </w:rPr>
        <w:t>Trends and Drivers of Change in the European Automotive Industry: Four Scenarios</w:t>
      </w:r>
      <w:r>
        <w:t>, Dublin, Ireland.</w:t>
      </w:r>
    </w:p>
    <w:p w:rsidR="00666E8B" w:rsidRDefault="00666E8B" w:rsidP="00666E8B">
      <w:pPr>
        <w:pStyle w:val="Reference"/>
      </w:pPr>
      <w:proofErr w:type="spellStart"/>
      <w:r>
        <w:t>Evalueserve</w:t>
      </w:r>
      <w:proofErr w:type="spellEnd"/>
      <w:r>
        <w:t xml:space="preserve"> 2012, </w:t>
      </w:r>
      <w:r>
        <w:rPr>
          <w:i/>
          <w:iCs/>
        </w:rPr>
        <w:t>Platform Strategy Will Shape Future of OEMs: Flexibility to Drive Growth</w:t>
      </w:r>
      <w:r>
        <w:t>, January.</w:t>
      </w:r>
    </w:p>
    <w:p w:rsidR="00666E8B" w:rsidRDefault="00666E8B" w:rsidP="00666E8B">
      <w:pPr>
        <w:pStyle w:val="Reference"/>
      </w:pPr>
      <w:r>
        <w:t xml:space="preserve">Ewing, J. 2013, ‘Ford Pays a High Price for Plant Closing in Belgium’, </w:t>
      </w:r>
      <w:r>
        <w:rPr>
          <w:i/>
          <w:iCs/>
        </w:rPr>
        <w:t>New York Times</w:t>
      </w:r>
      <w:r>
        <w:t>, 5 November, http://</w:t>
      </w:r>
      <w:proofErr w:type="spellStart"/>
      <w:r>
        <w:t>www.nytimes.com</w:t>
      </w:r>
      <w:proofErr w:type="spellEnd"/>
      <w:r>
        <w:t>/2013/11/06/business/international/</w:t>
      </w:r>
      <w:r w:rsidR="007C40FD">
        <w:br/>
      </w:r>
      <w:r>
        <w:t>ford-pays-a-high-price-for-plant-closing-in-belgium.html?pagewanted=1&amp;_r=0 (accessed 11 December 2013).</w:t>
      </w:r>
    </w:p>
    <w:p w:rsidR="00666E8B" w:rsidRDefault="00666E8B" w:rsidP="00666E8B">
      <w:pPr>
        <w:pStyle w:val="Reference"/>
      </w:pPr>
      <w:proofErr w:type="spellStart"/>
      <w:r>
        <w:t>FAPM</w:t>
      </w:r>
      <w:proofErr w:type="spellEnd"/>
      <w:r>
        <w:t xml:space="preserve"> (Federation of Automotive Products Manufacturers) 2013, </w:t>
      </w:r>
      <w:r>
        <w:rPr>
          <w:i/>
          <w:iCs/>
        </w:rPr>
        <w:t>Forward Motion: Annual Report 2011/12</w:t>
      </w:r>
      <w:r>
        <w:t>, Melbourne, Australia.</w:t>
      </w:r>
    </w:p>
    <w:p w:rsidR="00666E8B" w:rsidRDefault="00666E8B" w:rsidP="00666E8B">
      <w:pPr>
        <w:pStyle w:val="Reference"/>
      </w:pPr>
      <w:r>
        <w:t xml:space="preserve">Ford 2013, </w:t>
      </w:r>
      <w:r>
        <w:rPr>
          <w:i/>
          <w:iCs/>
        </w:rPr>
        <w:t>Ford Increases North American Capacity by 200,000 Units and Reduces Summer Shutdown to Meet Surging Demand</w:t>
      </w:r>
      <w:r>
        <w:t>, March, http://corporate.ford.com/our-company/investors/investor-news-detail/pr-ford-increases-north-american-38069 (accessed 13 December 2013).</w:t>
      </w:r>
    </w:p>
    <w:p w:rsidR="00666E8B" w:rsidRDefault="00666E8B" w:rsidP="00666E8B">
      <w:pPr>
        <w:pStyle w:val="Reference"/>
      </w:pPr>
      <w:proofErr w:type="spellStart"/>
      <w:r>
        <w:t>Futuris</w:t>
      </w:r>
      <w:proofErr w:type="spellEnd"/>
      <w:r>
        <w:t xml:space="preserve"> Automotive 2012, </w:t>
      </w:r>
      <w:proofErr w:type="spellStart"/>
      <w:r>
        <w:rPr>
          <w:i/>
          <w:iCs/>
        </w:rPr>
        <w:t>Futuris</w:t>
      </w:r>
      <w:proofErr w:type="spellEnd"/>
      <w:r>
        <w:rPr>
          <w:i/>
          <w:iCs/>
        </w:rPr>
        <w:t xml:space="preserve"> Automotive</w:t>
      </w:r>
      <w:r>
        <w:t>, 6 September, http://www.futurisautomotive.com/pdf/Futuris-overview-factsheet.pdf (accessed 17 December 2013).</w:t>
      </w:r>
    </w:p>
    <w:p w:rsidR="00666E8B" w:rsidRPr="004A18DB" w:rsidRDefault="00666E8B" w:rsidP="00666E8B">
      <w:pPr>
        <w:pStyle w:val="Reference"/>
      </w:pPr>
      <w:r>
        <w:t xml:space="preserve">General Motors 2011, </w:t>
      </w:r>
      <w:r>
        <w:rPr>
          <w:i/>
          <w:iCs/>
        </w:rPr>
        <w:t>2011 Global Business Conference</w:t>
      </w:r>
      <w:r>
        <w:t>.</w:t>
      </w:r>
    </w:p>
    <w:p w:rsidR="00666E8B" w:rsidRDefault="00666E8B" w:rsidP="00666E8B">
      <w:pPr>
        <w:pStyle w:val="Reference"/>
      </w:pPr>
      <w:r>
        <w:t xml:space="preserve">—— 2012, </w:t>
      </w:r>
      <w:proofErr w:type="spellStart"/>
      <w:r>
        <w:rPr>
          <w:i/>
          <w:iCs/>
        </w:rPr>
        <w:t>SAIC</w:t>
      </w:r>
      <w:proofErr w:type="spellEnd"/>
      <w:r>
        <w:rPr>
          <w:i/>
          <w:iCs/>
        </w:rPr>
        <w:t>-GM-</w:t>
      </w:r>
      <w:proofErr w:type="spellStart"/>
      <w:r>
        <w:rPr>
          <w:i/>
          <w:iCs/>
        </w:rPr>
        <w:t>Wuling</w:t>
      </w:r>
      <w:proofErr w:type="spellEnd"/>
      <w:r>
        <w:rPr>
          <w:i/>
          <w:iCs/>
        </w:rPr>
        <w:t xml:space="preserve"> Opens Passenger Car Production Base</w:t>
      </w:r>
      <w:r>
        <w:t>, GM News United States, http://</w:t>
      </w:r>
      <w:proofErr w:type="spellStart"/>
      <w:r>
        <w:t>media.gm.com</w:t>
      </w:r>
      <w:proofErr w:type="spellEnd"/>
      <w:r>
        <w:t>/media/us/en/gm/</w:t>
      </w:r>
      <w:proofErr w:type="spellStart"/>
      <w:r>
        <w:t>news.detail.print.html</w:t>
      </w:r>
      <w:proofErr w:type="spellEnd"/>
      <w:r>
        <w:t xml:space="preserve"> /content/Pages/news/us/en/2012/Nov/</w:t>
      </w:r>
      <w:proofErr w:type="spellStart"/>
      <w:r>
        <w:t>1118_Wuling.html</w:t>
      </w:r>
      <w:proofErr w:type="spellEnd"/>
      <w:r>
        <w:t xml:space="preserve"> (accessed 11 December 2013).</w:t>
      </w:r>
    </w:p>
    <w:p w:rsidR="00666E8B" w:rsidRDefault="00666E8B" w:rsidP="00666E8B">
      <w:pPr>
        <w:pStyle w:val="Reference"/>
      </w:pPr>
      <w:r>
        <w:t xml:space="preserve">—— 2013, </w:t>
      </w:r>
      <w:r>
        <w:rPr>
          <w:i/>
          <w:iCs/>
        </w:rPr>
        <w:t>GM to Transition to a National Sales Company in Australia and New Zealand</w:t>
      </w:r>
      <w:r>
        <w:t>, December, Detroit, http://</w:t>
      </w:r>
      <w:proofErr w:type="spellStart"/>
      <w:r>
        <w:t>media.gm.com</w:t>
      </w:r>
      <w:proofErr w:type="spellEnd"/>
      <w:r>
        <w:t>/content/media/us/en/gm/</w:t>
      </w:r>
      <w:r w:rsidR="007C40FD">
        <w:br/>
      </w:r>
      <w:r>
        <w:t>news.detail.html/content/Pages/news/us/en/2013/Dec/1210-holden.html (accessed 19 December 2013).</w:t>
      </w:r>
    </w:p>
    <w:p w:rsidR="00666E8B" w:rsidRDefault="00666E8B" w:rsidP="00666E8B">
      <w:pPr>
        <w:pStyle w:val="Reference"/>
      </w:pPr>
      <w:r>
        <w:t xml:space="preserve">Gibbs, N. 2013, </w:t>
      </w:r>
      <w:r>
        <w:rPr>
          <w:i/>
          <w:iCs/>
        </w:rPr>
        <w:t xml:space="preserve">Europe Plant Capacity Crisis to Extend to 2016 - More Than Half of the Region’s Car Factories Were Underutilized in </w:t>
      </w:r>
      <w:proofErr w:type="spellStart"/>
      <w:r>
        <w:rPr>
          <w:i/>
          <w:iCs/>
        </w:rPr>
        <w:t>Q1</w:t>
      </w:r>
      <w:proofErr w:type="spellEnd"/>
      <w:r>
        <w:t>, Automotive News Europe, June, http://</w:t>
      </w:r>
      <w:proofErr w:type="spellStart"/>
      <w:r>
        <w:t>europe.autonews.com</w:t>
      </w:r>
      <w:proofErr w:type="spellEnd"/>
      <w:r>
        <w:t>/article/20130621/</w:t>
      </w:r>
      <w:proofErr w:type="spellStart"/>
      <w:r>
        <w:t>ANE</w:t>
      </w:r>
      <w:proofErr w:type="spellEnd"/>
      <w:r>
        <w:t>/130629997/</w:t>
      </w:r>
      <w:r w:rsidR="007C40FD">
        <w:br/>
      </w:r>
      <w:proofErr w:type="spellStart"/>
      <w:r>
        <w:t>europe-plant-capacity-crisis-to-extend-to-2016#axzz2kIqc1CPD</w:t>
      </w:r>
      <w:proofErr w:type="spellEnd"/>
      <w:r>
        <w:t xml:space="preserve"> (accessed 13 November 2013).</w:t>
      </w:r>
    </w:p>
    <w:p w:rsidR="00666E8B" w:rsidRDefault="00666E8B" w:rsidP="00666E8B">
      <w:pPr>
        <w:pStyle w:val="Reference"/>
      </w:pPr>
      <w:r>
        <w:t xml:space="preserve">GM (General Motors) 2011, </w:t>
      </w:r>
      <w:r>
        <w:rPr>
          <w:i/>
          <w:iCs/>
        </w:rPr>
        <w:t>2011 Global Business Conference</w:t>
      </w:r>
      <w:r>
        <w:t>.</w:t>
      </w:r>
    </w:p>
    <w:p w:rsidR="00666E8B" w:rsidRDefault="00666E8B" w:rsidP="00666E8B">
      <w:pPr>
        <w:pStyle w:val="Reference"/>
      </w:pPr>
      <w:proofErr w:type="spellStart"/>
      <w:r>
        <w:lastRenderedPageBreak/>
        <w:t>Haugh</w:t>
      </w:r>
      <w:proofErr w:type="spellEnd"/>
      <w:r>
        <w:t xml:space="preserve">, D., </w:t>
      </w:r>
      <w:proofErr w:type="spellStart"/>
      <w:r>
        <w:t>Mourougane</w:t>
      </w:r>
      <w:proofErr w:type="spellEnd"/>
      <w:r>
        <w:t xml:space="preserve">, A. and </w:t>
      </w:r>
      <w:proofErr w:type="spellStart"/>
      <w:r>
        <w:t>Chatal</w:t>
      </w:r>
      <w:proofErr w:type="spellEnd"/>
      <w:r>
        <w:t xml:space="preserve">, O. 2010, </w:t>
      </w:r>
      <w:r>
        <w:rPr>
          <w:i/>
          <w:iCs/>
        </w:rPr>
        <w:t>The Automobile Industry in and Beyond the Crisis</w:t>
      </w:r>
      <w:r>
        <w:t>, OECD Economics Department Working Paper no. 745, January.</w:t>
      </w:r>
    </w:p>
    <w:p w:rsidR="00666E8B" w:rsidRDefault="00666E8B" w:rsidP="00666E8B">
      <w:pPr>
        <w:pStyle w:val="Reference"/>
      </w:pPr>
      <w:r>
        <w:t xml:space="preserve">Hawker, N.W. 2011, ‘Automotive aftermarkets: A case study in systems competition’, </w:t>
      </w:r>
      <w:r>
        <w:rPr>
          <w:i/>
          <w:iCs/>
        </w:rPr>
        <w:t>The Antitrust Bulletin</w:t>
      </w:r>
      <w:r>
        <w:t>, vol. 56, no. 1, pp. 57 – 79.</w:t>
      </w:r>
    </w:p>
    <w:p w:rsidR="00666E8B" w:rsidRDefault="00666E8B" w:rsidP="00666E8B">
      <w:pPr>
        <w:pStyle w:val="Reference"/>
      </w:pPr>
      <w:r>
        <w:t xml:space="preserve">Hill, K., </w:t>
      </w:r>
      <w:proofErr w:type="spellStart"/>
      <w:r>
        <w:t>Swiecki</w:t>
      </w:r>
      <w:proofErr w:type="spellEnd"/>
      <w:r>
        <w:t xml:space="preserve">, B., </w:t>
      </w:r>
      <w:proofErr w:type="spellStart"/>
      <w:r>
        <w:t>Menk</w:t>
      </w:r>
      <w:proofErr w:type="spellEnd"/>
      <w:r>
        <w:t xml:space="preserve">, D., </w:t>
      </w:r>
      <w:proofErr w:type="spellStart"/>
      <w:r>
        <w:t>Cregger</w:t>
      </w:r>
      <w:proofErr w:type="spellEnd"/>
      <w:r>
        <w:t xml:space="preserve">, J. and Schultz, M. 2013, </w:t>
      </w:r>
      <w:r>
        <w:rPr>
          <w:i/>
          <w:iCs/>
        </w:rPr>
        <w:t>Economic Contribution of the Ford Motor Company Michigan Assembly Plant to the Michigan Economy</w:t>
      </w:r>
      <w:r>
        <w:t xml:space="preserve">, </w:t>
      </w:r>
      <w:proofErr w:type="spellStart"/>
      <w:r>
        <w:t>Center</w:t>
      </w:r>
      <w:proofErr w:type="spellEnd"/>
      <w:r>
        <w:t xml:space="preserve"> for Automotive Research Report prepared for the Michigan Economic Development Corporation and Ford Motor Company, March.</w:t>
      </w:r>
    </w:p>
    <w:p w:rsidR="00666E8B" w:rsidRDefault="00666E8B" w:rsidP="00666E8B">
      <w:pPr>
        <w:pStyle w:val="Reference"/>
      </w:pPr>
      <w:proofErr w:type="spellStart"/>
      <w:r>
        <w:t>Holweg</w:t>
      </w:r>
      <w:proofErr w:type="spellEnd"/>
      <w:r>
        <w:t xml:space="preserve">, M. 2008, ‘The Evolution of Competition in the Automotive Industry’, </w:t>
      </w:r>
      <w:r>
        <w:rPr>
          <w:i/>
          <w:iCs/>
        </w:rPr>
        <w:t>Build To Order</w:t>
      </w:r>
      <w:r>
        <w:t>, Springer, London, pp. 13–34.</w:t>
      </w:r>
    </w:p>
    <w:p w:rsidR="00666E8B" w:rsidRDefault="00666E8B" w:rsidP="00666E8B">
      <w:pPr>
        <w:pStyle w:val="Reference"/>
      </w:pPr>
      <w:proofErr w:type="spellStart"/>
      <w:r>
        <w:t>IbisWorld</w:t>
      </w:r>
      <w:proofErr w:type="spellEnd"/>
      <w:r>
        <w:t xml:space="preserve"> </w:t>
      </w:r>
      <w:proofErr w:type="spellStart"/>
      <w:r>
        <w:t>2013a</w:t>
      </w:r>
      <w:proofErr w:type="spellEnd"/>
      <w:r>
        <w:t xml:space="preserve">, </w:t>
      </w:r>
      <w:r>
        <w:rPr>
          <w:i/>
          <w:iCs/>
        </w:rPr>
        <w:t>Global Car &amp; Automobile Manufacturing</w:t>
      </w:r>
      <w:r>
        <w:t xml:space="preserve">, </w:t>
      </w:r>
      <w:proofErr w:type="spellStart"/>
      <w:r>
        <w:t>IbisWorld</w:t>
      </w:r>
      <w:proofErr w:type="spellEnd"/>
      <w:r>
        <w:t xml:space="preserve"> Industry Report </w:t>
      </w:r>
      <w:proofErr w:type="spellStart"/>
      <w:r>
        <w:t>C2531</w:t>
      </w:r>
      <w:proofErr w:type="spellEnd"/>
      <w:r>
        <w:t>-GL, May.</w:t>
      </w:r>
    </w:p>
    <w:p w:rsidR="00666E8B" w:rsidRDefault="00666E8B" w:rsidP="00666E8B">
      <w:pPr>
        <w:pStyle w:val="Reference"/>
      </w:pPr>
      <w:r>
        <w:t xml:space="preserve">—— </w:t>
      </w:r>
      <w:proofErr w:type="spellStart"/>
      <w:r>
        <w:t>2013b</w:t>
      </w:r>
      <w:proofErr w:type="spellEnd"/>
      <w:r>
        <w:t xml:space="preserve">, </w:t>
      </w:r>
      <w:r>
        <w:rPr>
          <w:i/>
          <w:iCs/>
        </w:rPr>
        <w:t>Motor Vehicle Manufacturing in Australia</w:t>
      </w:r>
      <w:r>
        <w:t xml:space="preserve">, </w:t>
      </w:r>
      <w:proofErr w:type="spellStart"/>
      <w:r>
        <w:t>IbisWorld</w:t>
      </w:r>
      <w:proofErr w:type="spellEnd"/>
      <w:r>
        <w:t xml:space="preserve"> Industry Report </w:t>
      </w:r>
      <w:proofErr w:type="spellStart"/>
      <w:r>
        <w:t>C2311</w:t>
      </w:r>
      <w:proofErr w:type="spellEnd"/>
      <w:r>
        <w:t>, July.</w:t>
      </w:r>
    </w:p>
    <w:p w:rsidR="00666E8B" w:rsidRDefault="00666E8B" w:rsidP="00666E8B">
      <w:pPr>
        <w:pStyle w:val="Reference"/>
      </w:pPr>
      <w:r>
        <w:t xml:space="preserve">—— </w:t>
      </w:r>
      <w:proofErr w:type="spellStart"/>
      <w:r>
        <w:t>2013c</w:t>
      </w:r>
      <w:proofErr w:type="spellEnd"/>
      <w:r>
        <w:t xml:space="preserve">, </w:t>
      </w:r>
      <w:r>
        <w:rPr>
          <w:i/>
          <w:iCs/>
        </w:rPr>
        <w:t>Passenger Car Manufacturing in China</w:t>
      </w:r>
      <w:r>
        <w:t xml:space="preserve">, </w:t>
      </w:r>
      <w:proofErr w:type="spellStart"/>
      <w:r>
        <w:t>IbisWorld</w:t>
      </w:r>
      <w:proofErr w:type="spellEnd"/>
      <w:r>
        <w:t xml:space="preserve"> Industry Report </w:t>
      </w:r>
      <w:proofErr w:type="spellStart"/>
      <w:r>
        <w:t>3721a</w:t>
      </w:r>
      <w:proofErr w:type="spellEnd"/>
      <w:r>
        <w:t>, January.</w:t>
      </w:r>
    </w:p>
    <w:p w:rsidR="00666E8B" w:rsidRDefault="00666E8B" w:rsidP="00666E8B">
      <w:pPr>
        <w:pStyle w:val="Reference"/>
      </w:pPr>
      <w:proofErr w:type="spellStart"/>
      <w:r>
        <w:t>ITA</w:t>
      </w:r>
      <w:proofErr w:type="spellEnd"/>
      <w:r>
        <w:t xml:space="preserve"> (International Trade Administration) 2011, </w:t>
      </w:r>
      <w:r>
        <w:rPr>
          <w:i/>
          <w:iCs/>
        </w:rPr>
        <w:t>On the Road: U.S. Automotive Parts Industry Annual Assessment</w:t>
      </w:r>
      <w:r>
        <w:t>, Office of Transportation and Machinery, U.S. Department of Commerce, Washington DC.</w:t>
      </w:r>
    </w:p>
    <w:p w:rsidR="00666E8B" w:rsidRDefault="00666E8B" w:rsidP="00666E8B">
      <w:pPr>
        <w:pStyle w:val="Reference"/>
      </w:pPr>
      <w:r>
        <w:t xml:space="preserve">KAMA (Korea Automobile Manufacturers Association) 2013, </w:t>
      </w:r>
      <w:r>
        <w:rPr>
          <w:i/>
          <w:iCs/>
        </w:rPr>
        <w:t>Annual Report 2013: Korean Automobile Industry</w:t>
      </w:r>
      <w:r>
        <w:t>, Seoul.</w:t>
      </w:r>
    </w:p>
    <w:p w:rsidR="00666E8B" w:rsidRDefault="00666E8B" w:rsidP="00666E8B">
      <w:pPr>
        <w:pStyle w:val="Reference"/>
      </w:pPr>
      <w:proofErr w:type="spellStart"/>
      <w:r>
        <w:t>Klien</w:t>
      </w:r>
      <w:proofErr w:type="spellEnd"/>
      <w:r>
        <w:t xml:space="preserve">, C. and </w:t>
      </w:r>
      <w:proofErr w:type="spellStart"/>
      <w:r>
        <w:t>Koske</w:t>
      </w:r>
      <w:proofErr w:type="spellEnd"/>
      <w:r>
        <w:t xml:space="preserve">, I. 2013, </w:t>
      </w:r>
      <w:r>
        <w:rPr>
          <w:i/>
          <w:iCs/>
        </w:rPr>
        <w:t>Capacity Needs in the Automobile Industry in the Short- to Medium Run</w:t>
      </w:r>
      <w:r>
        <w:t>, OECD Economics Department Working Papers No. 1097.</w:t>
      </w:r>
    </w:p>
    <w:p w:rsidR="00666E8B" w:rsidRDefault="00666E8B" w:rsidP="00666E8B">
      <w:pPr>
        <w:pStyle w:val="Reference"/>
      </w:pPr>
      <w:proofErr w:type="spellStart"/>
      <w:r>
        <w:t>Klier</w:t>
      </w:r>
      <w:proofErr w:type="spellEnd"/>
      <w:r>
        <w:t xml:space="preserve">, T. and Rubenstein, J. 2011, ‘Configuration of the North American and European Auto Industries - A Comparison of Trends’, </w:t>
      </w:r>
      <w:r>
        <w:rPr>
          <w:i/>
          <w:iCs/>
        </w:rPr>
        <w:t>European Review of Industrial Economics and Policy</w:t>
      </w:r>
      <w:r>
        <w:t>, no. 3.</w:t>
      </w:r>
    </w:p>
    <w:p w:rsidR="00666E8B" w:rsidRDefault="00666E8B" w:rsidP="00666E8B">
      <w:pPr>
        <w:pStyle w:val="Reference"/>
      </w:pPr>
      <w:r>
        <w:t xml:space="preserve">—— and —— 2012, ‘Detroit back from the brink? Auto industry crisis and restructuring, 2008–11’, </w:t>
      </w:r>
      <w:r>
        <w:rPr>
          <w:i/>
          <w:iCs/>
        </w:rPr>
        <w:t>Economic Perspectives</w:t>
      </w:r>
      <w:r>
        <w:t>, vol. 36, no. 2, pp. 35–54.</w:t>
      </w:r>
    </w:p>
    <w:p w:rsidR="00666E8B" w:rsidRDefault="00666E8B" w:rsidP="00666E8B">
      <w:pPr>
        <w:pStyle w:val="Reference"/>
      </w:pPr>
      <w:r>
        <w:t xml:space="preserve">—— and —— 2013, </w:t>
      </w:r>
      <w:r>
        <w:rPr>
          <w:i/>
          <w:iCs/>
        </w:rPr>
        <w:t>The Growing Importance of Mexico in North America’s Auto Production</w:t>
      </w:r>
      <w:r>
        <w:t>, Chicago Fed Letter no. 310, May.</w:t>
      </w:r>
    </w:p>
    <w:p w:rsidR="00666E8B" w:rsidRDefault="00666E8B" w:rsidP="00666E8B">
      <w:pPr>
        <w:pStyle w:val="Reference"/>
      </w:pPr>
      <w:r>
        <w:t xml:space="preserve">KPMG 2005, </w:t>
      </w:r>
      <w:r>
        <w:rPr>
          <w:i/>
          <w:iCs/>
        </w:rPr>
        <w:t>Global Location Management in the Automotive Supplier Industry</w:t>
      </w:r>
      <w:r>
        <w:t>, Germany.</w:t>
      </w:r>
    </w:p>
    <w:p w:rsidR="00666E8B" w:rsidRDefault="00666E8B" w:rsidP="00666E8B">
      <w:pPr>
        <w:pStyle w:val="Reference"/>
      </w:pPr>
      <w:r>
        <w:lastRenderedPageBreak/>
        <w:t xml:space="preserve">—— 2012, </w:t>
      </w:r>
      <w:r>
        <w:rPr>
          <w:i/>
          <w:iCs/>
        </w:rPr>
        <w:t>Competitive Alternatives - KPMG’s Guide to International Business Location Costs</w:t>
      </w:r>
      <w:r>
        <w:t xml:space="preserve">, http://www.competitivealternatives.com/reports/2012_compalt_report_vol1_ </w:t>
      </w:r>
      <w:proofErr w:type="spellStart"/>
      <w:r>
        <w:t>en.pdf</w:t>
      </w:r>
      <w:proofErr w:type="spellEnd"/>
      <w:r>
        <w:t xml:space="preserve"> (accessed 17 December 2013).</w:t>
      </w:r>
    </w:p>
    <w:p w:rsidR="00666E8B" w:rsidRDefault="00666E8B" w:rsidP="00666E8B">
      <w:pPr>
        <w:pStyle w:val="Reference"/>
      </w:pPr>
      <w:r>
        <w:t xml:space="preserve">—— 2013, </w:t>
      </w:r>
      <w:r>
        <w:rPr>
          <w:i/>
          <w:iCs/>
        </w:rPr>
        <w:t>Global Automotive Executive Survey 2013</w:t>
      </w:r>
      <w:r>
        <w:t>, January.</w:t>
      </w:r>
    </w:p>
    <w:p w:rsidR="00666E8B" w:rsidRDefault="00666E8B" w:rsidP="00666E8B">
      <w:pPr>
        <w:pStyle w:val="Reference"/>
      </w:pPr>
      <w:r>
        <w:t xml:space="preserve">Lloyd, P. 2007, </w:t>
      </w:r>
      <w:r>
        <w:rPr>
          <w:i/>
          <w:iCs/>
        </w:rPr>
        <w:t>100 Years of Tariff Protection in Australia</w:t>
      </w:r>
      <w:r>
        <w:t>, University of Melbourne Research Paper no. 1023.</w:t>
      </w:r>
    </w:p>
    <w:p w:rsidR="00666E8B" w:rsidRDefault="00666E8B" w:rsidP="00666E8B">
      <w:pPr>
        <w:pStyle w:val="Reference"/>
      </w:pPr>
      <w:proofErr w:type="spellStart"/>
      <w:r>
        <w:t>Lupa</w:t>
      </w:r>
      <w:proofErr w:type="spellEnd"/>
      <w:r>
        <w:t xml:space="preserve">, M. 2012, </w:t>
      </w:r>
      <w:r>
        <w:rPr>
          <w:i/>
          <w:iCs/>
        </w:rPr>
        <w:t xml:space="preserve">7 Questions on </w:t>
      </w:r>
      <w:proofErr w:type="spellStart"/>
      <w:r>
        <w:rPr>
          <w:i/>
          <w:iCs/>
        </w:rPr>
        <w:t>MQB</w:t>
      </w:r>
      <w:proofErr w:type="spellEnd"/>
      <w:r>
        <w:rPr>
          <w:i/>
          <w:iCs/>
        </w:rPr>
        <w:t>. Volkswagen</w:t>
      </w:r>
      <w:r>
        <w:t>, Das Auto. Magazine, http://www.dasauto-magazine.com/EN/7-questions-modular-transverse-matrix/ (accessed 18 December 2013).</w:t>
      </w:r>
    </w:p>
    <w:p w:rsidR="00666E8B" w:rsidRDefault="00666E8B" w:rsidP="00666E8B">
      <w:pPr>
        <w:pStyle w:val="Reference"/>
      </w:pPr>
      <w:r>
        <w:t xml:space="preserve">Maxton, G., P. and </w:t>
      </w:r>
      <w:proofErr w:type="spellStart"/>
      <w:r>
        <w:t>Wormald</w:t>
      </w:r>
      <w:proofErr w:type="spellEnd"/>
      <w:r>
        <w:t xml:space="preserve">, J. 2004, </w:t>
      </w:r>
      <w:r>
        <w:rPr>
          <w:i/>
          <w:iCs/>
        </w:rPr>
        <w:t>Time for a Model Change: Re-engineering the Global Automotive Industry</w:t>
      </w:r>
      <w:r>
        <w:t>, Cambridge University Press, Cambridge, UK.</w:t>
      </w:r>
    </w:p>
    <w:p w:rsidR="00666E8B" w:rsidRDefault="00666E8B" w:rsidP="00666E8B">
      <w:pPr>
        <w:pStyle w:val="Reference"/>
      </w:pPr>
      <w:r>
        <w:t xml:space="preserve">McKinsey &amp; Company 2012, </w:t>
      </w:r>
      <w:r>
        <w:rPr>
          <w:i/>
          <w:iCs/>
        </w:rPr>
        <w:t>The Future of the North American Automotive Supplier Industry: Evolution of Component Costs, Penetration, and Value Creation Potential Through 2020</w:t>
      </w:r>
      <w:r>
        <w:t>, March.</w:t>
      </w:r>
    </w:p>
    <w:p w:rsidR="00666E8B" w:rsidRDefault="00666E8B" w:rsidP="00666E8B">
      <w:pPr>
        <w:pStyle w:val="Reference"/>
      </w:pPr>
      <w:r>
        <w:t xml:space="preserve">—— </w:t>
      </w:r>
      <w:proofErr w:type="spellStart"/>
      <w:r>
        <w:t>2013a</w:t>
      </w:r>
      <w:proofErr w:type="spellEnd"/>
      <w:r>
        <w:t xml:space="preserve">, </w:t>
      </w:r>
      <w:r>
        <w:rPr>
          <w:i/>
          <w:iCs/>
        </w:rPr>
        <w:t>New rules for winners: Ensuring future automotive supplier competitiveness</w:t>
      </w:r>
      <w:r>
        <w:t>, Munich, Germany.</w:t>
      </w:r>
    </w:p>
    <w:p w:rsidR="00666E8B" w:rsidRDefault="00666E8B" w:rsidP="00666E8B">
      <w:pPr>
        <w:pStyle w:val="Reference"/>
      </w:pPr>
      <w:r>
        <w:t xml:space="preserve">—— </w:t>
      </w:r>
      <w:proofErr w:type="spellStart"/>
      <w:r>
        <w:t>2013b</w:t>
      </w:r>
      <w:proofErr w:type="spellEnd"/>
      <w:r>
        <w:t xml:space="preserve">, </w:t>
      </w:r>
      <w:r>
        <w:rPr>
          <w:i/>
          <w:iCs/>
        </w:rPr>
        <w:t>The Road to 2020 and Beyond: What’s Driving the Global Automotive Industry?</w:t>
      </w:r>
      <w:r>
        <w:t>, August.</w:t>
      </w:r>
    </w:p>
    <w:p w:rsidR="00666E8B" w:rsidRDefault="00666E8B" w:rsidP="00666E8B">
      <w:pPr>
        <w:pStyle w:val="Reference"/>
      </w:pPr>
      <w:proofErr w:type="spellStart"/>
      <w:r>
        <w:t>MEMA</w:t>
      </w:r>
      <w:proofErr w:type="spellEnd"/>
      <w:r>
        <w:t xml:space="preserve"> (Motor and Equipment Manufacturing Association) 2013, </w:t>
      </w:r>
      <w:r>
        <w:rPr>
          <w:i/>
          <w:iCs/>
        </w:rPr>
        <w:t>Moving America Forward</w:t>
      </w:r>
      <w:r>
        <w:t>, Michigan.</w:t>
      </w:r>
    </w:p>
    <w:p w:rsidR="00666E8B" w:rsidRDefault="00666E8B" w:rsidP="00666E8B">
      <w:pPr>
        <w:pStyle w:val="Reference"/>
      </w:pPr>
      <w:r>
        <w:t xml:space="preserve">Minchin, N. (Minister for Industry, Science and Resources) 1999, </w:t>
      </w:r>
      <w:proofErr w:type="spellStart"/>
      <w:r>
        <w:rPr>
          <w:i/>
          <w:iCs/>
        </w:rPr>
        <w:t>ACIS</w:t>
      </w:r>
      <w:proofErr w:type="spellEnd"/>
      <w:r>
        <w:rPr>
          <w:i/>
          <w:iCs/>
        </w:rPr>
        <w:t xml:space="preserve"> Administration Bill 1999, </w:t>
      </w:r>
      <w:proofErr w:type="spellStart"/>
      <w:r>
        <w:rPr>
          <w:i/>
          <w:iCs/>
        </w:rPr>
        <w:t>ACIS</w:t>
      </w:r>
      <w:proofErr w:type="spellEnd"/>
      <w:r>
        <w:rPr>
          <w:i/>
          <w:iCs/>
        </w:rPr>
        <w:t xml:space="preserve"> (Unearned Credit </w:t>
      </w:r>
      <w:proofErr w:type="spellStart"/>
      <w:r>
        <w:rPr>
          <w:i/>
          <w:iCs/>
        </w:rPr>
        <w:t>Liabilty</w:t>
      </w:r>
      <w:proofErr w:type="spellEnd"/>
      <w:r>
        <w:rPr>
          <w:i/>
          <w:iCs/>
        </w:rPr>
        <w:t>) Bill 1999 - Explanatory Memorandum</w:t>
      </w:r>
      <w:r>
        <w:t>.</w:t>
      </w:r>
    </w:p>
    <w:p w:rsidR="00666E8B" w:rsidRDefault="00666E8B" w:rsidP="00666E8B">
      <w:pPr>
        <w:pStyle w:val="Reference"/>
      </w:pPr>
      <w:proofErr w:type="spellStart"/>
      <w:r>
        <w:t>Moavenzadeh</w:t>
      </w:r>
      <w:proofErr w:type="spellEnd"/>
      <w:r>
        <w:t xml:space="preserve">, J. 2008, ‘The changing nature of engineering in the automotive industry’, </w:t>
      </w:r>
      <w:r>
        <w:rPr>
          <w:i/>
          <w:iCs/>
        </w:rPr>
        <w:t>The Offshoring of Engineering: Facts, Unknowns, and Potential Implications</w:t>
      </w:r>
      <w:r>
        <w:t>, The National Academies Press, Washington D.C., pp. 69 –102.</w:t>
      </w:r>
    </w:p>
    <w:p w:rsidR="00666E8B" w:rsidRDefault="00666E8B" w:rsidP="00666E8B">
      <w:pPr>
        <w:pStyle w:val="Reference"/>
      </w:pPr>
      <w:r>
        <w:t xml:space="preserve">Morgan Stanley 2013, </w:t>
      </w:r>
      <w:r>
        <w:rPr>
          <w:i/>
          <w:iCs/>
        </w:rPr>
        <w:t>Global Autos: Labour Cost Benchmarking: Implications for EU OEMs</w:t>
      </w:r>
      <w:r>
        <w:t>, March.</w:t>
      </w:r>
    </w:p>
    <w:p w:rsidR="00666E8B" w:rsidRDefault="00666E8B" w:rsidP="00666E8B">
      <w:pPr>
        <w:pStyle w:val="Reference"/>
      </w:pPr>
      <w:proofErr w:type="spellStart"/>
      <w:r>
        <w:t>Naughton</w:t>
      </w:r>
      <w:proofErr w:type="spellEnd"/>
      <w:r>
        <w:t>, K. 2012, ‘</w:t>
      </w:r>
      <w:r w:rsidRPr="00D06DD1">
        <w:rPr>
          <w:iCs/>
        </w:rPr>
        <w:t>Ford sees margins shrinking as buyers shift to small cars’</w:t>
      </w:r>
      <w:r>
        <w:t xml:space="preserve">, </w:t>
      </w:r>
      <w:r w:rsidRPr="00D06DD1">
        <w:rPr>
          <w:i/>
        </w:rPr>
        <w:t>Automotive News</w:t>
      </w:r>
      <w:r>
        <w:t>, http://</w:t>
      </w:r>
      <w:proofErr w:type="spellStart"/>
      <w:r>
        <w:t>www.autonews.com</w:t>
      </w:r>
      <w:proofErr w:type="spellEnd"/>
      <w:r>
        <w:t>/article/20121114/</w:t>
      </w:r>
      <w:proofErr w:type="spellStart"/>
      <w:r>
        <w:t>RETAIL01</w:t>
      </w:r>
      <w:proofErr w:type="spellEnd"/>
      <w:r>
        <w:t>/</w:t>
      </w:r>
      <w:r w:rsidR="007C40FD">
        <w:br/>
      </w:r>
      <w:r>
        <w:t>121119941/ford-sees-margins-shrinking-as-buyers-shift-to-small-cars# (accessed 11 November 2013).</w:t>
      </w:r>
    </w:p>
    <w:p w:rsidR="00666E8B" w:rsidRDefault="00666E8B" w:rsidP="00666E8B">
      <w:pPr>
        <w:pStyle w:val="Reference"/>
      </w:pPr>
      <w:r>
        <w:t xml:space="preserve">OECD (Organisation for Economic Cooperation and Development) 2013, </w:t>
      </w:r>
      <w:proofErr w:type="spellStart"/>
      <w:r>
        <w:rPr>
          <w:i/>
          <w:iCs/>
        </w:rPr>
        <w:t>OECD.Stats</w:t>
      </w:r>
      <w:proofErr w:type="spellEnd"/>
      <w:r>
        <w:rPr>
          <w:i/>
          <w:iCs/>
        </w:rPr>
        <w:t xml:space="preserve"> Extracts</w:t>
      </w:r>
      <w:r>
        <w:t>, database, http://</w:t>
      </w:r>
      <w:proofErr w:type="spellStart"/>
      <w:r>
        <w:t>stats.oecd.org</w:t>
      </w:r>
      <w:proofErr w:type="spellEnd"/>
      <w:r>
        <w:t>/</w:t>
      </w:r>
      <w:proofErr w:type="spellStart"/>
      <w:r>
        <w:t>Index.aspx?DataSetCode</w:t>
      </w:r>
      <w:proofErr w:type="spellEnd"/>
      <w:r>
        <w:t>=</w:t>
      </w:r>
      <w:r w:rsidR="007C40FD">
        <w:br/>
      </w:r>
      <w:proofErr w:type="spellStart"/>
      <w:r>
        <w:t>STANi4</w:t>
      </w:r>
      <w:proofErr w:type="spellEnd"/>
      <w:r>
        <w:t xml:space="preserve"> (accessed 18 December 2013).</w:t>
      </w:r>
    </w:p>
    <w:p w:rsidR="00666E8B" w:rsidRDefault="00666E8B" w:rsidP="00666E8B">
      <w:pPr>
        <w:pStyle w:val="Reference"/>
      </w:pPr>
      <w:proofErr w:type="spellStart"/>
      <w:r>
        <w:lastRenderedPageBreak/>
        <w:t>OICA</w:t>
      </w:r>
      <w:proofErr w:type="spellEnd"/>
      <w:r>
        <w:t xml:space="preserve"> (International Organisation of Motor Vehicle Producers) </w:t>
      </w:r>
      <w:proofErr w:type="spellStart"/>
      <w:r>
        <w:t>2013a</w:t>
      </w:r>
      <w:proofErr w:type="spellEnd"/>
      <w:r>
        <w:t xml:space="preserve">, </w:t>
      </w:r>
      <w:r>
        <w:rPr>
          <w:i/>
          <w:iCs/>
        </w:rPr>
        <w:t>Production Statistics</w:t>
      </w:r>
      <w:r>
        <w:t>, France, http://</w:t>
      </w:r>
      <w:proofErr w:type="spellStart"/>
      <w:r>
        <w:t>www.oica.net</w:t>
      </w:r>
      <w:proofErr w:type="spellEnd"/>
      <w:r>
        <w:t>/category/production-statistics/ (accessed 1 November 2013).</w:t>
      </w:r>
    </w:p>
    <w:p w:rsidR="00666E8B" w:rsidRDefault="00666E8B" w:rsidP="00666E8B">
      <w:pPr>
        <w:pStyle w:val="Reference"/>
      </w:pPr>
      <w:r>
        <w:t xml:space="preserve">—— </w:t>
      </w:r>
      <w:proofErr w:type="spellStart"/>
      <w:r>
        <w:t>2013b</w:t>
      </w:r>
      <w:proofErr w:type="spellEnd"/>
      <w:r>
        <w:t xml:space="preserve">, </w:t>
      </w:r>
      <w:r>
        <w:rPr>
          <w:i/>
          <w:iCs/>
        </w:rPr>
        <w:t>Sales Statistics</w:t>
      </w:r>
      <w:r>
        <w:t>, http://</w:t>
      </w:r>
      <w:proofErr w:type="spellStart"/>
      <w:r>
        <w:t>www.oica.net</w:t>
      </w:r>
      <w:proofErr w:type="spellEnd"/>
      <w:r>
        <w:t>/category/sales-statistics/ (accessed 8 November 2013).</w:t>
      </w:r>
    </w:p>
    <w:p w:rsidR="00666E8B" w:rsidRDefault="00666E8B" w:rsidP="00666E8B">
      <w:pPr>
        <w:pStyle w:val="Reference"/>
      </w:pPr>
      <w:r>
        <w:t xml:space="preserve">Oliver Wyman 2013, </w:t>
      </w:r>
      <w:r>
        <w:rPr>
          <w:i/>
          <w:iCs/>
        </w:rPr>
        <w:t>Automotive Manager: Trend, Opportunities and Solutions Along the Entire Value Chain</w:t>
      </w:r>
      <w:r>
        <w:t>, January.</w:t>
      </w:r>
    </w:p>
    <w:p w:rsidR="00666E8B" w:rsidRDefault="00666E8B" w:rsidP="00666E8B">
      <w:pPr>
        <w:pStyle w:val="Reference"/>
      </w:pPr>
      <w:proofErr w:type="spellStart"/>
      <w:r>
        <w:t>OzeBus</w:t>
      </w:r>
      <w:proofErr w:type="spellEnd"/>
      <w:r>
        <w:t xml:space="preserve"> 2013, </w:t>
      </w:r>
      <w:r>
        <w:rPr>
          <w:i/>
          <w:iCs/>
        </w:rPr>
        <w:t>Bus Industry Vital Statistics</w:t>
      </w:r>
      <w:r>
        <w:t>, http://bic.asn.au/information-for-moving-people/bus-industry-vital-statistics (accessed 17 December 2013).</w:t>
      </w:r>
    </w:p>
    <w:p w:rsidR="00666E8B" w:rsidRDefault="00666E8B" w:rsidP="00666E8B">
      <w:pPr>
        <w:pStyle w:val="Reference"/>
      </w:pPr>
      <w:r>
        <w:t xml:space="preserve">PC (Productivity Commission) 2002, </w:t>
      </w:r>
      <w:r>
        <w:rPr>
          <w:i/>
          <w:iCs/>
        </w:rPr>
        <w:t>Review of Automotive Assistance</w:t>
      </w:r>
      <w:r>
        <w:t>, 30 August, Inquiry report no. 25, Canberra.</w:t>
      </w:r>
    </w:p>
    <w:p w:rsidR="00666E8B" w:rsidRDefault="00666E8B" w:rsidP="00666E8B">
      <w:pPr>
        <w:pStyle w:val="Reference"/>
      </w:pPr>
      <w:r>
        <w:t xml:space="preserve">—— </w:t>
      </w:r>
      <w:proofErr w:type="spellStart"/>
      <w:r>
        <w:t>2010a</w:t>
      </w:r>
      <w:proofErr w:type="spellEnd"/>
      <w:r>
        <w:t xml:space="preserve">, </w:t>
      </w:r>
      <w:r>
        <w:rPr>
          <w:i/>
          <w:iCs/>
        </w:rPr>
        <w:t>Bilateral and Regional Trade Agreements</w:t>
      </w:r>
      <w:r>
        <w:t>, Productivity Commission Research Report, Canberra.</w:t>
      </w:r>
    </w:p>
    <w:p w:rsidR="00666E8B" w:rsidRDefault="00666E8B" w:rsidP="00666E8B">
      <w:pPr>
        <w:pStyle w:val="Reference"/>
      </w:pPr>
      <w:r>
        <w:t xml:space="preserve">—— </w:t>
      </w:r>
      <w:proofErr w:type="spellStart"/>
      <w:r>
        <w:t>2010b</w:t>
      </w:r>
      <w:proofErr w:type="spellEnd"/>
      <w:r>
        <w:t xml:space="preserve">, </w:t>
      </w:r>
      <w:r>
        <w:rPr>
          <w:i/>
          <w:iCs/>
        </w:rPr>
        <w:t>Trade &amp; Assistance Review 2008-09</w:t>
      </w:r>
      <w:r>
        <w:t>, Annual Report Series, Canberra.</w:t>
      </w:r>
    </w:p>
    <w:p w:rsidR="00666E8B" w:rsidRDefault="00666E8B" w:rsidP="00666E8B">
      <w:pPr>
        <w:pStyle w:val="Reference"/>
      </w:pPr>
      <w:r>
        <w:t xml:space="preserve">—— 2013, </w:t>
      </w:r>
      <w:r>
        <w:rPr>
          <w:i/>
          <w:iCs/>
        </w:rPr>
        <w:t>Trade and Assistance Review 2011-12</w:t>
      </w:r>
      <w:r>
        <w:t>, Annual Report Series, Canberra.</w:t>
      </w:r>
    </w:p>
    <w:p w:rsidR="00666E8B" w:rsidRDefault="00666E8B" w:rsidP="00666E8B">
      <w:pPr>
        <w:pStyle w:val="Reference"/>
      </w:pPr>
      <w:proofErr w:type="spellStart"/>
      <w:r>
        <w:t>Platzer</w:t>
      </w:r>
      <w:proofErr w:type="spellEnd"/>
      <w:r>
        <w:t xml:space="preserve">, </w:t>
      </w:r>
      <w:proofErr w:type="spellStart"/>
      <w:r>
        <w:t>M.D.</w:t>
      </w:r>
      <w:proofErr w:type="spellEnd"/>
      <w:r>
        <w:t xml:space="preserve"> and Harrison, </w:t>
      </w:r>
      <w:proofErr w:type="spellStart"/>
      <w:r>
        <w:t>G.J</w:t>
      </w:r>
      <w:proofErr w:type="spellEnd"/>
      <w:r>
        <w:t xml:space="preserve">. 2009, </w:t>
      </w:r>
      <w:r>
        <w:rPr>
          <w:i/>
          <w:iCs/>
        </w:rPr>
        <w:t>The US Automotive Industry: National and State Trends in Manufacturing Employment</w:t>
      </w:r>
      <w:r>
        <w:t>, August, Key Workplace Documents, Congressional Research Service, Washington, DC.</w:t>
      </w:r>
    </w:p>
    <w:p w:rsidR="00666E8B" w:rsidRDefault="00666E8B" w:rsidP="00666E8B">
      <w:pPr>
        <w:pStyle w:val="Reference"/>
      </w:pPr>
      <w:r>
        <w:t xml:space="preserve">PwC (PricewaterhouseCoopers) 2012, </w:t>
      </w:r>
      <w:proofErr w:type="spellStart"/>
      <w:r>
        <w:rPr>
          <w:i/>
          <w:iCs/>
        </w:rPr>
        <w:t>Autofacts</w:t>
      </w:r>
      <w:proofErr w:type="spellEnd"/>
      <w:r>
        <w:rPr>
          <w:i/>
          <w:iCs/>
        </w:rPr>
        <w:t xml:space="preserve"> Quarterly Forecast Update: Day of Reckoning for Europe’s Auto Sector?</w:t>
      </w:r>
      <w:r>
        <w:t>, April, https://www.pwc.de/de/automobilindustrie/assets/autofacts-qfu-free-apr2012.pdf (accessed 29 October 2013).</w:t>
      </w:r>
    </w:p>
    <w:p w:rsidR="00666E8B" w:rsidRDefault="00666E8B" w:rsidP="00666E8B">
      <w:pPr>
        <w:pStyle w:val="Reference"/>
      </w:pPr>
      <w:r>
        <w:t xml:space="preserve">—— 2013, </w:t>
      </w:r>
      <w:r>
        <w:rPr>
          <w:i/>
          <w:iCs/>
        </w:rPr>
        <w:t>Consolidation in the Global Automotive Supply Industry 2013</w:t>
      </w:r>
      <w:r>
        <w:t>.</w:t>
      </w:r>
    </w:p>
    <w:p w:rsidR="00666E8B" w:rsidRDefault="00666E8B" w:rsidP="00666E8B">
      <w:pPr>
        <w:pStyle w:val="Reference"/>
      </w:pPr>
      <w:r>
        <w:t xml:space="preserve">RBA (Reserve Bank of Australia) 2013, </w:t>
      </w:r>
      <w:r>
        <w:rPr>
          <w:i/>
          <w:iCs/>
        </w:rPr>
        <w:t>Exchange Rate Data</w:t>
      </w:r>
      <w:r>
        <w:t xml:space="preserve">, Sydney, </w:t>
      </w:r>
      <w:r w:rsidR="003013C0">
        <w:t>http://</w:t>
      </w:r>
      <w:proofErr w:type="spellStart"/>
      <w:r w:rsidR="007C40FD" w:rsidRPr="003013C0">
        <w:t>www.rba.gov.au</w:t>
      </w:r>
      <w:proofErr w:type="spellEnd"/>
      <w:r>
        <w:t>/statistics/</w:t>
      </w:r>
      <w:proofErr w:type="spellStart"/>
      <w:r>
        <w:t>hist</w:t>
      </w:r>
      <w:proofErr w:type="spellEnd"/>
      <w:r>
        <w:t>-exchange-rates/</w:t>
      </w:r>
      <w:proofErr w:type="spellStart"/>
      <w:r>
        <w:t>index.html</w:t>
      </w:r>
      <w:proofErr w:type="spellEnd"/>
      <w:r>
        <w:t xml:space="preserve"> (accessed 25 November 2013).</w:t>
      </w:r>
    </w:p>
    <w:p w:rsidR="00666E8B" w:rsidRDefault="00666E8B" w:rsidP="00666E8B">
      <w:pPr>
        <w:pStyle w:val="Reference"/>
      </w:pPr>
      <w:proofErr w:type="spellStart"/>
      <w:r>
        <w:t>Sedgewick</w:t>
      </w:r>
      <w:proofErr w:type="spellEnd"/>
      <w:r>
        <w:t xml:space="preserve">, D. 2013, </w:t>
      </w:r>
      <w:r>
        <w:rPr>
          <w:i/>
          <w:iCs/>
        </w:rPr>
        <w:t>Global Platforms Prompting Supplier Shakeout</w:t>
      </w:r>
      <w:r>
        <w:t>, Automotive News, August, http://</w:t>
      </w:r>
      <w:proofErr w:type="spellStart"/>
      <w:r>
        <w:t>www.autonews.com</w:t>
      </w:r>
      <w:proofErr w:type="spellEnd"/>
      <w:r>
        <w:t>/article/20130806/</w:t>
      </w:r>
      <w:proofErr w:type="spellStart"/>
      <w:r>
        <w:t>OEM01</w:t>
      </w:r>
      <w:proofErr w:type="spellEnd"/>
      <w:r>
        <w:t>/130809902/</w:t>
      </w:r>
      <w:r w:rsidR="007C40FD">
        <w:br/>
      </w:r>
      <w:proofErr w:type="spellStart"/>
      <w:r>
        <w:t>global-platforms-prompting-supplier-shakeout#axzz2kIv4Hq3e</w:t>
      </w:r>
      <w:proofErr w:type="spellEnd"/>
      <w:r>
        <w:t xml:space="preserve"> (accessed 13 November 2013).</w:t>
      </w:r>
    </w:p>
    <w:p w:rsidR="00666E8B" w:rsidRDefault="00666E8B" w:rsidP="00666E8B">
      <w:pPr>
        <w:pStyle w:val="Reference"/>
      </w:pPr>
      <w:r>
        <w:t xml:space="preserve">Sturgeon, T.J. and Van </w:t>
      </w:r>
      <w:proofErr w:type="spellStart"/>
      <w:r>
        <w:t>Biesebroeck</w:t>
      </w:r>
      <w:proofErr w:type="spellEnd"/>
      <w:r>
        <w:t xml:space="preserve">, J. 2009, </w:t>
      </w:r>
      <w:r>
        <w:rPr>
          <w:i/>
          <w:iCs/>
        </w:rPr>
        <w:t>Crisis and Protection in the Automotive Industry: A Global value Chain Perspective</w:t>
      </w:r>
      <w:r>
        <w:t>, 5060, Policy Research Working Paper, World Bank, Geneva.</w:t>
      </w:r>
    </w:p>
    <w:p w:rsidR="00666E8B" w:rsidRDefault="00666E8B" w:rsidP="00666E8B">
      <w:pPr>
        <w:pStyle w:val="Reference"/>
      </w:pPr>
      <w:r>
        <w:t xml:space="preserve">—— and —— 2011, ‘Global value chains in the automotive industry: an enhanced role for developing countries?’, </w:t>
      </w:r>
      <w:r>
        <w:rPr>
          <w:i/>
          <w:iCs/>
        </w:rPr>
        <w:t>International Journal of Technological Learning, Innovation and Development</w:t>
      </w:r>
      <w:r>
        <w:t>, vol. 4, no. 1/2/3, pp. 181–205.</w:t>
      </w:r>
    </w:p>
    <w:p w:rsidR="00666E8B" w:rsidRDefault="00666E8B" w:rsidP="00666E8B">
      <w:pPr>
        <w:pStyle w:val="Reference"/>
      </w:pPr>
      <w:r>
        <w:lastRenderedPageBreak/>
        <w:t xml:space="preserve">——, —— and </w:t>
      </w:r>
      <w:proofErr w:type="spellStart"/>
      <w:r>
        <w:t>Gereffi</w:t>
      </w:r>
      <w:proofErr w:type="spellEnd"/>
      <w:r>
        <w:t xml:space="preserve">, G. 2008, ‘Value Chains, Networks and Clusters: Reframing the Global Automotive Industry’, </w:t>
      </w:r>
      <w:r>
        <w:rPr>
          <w:i/>
          <w:iCs/>
        </w:rPr>
        <w:t>Journal of Economic Geography</w:t>
      </w:r>
      <w:r>
        <w:t>, vol. 8, pp. 297–321.</w:t>
      </w:r>
    </w:p>
    <w:p w:rsidR="00666E8B" w:rsidRDefault="00666E8B" w:rsidP="00666E8B">
      <w:pPr>
        <w:pStyle w:val="Reference"/>
      </w:pPr>
      <w:r>
        <w:t xml:space="preserve">Toyota 2013, </w:t>
      </w:r>
      <w:r>
        <w:rPr>
          <w:i/>
          <w:iCs/>
        </w:rPr>
        <w:t xml:space="preserve">Toyota to Build Lexus </w:t>
      </w:r>
      <w:proofErr w:type="spellStart"/>
      <w:r>
        <w:rPr>
          <w:i/>
          <w:iCs/>
        </w:rPr>
        <w:t>ES</w:t>
      </w:r>
      <w:proofErr w:type="spellEnd"/>
      <w:r>
        <w:rPr>
          <w:i/>
          <w:iCs/>
        </w:rPr>
        <w:t xml:space="preserve"> 350 at Its Georgetown, Kentucky Plant</w:t>
      </w:r>
      <w:r>
        <w:t>, http://pressroom.toyota.com/releases/toyota+build+lexus+es350+georgetown+ky+plant.htm (accessed 18 December 2013).</w:t>
      </w:r>
    </w:p>
    <w:p w:rsidR="00666E8B" w:rsidRDefault="00666E8B" w:rsidP="00666E8B">
      <w:pPr>
        <w:pStyle w:val="Reference"/>
      </w:pPr>
      <w:r>
        <w:t xml:space="preserve">Toyota Australia </w:t>
      </w:r>
      <w:proofErr w:type="spellStart"/>
      <w:r>
        <w:t>2013a</w:t>
      </w:r>
      <w:proofErr w:type="spellEnd"/>
      <w:r>
        <w:t xml:space="preserve">, </w:t>
      </w:r>
      <w:r>
        <w:rPr>
          <w:i/>
          <w:iCs/>
        </w:rPr>
        <w:t>Press Release - Toyota Australia Adjusts its Manufacturing Workforce</w:t>
      </w:r>
      <w:r w:rsidRPr="00D06DD1">
        <w:t xml:space="preserve">, </w:t>
      </w:r>
      <w:hyperlink r:id="rId64" w:history="1">
        <w:r w:rsidRPr="00D06DD1">
          <w:t>https://</w:t>
        </w:r>
        <w:proofErr w:type="spellStart"/>
        <w:r w:rsidRPr="00D06DD1">
          <w:t>www.pressroom.com.au</w:t>
        </w:r>
        <w:proofErr w:type="spellEnd"/>
        <w:r w:rsidRPr="00D06DD1">
          <w:t>/</w:t>
        </w:r>
        <w:proofErr w:type="spellStart"/>
        <w:r w:rsidRPr="00D06DD1">
          <w:t>press_release_detail.asp?clientID</w:t>
        </w:r>
        <w:proofErr w:type="spellEnd"/>
      </w:hyperlink>
      <w:r>
        <w:t xml:space="preserve">= </w:t>
      </w:r>
      <w:proofErr w:type="spellStart"/>
      <w:r>
        <w:t>2&amp;prID</w:t>
      </w:r>
      <w:proofErr w:type="spellEnd"/>
      <w:r>
        <w:t>=</w:t>
      </w:r>
      <w:proofErr w:type="spellStart"/>
      <w:r>
        <w:t>5135&amp;navSectionID</w:t>
      </w:r>
      <w:proofErr w:type="spellEnd"/>
      <w:r>
        <w:t>=2 (accessed 18 November 2013).</w:t>
      </w:r>
    </w:p>
    <w:p w:rsidR="00666E8B" w:rsidRDefault="00666E8B" w:rsidP="00666E8B">
      <w:pPr>
        <w:pStyle w:val="Reference"/>
      </w:pPr>
      <w:r>
        <w:t xml:space="preserve">—— </w:t>
      </w:r>
      <w:proofErr w:type="spellStart"/>
      <w:r>
        <w:t>2013b</w:t>
      </w:r>
      <w:proofErr w:type="spellEnd"/>
      <w:r>
        <w:t xml:space="preserve">, </w:t>
      </w:r>
      <w:r>
        <w:rPr>
          <w:i/>
          <w:iCs/>
        </w:rPr>
        <w:t>Press release - Toyota Australia Postpones Employee Vote</w:t>
      </w:r>
      <w:r>
        <w:t>, http://www.toyota.com.au/news/toyota-australia-postpones-employee-vote (accessed 17 December 2013).</w:t>
      </w:r>
    </w:p>
    <w:p w:rsidR="00666E8B" w:rsidRDefault="00666E8B" w:rsidP="00666E8B">
      <w:pPr>
        <w:pStyle w:val="Reference"/>
      </w:pPr>
      <w:r>
        <w:t xml:space="preserve">—— </w:t>
      </w:r>
      <w:proofErr w:type="spellStart"/>
      <w:r>
        <w:t>2013c</w:t>
      </w:r>
      <w:proofErr w:type="spellEnd"/>
      <w:r>
        <w:t xml:space="preserve">, </w:t>
      </w:r>
      <w:r>
        <w:rPr>
          <w:i/>
          <w:iCs/>
        </w:rPr>
        <w:t>Press Release - Toyota Australia Seeks Productivity Improvements</w:t>
      </w:r>
      <w:r>
        <w:t>, https://www.pressroom.com.au/press_release_detail.asp?clientID=2&amp;prID=5145&amp;navSectionID=2 (accessed 18 November 2013).</w:t>
      </w:r>
    </w:p>
    <w:p w:rsidR="00666E8B" w:rsidRDefault="00666E8B" w:rsidP="00666E8B">
      <w:pPr>
        <w:pStyle w:val="Reference"/>
      </w:pPr>
      <w:r>
        <w:t xml:space="preserve">United States Trade Representative 2012, </w:t>
      </w:r>
      <w:r>
        <w:rPr>
          <w:i/>
          <w:iCs/>
        </w:rPr>
        <w:t>2012 Report to Congress on China’s WTO Compliance</w:t>
      </w:r>
      <w:r>
        <w:t>.</w:t>
      </w:r>
    </w:p>
    <w:p w:rsidR="00666E8B" w:rsidRDefault="00666E8B" w:rsidP="00666E8B">
      <w:pPr>
        <w:pStyle w:val="Reference"/>
      </w:pPr>
      <w:r>
        <w:t xml:space="preserve">Villarreal, M. 2012, </w:t>
      </w:r>
      <w:r>
        <w:rPr>
          <w:i/>
          <w:iCs/>
        </w:rPr>
        <w:t>Mexico’s Free Trade Agreements</w:t>
      </w:r>
      <w:r>
        <w:t>, July, Congressional Research Service.</w:t>
      </w:r>
    </w:p>
    <w:p w:rsidR="00666E8B" w:rsidRDefault="00666E8B" w:rsidP="00666E8B">
      <w:pPr>
        <w:pStyle w:val="Reference"/>
      </w:pPr>
      <w:r>
        <w:t xml:space="preserve">Volkswagen AG 2012, </w:t>
      </w:r>
      <w:r>
        <w:rPr>
          <w:i/>
          <w:iCs/>
        </w:rPr>
        <w:t>Modular Toolkit Strategy</w:t>
      </w:r>
      <w:r>
        <w:t>, http://</w:t>
      </w:r>
      <w:proofErr w:type="spellStart"/>
      <w:r>
        <w:t>www.volkswagenag.com</w:t>
      </w:r>
      <w:proofErr w:type="spellEnd"/>
      <w:r>
        <w:t xml:space="preserve"> /content/vwcorp/content/en/investor_relations/Warum_Volkswagen/MQB.html (accessed 18 December 2013).</w:t>
      </w:r>
    </w:p>
    <w:p w:rsidR="00666E8B" w:rsidRDefault="00666E8B" w:rsidP="00666E8B">
      <w:pPr>
        <w:pStyle w:val="Reference"/>
      </w:pPr>
      <w:r>
        <w:t xml:space="preserve">Ward’s Automotive Group 2007, </w:t>
      </w:r>
      <w:r>
        <w:rPr>
          <w:i/>
          <w:iCs/>
        </w:rPr>
        <w:t>Ward’s World Motor Vehicle Data Book 2007</w:t>
      </w:r>
      <w:r>
        <w:t>.</w:t>
      </w:r>
    </w:p>
    <w:p w:rsidR="00666E8B" w:rsidRDefault="00666E8B" w:rsidP="00666E8B">
      <w:pPr>
        <w:pStyle w:val="Reference"/>
      </w:pPr>
      <w:r>
        <w:t xml:space="preserve">Wright, R. 2013, </w:t>
      </w:r>
      <w:r>
        <w:rPr>
          <w:i/>
          <w:iCs/>
        </w:rPr>
        <w:t>GM Plans Revival to be Driven by New Open Style</w:t>
      </w:r>
      <w:r>
        <w:t>, December, Financial Times.</w:t>
      </w:r>
    </w:p>
    <w:p w:rsidR="00727498" w:rsidRPr="00727498" w:rsidRDefault="00727498" w:rsidP="00727498">
      <w:pPr>
        <w:pStyle w:val="BodyText"/>
      </w:pPr>
    </w:p>
    <w:p w:rsidR="00727498" w:rsidRDefault="00727498" w:rsidP="00727498"/>
    <w:p w:rsidR="00727498" w:rsidRDefault="00727498" w:rsidP="00727498"/>
    <w:p w:rsidR="00727498" w:rsidRDefault="00727498" w:rsidP="00727498"/>
    <w:p w:rsidR="00727498" w:rsidRDefault="00727498" w:rsidP="00727498"/>
    <w:p w:rsidR="00727498" w:rsidRDefault="00727498" w:rsidP="00727498"/>
    <w:p w:rsidR="00727498" w:rsidRPr="00727498" w:rsidRDefault="00727498" w:rsidP="00727498"/>
    <w:sectPr w:rsidR="00727498" w:rsidRPr="00727498" w:rsidSect="00727498">
      <w:headerReference w:type="even" r:id="rId65"/>
      <w:headerReference w:type="default" r:id="rId66"/>
      <w:footerReference w:type="even" r:id="rId67"/>
      <w:footerReference w:type="default" r:id="rId68"/>
      <w:headerReference w:type="first" r:id="rId69"/>
      <w:type w:val="oddPage"/>
      <w:pgSz w:w="11907" w:h="16840" w:code="9"/>
      <w:pgMar w:top="1985" w:right="1304" w:bottom="1418" w:left="1814" w:header="1701" w:footer="567" w:gutter="0"/>
      <w:pgNumType w:chapSep="period"/>
      <w:cols w:space="720"/>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7498" w:rsidRDefault="00727498">
      <w:r>
        <w:separator/>
      </w:r>
    </w:p>
  </w:endnote>
  <w:endnote w:type="continuationSeparator" w:id="0">
    <w:p w:rsidR="00727498" w:rsidRDefault="007274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096E55">
      <w:trPr>
        <w:trHeight w:hRule="exact" w:val="740"/>
      </w:trPr>
      <w:tc>
        <w:tcPr>
          <w:tcW w:w="510" w:type="dxa"/>
          <w:tcBorders>
            <w:top w:val="single" w:sz="6" w:space="0" w:color="auto"/>
          </w:tcBorders>
        </w:tcPr>
        <w:p w:rsidR="00096E55" w:rsidRDefault="00096E55"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911C43">
            <w:rPr>
              <w:rStyle w:val="PageNumber"/>
              <w:noProof/>
            </w:rPr>
            <w:t>2</w:t>
          </w:r>
          <w:r>
            <w:rPr>
              <w:rStyle w:val="PageNumber"/>
            </w:rPr>
            <w:fldChar w:fldCharType="end"/>
          </w:r>
        </w:p>
      </w:tc>
      <w:tc>
        <w:tcPr>
          <w:tcW w:w="1644" w:type="dxa"/>
          <w:tcBorders>
            <w:top w:val="single" w:sz="6" w:space="0" w:color="auto"/>
          </w:tcBorders>
        </w:tcPr>
        <w:p w:rsidR="00096E55" w:rsidRDefault="00727498" w:rsidP="0019293B">
          <w:pPr>
            <w:pStyle w:val="Footer"/>
          </w:pPr>
          <w:r>
            <w:t>Automotive manufacturing</w:t>
          </w:r>
        </w:p>
      </w:tc>
      <w:tc>
        <w:tcPr>
          <w:tcW w:w="6634" w:type="dxa"/>
        </w:tcPr>
        <w:p w:rsidR="00096E55" w:rsidRDefault="00096E55" w:rsidP="0019293B">
          <w:pPr>
            <w:pStyle w:val="Footer"/>
          </w:pPr>
        </w:p>
      </w:tc>
    </w:tr>
  </w:tbl>
  <w:p w:rsidR="00096E55" w:rsidRDefault="00096E55"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096E55">
      <w:trPr>
        <w:trHeight w:hRule="exact" w:val="740"/>
      </w:trPr>
      <w:tc>
        <w:tcPr>
          <w:tcW w:w="6634" w:type="dxa"/>
        </w:tcPr>
        <w:p w:rsidR="00096E55" w:rsidRDefault="00096E55">
          <w:pPr>
            <w:pStyle w:val="Footer"/>
            <w:ind w:right="360" w:firstLine="360"/>
          </w:pPr>
        </w:p>
      </w:tc>
      <w:tc>
        <w:tcPr>
          <w:tcW w:w="1644" w:type="dxa"/>
          <w:tcBorders>
            <w:top w:val="single" w:sz="6" w:space="0" w:color="auto"/>
          </w:tcBorders>
        </w:tcPr>
        <w:p w:rsidR="00096E55" w:rsidRPr="00727498" w:rsidRDefault="00727498">
          <w:pPr>
            <w:pStyle w:val="Footer"/>
          </w:pPr>
          <w:r>
            <w:t>Overview</w:t>
          </w:r>
        </w:p>
      </w:tc>
      <w:tc>
        <w:tcPr>
          <w:tcW w:w="510" w:type="dxa"/>
          <w:tcBorders>
            <w:top w:val="single" w:sz="6" w:space="0" w:color="auto"/>
          </w:tcBorders>
        </w:tcPr>
        <w:p w:rsidR="00096E55" w:rsidRDefault="00096E55">
          <w:pPr>
            <w:pStyle w:val="Footer"/>
            <w:jc w:val="right"/>
          </w:pPr>
          <w:r>
            <w:rPr>
              <w:rStyle w:val="PageNumber"/>
            </w:rPr>
            <w:fldChar w:fldCharType="begin"/>
          </w:r>
          <w:r>
            <w:rPr>
              <w:rStyle w:val="PageNumber"/>
            </w:rPr>
            <w:instrText xml:space="preserve">PAGE  </w:instrText>
          </w:r>
          <w:r>
            <w:rPr>
              <w:rStyle w:val="PageNumber"/>
            </w:rPr>
            <w:fldChar w:fldCharType="separate"/>
          </w:r>
          <w:r w:rsidR="00CB5290">
            <w:rPr>
              <w:rStyle w:val="PageNumber"/>
              <w:noProof/>
            </w:rPr>
            <w:t>1</w:t>
          </w:r>
          <w:r>
            <w:rPr>
              <w:rStyle w:val="PageNumber"/>
            </w:rPr>
            <w:fldChar w:fldCharType="end"/>
          </w:r>
        </w:p>
      </w:tc>
    </w:tr>
  </w:tbl>
  <w:p w:rsidR="00096E55" w:rsidRDefault="00096E55">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727498">
      <w:trPr>
        <w:trHeight w:hRule="exact" w:val="740"/>
      </w:trPr>
      <w:tc>
        <w:tcPr>
          <w:tcW w:w="6634" w:type="dxa"/>
        </w:tcPr>
        <w:p w:rsidR="00727498" w:rsidRDefault="00727498">
          <w:pPr>
            <w:pStyle w:val="Footer"/>
            <w:ind w:right="360" w:firstLine="360"/>
          </w:pPr>
        </w:p>
      </w:tc>
      <w:tc>
        <w:tcPr>
          <w:tcW w:w="1644" w:type="dxa"/>
          <w:tcBorders>
            <w:top w:val="single" w:sz="6" w:space="0" w:color="auto"/>
          </w:tcBorders>
        </w:tcPr>
        <w:p w:rsidR="00727498" w:rsidRPr="00727498" w:rsidRDefault="00727498">
          <w:pPr>
            <w:pStyle w:val="Footer"/>
          </w:pPr>
          <w:r>
            <w:t>About the inquiry</w:t>
          </w:r>
        </w:p>
      </w:tc>
      <w:tc>
        <w:tcPr>
          <w:tcW w:w="510" w:type="dxa"/>
          <w:tcBorders>
            <w:top w:val="single" w:sz="6" w:space="0" w:color="auto"/>
          </w:tcBorders>
        </w:tcPr>
        <w:p w:rsidR="00727498" w:rsidRDefault="00727498">
          <w:pPr>
            <w:pStyle w:val="Footer"/>
            <w:jc w:val="right"/>
          </w:pPr>
          <w:r>
            <w:rPr>
              <w:rStyle w:val="PageNumber"/>
            </w:rPr>
            <w:fldChar w:fldCharType="begin"/>
          </w:r>
          <w:r>
            <w:rPr>
              <w:rStyle w:val="PageNumber"/>
            </w:rPr>
            <w:instrText xml:space="preserve">PAGE  </w:instrText>
          </w:r>
          <w:r>
            <w:rPr>
              <w:rStyle w:val="PageNumber"/>
            </w:rPr>
            <w:fldChar w:fldCharType="separate"/>
          </w:r>
          <w:r w:rsidR="00911C43">
            <w:rPr>
              <w:rStyle w:val="PageNumber"/>
              <w:noProof/>
            </w:rPr>
            <w:t>3</w:t>
          </w:r>
          <w:r>
            <w:rPr>
              <w:rStyle w:val="PageNumber"/>
            </w:rPr>
            <w:fldChar w:fldCharType="end"/>
          </w:r>
        </w:p>
      </w:tc>
    </w:tr>
  </w:tbl>
  <w:p w:rsidR="00727498" w:rsidRDefault="00727498">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727498">
      <w:trPr>
        <w:trHeight w:hRule="exact" w:val="740"/>
      </w:trPr>
      <w:tc>
        <w:tcPr>
          <w:tcW w:w="6634" w:type="dxa"/>
        </w:tcPr>
        <w:p w:rsidR="00727498" w:rsidRDefault="00727498">
          <w:pPr>
            <w:pStyle w:val="Footer"/>
            <w:ind w:right="360" w:firstLine="360"/>
          </w:pPr>
        </w:p>
      </w:tc>
      <w:tc>
        <w:tcPr>
          <w:tcW w:w="1644" w:type="dxa"/>
          <w:tcBorders>
            <w:top w:val="single" w:sz="6" w:space="0" w:color="auto"/>
          </w:tcBorders>
        </w:tcPr>
        <w:p w:rsidR="00727498" w:rsidRPr="00727498" w:rsidRDefault="00727498">
          <w:pPr>
            <w:pStyle w:val="Footer"/>
          </w:pPr>
          <w:r>
            <w:t>Global context</w:t>
          </w:r>
        </w:p>
      </w:tc>
      <w:tc>
        <w:tcPr>
          <w:tcW w:w="510" w:type="dxa"/>
          <w:tcBorders>
            <w:top w:val="single" w:sz="6" w:space="0" w:color="auto"/>
          </w:tcBorders>
        </w:tcPr>
        <w:p w:rsidR="00727498" w:rsidRDefault="00727498">
          <w:pPr>
            <w:pStyle w:val="Footer"/>
            <w:jc w:val="right"/>
          </w:pPr>
          <w:r>
            <w:rPr>
              <w:rStyle w:val="PageNumber"/>
            </w:rPr>
            <w:fldChar w:fldCharType="begin"/>
          </w:r>
          <w:r>
            <w:rPr>
              <w:rStyle w:val="PageNumber"/>
            </w:rPr>
            <w:instrText xml:space="preserve">PAGE  </w:instrText>
          </w:r>
          <w:r>
            <w:rPr>
              <w:rStyle w:val="PageNumber"/>
            </w:rPr>
            <w:fldChar w:fldCharType="separate"/>
          </w:r>
          <w:r w:rsidR="00911C43">
            <w:rPr>
              <w:rStyle w:val="PageNumber"/>
              <w:noProof/>
            </w:rPr>
            <w:t>7</w:t>
          </w:r>
          <w:r>
            <w:rPr>
              <w:rStyle w:val="PageNumber"/>
            </w:rPr>
            <w:fldChar w:fldCharType="end"/>
          </w:r>
        </w:p>
      </w:tc>
    </w:tr>
  </w:tbl>
  <w:p w:rsidR="00727498" w:rsidRDefault="00727498">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727498">
      <w:trPr>
        <w:trHeight w:hRule="exact" w:val="740"/>
      </w:trPr>
      <w:tc>
        <w:tcPr>
          <w:tcW w:w="6634" w:type="dxa"/>
        </w:tcPr>
        <w:p w:rsidR="00727498" w:rsidRDefault="00727498">
          <w:pPr>
            <w:pStyle w:val="Footer"/>
            <w:ind w:right="360" w:firstLine="360"/>
          </w:pPr>
        </w:p>
      </w:tc>
      <w:tc>
        <w:tcPr>
          <w:tcW w:w="1644" w:type="dxa"/>
          <w:tcBorders>
            <w:top w:val="single" w:sz="6" w:space="0" w:color="auto"/>
          </w:tcBorders>
        </w:tcPr>
        <w:p w:rsidR="00727498" w:rsidRPr="00727498" w:rsidRDefault="00727498" w:rsidP="00C45B72">
          <w:pPr>
            <w:pStyle w:val="Footer"/>
          </w:pPr>
          <w:r>
            <w:t xml:space="preserve">automotive </w:t>
          </w:r>
          <w:r w:rsidR="00C45B72">
            <w:t>MANUFACTURING</w:t>
          </w:r>
          <w:r w:rsidR="00C45B72">
            <w:br/>
            <w:t>IN AUSTRALIA</w:t>
          </w:r>
        </w:p>
      </w:tc>
      <w:tc>
        <w:tcPr>
          <w:tcW w:w="510" w:type="dxa"/>
          <w:tcBorders>
            <w:top w:val="single" w:sz="6" w:space="0" w:color="auto"/>
          </w:tcBorders>
        </w:tcPr>
        <w:p w:rsidR="00727498" w:rsidRDefault="00727498">
          <w:pPr>
            <w:pStyle w:val="Footer"/>
            <w:jc w:val="right"/>
          </w:pPr>
          <w:r>
            <w:rPr>
              <w:rStyle w:val="PageNumber"/>
            </w:rPr>
            <w:fldChar w:fldCharType="begin"/>
          </w:r>
          <w:r>
            <w:rPr>
              <w:rStyle w:val="PageNumber"/>
            </w:rPr>
            <w:instrText xml:space="preserve">PAGE  </w:instrText>
          </w:r>
          <w:r>
            <w:rPr>
              <w:rStyle w:val="PageNumber"/>
            </w:rPr>
            <w:fldChar w:fldCharType="separate"/>
          </w:r>
          <w:r w:rsidR="00911C43">
            <w:rPr>
              <w:rStyle w:val="PageNumber"/>
              <w:noProof/>
            </w:rPr>
            <w:t>27</w:t>
          </w:r>
          <w:r>
            <w:rPr>
              <w:rStyle w:val="PageNumber"/>
            </w:rPr>
            <w:fldChar w:fldCharType="end"/>
          </w:r>
        </w:p>
      </w:tc>
    </w:tr>
  </w:tbl>
  <w:p w:rsidR="00727498" w:rsidRDefault="00727498">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727498">
      <w:trPr>
        <w:trHeight w:hRule="exact" w:val="740"/>
      </w:trPr>
      <w:tc>
        <w:tcPr>
          <w:tcW w:w="6634" w:type="dxa"/>
        </w:tcPr>
        <w:p w:rsidR="00727498" w:rsidRDefault="00727498">
          <w:pPr>
            <w:pStyle w:val="Footer"/>
            <w:ind w:right="360" w:firstLine="360"/>
          </w:pPr>
        </w:p>
      </w:tc>
      <w:tc>
        <w:tcPr>
          <w:tcW w:w="1644" w:type="dxa"/>
          <w:tcBorders>
            <w:top w:val="single" w:sz="6" w:space="0" w:color="auto"/>
          </w:tcBorders>
        </w:tcPr>
        <w:p w:rsidR="00727498" w:rsidRPr="00727498" w:rsidRDefault="00727498">
          <w:pPr>
            <w:pStyle w:val="Footer"/>
          </w:pPr>
          <w:r>
            <w:t>Preliminary findings</w:t>
          </w:r>
        </w:p>
      </w:tc>
      <w:tc>
        <w:tcPr>
          <w:tcW w:w="510" w:type="dxa"/>
          <w:tcBorders>
            <w:top w:val="single" w:sz="6" w:space="0" w:color="auto"/>
          </w:tcBorders>
        </w:tcPr>
        <w:p w:rsidR="00727498" w:rsidRDefault="00727498">
          <w:pPr>
            <w:pStyle w:val="Footer"/>
            <w:jc w:val="right"/>
          </w:pPr>
          <w:r>
            <w:rPr>
              <w:rStyle w:val="PageNumber"/>
            </w:rPr>
            <w:fldChar w:fldCharType="begin"/>
          </w:r>
          <w:r>
            <w:rPr>
              <w:rStyle w:val="PageNumber"/>
            </w:rPr>
            <w:instrText xml:space="preserve">PAGE  </w:instrText>
          </w:r>
          <w:r>
            <w:rPr>
              <w:rStyle w:val="PageNumber"/>
            </w:rPr>
            <w:fldChar w:fldCharType="separate"/>
          </w:r>
          <w:r w:rsidR="00911C43">
            <w:rPr>
              <w:rStyle w:val="PageNumber"/>
              <w:noProof/>
            </w:rPr>
            <w:t>53</w:t>
          </w:r>
          <w:r>
            <w:rPr>
              <w:rStyle w:val="PageNumber"/>
            </w:rPr>
            <w:fldChar w:fldCharType="end"/>
          </w:r>
        </w:p>
      </w:tc>
    </w:tr>
  </w:tbl>
  <w:p w:rsidR="00727498" w:rsidRDefault="00727498">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727498">
      <w:trPr>
        <w:trHeight w:hRule="exact" w:val="740"/>
      </w:trPr>
      <w:tc>
        <w:tcPr>
          <w:tcW w:w="6634" w:type="dxa"/>
        </w:tcPr>
        <w:p w:rsidR="00727498" w:rsidRDefault="00727498">
          <w:pPr>
            <w:pStyle w:val="Footer"/>
            <w:ind w:right="360" w:firstLine="360"/>
          </w:pPr>
        </w:p>
      </w:tc>
      <w:tc>
        <w:tcPr>
          <w:tcW w:w="1644" w:type="dxa"/>
          <w:tcBorders>
            <w:top w:val="single" w:sz="6" w:space="0" w:color="auto"/>
          </w:tcBorders>
        </w:tcPr>
        <w:p w:rsidR="00727498" w:rsidRPr="00727498" w:rsidRDefault="00727498">
          <w:pPr>
            <w:pStyle w:val="Footer"/>
          </w:pPr>
          <w:r>
            <w:t xml:space="preserve">Conduct </w:t>
          </w:r>
          <w:r>
            <w:br/>
            <w:t>of the inquiry</w:t>
          </w:r>
        </w:p>
      </w:tc>
      <w:tc>
        <w:tcPr>
          <w:tcW w:w="510" w:type="dxa"/>
          <w:tcBorders>
            <w:top w:val="single" w:sz="6" w:space="0" w:color="auto"/>
          </w:tcBorders>
        </w:tcPr>
        <w:p w:rsidR="00727498" w:rsidRDefault="00727498">
          <w:pPr>
            <w:pStyle w:val="Footer"/>
            <w:jc w:val="right"/>
          </w:pPr>
          <w:r>
            <w:rPr>
              <w:rStyle w:val="PageNumber"/>
            </w:rPr>
            <w:fldChar w:fldCharType="begin"/>
          </w:r>
          <w:r>
            <w:rPr>
              <w:rStyle w:val="PageNumber"/>
            </w:rPr>
            <w:instrText xml:space="preserve">PAGE  </w:instrText>
          </w:r>
          <w:r>
            <w:rPr>
              <w:rStyle w:val="PageNumber"/>
            </w:rPr>
            <w:fldChar w:fldCharType="separate"/>
          </w:r>
          <w:r w:rsidR="00911C43">
            <w:rPr>
              <w:rStyle w:val="PageNumber"/>
              <w:noProof/>
            </w:rPr>
            <w:t>61</w:t>
          </w:r>
          <w:r>
            <w:rPr>
              <w:rStyle w:val="PageNumber"/>
            </w:rPr>
            <w:fldChar w:fldCharType="end"/>
          </w:r>
        </w:p>
      </w:tc>
    </w:tr>
  </w:tbl>
  <w:p w:rsidR="00727498" w:rsidRDefault="00727498">
    <w:pPr>
      <w:pStyle w:val="FooterEnd"/>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727498">
      <w:trPr>
        <w:trHeight w:hRule="exact" w:val="740"/>
      </w:trPr>
      <w:tc>
        <w:tcPr>
          <w:tcW w:w="510" w:type="dxa"/>
          <w:tcBorders>
            <w:top w:val="single" w:sz="6" w:space="0" w:color="auto"/>
          </w:tcBorders>
        </w:tcPr>
        <w:p w:rsidR="00727498" w:rsidRDefault="00727498"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911C43">
            <w:rPr>
              <w:rStyle w:val="PageNumber"/>
              <w:noProof/>
            </w:rPr>
            <w:t>70</w:t>
          </w:r>
          <w:r>
            <w:rPr>
              <w:rStyle w:val="PageNumber"/>
            </w:rPr>
            <w:fldChar w:fldCharType="end"/>
          </w:r>
        </w:p>
      </w:tc>
      <w:tc>
        <w:tcPr>
          <w:tcW w:w="1644" w:type="dxa"/>
          <w:tcBorders>
            <w:top w:val="single" w:sz="6" w:space="0" w:color="auto"/>
          </w:tcBorders>
        </w:tcPr>
        <w:p w:rsidR="00727498" w:rsidRDefault="00727498" w:rsidP="0019293B">
          <w:pPr>
            <w:pStyle w:val="Footer"/>
          </w:pPr>
          <w:r>
            <w:t>Automotive manufacturing</w:t>
          </w:r>
        </w:p>
      </w:tc>
      <w:tc>
        <w:tcPr>
          <w:tcW w:w="6634" w:type="dxa"/>
        </w:tcPr>
        <w:p w:rsidR="00727498" w:rsidRDefault="00727498" w:rsidP="0019293B">
          <w:pPr>
            <w:pStyle w:val="Footer"/>
          </w:pPr>
        </w:p>
      </w:tc>
    </w:tr>
  </w:tbl>
  <w:p w:rsidR="00727498" w:rsidRDefault="00727498" w:rsidP="0019293B">
    <w:pPr>
      <w:pStyle w:val="FooterEnd"/>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727498">
      <w:trPr>
        <w:trHeight w:hRule="exact" w:val="740"/>
      </w:trPr>
      <w:tc>
        <w:tcPr>
          <w:tcW w:w="6634" w:type="dxa"/>
        </w:tcPr>
        <w:p w:rsidR="00727498" w:rsidRDefault="00727498">
          <w:pPr>
            <w:pStyle w:val="Footer"/>
            <w:ind w:right="360" w:firstLine="360"/>
          </w:pPr>
        </w:p>
      </w:tc>
      <w:tc>
        <w:tcPr>
          <w:tcW w:w="1644" w:type="dxa"/>
          <w:tcBorders>
            <w:top w:val="single" w:sz="6" w:space="0" w:color="auto"/>
          </w:tcBorders>
        </w:tcPr>
        <w:p w:rsidR="00727498" w:rsidRPr="00727498" w:rsidRDefault="00727498">
          <w:pPr>
            <w:pStyle w:val="Footer"/>
          </w:pPr>
          <w:r>
            <w:t>References</w:t>
          </w:r>
        </w:p>
      </w:tc>
      <w:tc>
        <w:tcPr>
          <w:tcW w:w="510" w:type="dxa"/>
          <w:tcBorders>
            <w:top w:val="single" w:sz="6" w:space="0" w:color="auto"/>
          </w:tcBorders>
        </w:tcPr>
        <w:p w:rsidR="00727498" w:rsidRDefault="00727498">
          <w:pPr>
            <w:pStyle w:val="Footer"/>
            <w:jc w:val="right"/>
          </w:pPr>
          <w:r>
            <w:rPr>
              <w:rStyle w:val="PageNumber"/>
            </w:rPr>
            <w:fldChar w:fldCharType="begin"/>
          </w:r>
          <w:r>
            <w:rPr>
              <w:rStyle w:val="PageNumber"/>
            </w:rPr>
            <w:instrText xml:space="preserve">PAGE  </w:instrText>
          </w:r>
          <w:r>
            <w:rPr>
              <w:rStyle w:val="PageNumber"/>
            </w:rPr>
            <w:fldChar w:fldCharType="separate"/>
          </w:r>
          <w:r w:rsidR="00911C43">
            <w:rPr>
              <w:rStyle w:val="PageNumber"/>
              <w:noProof/>
            </w:rPr>
            <w:t>67</w:t>
          </w:r>
          <w:r>
            <w:rPr>
              <w:rStyle w:val="PageNumber"/>
            </w:rPr>
            <w:fldChar w:fldCharType="end"/>
          </w:r>
        </w:p>
      </w:tc>
    </w:tr>
  </w:tbl>
  <w:p w:rsidR="00727498" w:rsidRDefault="00727498">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7498" w:rsidRDefault="00727498">
      <w:r>
        <w:separator/>
      </w:r>
    </w:p>
  </w:footnote>
  <w:footnote w:type="continuationSeparator" w:id="0">
    <w:p w:rsidR="00727498" w:rsidRDefault="00727498">
      <w:r>
        <w:continuationSeparator/>
      </w:r>
    </w:p>
  </w:footnote>
  <w:footnote w:id="1">
    <w:p w:rsidR="00727498" w:rsidRDefault="00727498" w:rsidP="001D7692">
      <w:pPr>
        <w:pStyle w:val="FootnoteText"/>
      </w:pPr>
      <w:r w:rsidRPr="0068268A">
        <w:rPr>
          <w:rStyle w:val="FootnoteReference"/>
        </w:rPr>
        <w:footnoteRef/>
      </w:r>
      <w:r>
        <w:t xml:space="preserve"> </w:t>
      </w:r>
      <w:r>
        <w:tab/>
        <w:t xml:space="preserve">The Chinese Government requires that overseas investors in vehicle assembly have a local joint venture partner. This is not the case for vehicle component manufacturing — most component manufacturing operations can be 100 per cent foreign owned </w:t>
      </w:r>
      <w:r w:rsidRPr="00727498">
        <w:rPr>
          <w:szCs w:val="24"/>
        </w:rPr>
        <w:t>(United States Trade Representative 2012)</w:t>
      </w:r>
      <w:r>
        <w:t>.</w:t>
      </w:r>
    </w:p>
  </w:footnote>
  <w:footnote w:id="2">
    <w:p w:rsidR="00727498" w:rsidRDefault="00727498">
      <w:pPr>
        <w:pStyle w:val="FootnoteText"/>
      </w:pPr>
      <w:r w:rsidRPr="0068268A">
        <w:rPr>
          <w:rStyle w:val="FootnoteReference"/>
        </w:rPr>
        <w:footnoteRef/>
      </w:r>
      <w:r>
        <w:t xml:space="preserve"> </w:t>
      </w:r>
      <w:r>
        <w:tab/>
        <w:t>Including Austria, Belgium, Denmark, Finland, France, Germany, Greece, Ireland, Italy, Luxembourg, the Netherlands, Portugal, Spain, Sweden and the United Kingdom.</w:t>
      </w:r>
    </w:p>
  </w:footnote>
  <w:footnote w:id="3">
    <w:p w:rsidR="00727498" w:rsidRDefault="00727498" w:rsidP="00A07B01">
      <w:pPr>
        <w:pStyle w:val="FootnoteText"/>
      </w:pPr>
      <w:r w:rsidRPr="00624707">
        <w:rPr>
          <w:rStyle w:val="FootnoteReference"/>
        </w:rPr>
        <w:footnoteRef/>
      </w:r>
      <w:r>
        <w:tab/>
        <w:t>Manufacturing contributed the sixth largest share of value added for the total economy (7.1 per cent) in 2012</w:t>
      </w:r>
      <w:r>
        <w:noBreakHyphen/>
        <w:t xml:space="preserve">13 </w:t>
      </w:r>
      <w:r w:rsidRPr="007C36DA">
        <w:rPr>
          <w:szCs w:val="24"/>
        </w:rPr>
        <w:t>(ABS </w:t>
      </w:r>
      <w:proofErr w:type="spellStart"/>
      <w:r w:rsidRPr="007C36DA">
        <w:rPr>
          <w:szCs w:val="24"/>
        </w:rPr>
        <w:t>2013b</w:t>
      </w:r>
      <w:proofErr w:type="spellEnd"/>
      <w:r w:rsidRPr="007C36DA">
        <w:rPr>
          <w:szCs w:val="24"/>
        </w:rPr>
        <w:t>)</w:t>
      </w:r>
      <w:r>
        <w:t xml:space="preserve">. </w:t>
      </w:r>
    </w:p>
  </w:footnote>
  <w:footnote w:id="4">
    <w:p w:rsidR="00727498" w:rsidRDefault="00727498" w:rsidP="00450951">
      <w:pPr>
        <w:pStyle w:val="FootnoteText"/>
      </w:pPr>
      <w:r w:rsidRPr="00624707">
        <w:rPr>
          <w:rStyle w:val="FootnoteReference"/>
        </w:rPr>
        <w:footnoteRef/>
      </w:r>
      <w:r>
        <w:t xml:space="preserve"> </w:t>
      </w:r>
      <w:r>
        <w:tab/>
      </w:r>
      <w:r w:rsidRPr="00E843B6">
        <w:t xml:space="preserve">The </w:t>
      </w:r>
      <w:proofErr w:type="spellStart"/>
      <w:r w:rsidRPr="00735C4E">
        <w:t>G</w:t>
      </w:r>
      <w:r w:rsidR="002235FF">
        <w:t>CC</w:t>
      </w:r>
      <w:proofErr w:type="spellEnd"/>
      <w:r w:rsidRPr="00735C4E">
        <w:t xml:space="preserve"> consists of six member countries: Bahrain, Kuwait, Oman, Qatar, Saudi Arabia and the United Arab Emirates</w:t>
      </w:r>
      <w:r w:rsidRPr="00916403">
        <w:t>.</w:t>
      </w:r>
    </w:p>
  </w:footnote>
  <w:footnote w:id="5">
    <w:p w:rsidR="00727498" w:rsidRDefault="00727498" w:rsidP="00DC6BC1">
      <w:pPr>
        <w:pStyle w:val="FootnoteText"/>
      </w:pPr>
      <w:r w:rsidRPr="00624707">
        <w:rPr>
          <w:rStyle w:val="FootnoteReference"/>
        </w:rPr>
        <w:footnoteRef/>
      </w:r>
      <w:r>
        <w:tab/>
      </w:r>
      <w:r>
        <w:rPr>
          <w:i/>
        </w:rPr>
        <w:t>Marmara v Toyota Motor Corporation Australia Limited</w:t>
      </w:r>
      <w:r>
        <w:t xml:space="preserve"> [2013] </w:t>
      </w:r>
      <w:proofErr w:type="spellStart"/>
      <w:r>
        <w:t>FCA</w:t>
      </w:r>
      <w:proofErr w:type="spellEnd"/>
      <w:r>
        <w:t xml:space="preserve"> 1351</w:t>
      </w:r>
      <w:r w:rsidR="00A56D49">
        <w:t>.</w:t>
      </w:r>
    </w:p>
  </w:footnote>
  <w:footnote w:id="6">
    <w:p w:rsidR="00A56D49" w:rsidRDefault="00A56D49">
      <w:pPr>
        <w:pStyle w:val="FootnoteText"/>
      </w:pPr>
      <w:r>
        <w:rPr>
          <w:rStyle w:val="FootnoteReference"/>
        </w:rPr>
        <w:footnoteRef/>
      </w:r>
      <w:r>
        <w:t xml:space="preserve"> </w:t>
      </w:r>
      <w:r>
        <w:tab/>
      </w:r>
      <w:r w:rsidR="00EE06C0">
        <w:t>Filed</w:t>
      </w:r>
      <w:r>
        <w:t xml:space="preserve"> as </w:t>
      </w:r>
      <w:r w:rsidRPr="00A56D49">
        <w:rPr>
          <w:i/>
        </w:rPr>
        <w:t xml:space="preserve">Toyota Motor Corporation Australia Limited v Carmelo Joseph Marmara &amp; </w:t>
      </w:r>
      <w:proofErr w:type="spellStart"/>
      <w:r w:rsidRPr="00A56D49">
        <w:rPr>
          <w:i/>
        </w:rPr>
        <w:t>Ors</w:t>
      </w:r>
      <w:proofErr w:type="spellEnd"/>
      <w:r>
        <w:t>.</w:t>
      </w:r>
    </w:p>
  </w:footnote>
  <w:footnote w:id="7">
    <w:p w:rsidR="00727498" w:rsidRDefault="00727498" w:rsidP="009A3962">
      <w:pPr>
        <w:pStyle w:val="FootnoteText"/>
      </w:pPr>
      <w:r w:rsidRPr="00624707">
        <w:rPr>
          <w:rStyle w:val="FootnoteReference"/>
        </w:rPr>
        <w:footnoteRef/>
      </w:r>
      <w:r>
        <w:t xml:space="preserve"> </w:t>
      </w:r>
      <w:r>
        <w:tab/>
        <w:t xml:space="preserve">The </w:t>
      </w:r>
      <w:proofErr w:type="spellStart"/>
      <w:r>
        <w:t>AAAA</w:t>
      </w:r>
      <w:proofErr w:type="spellEnd"/>
      <w:r>
        <w:t xml:space="preserve"> estimated that about 60 per cent of these manufacturers also produce components for the </w:t>
      </w:r>
      <w:proofErr w:type="spellStart"/>
      <w:r>
        <w:t>MVPs</w:t>
      </w:r>
      <w:proofErr w:type="spellEnd"/>
      <w:r>
        <w:t>. However, they estimated that about 85 per cent of the total value of goods manufactured by these businesses was aftermarket specific.</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096E55">
      <w:tc>
        <w:tcPr>
          <w:tcW w:w="2155" w:type="dxa"/>
          <w:tcBorders>
            <w:top w:val="single" w:sz="24" w:space="0" w:color="auto"/>
          </w:tcBorders>
        </w:tcPr>
        <w:p w:rsidR="00096E55" w:rsidRDefault="00825A95" w:rsidP="0019293B">
          <w:pPr>
            <w:pStyle w:val="HeaderEven"/>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283279" o:spid="_x0000_s32770" type="#_x0000_t136" style="position:absolute;margin-left:0;margin-top:0;width:442.55pt;height:177pt;rotation:315;z-index:-251655168;mso-position-horizontal:center;mso-position-horizontal-relative:margin;mso-position-vertical:center;mso-position-vertical-relative:margin" o:allowincell="f" fillcolor="silver" stroked="f">
                <v:fill opacity=".5"/>
                <v:textpath style="font-family:&quot;Arial&quot;;font-size:1pt" string="DRAFT"/>
              </v:shape>
            </w:pict>
          </w:r>
        </w:p>
      </w:tc>
      <w:tc>
        <w:tcPr>
          <w:tcW w:w="6634" w:type="dxa"/>
          <w:tcBorders>
            <w:top w:val="single" w:sz="6" w:space="0" w:color="auto"/>
          </w:tcBorders>
        </w:tcPr>
        <w:p w:rsidR="00096E55" w:rsidRDefault="00825A95" w:rsidP="0019293B">
          <w:pPr>
            <w:pStyle w:val="HeaderEven"/>
          </w:pPr>
          <w:r>
            <w:rPr>
              <w:color w:val="FF0000"/>
              <w:sz w:val="14"/>
              <w:szCs w:val="14"/>
            </w:rPr>
            <w:t>draft report: For final outcomes of this project refer to the inquiry report.</w:t>
          </w:r>
        </w:p>
      </w:tc>
    </w:tr>
  </w:tbl>
  <w:p w:rsidR="00096E55" w:rsidRDefault="00096E55" w:rsidP="0019293B">
    <w:pPr>
      <w:pStyle w:val="HeaderEnd"/>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5A95" w:rsidRDefault="00825A95">
    <w:pPr>
      <w:pStyle w:val="Header"/>
    </w:pPr>
    <w:r>
      <w:rPr>
        <w:color w:val="FF0000"/>
        <w:sz w:val="14"/>
        <w:szCs w:val="14"/>
      </w:rPr>
      <w:t>draft report: For final outcomes of this project refer to the inquiry report.</w:t>
    </w: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283288" o:spid="_x0000_s32779" type="#_x0000_t136" style="position:absolute;margin-left:0;margin-top:0;width:442.55pt;height:177pt;rotation:315;z-index:-251636736;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5A95" w:rsidRDefault="00825A95">
    <w:pPr>
      <w:pStyle w:val="Header"/>
    </w:pPr>
    <w:r>
      <w:rPr>
        <w:color w:val="FF0000"/>
        <w:sz w:val="14"/>
        <w:szCs w:val="14"/>
      </w:rPr>
      <w:t>draft report: For final outcomes of this project refer to the inquiry report.</w:t>
    </w: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283289" o:spid="_x0000_s32780" type="#_x0000_t136" style="position:absolute;margin-left:0;margin-top:0;width:442.55pt;height:177pt;rotation:315;z-index:-251634688;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5A95" w:rsidRDefault="00825A9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283287" o:spid="_x0000_s32778" type="#_x0000_t136" style="position:absolute;margin-left:0;margin-top:0;width:442.55pt;height:177pt;rotation:315;z-index:-251638784;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5A95" w:rsidRDefault="00825A95">
    <w:pPr>
      <w:pStyle w:val="Header"/>
    </w:pPr>
    <w:r>
      <w:rPr>
        <w:color w:val="FF0000"/>
        <w:sz w:val="14"/>
        <w:szCs w:val="14"/>
      </w:rPr>
      <w:t>draft report: For final outcomes of this project refer to the inquiry report.</w:t>
    </w: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283291" o:spid="_x0000_s32782" type="#_x0000_t136" style="position:absolute;margin-left:0;margin-top:0;width:442.55pt;height:177pt;rotation:315;z-index:-251630592;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5A95" w:rsidRDefault="00825A95">
    <w:pPr>
      <w:pStyle w:val="Header"/>
    </w:pPr>
    <w:r>
      <w:rPr>
        <w:color w:val="FF0000"/>
        <w:sz w:val="14"/>
        <w:szCs w:val="14"/>
      </w:rPr>
      <w:t>draft report: For final outcomes of this project refer to the inquiry report.</w:t>
    </w: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283292" o:spid="_x0000_s32783" type="#_x0000_t136" style="position:absolute;margin-left:0;margin-top:0;width:442.55pt;height:177pt;rotation:315;z-index:-251628544;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5A95" w:rsidRDefault="00825A9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283290" o:spid="_x0000_s32781" type="#_x0000_t136" style="position:absolute;margin-left:0;margin-top:0;width:442.55pt;height:177pt;rotation:315;z-index:-251632640;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5A95" w:rsidRDefault="00523598">
    <w:pPr>
      <w:pStyle w:val="Header"/>
    </w:pPr>
    <w:r>
      <w:rPr>
        <w:color w:val="FF0000"/>
        <w:sz w:val="14"/>
        <w:szCs w:val="14"/>
      </w:rPr>
      <w:t>draft report: For final outcomes of this project refer to the inquiry report.</w:t>
    </w:r>
    <w:r w:rsidR="00825A95">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283294" o:spid="_x0000_s32785" type="#_x0000_t136" style="position:absolute;margin-left:0;margin-top:0;width:442.55pt;height:177pt;rotation:315;z-index:-251624448;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5A95" w:rsidRDefault="00523598">
    <w:pPr>
      <w:pStyle w:val="Header"/>
    </w:pPr>
    <w:r>
      <w:rPr>
        <w:color w:val="FF0000"/>
        <w:sz w:val="14"/>
        <w:szCs w:val="14"/>
      </w:rPr>
      <w:t>draft report: For final outcomes of this project refer to the inquiry report.</w:t>
    </w:r>
    <w:r w:rsidR="00825A95">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283295" o:spid="_x0000_s32786" type="#_x0000_t136" style="position:absolute;margin-left:0;margin-top:0;width:442.55pt;height:177pt;rotation:315;z-index:-251622400;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5A95" w:rsidRDefault="00825A9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283293" o:spid="_x0000_s32784" type="#_x0000_t136" style="position:absolute;margin-left:0;margin-top:0;width:442.55pt;height:177pt;rotation:315;z-index:-251626496;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727498">
      <w:tc>
        <w:tcPr>
          <w:tcW w:w="2155" w:type="dxa"/>
          <w:tcBorders>
            <w:top w:val="single" w:sz="24" w:space="0" w:color="auto"/>
          </w:tcBorders>
        </w:tcPr>
        <w:p w:rsidR="00727498" w:rsidRDefault="00825A95" w:rsidP="0019293B">
          <w:pPr>
            <w:pStyle w:val="HeaderEven"/>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283297" o:spid="_x0000_s32788" type="#_x0000_t136" style="position:absolute;margin-left:0;margin-top:0;width:442.55pt;height:177pt;rotation:315;z-index:-251618304;mso-position-horizontal:center;mso-position-horizontal-relative:margin;mso-position-vertical:center;mso-position-vertical-relative:margin" o:allowincell="f" fillcolor="silver" stroked="f">
                <v:fill opacity=".5"/>
                <v:textpath style="font-family:&quot;Arial&quot;;font-size:1pt" string="DRAFT"/>
              </v:shape>
            </w:pict>
          </w:r>
        </w:p>
      </w:tc>
      <w:tc>
        <w:tcPr>
          <w:tcW w:w="6634" w:type="dxa"/>
          <w:tcBorders>
            <w:top w:val="single" w:sz="6" w:space="0" w:color="auto"/>
          </w:tcBorders>
        </w:tcPr>
        <w:p w:rsidR="00727498" w:rsidRDefault="00911C43" w:rsidP="0019293B">
          <w:pPr>
            <w:pStyle w:val="HeaderEven"/>
          </w:pPr>
          <w:r>
            <w:rPr>
              <w:color w:val="FF0000"/>
              <w:sz w:val="14"/>
              <w:szCs w:val="14"/>
            </w:rPr>
            <w:t>draft report: For final outcomes of this project refer to the inquiry report.</w:t>
          </w:r>
        </w:p>
      </w:tc>
    </w:tr>
  </w:tbl>
  <w:p w:rsidR="00727498" w:rsidRDefault="00727498"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96E55">
      <w:tc>
        <w:tcPr>
          <w:tcW w:w="6634" w:type="dxa"/>
          <w:tcBorders>
            <w:top w:val="single" w:sz="6" w:space="0" w:color="auto"/>
          </w:tcBorders>
        </w:tcPr>
        <w:p w:rsidR="00096E55" w:rsidRDefault="00825A95" w:rsidP="00E669E2">
          <w:pPr>
            <w:pStyle w:val="HeaderOdd"/>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283280" o:spid="_x0000_s32771" type="#_x0000_t136" style="position:absolute;margin-left:0;margin-top:0;width:442.55pt;height:177pt;rotation:315;z-index:-251653120;mso-position-horizontal:center;mso-position-horizontal-relative:margin;mso-position-vertical:center;mso-position-vertical-relative:margin" o:allowincell="f" fillcolor="silver" stroked="f">
                <v:fill opacity=".5"/>
                <v:textpath style="font-family:&quot;Arial&quot;;font-size:1pt" string="DRAFT"/>
              </v:shape>
            </w:pict>
          </w:r>
        </w:p>
      </w:tc>
      <w:tc>
        <w:tcPr>
          <w:tcW w:w="2155" w:type="dxa"/>
          <w:tcBorders>
            <w:top w:val="single" w:sz="24" w:space="0" w:color="auto"/>
          </w:tcBorders>
        </w:tcPr>
        <w:p w:rsidR="00096E55" w:rsidRDefault="00096E55" w:rsidP="00E669E2">
          <w:pPr>
            <w:pStyle w:val="HeaderOdd"/>
          </w:pPr>
        </w:p>
      </w:tc>
    </w:tr>
  </w:tbl>
  <w:p w:rsidR="00096E55" w:rsidRDefault="00096E55" w:rsidP="00E669E2">
    <w:pPr>
      <w:pStyle w:val="HeaderEnd"/>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727498">
      <w:tc>
        <w:tcPr>
          <w:tcW w:w="6634" w:type="dxa"/>
          <w:tcBorders>
            <w:top w:val="single" w:sz="6" w:space="0" w:color="auto"/>
          </w:tcBorders>
        </w:tcPr>
        <w:p w:rsidR="00727498" w:rsidRDefault="00911C43" w:rsidP="00E669E2">
          <w:pPr>
            <w:pStyle w:val="HeaderOdd"/>
          </w:pPr>
          <w:r>
            <w:rPr>
              <w:color w:val="FF0000"/>
              <w:sz w:val="14"/>
              <w:szCs w:val="14"/>
            </w:rPr>
            <w:t>draft report: For final outcomes of this project refer to the inquiry report.</w:t>
          </w:r>
          <w:r w:rsidR="00825A95">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283298" o:spid="_x0000_s32789" type="#_x0000_t136" style="position:absolute;margin-left:0;margin-top:0;width:442.55pt;height:177pt;rotation:315;z-index:-251616256;mso-position-horizontal:center;mso-position-horizontal-relative:margin;mso-position-vertical:center;mso-position-vertical-relative:margin" o:allowincell="f" fillcolor="silver" stroked="f">
                <v:fill opacity=".5"/>
                <v:textpath style="font-family:&quot;Arial&quot;;font-size:1pt" string="DRAFT"/>
              </v:shape>
            </w:pict>
          </w:r>
        </w:p>
      </w:tc>
      <w:tc>
        <w:tcPr>
          <w:tcW w:w="2155" w:type="dxa"/>
          <w:tcBorders>
            <w:top w:val="single" w:sz="24" w:space="0" w:color="auto"/>
          </w:tcBorders>
        </w:tcPr>
        <w:p w:rsidR="00727498" w:rsidRDefault="00727498" w:rsidP="00E669E2">
          <w:pPr>
            <w:pStyle w:val="HeaderOdd"/>
          </w:pPr>
        </w:p>
      </w:tc>
    </w:tr>
  </w:tbl>
  <w:p w:rsidR="00727498" w:rsidRDefault="00727498" w:rsidP="00E669E2">
    <w:pPr>
      <w:pStyle w:val="HeaderEnd"/>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5A95" w:rsidRDefault="00825A9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283296" o:spid="_x0000_s32787" type="#_x0000_t136" style="position:absolute;margin-left:0;margin-top:0;width:442.55pt;height:177pt;rotation:315;z-index:-251620352;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5A95" w:rsidRDefault="00825A9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283278" o:spid="_x0000_s32769" type="#_x0000_t136" style="position:absolute;margin-left:0;margin-top:0;width:442.55pt;height:177pt;rotation:315;z-index:-251657216;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5A95" w:rsidRDefault="00825A95">
    <w:pPr>
      <w:pStyle w:val="Header"/>
    </w:pPr>
    <w:r>
      <w:rPr>
        <w:color w:val="FF0000"/>
        <w:sz w:val="14"/>
        <w:szCs w:val="14"/>
      </w:rPr>
      <w:t>draft report: For final outcomes of this project refer to the inquiry report.</w:t>
    </w: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283282" o:spid="_x0000_s32773" type="#_x0000_t136" style="position:absolute;margin-left:0;margin-top:0;width:442.55pt;height:177pt;rotation:315;z-index:-251649024;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5A95" w:rsidRDefault="00825A95">
    <w:pPr>
      <w:pStyle w:val="Header"/>
    </w:pPr>
    <w:r>
      <w:rPr>
        <w:color w:val="FF0000"/>
        <w:sz w:val="14"/>
        <w:szCs w:val="14"/>
      </w:rPr>
      <w:t>draft report: For final outcomes of this project refer to the inquiry report.</w:t>
    </w: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283283" o:spid="_x0000_s32774" type="#_x0000_t136" style="position:absolute;margin-left:0;margin-top:0;width:442.55pt;height:177pt;rotation:315;z-index:-251646976;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5A95" w:rsidRDefault="00825A9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283281" o:spid="_x0000_s32772" type="#_x0000_t136" style="position:absolute;margin-left:0;margin-top:0;width:442.55pt;height:177pt;rotation:315;z-index:-251651072;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5A95" w:rsidRDefault="00825A95">
    <w:pPr>
      <w:pStyle w:val="Header"/>
    </w:pPr>
    <w:r>
      <w:rPr>
        <w:color w:val="FF0000"/>
        <w:sz w:val="14"/>
        <w:szCs w:val="14"/>
      </w:rPr>
      <w:t>draft report: For final outcomes of this project refer to the inquiry report.</w:t>
    </w: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283285" o:spid="_x0000_s32776" type="#_x0000_t136" style="position:absolute;margin-left:0;margin-top:0;width:442.55pt;height:177pt;rotation:315;z-index:-251642880;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5A95" w:rsidRDefault="00825A95">
    <w:pPr>
      <w:pStyle w:val="Header"/>
    </w:pPr>
    <w:r>
      <w:rPr>
        <w:color w:val="FF0000"/>
        <w:sz w:val="14"/>
        <w:szCs w:val="14"/>
      </w:rPr>
      <w:t>draft report: For final outcomes of this project refer to the inquiry report.</w:t>
    </w: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283286" o:spid="_x0000_s32777" type="#_x0000_t136" style="position:absolute;margin-left:0;margin-top:0;width:442.55pt;height:177pt;rotation:315;z-index:-251640832;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5A95" w:rsidRDefault="00825A9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283284" o:spid="_x0000_s32775" type="#_x0000_t136" style="position:absolute;margin-left:0;margin-top:0;width:442.55pt;height:177pt;rotation:315;z-index:-251644928;mso-position-horizontal:center;mso-position-horizontal-relative:margin;mso-position-vertical:center;mso-position-vertical-relative:margin" o:allowincell="f" fillcolor="silver" stroked="f">
          <v:fill opacity=".5"/>
          <v:textpath style="font-family:&quot;Arial&quot;;font-size:1pt" string="DRAF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9BCC5E8"/>
    <w:lvl w:ilvl="0">
      <w:start w:val="1"/>
      <w:numFmt w:val="decimal"/>
      <w:lvlText w:val="%1."/>
      <w:lvlJc w:val="left"/>
      <w:pPr>
        <w:tabs>
          <w:tab w:val="num" w:pos="1492"/>
        </w:tabs>
        <w:ind w:left="1492" w:hanging="360"/>
      </w:pPr>
    </w:lvl>
  </w:abstractNum>
  <w:abstractNum w:abstractNumId="1">
    <w:nsid w:val="FFFFFF7D"/>
    <w:multiLevelType w:val="singleLevel"/>
    <w:tmpl w:val="AD88C1D6"/>
    <w:lvl w:ilvl="0">
      <w:start w:val="1"/>
      <w:numFmt w:val="decimal"/>
      <w:lvlText w:val="%1."/>
      <w:lvlJc w:val="left"/>
      <w:pPr>
        <w:tabs>
          <w:tab w:val="num" w:pos="1209"/>
        </w:tabs>
        <w:ind w:left="1209" w:hanging="360"/>
      </w:pPr>
    </w:lvl>
  </w:abstractNum>
  <w:abstractNum w:abstractNumId="2">
    <w:nsid w:val="FFFFFF80"/>
    <w:multiLevelType w:val="singleLevel"/>
    <w:tmpl w:val="A5205560"/>
    <w:lvl w:ilvl="0">
      <w:start w:val="1"/>
      <w:numFmt w:val="bullet"/>
      <w:lvlText w:val=""/>
      <w:lvlJc w:val="left"/>
      <w:pPr>
        <w:tabs>
          <w:tab w:val="num" w:pos="1492"/>
        </w:tabs>
        <w:ind w:left="1492" w:hanging="360"/>
      </w:pPr>
      <w:rPr>
        <w:rFonts w:ascii="Symbol" w:hAnsi="Symbol" w:hint="default"/>
      </w:rPr>
    </w:lvl>
  </w:abstractNum>
  <w:abstractNum w:abstractNumId="3">
    <w:nsid w:val="FFFFFF81"/>
    <w:multiLevelType w:val="singleLevel"/>
    <w:tmpl w:val="AD5E83D2"/>
    <w:lvl w:ilvl="0">
      <w:start w:val="1"/>
      <w:numFmt w:val="bullet"/>
      <w:lvlText w:val=""/>
      <w:lvlJc w:val="left"/>
      <w:pPr>
        <w:tabs>
          <w:tab w:val="num" w:pos="1209"/>
        </w:tabs>
        <w:ind w:left="1209" w:hanging="360"/>
      </w:pPr>
      <w:rPr>
        <w:rFonts w:ascii="Symbol" w:hAnsi="Symbol" w:hint="default"/>
      </w:rPr>
    </w:lvl>
  </w:abstractNum>
  <w:abstractNum w:abstractNumId="4">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6">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7">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0">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1">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3">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5">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6">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7">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9">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2"/>
  </w:num>
  <w:num w:numId="2">
    <w:abstractNumId w:val="6"/>
  </w:num>
  <w:num w:numId="3">
    <w:abstractNumId w:val="19"/>
  </w:num>
  <w:num w:numId="4">
    <w:abstractNumId w:val="4"/>
  </w:num>
  <w:num w:numId="5">
    <w:abstractNumId w:val="14"/>
  </w:num>
  <w:num w:numId="6">
    <w:abstractNumId w:val="5"/>
  </w:num>
  <w:num w:numId="7">
    <w:abstractNumId w:val="18"/>
  </w:num>
  <w:num w:numId="8">
    <w:abstractNumId w:val="16"/>
  </w:num>
  <w:num w:numId="9">
    <w:abstractNumId w:val="20"/>
  </w:num>
  <w:num w:numId="10">
    <w:abstractNumId w:val="9"/>
  </w:num>
  <w:num w:numId="11">
    <w:abstractNumId w:val="15"/>
  </w:num>
  <w:num w:numId="12">
    <w:abstractNumId w:val="8"/>
  </w:num>
  <w:num w:numId="13">
    <w:abstractNumId w:val="7"/>
  </w:num>
  <w:num w:numId="14">
    <w:abstractNumId w:val="10"/>
  </w:num>
  <w:num w:numId="15">
    <w:abstractNumId w:val="11"/>
  </w:num>
  <w:num w:numId="16">
    <w:abstractNumId w:val="13"/>
  </w:num>
  <w:num w:numId="17">
    <w:abstractNumId w:val="6"/>
  </w:num>
  <w:num w:numId="18">
    <w:abstractNumId w:val="17"/>
  </w:num>
  <w:num w:numId="19">
    <w:abstractNumId w:val="3"/>
  </w:num>
  <w:num w:numId="20">
    <w:abstractNumId w:val="2"/>
  </w:num>
  <w:num w:numId="21">
    <w:abstractNumId w:val="1"/>
  </w:num>
  <w:num w:numId="22">
    <w:abstractNumId w:val="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32790"/>
    <o:shapelayout v:ext="edit">
      <o:idmap v:ext="edit" data="3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Chapter"/>
    <w:docVar w:name="ShortReportTitle" w:val="Report"/>
  </w:docVars>
  <w:rsids>
    <w:rsidRoot w:val="00727498"/>
    <w:rsid w:val="00002FEC"/>
    <w:rsid w:val="0001536A"/>
    <w:rsid w:val="000227D5"/>
    <w:rsid w:val="000245AA"/>
    <w:rsid w:val="0003664B"/>
    <w:rsid w:val="0004111F"/>
    <w:rsid w:val="000565B3"/>
    <w:rsid w:val="0007150B"/>
    <w:rsid w:val="00083090"/>
    <w:rsid w:val="000938F5"/>
    <w:rsid w:val="00096E55"/>
    <w:rsid w:val="000B601B"/>
    <w:rsid w:val="000C207E"/>
    <w:rsid w:val="000E5B6F"/>
    <w:rsid w:val="000F0035"/>
    <w:rsid w:val="000F420B"/>
    <w:rsid w:val="00110116"/>
    <w:rsid w:val="00120072"/>
    <w:rsid w:val="00126EB8"/>
    <w:rsid w:val="001274D4"/>
    <w:rsid w:val="001363AA"/>
    <w:rsid w:val="00183E82"/>
    <w:rsid w:val="001878BB"/>
    <w:rsid w:val="00191AE0"/>
    <w:rsid w:val="0019293B"/>
    <w:rsid w:val="0019426B"/>
    <w:rsid w:val="001C0865"/>
    <w:rsid w:val="001C3ABA"/>
    <w:rsid w:val="001D56D4"/>
    <w:rsid w:val="001E7BE8"/>
    <w:rsid w:val="001F0248"/>
    <w:rsid w:val="001F3EB3"/>
    <w:rsid w:val="001F4F86"/>
    <w:rsid w:val="00202C2C"/>
    <w:rsid w:val="002135AB"/>
    <w:rsid w:val="002144BE"/>
    <w:rsid w:val="002235FF"/>
    <w:rsid w:val="00242279"/>
    <w:rsid w:val="00245C82"/>
    <w:rsid w:val="00275CEC"/>
    <w:rsid w:val="00291B40"/>
    <w:rsid w:val="002B4008"/>
    <w:rsid w:val="002D0E8E"/>
    <w:rsid w:val="00301189"/>
    <w:rsid w:val="003013C0"/>
    <w:rsid w:val="00323E09"/>
    <w:rsid w:val="00327A70"/>
    <w:rsid w:val="00333932"/>
    <w:rsid w:val="00340C41"/>
    <w:rsid w:val="003518AA"/>
    <w:rsid w:val="00352165"/>
    <w:rsid w:val="00353182"/>
    <w:rsid w:val="003565D9"/>
    <w:rsid w:val="003602E1"/>
    <w:rsid w:val="00367FEA"/>
    <w:rsid w:val="0037026F"/>
    <w:rsid w:val="00371240"/>
    <w:rsid w:val="00373251"/>
    <w:rsid w:val="00374731"/>
    <w:rsid w:val="00376E59"/>
    <w:rsid w:val="003919F9"/>
    <w:rsid w:val="00397519"/>
    <w:rsid w:val="003C38B5"/>
    <w:rsid w:val="003C5D99"/>
    <w:rsid w:val="003E2F59"/>
    <w:rsid w:val="003F0789"/>
    <w:rsid w:val="00401882"/>
    <w:rsid w:val="004100C8"/>
    <w:rsid w:val="00411DBD"/>
    <w:rsid w:val="00412ACE"/>
    <w:rsid w:val="00431249"/>
    <w:rsid w:val="00434C19"/>
    <w:rsid w:val="00450810"/>
    <w:rsid w:val="00477144"/>
    <w:rsid w:val="00491380"/>
    <w:rsid w:val="0049459F"/>
    <w:rsid w:val="0049719D"/>
    <w:rsid w:val="004A38DD"/>
    <w:rsid w:val="004B43AE"/>
    <w:rsid w:val="004C30ED"/>
    <w:rsid w:val="004D5675"/>
    <w:rsid w:val="00523598"/>
    <w:rsid w:val="00523639"/>
    <w:rsid w:val="00531FE5"/>
    <w:rsid w:val="005402FA"/>
    <w:rsid w:val="00583C39"/>
    <w:rsid w:val="00587F28"/>
    <w:rsid w:val="005909CF"/>
    <w:rsid w:val="00591E71"/>
    <w:rsid w:val="005A0D41"/>
    <w:rsid w:val="00607BF1"/>
    <w:rsid w:val="00630D4D"/>
    <w:rsid w:val="00632A74"/>
    <w:rsid w:val="00635C3A"/>
    <w:rsid w:val="00666E8B"/>
    <w:rsid w:val="00671387"/>
    <w:rsid w:val="006A4655"/>
    <w:rsid w:val="006B2B3C"/>
    <w:rsid w:val="006C1D81"/>
    <w:rsid w:val="006C7038"/>
    <w:rsid w:val="006D3F94"/>
    <w:rsid w:val="006E73EF"/>
    <w:rsid w:val="00706E4C"/>
    <w:rsid w:val="00713BD3"/>
    <w:rsid w:val="00714D4D"/>
    <w:rsid w:val="00727498"/>
    <w:rsid w:val="007604BB"/>
    <w:rsid w:val="007656D5"/>
    <w:rsid w:val="00785232"/>
    <w:rsid w:val="007942DF"/>
    <w:rsid w:val="007A21EB"/>
    <w:rsid w:val="007B1A93"/>
    <w:rsid w:val="007C36C9"/>
    <w:rsid w:val="007C40FD"/>
    <w:rsid w:val="007D6401"/>
    <w:rsid w:val="007E01E4"/>
    <w:rsid w:val="007F5733"/>
    <w:rsid w:val="007F7107"/>
    <w:rsid w:val="00800D4C"/>
    <w:rsid w:val="0081030F"/>
    <w:rsid w:val="0081474E"/>
    <w:rsid w:val="0082087D"/>
    <w:rsid w:val="00825A95"/>
    <w:rsid w:val="00835771"/>
    <w:rsid w:val="00842933"/>
    <w:rsid w:val="00845192"/>
    <w:rsid w:val="00853200"/>
    <w:rsid w:val="0086082C"/>
    <w:rsid w:val="00864ADC"/>
    <w:rsid w:val="00880153"/>
    <w:rsid w:val="00880F97"/>
    <w:rsid w:val="0088133A"/>
    <w:rsid w:val="0089285E"/>
    <w:rsid w:val="0089436C"/>
    <w:rsid w:val="008B7996"/>
    <w:rsid w:val="008D2E4E"/>
    <w:rsid w:val="008D365C"/>
    <w:rsid w:val="008D3FAA"/>
    <w:rsid w:val="008D4C58"/>
    <w:rsid w:val="009030BF"/>
    <w:rsid w:val="0091032F"/>
    <w:rsid w:val="00911C43"/>
    <w:rsid w:val="00914368"/>
    <w:rsid w:val="0092730B"/>
    <w:rsid w:val="00931076"/>
    <w:rsid w:val="009345D9"/>
    <w:rsid w:val="00934B15"/>
    <w:rsid w:val="00940C87"/>
    <w:rsid w:val="00942B62"/>
    <w:rsid w:val="0095323B"/>
    <w:rsid w:val="00956A0C"/>
    <w:rsid w:val="00956BD9"/>
    <w:rsid w:val="00962489"/>
    <w:rsid w:val="0098746E"/>
    <w:rsid w:val="00990C2C"/>
    <w:rsid w:val="009A19B7"/>
    <w:rsid w:val="009E1844"/>
    <w:rsid w:val="009F0D1B"/>
    <w:rsid w:val="009F696D"/>
    <w:rsid w:val="009F6BC6"/>
    <w:rsid w:val="009F720F"/>
    <w:rsid w:val="00A17328"/>
    <w:rsid w:val="00A23A20"/>
    <w:rsid w:val="00A2447B"/>
    <w:rsid w:val="00A268B9"/>
    <w:rsid w:val="00A2703A"/>
    <w:rsid w:val="00A33DFF"/>
    <w:rsid w:val="00A35115"/>
    <w:rsid w:val="00A36D9A"/>
    <w:rsid w:val="00A45443"/>
    <w:rsid w:val="00A5394B"/>
    <w:rsid w:val="00A554AB"/>
    <w:rsid w:val="00A56D49"/>
    <w:rsid w:val="00A57062"/>
    <w:rsid w:val="00A92B53"/>
    <w:rsid w:val="00A94FA6"/>
    <w:rsid w:val="00AA49A0"/>
    <w:rsid w:val="00AA6710"/>
    <w:rsid w:val="00AB0681"/>
    <w:rsid w:val="00AD0C0D"/>
    <w:rsid w:val="00AD520B"/>
    <w:rsid w:val="00B425C3"/>
    <w:rsid w:val="00B440AD"/>
    <w:rsid w:val="00B44491"/>
    <w:rsid w:val="00B479BB"/>
    <w:rsid w:val="00B53E7E"/>
    <w:rsid w:val="00B6342E"/>
    <w:rsid w:val="00B7113F"/>
    <w:rsid w:val="00BA73B6"/>
    <w:rsid w:val="00BA7E27"/>
    <w:rsid w:val="00BB2603"/>
    <w:rsid w:val="00BB4FCD"/>
    <w:rsid w:val="00BC04E9"/>
    <w:rsid w:val="00BD13EA"/>
    <w:rsid w:val="00BE3808"/>
    <w:rsid w:val="00C062E9"/>
    <w:rsid w:val="00C07B64"/>
    <w:rsid w:val="00C13721"/>
    <w:rsid w:val="00C14FE4"/>
    <w:rsid w:val="00C3066D"/>
    <w:rsid w:val="00C45B72"/>
    <w:rsid w:val="00C52416"/>
    <w:rsid w:val="00C543F4"/>
    <w:rsid w:val="00C6291C"/>
    <w:rsid w:val="00C633CB"/>
    <w:rsid w:val="00C736B7"/>
    <w:rsid w:val="00C8060E"/>
    <w:rsid w:val="00C81D4A"/>
    <w:rsid w:val="00C8349D"/>
    <w:rsid w:val="00C8762C"/>
    <w:rsid w:val="00CA00F9"/>
    <w:rsid w:val="00CA2961"/>
    <w:rsid w:val="00CB50D7"/>
    <w:rsid w:val="00CB5290"/>
    <w:rsid w:val="00CB7177"/>
    <w:rsid w:val="00CC1998"/>
    <w:rsid w:val="00CC4946"/>
    <w:rsid w:val="00CD1EE3"/>
    <w:rsid w:val="00CD7410"/>
    <w:rsid w:val="00CF6FBF"/>
    <w:rsid w:val="00D233FF"/>
    <w:rsid w:val="00D270A4"/>
    <w:rsid w:val="00D31FE9"/>
    <w:rsid w:val="00D34E1B"/>
    <w:rsid w:val="00D376BA"/>
    <w:rsid w:val="00D45634"/>
    <w:rsid w:val="00D525A9"/>
    <w:rsid w:val="00D5568A"/>
    <w:rsid w:val="00D63D73"/>
    <w:rsid w:val="00D64452"/>
    <w:rsid w:val="00D66E1E"/>
    <w:rsid w:val="00D75722"/>
    <w:rsid w:val="00D80CF5"/>
    <w:rsid w:val="00DA5BBA"/>
    <w:rsid w:val="00DB26D2"/>
    <w:rsid w:val="00DB67C9"/>
    <w:rsid w:val="00DC0C95"/>
    <w:rsid w:val="00DD6580"/>
    <w:rsid w:val="00E05FD2"/>
    <w:rsid w:val="00E17C72"/>
    <w:rsid w:val="00E21FC6"/>
    <w:rsid w:val="00E36FA7"/>
    <w:rsid w:val="00E431A9"/>
    <w:rsid w:val="00E669E2"/>
    <w:rsid w:val="00E76135"/>
    <w:rsid w:val="00E82F4F"/>
    <w:rsid w:val="00E90AE0"/>
    <w:rsid w:val="00EC2844"/>
    <w:rsid w:val="00EC5500"/>
    <w:rsid w:val="00ED18F8"/>
    <w:rsid w:val="00EE06C0"/>
    <w:rsid w:val="00EF6C6C"/>
    <w:rsid w:val="00F056FC"/>
    <w:rsid w:val="00F10476"/>
    <w:rsid w:val="00F135D8"/>
    <w:rsid w:val="00F31299"/>
    <w:rsid w:val="00F3534A"/>
    <w:rsid w:val="00F51609"/>
    <w:rsid w:val="00F81006"/>
    <w:rsid w:val="00F85325"/>
    <w:rsid w:val="00FB6192"/>
    <w:rsid w:val="00FD22B1"/>
    <w:rsid w:val="00FE53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9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Hyperlink" w:uiPriority="99"/>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9E1844"/>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aliases w:val="2nd level heading,NCC 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aliases w:val="3rd level heading,NCC 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aliases w:val="Minor heading,NCC 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link w:val="FooterChar"/>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qForma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17"/>
      </w:numPr>
      <w:spacing w:before="60" w:line="280" w:lineRule="atLeast"/>
    </w:pPr>
    <w:rPr>
      <w:rFonts w:ascii="Arial" w:hAnsi="Arial"/>
      <w:sz w:val="22"/>
    </w:rPr>
  </w:style>
  <w:style w:type="paragraph" w:customStyle="1" w:styleId="BoxListNumber">
    <w:name w:val="Box List Number"/>
    <w:basedOn w:val="BodyText"/>
    <w:rsid w:val="00376E59"/>
    <w:pPr>
      <w:keepNext/>
      <w:numPr>
        <w:numId w:val="13"/>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qFormat/>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rsid w:val="00A17328"/>
    <w:rPr>
      <w:b/>
      <w:vanish/>
      <w:color w:val="FF00FF"/>
      <w:sz w:val="20"/>
    </w:rPr>
  </w:style>
  <w:style w:type="paragraph" w:styleId="CommentText">
    <w:name w:val="annotation text"/>
    <w:basedOn w:val="Normal"/>
    <w:link w:val="CommentTextChar1"/>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qForma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aliases w:val="(NECG) Footnote Reference"/>
    <w:basedOn w:val="DefaultParagraphFont"/>
    <w:rsid w:val="00A17328"/>
    <w:rPr>
      <w:rFonts w:ascii="Times New Roman" w:hAnsi="Times New Roman"/>
      <w:position w:val="6"/>
      <w:sz w:val="22"/>
      <w:vertAlign w:val="baseline"/>
    </w:rPr>
  </w:style>
  <w:style w:type="paragraph" w:styleId="FootnoteText">
    <w:name w:val="footnote text"/>
    <w:aliases w:val="Car,ALTS FOOTNOTE,(NECG) Footnote Text,AR Footnote Text,Footnote text,Char,NCC 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5"/>
      </w:numPr>
      <w:spacing w:before="120"/>
    </w:pPr>
  </w:style>
  <w:style w:type="paragraph" w:styleId="ListBullet2">
    <w:name w:val="List Bullet 2"/>
    <w:basedOn w:val="BodyText"/>
    <w:rsid w:val="00DB67C9"/>
    <w:pPr>
      <w:numPr>
        <w:numId w:val="6"/>
      </w:numPr>
      <w:spacing w:before="120"/>
    </w:pPr>
  </w:style>
  <w:style w:type="paragraph" w:styleId="ListBullet3">
    <w:name w:val="List Bullet 3"/>
    <w:basedOn w:val="BodyText"/>
    <w:rsid w:val="00DB67C9"/>
    <w:pPr>
      <w:numPr>
        <w:numId w:val="7"/>
      </w:numPr>
      <w:spacing w:before="120"/>
    </w:pPr>
  </w:style>
  <w:style w:type="paragraph" w:styleId="ListNumber">
    <w:name w:val="List Number"/>
    <w:basedOn w:val="BodyText"/>
    <w:rsid w:val="00864ADC"/>
    <w:pPr>
      <w:numPr>
        <w:numId w:val="1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8"/>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9"/>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4"/>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0"/>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1"/>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1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5"/>
      </w:numPr>
      <w:ind w:left="568" w:hanging="284"/>
    </w:pPr>
  </w:style>
  <w:style w:type="paragraph" w:customStyle="1" w:styleId="InformationRequestBullet">
    <w:name w:val="Information Request Bullet"/>
    <w:basedOn w:val="ListBullet"/>
    <w:next w:val="BodyText"/>
    <w:rsid w:val="00BA7E27"/>
    <w:pPr>
      <w:numPr>
        <w:numId w:val="1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BoxChar">
    <w:name w:val="Box Char"/>
    <w:link w:val="Box"/>
    <w:locked/>
    <w:rsid w:val="00727498"/>
    <w:rPr>
      <w:rFonts w:ascii="Arial" w:hAnsi="Arial"/>
      <w:sz w:val="22"/>
    </w:rPr>
  </w:style>
  <w:style w:type="character" w:customStyle="1" w:styleId="Heading3Char">
    <w:name w:val="Heading 3 Char"/>
    <w:aliases w:val="3rd level heading Char,NCC Heading 3 Char"/>
    <w:basedOn w:val="DefaultParagraphFont"/>
    <w:link w:val="Heading3"/>
    <w:rsid w:val="00727498"/>
    <w:rPr>
      <w:rFonts w:ascii="Arial" w:hAnsi="Arial"/>
      <w:b/>
      <w:sz w:val="26"/>
    </w:rPr>
  </w:style>
  <w:style w:type="character" w:customStyle="1" w:styleId="BodyTextChar">
    <w:name w:val="Body Text Char"/>
    <w:basedOn w:val="DefaultParagraphFont"/>
    <w:link w:val="BodyText"/>
    <w:rsid w:val="00727498"/>
    <w:rPr>
      <w:sz w:val="26"/>
    </w:rPr>
  </w:style>
  <w:style w:type="character" w:customStyle="1" w:styleId="CommentTextChar">
    <w:name w:val="Comment Text Char"/>
    <w:basedOn w:val="DefaultParagraphFont"/>
    <w:uiPriority w:val="99"/>
    <w:rsid w:val="00727498"/>
    <w:rPr>
      <w:szCs w:val="24"/>
    </w:rPr>
  </w:style>
  <w:style w:type="paragraph" w:styleId="Bibliography">
    <w:name w:val="Bibliography"/>
    <w:basedOn w:val="Normal"/>
    <w:next w:val="Normal"/>
    <w:uiPriority w:val="37"/>
    <w:unhideWhenUsed/>
    <w:rsid w:val="00727498"/>
    <w:pPr>
      <w:spacing w:after="240"/>
      <w:ind w:left="720" w:hanging="720"/>
    </w:pPr>
    <w:rPr>
      <w:sz w:val="24"/>
    </w:rPr>
  </w:style>
  <w:style w:type="paragraph" w:styleId="CommentSubject">
    <w:name w:val="annotation subject"/>
    <w:basedOn w:val="CommentText"/>
    <w:next w:val="CommentText"/>
    <w:link w:val="CommentSubjectChar"/>
    <w:rsid w:val="00727498"/>
    <w:pPr>
      <w:spacing w:before="0" w:line="240" w:lineRule="auto"/>
      <w:ind w:left="0" w:firstLine="0"/>
    </w:pPr>
    <w:rPr>
      <w:b/>
      <w:bCs/>
      <w:sz w:val="24"/>
      <w:szCs w:val="20"/>
    </w:rPr>
  </w:style>
  <w:style w:type="character" w:customStyle="1" w:styleId="CommentTextChar1">
    <w:name w:val="Comment Text Char1"/>
    <w:basedOn w:val="DefaultParagraphFont"/>
    <w:link w:val="CommentText"/>
    <w:rsid w:val="00727498"/>
    <w:rPr>
      <w:szCs w:val="24"/>
    </w:rPr>
  </w:style>
  <w:style w:type="character" w:customStyle="1" w:styleId="CommentSubjectChar">
    <w:name w:val="Comment Subject Char"/>
    <w:basedOn w:val="CommentTextChar1"/>
    <w:link w:val="CommentSubject"/>
    <w:rsid w:val="00727498"/>
    <w:rPr>
      <w:b/>
      <w:bCs/>
      <w:sz w:val="24"/>
      <w:szCs w:val="24"/>
    </w:rPr>
  </w:style>
  <w:style w:type="character" w:customStyle="1" w:styleId="Heading4Char">
    <w:name w:val="Heading 4 Char"/>
    <w:aliases w:val="Minor heading Char,NCC Heading 4 Char"/>
    <w:basedOn w:val="DefaultParagraphFont"/>
    <w:link w:val="Heading4"/>
    <w:rsid w:val="00727498"/>
    <w:rPr>
      <w:rFonts w:ascii="Arial" w:hAnsi="Arial"/>
      <w:i/>
      <w:sz w:val="24"/>
    </w:rPr>
  </w:style>
  <w:style w:type="character" w:customStyle="1" w:styleId="QuoteChar">
    <w:name w:val="Quote Char"/>
    <w:basedOn w:val="DefaultParagraphFont"/>
    <w:link w:val="Quote"/>
    <w:rsid w:val="00727498"/>
    <w:rPr>
      <w:sz w:val="24"/>
    </w:rPr>
  </w:style>
  <w:style w:type="paragraph" w:styleId="Revision">
    <w:name w:val="Revision"/>
    <w:hidden/>
    <w:uiPriority w:val="99"/>
    <w:semiHidden/>
    <w:rsid w:val="00727498"/>
    <w:rPr>
      <w:sz w:val="24"/>
      <w:szCs w:val="24"/>
    </w:rPr>
  </w:style>
  <w:style w:type="character" w:customStyle="1" w:styleId="FootnoteTextChar">
    <w:name w:val="Footnote Text Char"/>
    <w:aliases w:val="Car Char,ALTS FOOTNOTE Char,(NECG) Footnote Text Char,AR Footnote Text Char,Footnote text Char,Char Char,NCC Footnote Text Char"/>
    <w:basedOn w:val="DefaultParagraphFont"/>
    <w:link w:val="FootnoteText"/>
    <w:rsid w:val="00727498"/>
    <w:rPr>
      <w:sz w:val="22"/>
    </w:rPr>
  </w:style>
  <w:style w:type="paragraph" w:styleId="NormalWeb">
    <w:name w:val="Normal (Web)"/>
    <w:basedOn w:val="Normal"/>
    <w:uiPriority w:val="99"/>
    <w:unhideWhenUsed/>
    <w:rsid w:val="00727498"/>
    <w:pPr>
      <w:spacing w:before="100" w:beforeAutospacing="1" w:after="100" w:afterAutospacing="1"/>
    </w:pPr>
    <w:rPr>
      <w:rFonts w:eastAsiaTheme="minorEastAsia"/>
      <w:sz w:val="24"/>
    </w:rPr>
  </w:style>
  <w:style w:type="character" w:styleId="Hyperlink">
    <w:name w:val="Hyperlink"/>
    <w:basedOn w:val="DefaultParagraphFont"/>
    <w:uiPriority w:val="99"/>
    <w:unhideWhenUsed/>
    <w:rsid w:val="00727498"/>
    <w:rPr>
      <w:color w:val="0000FF"/>
      <w:u w:val="single"/>
    </w:rPr>
  </w:style>
  <w:style w:type="character" w:customStyle="1" w:styleId="FooterChar">
    <w:name w:val="Footer Char"/>
    <w:basedOn w:val="DefaultParagraphFont"/>
    <w:link w:val="Footer"/>
    <w:rsid w:val="00727498"/>
    <w:rPr>
      <w:caps/>
      <w:spacing w:val="-4"/>
      <w:sz w:val="16"/>
    </w:rPr>
  </w:style>
  <w:style w:type="character" w:styleId="FollowedHyperlink">
    <w:name w:val="FollowedHyperlink"/>
    <w:basedOn w:val="DefaultParagraphFont"/>
    <w:rsid w:val="00727498"/>
    <w:rPr>
      <w:color w:val="B4C98B" w:themeColor="followedHyperlink"/>
      <w:u w:val="single"/>
    </w:rPr>
  </w:style>
  <w:style w:type="character" w:styleId="EndnoteReference">
    <w:name w:val="endnote reference"/>
    <w:basedOn w:val="DefaultParagraphFont"/>
    <w:rsid w:val="00727498"/>
    <w:rPr>
      <w:vertAlign w:val="superscript"/>
    </w:rPr>
  </w:style>
  <w:style w:type="character" w:customStyle="1" w:styleId="NoteChar">
    <w:name w:val="Note Char"/>
    <w:basedOn w:val="DefaultParagraphFont"/>
    <w:link w:val="Note"/>
    <w:rsid w:val="00727498"/>
    <w:rPr>
      <w:rFonts w:ascii="Arial" w:hAnsi="Arial"/>
      <w:sz w:val="18"/>
    </w:rPr>
  </w:style>
  <w:style w:type="character" w:customStyle="1" w:styleId="Heading2Char">
    <w:name w:val="Heading 2 Char"/>
    <w:aliases w:val="2nd level heading Char,NCC Heading 2 Char"/>
    <w:basedOn w:val="DefaultParagraphFont"/>
    <w:link w:val="Heading2"/>
    <w:rsid w:val="00727498"/>
    <w:rPr>
      <w:rFonts w:ascii="Arial" w:hAnsi="Arial"/>
      <w:b/>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Hyperlink" w:uiPriority="99"/>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9E1844"/>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aliases w:val="2nd level heading,NCC 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aliases w:val="3rd level heading,NCC 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aliases w:val="Minor heading,NCC 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link w:val="FooterChar"/>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qForma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17"/>
      </w:numPr>
      <w:spacing w:before="60" w:line="280" w:lineRule="atLeast"/>
    </w:pPr>
    <w:rPr>
      <w:rFonts w:ascii="Arial" w:hAnsi="Arial"/>
      <w:sz w:val="22"/>
    </w:rPr>
  </w:style>
  <w:style w:type="paragraph" w:customStyle="1" w:styleId="BoxListNumber">
    <w:name w:val="Box List Number"/>
    <w:basedOn w:val="BodyText"/>
    <w:rsid w:val="00376E59"/>
    <w:pPr>
      <w:keepNext/>
      <w:numPr>
        <w:numId w:val="13"/>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qFormat/>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rsid w:val="00A17328"/>
    <w:rPr>
      <w:b/>
      <w:vanish/>
      <w:color w:val="FF00FF"/>
      <w:sz w:val="20"/>
    </w:rPr>
  </w:style>
  <w:style w:type="paragraph" w:styleId="CommentText">
    <w:name w:val="annotation text"/>
    <w:basedOn w:val="Normal"/>
    <w:link w:val="CommentTextChar1"/>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qForma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aliases w:val="(NECG) Footnote Reference"/>
    <w:basedOn w:val="DefaultParagraphFont"/>
    <w:rsid w:val="00A17328"/>
    <w:rPr>
      <w:rFonts w:ascii="Times New Roman" w:hAnsi="Times New Roman"/>
      <w:position w:val="6"/>
      <w:sz w:val="22"/>
      <w:vertAlign w:val="baseline"/>
    </w:rPr>
  </w:style>
  <w:style w:type="paragraph" w:styleId="FootnoteText">
    <w:name w:val="footnote text"/>
    <w:aliases w:val="Car,ALTS FOOTNOTE,(NECG) Footnote Text,AR Footnote Text,Footnote text,Char,NCC 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5"/>
      </w:numPr>
      <w:spacing w:before="120"/>
    </w:pPr>
  </w:style>
  <w:style w:type="paragraph" w:styleId="ListBullet2">
    <w:name w:val="List Bullet 2"/>
    <w:basedOn w:val="BodyText"/>
    <w:rsid w:val="00DB67C9"/>
    <w:pPr>
      <w:numPr>
        <w:numId w:val="6"/>
      </w:numPr>
      <w:spacing w:before="120"/>
    </w:pPr>
  </w:style>
  <w:style w:type="paragraph" w:styleId="ListBullet3">
    <w:name w:val="List Bullet 3"/>
    <w:basedOn w:val="BodyText"/>
    <w:rsid w:val="00DB67C9"/>
    <w:pPr>
      <w:numPr>
        <w:numId w:val="7"/>
      </w:numPr>
      <w:spacing w:before="120"/>
    </w:pPr>
  </w:style>
  <w:style w:type="paragraph" w:styleId="ListNumber">
    <w:name w:val="List Number"/>
    <w:basedOn w:val="BodyText"/>
    <w:rsid w:val="00864ADC"/>
    <w:pPr>
      <w:numPr>
        <w:numId w:val="1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8"/>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9"/>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4"/>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0"/>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1"/>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1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5"/>
      </w:numPr>
      <w:ind w:left="568" w:hanging="284"/>
    </w:pPr>
  </w:style>
  <w:style w:type="paragraph" w:customStyle="1" w:styleId="InformationRequestBullet">
    <w:name w:val="Information Request Bullet"/>
    <w:basedOn w:val="ListBullet"/>
    <w:next w:val="BodyText"/>
    <w:rsid w:val="00BA7E27"/>
    <w:pPr>
      <w:numPr>
        <w:numId w:val="1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BoxChar">
    <w:name w:val="Box Char"/>
    <w:link w:val="Box"/>
    <w:locked/>
    <w:rsid w:val="00727498"/>
    <w:rPr>
      <w:rFonts w:ascii="Arial" w:hAnsi="Arial"/>
      <w:sz w:val="22"/>
    </w:rPr>
  </w:style>
  <w:style w:type="character" w:customStyle="1" w:styleId="Heading3Char">
    <w:name w:val="Heading 3 Char"/>
    <w:aliases w:val="3rd level heading Char,NCC Heading 3 Char"/>
    <w:basedOn w:val="DefaultParagraphFont"/>
    <w:link w:val="Heading3"/>
    <w:rsid w:val="00727498"/>
    <w:rPr>
      <w:rFonts w:ascii="Arial" w:hAnsi="Arial"/>
      <w:b/>
      <w:sz w:val="26"/>
    </w:rPr>
  </w:style>
  <w:style w:type="character" w:customStyle="1" w:styleId="BodyTextChar">
    <w:name w:val="Body Text Char"/>
    <w:basedOn w:val="DefaultParagraphFont"/>
    <w:link w:val="BodyText"/>
    <w:rsid w:val="00727498"/>
    <w:rPr>
      <w:sz w:val="26"/>
    </w:rPr>
  </w:style>
  <w:style w:type="character" w:customStyle="1" w:styleId="CommentTextChar">
    <w:name w:val="Comment Text Char"/>
    <w:basedOn w:val="DefaultParagraphFont"/>
    <w:uiPriority w:val="99"/>
    <w:rsid w:val="00727498"/>
    <w:rPr>
      <w:szCs w:val="24"/>
    </w:rPr>
  </w:style>
  <w:style w:type="paragraph" w:styleId="Bibliography">
    <w:name w:val="Bibliography"/>
    <w:basedOn w:val="Normal"/>
    <w:next w:val="Normal"/>
    <w:uiPriority w:val="37"/>
    <w:unhideWhenUsed/>
    <w:rsid w:val="00727498"/>
    <w:pPr>
      <w:spacing w:after="240"/>
      <w:ind w:left="720" w:hanging="720"/>
    </w:pPr>
    <w:rPr>
      <w:sz w:val="24"/>
    </w:rPr>
  </w:style>
  <w:style w:type="paragraph" w:styleId="CommentSubject">
    <w:name w:val="annotation subject"/>
    <w:basedOn w:val="CommentText"/>
    <w:next w:val="CommentText"/>
    <w:link w:val="CommentSubjectChar"/>
    <w:rsid w:val="00727498"/>
    <w:pPr>
      <w:spacing w:before="0" w:line="240" w:lineRule="auto"/>
      <w:ind w:left="0" w:firstLine="0"/>
    </w:pPr>
    <w:rPr>
      <w:b/>
      <w:bCs/>
      <w:sz w:val="24"/>
      <w:szCs w:val="20"/>
    </w:rPr>
  </w:style>
  <w:style w:type="character" w:customStyle="1" w:styleId="CommentTextChar1">
    <w:name w:val="Comment Text Char1"/>
    <w:basedOn w:val="DefaultParagraphFont"/>
    <w:link w:val="CommentText"/>
    <w:rsid w:val="00727498"/>
    <w:rPr>
      <w:szCs w:val="24"/>
    </w:rPr>
  </w:style>
  <w:style w:type="character" w:customStyle="1" w:styleId="CommentSubjectChar">
    <w:name w:val="Comment Subject Char"/>
    <w:basedOn w:val="CommentTextChar1"/>
    <w:link w:val="CommentSubject"/>
    <w:rsid w:val="00727498"/>
    <w:rPr>
      <w:b/>
      <w:bCs/>
      <w:sz w:val="24"/>
      <w:szCs w:val="24"/>
    </w:rPr>
  </w:style>
  <w:style w:type="character" w:customStyle="1" w:styleId="Heading4Char">
    <w:name w:val="Heading 4 Char"/>
    <w:aliases w:val="Minor heading Char,NCC Heading 4 Char"/>
    <w:basedOn w:val="DefaultParagraphFont"/>
    <w:link w:val="Heading4"/>
    <w:rsid w:val="00727498"/>
    <w:rPr>
      <w:rFonts w:ascii="Arial" w:hAnsi="Arial"/>
      <w:i/>
      <w:sz w:val="24"/>
    </w:rPr>
  </w:style>
  <w:style w:type="character" w:customStyle="1" w:styleId="QuoteChar">
    <w:name w:val="Quote Char"/>
    <w:basedOn w:val="DefaultParagraphFont"/>
    <w:link w:val="Quote"/>
    <w:rsid w:val="00727498"/>
    <w:rPr>
      <w:sz w:val="24"/>
    </w:rPr>
  </w:style>
  <w:style w:type="paragraph" w:styleId="Revision">
    <w:name w:val="Revision"/>
    <w:hidden/>
    <w:uiPriority w:val="99"/>
    <w:semiHidden/>
    <w:rsid w:val="00727498"/>
    <w:rPr>
      <w:sz w:val="24"/>
      <w:szCs w:val="24"/>
    </w:rPr>
  </w:style>
  <w:style w:type="character" w:customStyle="1" w:styleId="FootnoteTextChar">
    <w:name w:val="Footnote Text Char"/>
    <w:aliases w:val="Car Char,ALTS FOOTNOTE Char,(NECG) Footnote Text Char,AR Footnote Text Char,Footnote text Char,Char Char,NCC Footnote Text Char"/>
    <w:basedOn w:val="DefaultParagraphFont"/>
    <w:link w:val="FootnoteText"/>
    <w:rsid w:val="00727498"/>
    <w:rPr>
      <w:sz w:val="22"/>
    </w:rPr>
  </w:style>
  <w:style w:type="paragraph" w:styleId="NormalWeb">
    <w:name w:val="Normal (Web)"/>
    <w:basedOn w:val="Normal"/>
    <w:uiPriority w:val="99"/>
    <w:unhideWhenUsed/>
    <w:rsid w:val="00727498"/>
    <w:pPr>
      <w:spacing w:before="100" w:beforeAutospacing="1" w:after="100" w:afterAutospacing="1"/>
    </w:pPr>
    <w:rPr>
      <w:rFonts w:eastAsiaTheme="minorEastAsia"/>
      <w:sz w:val="24"/>
    </w:rPr>
  </w:style>
  <w:style w:type="character" w:styleId="Hyperlink">
    <w:name w:val="Hyperlink"/>
    <w:basedOn w:val="DefaultParagraphFont"/>
    <w:uiPriority w:val="99"/>
    <w:unhideWhenUsed/>
    <w:rsid w:val="00727498"/>
    <w:rPr>
      <w:color w:val="0000FF"/>
      <w:u w:val="single"/>
    </w:rPr>
  </w:style>
  <w:style w:type="character" w:customStyle="1" w:styleId="FooterChar">
    <w:name w:val="Footer Char"/>
    <w:basedOn w:val="DefaultParagraphFont"/>
    <w:link w:val="Footer"/>
    <w:rsid w:val="00727498"/>
    <w:rPr>
      <w:caps/>
      <w:spacing w:val="-4"/>
      <w:sz w:val="16"/>
    </w:rPr>
  </w:style>
  <w:style w:type="character" w:styleId="FollowedHyperlink">
    <w:name w:val="FollowedHyperlink"/>
    <w:basedOn w:val="DefaultParagraphFont"/>
    <w:rsid w:val="00727498"/>
    <w:rPr>
      <w:color w:val="B4C98B" w:themeColor="followedHyperlink"/>
      <w:u w:val="single"/>
    </w:rPr>
  </w:style>
  <w:style w:type="character" w:styleId="EndnoteReference">
    <w:name w:val="endnote reference"/>
    <w:basedOn w:val="DefaultParagraphFont"/>
    <w:rsid w:val="00727498"/>
    <w:rPr>
      <w:vertAlign w:val="superscript"/>
    </w:rPr>
  </w:style>
  <w:style w:type="character" w:customStyle="1" w:styleId="NoteChar">
    <w:name w:val="Note Char"/>
    <w:basedOn w:val="DefaultParagraphFont"/>
    <w:link w:val="Note"/>
    <w:rsid w:val="00727498"/>
    <w:rPr>
      <w:rFonts w:ascii="Arial" w:hAnsi="Arial"/>
      <w:sz w:val="18"/>
    </w:rPr>
  </w:style>
  <w:style w:type="character" w:customStyle="1" w:styleId="Heading2Char">
    <w:name w:val="Heading 2 Char"/>
    <w:aliases w:val="2nd level heading Char,NCC Heading 2 Char"/>
    <w:basedOn w:val="DefaultParagraphFont"/>
    <w:link w:val="Heading2"/>
    <w:rsid w:val="00727498"/>
    <w:rPr>
      <w:rFonts w:ascii="Arial" w:hAnsi="Arial"/>
      <w:b/>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chart" Target="charts/chart1.xml"/><Relationship Id="rId26" Type="http://schemas.openxmlformats.org/officeDocument/2006/relationships/chart" Target="charts/chart9.xml"/><Relationship Id="rId39" Type="http://schemas.openxmlformats.org/officeDocument/2006/relationships/chart" Target="charts/chart18.xml"/><Relationship Id="rId21" Type="http://schemas.openxmlformats.org/officeDocument/2006/relationships/chart" Target="charts/chart4.xml"/><Relationship Id="rId34" Type="http://schemas.openxmlformats.org/officeDocument/2006/relationships/footer" Target="footer4.xml"/><Relationship Id="rId42" Type="http://schemas.openxmlformats.org/officeDocument/2006/relationships/chart" Target="charts/chart21.xml"/><Relationship Id="rId47" Type="http://schemas.openxmlformats.org/officeDocument/2006/relationships/chart" Target="charts/chart26.xml"/><Relationship Id="rId50" Type="http://schemas.openxmlformats.org/officeDocument/2006/relationships/chart" Target="charts/chart29.xml"/><Relationship Id="rId55" Type="http://schemas.openxmlformats.org/officeDocument/2006/relationships/header" Target="header12.xml"/><Relationship Id="rId63" Type="http://schemas.openxmlformats.org/officeDocument/2006/relationships/header" Target="header18.xml"/><Relationship Id="rId68" Type="http://schemas.openxmlformats.org/officeDocument/2006/relationships/footer" Target="footer9.xml"/><Relationship Id="rId7" Type="http://schemas.openxmlformats.org/officeDocument/2006/relationships/footnotes" Target="footnotes.xml"/><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chart" Target="charts/chart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chart" Target="charts/chart7.xml"/><Relationship Id="rId32" Type="http://schemas.openxmlformats.org/officeDocument/2006/relationships/header" Target="header7.xml"/><Relationship Id="rId37" Type="http://schemas.openxmlformats.org/officeDocument/2006/relationships/chart" Target="charts/chart16.xml"/><Relationship Id="rId40" Type="http://schemas.openxmlformats.org/officeDocument/2006/relationships/chart" Target="charts/chart19.xml"/><Relationship Id="rId45" Type="http://schemas.openxmlformats.org/officeDocument/2006/relationships/chart" Target="charts/chart24.xml"/><Relationship Id="rId53" Type="http://schemas.openxmlformats.org/officeDocument/2006/relationships/header" Target="header11.xml"/><Relationship Id="rId58" Type="http://schemas.openxmlformats.org/officeDocument/2006/relationships/footer" Target="footer6.xml"/><Relationship Id="rId66" Type="http://schemas.openxmlformats.org/officeDocument/2006/relationships/header" Target="header20.xml"/><Relationship Id="rId5" Type="http://schemas.openxmlformats.org/officeDocument/2006/relationships/settings" Target="settings.xml"/><Relationship Id="rId15" Type="http://schemas.openxmlformats.org/officeDocument/2006/relationships/header" Target="header5.xml"/><Relationship Id="rId23" Type="http://schemas.openxmlformats.org/officeDocument/2006/relationships/chart" Target="charts/chart6.xml"/><Relationship Id="rId28" Type="http://schemas.openxmlformats.org/officeDocument/2006/relationships/chart" Target="charts/chart11.xml"/><Relationship Id="rId36" Type="http://schemas.openxmlformats.org/officeDocument/2006/relationships/chart" Target="charts/chart15.xml"/><Relationship Id="rId49" Type="http://schemas.openxmlformats.org/officeDocument/2006/relationships/chart" Target="charts/chart28.xml"/><Relationship Id="rId57" Type="http://schemas.openxmlformats.org/officeDocument/2006/relationships/header" Target="header14.xml"/><Relationship Id="rId61" Type="http://schemas.openxmlformats.org/officeDocument/2006/relationships/header" Target="header17.xml"/><Relationship Id="rId10" Type="http://schemas.openxmlformats.org/officeDocument/2006/relationships/header" Target="header2.xml"/><Relationship Id="rId19" Type="http://schemas.openxmlformats.org/officeDocument/2006/relationships/chart" Target="charts/chart2.xml"/><Relationship Id="rId31" Type="http://schemas.openxmlformats.org/officeDocument/2006/relationships/chart" Target="charts/chart14.xml"/><Relationship Id="rId44" Type="http://schemas.openxmlformats.org/officeDocument/2006/relationships/chart" Target="charts/chart23.xml"/><Relationship Id="rId52" Type="http://schemas.openxmlformats.org/officeDocument/2006/relationships/header" Target="header10.xml"/><Relationship Id="rId60" Type="http://schemas.openxmlformats.org/officeDocument/2006/relationships/header" Target="header16.xml"/><Relationship Id="rId65" Type="http://schemas.openxmlformats.org/officeDocument/2006/relationships/header" Target="header19.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chart" Target="charts/chart5.xml"/><Relationship Id="rId27" Type="http://schemas.openxmlformats.org/officeDocument/2006/relationships/chart" Target="charts/chart10.xml"/><Relationship Id="rId30" Type="http://schemas.openxmlformats.org/officeDocument/2006/relationships/chart" Target="charts/chart13.xml"/><Relationship Id="rId35" Type="http://schemas.openxmlformats.org/officeDocument/2006/relationships/header" Target="header9.xml"/><Relationship Id="rId43" Type="http://schemas.openxmlformats.org/officeDocument/2006/relationships/chart" Target="charts/chart22.xml"/><Relationship Id="rId48" Type="http://schemas.openxmlformats.org/officeDocument/2006/relationships/chart" Target="charts/chart27.xml"/><Relationship Id="rId56" Type="http://schemas.openxmlformats.org/officeDocument/2006/relationships/header" Target="header13.xml"/><Relationship Id="rId64" Type="http://schemas.openxmlformats.org/officeDocument/2006/relationships/hyperlink" Target="https://www.pressroom.com.au/press_release_detail.asp?clientID" TargetMode="External"/><Relationship Id="rId69" Type="http://schemas.openxmlformats.org/officeDocument/2006/relationships/header" Target="header21.xml"/><Relationship Id="rId8" Type="http://schemas.openxmlformats.org/officeDocument/2006/relationships/endnotes" Target="endnotes.xml"/><Relationship Id="rId51" Type="http://schemas.openxmlformats.org/officeDocument/2006/relationships/chart" Target="charts/chart30.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chart" Target="charts/chart8.xml"/><Relationship Id="rId33" Type="http://schemas.openxmlformats.org/officeDocument/2006/relationships/header" Target="header8.xml"/><Relationship Id="rId38" Type="http://schemas.openxmlformats.org/officeDocument/2006/relationships/chart" Target="charts/chart17.xml"/><Relationship Id="rId46" Type="http://schemas.openxmlformats.org/officeDocument/2006/relationships/chart" Target="charts/chart25.xml"/><Relationship Id="rId59" Type="http://schemas.openxmlformats.org/officeDocument/2006/relationships/header" Target="header15.xml"/><Relationship Id="rId67" Type="http://schemas.openxmlformats.org/officeDocument/2006/relationships/footer" Target="footer8.xml"/><Relationship Id="rId20" Type="http://schemas.openxmlformats.org/officeDocument/2006/relationships/chart" Target="charts/chart3.xml"/><Relationship Id="rId41" Type="http://schemas.openxmlformats.org/officeDocument/2006/relationships/chart" Target="charts/chart20.xml"/><Relationship Id="rId54" Type="http://schemas.openxmlformats.org/officeDocument/2006/relationships/footer" Target="footer5.xml"/><Relationship Id="rId62" Type="http://schemas.openxmlformats.org/officeDocument/2006/relationships/footer" Target="footer7.xml"/><Relationship Id="rId7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bgriffiths\Desktop\Section%203%20figures.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mel_1\f\pharslett\2013%20work\Auto\Data%20for%20map\Trade%20matrix%20in%20cars\Results_9_12.xlsx" TargetMode="External"/></Relationships>
</file>

<file path=word/charts/_rels/chart1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mel_1\f\pharslett\2013%20work\Auto\Data%20for%20map\Trade%20matrix%20in%20cars\Results_9_12.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mel_1\f\pharslett\2013%20work\Auto\Data%20for%20map\Trade%20matrix%20in%20cars\Results_9_12.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mel_1\groups\InquiryA\Auto2013\PRELIMINARY%20FINDINGS%20REPORT\Checking%20files\Data%20and%20graphs\Capacities%20OECD.xlsx" TargetMode="External"/></Relationships>
</file>

<file path=word/charts/_rels/chart14.xml.rels><?xml version="1.0" encoding="UTF-8" standalone="yes"?>
<Relationships xmlns="http://schemas.openxmlformats.org/package/2006/relationships"><Relationship Id="rId2" Type="http://schemas.openxmlformats.org/officeDocument/2006/relationships/oleObject" Target="file:///C:\Users\bgriffiths\Desktop\Supplier.xlsx" TargetMode="External"/><Relationship Id="rId1" Type="http://schemas.openxmlformats.org/officeDocument/2006/relationships/themeOverride" Target="../theme/themeOverride1.xml"/></Relationships>
</file>

<file path=word/charts/_rels/chart15.xml.rels><?xml version="1.0" encoding="UTF-8" standalone="yes"?>
<Relationships xmlns="http://schemas.openxmlformats.org/package/2006/relationships"><Relationship Id="rId1" Type="http://schemas.openxmlformats.org/officeDocument/2006/relationships/oleObject" Target="file:///\\mel_1\groups\InquiryA\Auto2013\Personal%20Folders\Aaron\Manufacturing\Manufacturing%20trends%20indexed.xlsx"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file:///\\mel_1\groups\InquiryA\Auto2013\Personal%20Folders\Aaron\Manufacturing\Pie%20charts.xlsx"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file:///\\mel_1\groups\InquiryA\Auto2013\Personal%20Folders\Aaron\Manufacturing\Pie%20charts.xlsx"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file:///\\mel_1\groups\InquiryA\Auto2013\Personal%20Folders\Aaron\Data%20used%20for%20preliminary%20report\Contribution%20of%20MVP%20to%20manuf.xlsx" TargetMode="External"/></Relationships>
</file>

<file path=word/charts/_rels/chart19.xml.rels><?xml version="1.0" encoding="UTF-8" standalone="yes"?>
<Relationships xmlns="http://schemas.openxmlformats.org/package/2006/relationships"><Relationship Id="rId1" Type="http://schemas.openxmlformats.org/officeDocument/2006/relationships/oleObject" Target="file:///C:\Users\mforbes\AppData\Local\Microsoft\Windows\Temporary%20Internet%20Files\Content.Outlook\X3WFJKCP\Manufacturing%20Employment.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mel_1\f\pharslett\2013%20work\Auto\Data%20for%20map\Trade%20matrix%20in%20cars\Results_9_12.xlsx" TargetMode="External"/></Relationships>
</file>

<file path=word/charts/_rels/chart20.xml.rels><?xml version="1.0" encoding="UTF-8" standalone="yes"?>
<Relationships xmlns="http://schemas.openxmlformats.org/package/2006/relationships"><Relationship Id="rId1" Type="http://schemas.openxmlformats.org/officeDocument/2006/relationships/oleObject" Target="file:///\\mel_1\groups\InquiryA\Auto2013\PRELIMINARY%20FINDINGS%20REPORT\Checking%20files\Data%20and%20graphs\International%20labour%20costs%20-%20Morgan%20Stanley%20and%20BLS.xlsx" TargetMode="External"/></Relationships>
</file>

<file path=word/charts/_rels/chart21.xml.rels><?xml version="1.0" encoding="UTF-8" standalone="yes"?>
<Relationships xmlns="http://schemas.openxmlformats.org/package/2006/relationships"><Relationship Id="rId2" Type="http://schemas.openxmlformats.org/officeDocument/2006/relationships/oleObject" Target="file:///C:\Users\bgriffiths\Desktop\Productivity.xlsx" TargetMode="External"/><Relationship Id="rId1" Type="http://schemas.openxmlformats.org/officeDocument/2006/relationships/themeOverride" Target="../theme/themeOverride2.xml"/></Relationships>
</file>

<file path=word/charts/_rels/chart22.xml.rels><?xml version="1.0" encoding="UTF-8" standalone="yes"?>
<Relationships xmlns="http://schemas.openxmlformats.org/package/2006/relationships"><Relationship Id="rId1" Type="http://schemas.openxmlformats.org/officeDocument/2006/relationships/oleObject" Target="file:///C:\Users\bgriffiths\Desktop\product.xlsx" TargetMode="External"/></Relationships>
</file>

<file path=word/charts/_rels/chart23.xml.rels><?xml version="1.0" encoding="UTF-8" standalone="yes"?>
<Relationships xmlns="http://schemas.openxmlformats.org/package/2006/relationships"><Relationship Id="rId1" Type="http://schemas.openxmlformats.org/officeDocument/2006/relationships/oleObject" Target="file:///\\mel_1\groups\InquiryA\Auto2013\References\Data\KAS%20STARS%20Components%20basic%20data%20(domestic%20sales,%20imports,%20exports,%20real%20terms).xlsx" TargetMode="External"/></Relationships>
</file>

<file path=word/charts/_rels/chart24.xml.rels><?xml version="1.0" encoding="UTF-8" standalone="yes"?>
<Relationships xmlns="http://schemas.openxmlformats.org/package/2006/relationships"><Relationship Id="rId1" Type="http://schemas.openxmlformats.org/officeDocument/2006/relationships/oleObject" Target="file:///\\mel_1\groups\InquiryA\Auto2013\PRELIMINARY%20FINDINGS%20REPORT\Data\Data%20used%20in%20section%205.xlsx" TargetMode="External"/></Relationships>
</file>

<file path=word/charts/_rels/chart25.xml.rels><?xml version="1.0" encoding="UTF-8" standalone="yes"?>
<Relationships xmlns="http://schemas.openxmlformats.org/package/2006/relationships"><Relationship Id="rId1" Type="http://schemas.openxmlformats.org/officeDocument/2006/relationships/oleObject" Target="file:///\\mel_1\groups\InquiryA\Auto2013\PRELIMINARY%20FINDINGS%20REPORT\Data\Data%20used%20in%20section%205.xlsx" TargetMode="External"/></Relationships>
</file>

<file path=word/charts/_rels/chart26.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mel_1\groups\InquiryA\Auto2013\PRELIMINARY%20FINDINGS%20REPORT\Data\Data%20used%20in%20section%205.xlsx" TargetMode="External"/></Relationships>
</file>

<file path=word/charts/_rels/chart27.xml.rels><?xml version="1.0" encoding="UTF-8" standalone="yes"?>
<Relationships xmlns="http://schemas.openxmlformats.org/package/2006/relationships"><Relationship Id="rId1" Type="http://schemas.openxmlformats.org/officeDocument/2006/relationships/oleObject" Target="file:///\\mel_1\groups\InquiryA\Auto2013\PRELIMINARY%20FINDINGS%20REPORT\Data\Data%20used%20in%20section%205.xlsx" TargetMode="External"/></Relationships>
</file>

<file path=word/charts/_rels/chart28.xml.rels><?xml version="1.0" encoding="UTF-8" standalone="yes"?>
<Relationships xmlns="http://schemas.openxmlformats.org/package/2006/relationships"><Relationship Id="rId2" Type="http://schemas.openxmlformats.org/officeDocument/2006/relationships/oleObject" Target="file:///\\mel_1\groups\InquiryA\Auto2013\PRELIMINARY%20FINDINGS%20REPORT\Data\Data%20used%20in%20section%205.xlsx" TargetMode="External"/><Relationship Id="rId1" Type="http://schemas.openxmlformats.org/officeDocument/2006/relationships/themeOverride" Target="../theme/themeOverride3.xml"/></Relationships>
</file>

<file path=word/charts/_rels/chart29.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oleObject" Target="file:///\\mel_1\groups\InquiryA\Auto2013\PRELIMINARY%20FINDINGS%20REPORT\Aaron's%20data\NSE.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mel_1\f\pharslett\2013%20work\Auto\Data%20for%20map\Trade%20matrix%20in%20cars\Results_9_12.xlsx" TargetMode="External"/></Relationships>
</file>

<file path=word/charts/_rels/chart30.xml.rels><?xml version="1.0" encoding="UTF-8" standalone="yes"?>
<Relationships xmlns="http://schemas.openxmlformats.org/package/2006/relationships"><Relationship Id="rId1" Type="http://schemas.openxmlformats.org/officeDocument/2006/relationships/oleObject" Target="file:///\\MEL_1\groups\InquiryA\Auto2013\PRELIMINARY%20FINDINGS%20REPORT\Checking%20files\Data%20and%20graphs\Research%20and%20development.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mel_1\f\pharslett\2013%20work\Auto\Data%20for%20map\Trade%20matrix%20in%20cars\Results_9_12.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mel_1\f\pharslett\2013%20work\Auto\Data%20for%20map\Trade%20matrix%20in%20cars\Results_9_12.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mel_1\f\pharslett\2013%20work\Auto\Data%20for%20map\Trade%20matrix%20in%20cars\Results_9_12.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mel_1\f\pharslett\2013%20work\Auto\Data%20for%20map\Trade%20matrix%20in%20cars\Results_9_12.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mel_1\f\pharslett\2013%20work\Auto\Data%20for%20map\Trade%20matrix%20in%20cars\Results_9_12.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mel_1\f\pharslett\2013%20work\Auto\Data%20for%20map\Trade%20matrix%20in%20cars\Results_9_1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1104998593925759"/>
          <c:y val="5.1400554097404502E-2"/>
          <c:w val="0.87933949662542177"/>
          <c:h val="0.73967993584135316"/>
        </c:manualLayout>
      </c:layout>
      <c:barChart>
        <c:barDir val="col"/>
        <c:grouping val="stacked"/>
        <c:varyColors val="0"/>
        <c:ser>
          <c:idx val="0"/>
          <c:order val="0"/>
          <c:tx>
            <c:strRef>
              <c:f>'Global production'!$D$3</c:f>
              <c:strCache>
                <c:ptCount val="1"/>
                <c:pt idx="0">
                  <c:v>Passenger motor vehicles</c:v>
                </c:pt>
              </c:strCache>
            </c:strRef>
          </c:tx>
          <c:spPr>
            <a:solidFill>
              <a:schemeClr val="tx2"/>
            </a:solidFill>
          </c:spPr>
          <c:invertIfNegative val="0"/>
          <c:cat>
            <c:numRef>
              <c:f>'Global production'!$E$2:$R$2</c:f>
              <c:numCache>
                <c:formatCode>General</c:formatCode>
                <c:ptCount val="14"/>
                <c:pt idx="0">
                  <c:v>1999</c:v>
                </c:pt>
                <c:pt idx="1">
                  <c:v>2000</c:v>
                </c:pt>
                <c:pt idx="2">
                  <c:v>2001</c:v>
                </c:pt>
                <c:pt idx="3">
                  <c:v>2002</c:v>
                </c:pt>
                <c:pt idx="4">
                  <c:v>2003</c:v>
                </c:pt>
                <c:pt idx="5">
                  <c:v>2004</c:v>
                </c:pt>
                <c:pt idx="6">
                  <c:v>2005</c:v>
                </c:pt>
                <c:pt idx="7">
                  <c:v>2006</c:v>
                </c:pt>
                <c:pt idx="8">
                  <c:v>2007</c:v>
                </c:pt>
                <c:pt idx="9">
                  <c:v>2008</c:v>
                </c:pt>
                <c:pt idx="10">
                  <c:v>2009</c:v>
                </c:pt>
                <c:pt idx="11">
                  <c:v>2010</c:v>
                </c:pt>
                <c:pt idx="12">
                  <c:v>2011</c:v>
                </c:pt>
                <c:pt idx="13">
                  <c:v>2012</c:v>
                </c:pt>
              </c:numCache>
            </c:numRef>
          </c:cat>
          <c:val>
            <c:numRef>
              <c:f>'Global production'!$E$3:$R$3</c:f>
              <c:numCache>
                <c:formatCode>General</c:formatCode>
                <c:ptCount val="14"/>
                <c:pt idx="0">
                  <c:v>40432134</c:v>
                </c:pt>
                <c:pt idx="1">
                  <c:v>41843216</c:v>
                </c:pt>
                <c:pt idx="2">
                  <c:v>40389452</c:v>
                </c:pt>
                <c:pt idx="3">
                  <c:v>41902676</c:v>
                </c:pt>
                <c:pt idx="4">
                  <c:v>42588113</c:v>
                </c:pt>
                <c:pt idx="5">
                  <c:v>45204570</c:v>
                </c:pt>
                <c:pt idx="6">
                  <c:v>46738999</c:v>
                </c:pt>
                <c:pt idx="7">
                  <c:v>50750652</c:v>
                </c:pt>
                <c:pt idx="8">
                  <c:v>53893603</c:v>
                </c:pt>
                <c:pt idx="9">
                  <c:v>53329917</c:v>
                </c:pt>
                <c:pt idx="10">
                  <c:v>48120737</c:v>
                </c:pt>
                <c:pt idx="11">
                  <c:v>58675566</c:v>
                </c:pt>
                <c:pt idx="12">
                  <c:v>60276473</c:v>
                </c:pt>
                <c:pt idx="13">
                  <c:v>63374062</c:v>
                </c:pt>
              </c:numCache>
            </c:numRef>
          </c:val>
        </c:ser>
        <c:ser>
          <c:idx val="1"/>
          <c:order val="1"/>
          <c:tx>
            <c:strRef>
              <c:f>'Global production'!$D$4</c:f>
              <c:strCache>
                <c:ptCount val="1"/>
                <c:pt idx="0">
                  <c:v>Commercial vehicles</c:v>
                </c:pt>
              </c:strCache>
            </c:strRef>
          </c:tx>
          <c:spPr>
            <a:solidFill>
              <a:schemeClr val="accent1"/>
            </a:solidFill>
          </c:spPr>
          <c:invertIfNegative val="0"/>
          <c:cat>
            <c:numRef>
              <c:f>'Global production'!$E$2:$R$2</c:f>
              <c:numCache>
                <c:formatCode>General</c:formatCode>
                <c:ptCount val="14"/>
                <c:pt idx="0">
                  <c:v>1999</c:v>
                </c:pt>
                <c:pt idx="1">
                  <c:v>2000</c:v>
                </c:pt>
                <c:pt idx="2">
                  <c:v>2001</c:v>
                </c:pt>
                <c:pt idx="3">
                  <c:v>2002</c:v>
                </c:pt>
                <c:pt idx="4">
                  <c:v>2003</c:v>
                </c:pt>
                <c:pt idx="5">
                  <c:v>2004</c:v>
                </c:pt>
                <c:pt idx="6">
                  <c:v>2005</c:v>
                </c:pt>
                <c:pt idx="7">
                  <c:v>2006</c:v>
                </c:pt>
                <c:pt idx="8">
                  <c:v>2007</c:v>
                </c:pt>
                <c:pt idx="9">
                  <c:v>2008</c:v>
                </c:pt>
                <c:pt idx="10">
                  <c:v>2009</c:v>
                </c:pt>
                <c:pt idx="11">
                  <c:v>2010</c:v>
                </c:pt>
                <c:pt idx="12">
                  <c:v>2011</c:v>
                </c:pt>
                <c:pt idx="13">
                  <c:v>2012</c:v>
                </c:pt>
              </c:numCache>
            </c:numRef>
          </c:cat>
          <c:val>
            <c:numRef>
              <c:f>'Global production'!$E$4:$R$4</c:f>
              <c:numCache>
                <c:formatCode>General</c:formatCode>
                <c:ptCount val="14"/>
                <c:pt idx="0">
                  <c:v>16561883</c:v>
                </c:pt>
                <c:pt idx="1">
                  <c:v>17276181</c:v>
                </c:pt>
                <c:pt idx="2">
                  <c:v>16498503</c:v>
                </c:pt>
                <c:pt idx="3">
                  <c:v>17554936</c:v>
                </c:pt>
                <c:pt idx="4">
                  <c:v>18725521</c:v>
                </c:pt>
                <c:pt idx="5">
                  <c:v>19995519</c:v>
                </c:pt>
                <c:pt idx="6">
                  <c:v>20491460</c:v>
                </c:pt>
                <c:pt idx="7">
                  <c:v>19355228</c:v>
                </c:pt>
                <c:pt idx="8">
                  <c:v>20311745</c:v>
                </c:pt>
                <c:pt idx="9">
                  <c:v>17932381</c:v>
                </c:pt>
                <c:pt idx="10">
                  <c:v>14100981</c:v>
                </c:pt>
                <c:pt idx="11">
                  <c:v>19457974</c:v>
                </c:pt>
                <c:pt idx="12">
                  <c:v>20274850</c:v>
                </c:pt>
                <c:pt idx="13">
                  <c:v>21144591</c:v>
                </c:pt>
              </c:numCache>
            </c:numRef>
          </c:val>
        </c:ser>
        <c:dLbls>
          <c:showLegendKey val="0"/>
          <c:showVal val="0"/>
          <c:showCatName val="0"/>
          <c:showSerName val="0"/>
          <c:showPercent val="0"/>
          <c:showBubbleSize val="0"/>
        </c:dLbls>
        <c:gapWidth val="50"/>
        <c:overlap val="100"/>
        <c:axId val="165951744"/>
        <c:axId val="165998592"/>
      </c:barChart>
      <c:catAx>
        <c:axId val="165951744"/>
        <c:scaling>
          <c:orientation val="minMax"/>
        </c:scaling>
        <c:delete val="0"/>
        <c:axPos val="b"/>
        <c:numFmt formatCode="General" sourceLinked="1"/>
        <c:majorTickMark val="out"/>
        <c:minorTickMark val="none"/>
        <c:tickLblPos val="nextTo"/>
        <c:spPr>
          <a:ln>
            <a:noFill/>
          </a:ln>
        </c:spPr>
        <c:txPr>
          <a:bodyPr/>
          <a:lstStyle/>
          <a:p>
            <a:pPr>
              <a:defRPr sz="900"/>
            </a:pPr>
            <a:endParaRPr lang="en-US"/>
          </a:p>
        </c:txPr>
        <c:crossAx val="165998592"/>
        <c:crosses val="autoZero"/>
        <c:auto val="1"/>
        <c:lblAlgn val="ctr"/>
        <c:lblOffset val="100"/>
        <c:noMultiLvlLbl val="0"/>
      </c:catAx>
      <c:valAx>
        <c:axId val="165998592"/>
        <c:scaling>
          <c:orientation val="minMax"/>
        </c:scaling>
        <c:delete val="0"/>
        <c:axPos val="l"/>
        <c:majorGridlines/>
        <c:numFmt formatCode="General" sourceLinked="1"/>
        <c:majorTickMark val="out"/>
        <c:minorTickMark val="none"/>
        <c:tickLblPos val="nextTo"/>
        <c:spPr>
          <a:ln>
            <a:noFill/>
          </a:ln>
        </c:spPr>
        <c:txPr>
          <a:bodyPr/>
          <a:lstStyle/>
          <a:p>
            <a:pPr>
              <a:defRPr sz="900"/>
            </a:pPr>
            <a:endParaRPr lang="en-US"/>
          </a:p>
        </c:txPr>
        <c:crossAx val="165951744"/>
        <c:crosses val="autoZero"/>
        <c:crossBetween val="between"/>
        <c:dispUnits>
          <c:builtInUnit val="millions"/>
          <c:dispUnitsLbl>
            <c:layout>
              <c:manualLayout>
                <c:xMode val="edge"/>
                <c:yMode val="edge"/>
                <c:x val="1.0416666666666666E-2"/>
                <c:y val="7.4548702245552628E-2"/>
              </c:manualLayout>
            </c:layout>
            <c:tx>
              <c:rich>
                <a:bodyPr/>
                <a:lstStyle/>
                <a:p>
                  <a:pPr>
                    <a:defRPr/>
                  </a:pPr>
                  <a:r>
                    <a:rPr lang="en-AU"/>
                    <a:t> Number</a:t>
                  </a:r>
                  <a:r>
                    <a:rPr lang="en-AU" baseline="0"/>
                    <a:t> of v</a:t>
                  </a:r>
                  <a:r>
                    <a:rPr lang="en-AU"/>
                    <a:t>ehicles (millions)</a:t>
                  </a:r>
                </a:p>
              </c:rich>
            </c:tx>
          </c:dispUnitsLbl>
        </c:dispUnits>
      </c:valAx>
    </c:plotArea>
    <c:legend>
      <c:legendPos val="r"/>
      <c:layout>
        <c:manualLayout>
          <c:xMode val="edge"/>
          <c:yMode val="edge"/>
          <c:x val="8.7499781277340344E-2"/>
          <c:y val="0.87461614173228341"/>
          <c:w val="0.90138910761154867"/>
          <c:h val="0.12113808690580344"/>
        </c:manualLayout>
      </c:layout>
      <c:overlay val="0"/>
    </c:legend>
    <c:plotVisOnly val="1"/>
    <c:dispBlanksAs val="gap"/>
    <c:showDLblsOverMax val="0"/>
  </c:chart>
  <c:spPr>
    <a:noFill/>
    <a:ln>
      <a:noFill/>
    </a:ln>
  </c:sp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title>
      <c:tx>
        <c:strRef>
          <c:f>Sheet5!$G$41</c:f>
          <c:strCache>
            <c:ptCount val="1"/>
            <c:pt idx="0">
              <c:v>Thailand</c:v>
            </c:pt>
          </c:strCache>
        </c:strRef>
      </c:tx>
      <c:layout>
        <c:manualLayout>
          <c:xMode val="edge"/>
          <c:yMode val="edge"/>
          <c:x val="0.29012748707133301"/>
          <c:y val="2.1038961775438799E-4"/>
        </c:manualLayout>
      </c:layout>
      <c:overlay val="0"/>
      <c:txPr>
        <a:bodyPr/>
        <a:lstStyle/>
        <a:p>
          <a:pPr>
            <a:defRPr sz="1400"/>
          </a:pPr>
          <a:endParaRPr lang="en-US"/>
        </a:p>
      </c:txPr>
    </c:title>
    <c:autoTitleDeleted val="0"/>
    <c:plotArea>
      <c:layout>
        <c:manualLayout>
          <c:layoutTarget val="inner"/>
          <c:xMode val="edge"/>
          <c:yMode val="edge"/>
          <c:x val="0.16626718270385701"/>
          <c:y val="0.15332517556927"/>
          <c:w val="0.80266816475328395"/>
          <c:h val="0.69613714490888701"/>
        </c:manualLayout>
      </c:layout>
      <c:barChart>
        <c:barDir val="col"/>
        <c:grouping val="stacked"/>
        <c:varyColors val="0"/>
        <c:ser>
          <c:idx val="0"/>
          <c:order val="0"/>
          <c:tx>
            <c:strRef>
              <c:f>Sheet5!$H$42</c:f>
              <c:strCache>
                <c:ptCount val="1"/>
                <c:pt idx="0">
                  <c:v>Domestic</c:v>
                </c:pt>
              </c:strCache>
            </c:strRef>
          </c:tx>
          <c:spPr>
            <a:solidFill>
              <a:srgbClr val="78A22F"/>
            </a:solidFill>
            <a:ln>
              <a:noFill/>
            </a:ln>
          </c:spPr>
          <c:invertIfNegative val="0"/>
          <c:cat>
            <c:numRef>
              <c:f>Sheet5!$I$5:$L$5</c:f>
              <c:numCache>
                <c:formatCode>General</c:formatCode>
                <c:ptCount val="4"/>
                <c:pt idx="0">
                  <c:v>1980</c:v>
                </c:pt>
                <c:pt idx="1">
                  <c:v>1990</c:v>
                </c:pt>
                <c:pt idx="2">
                  <c:v>2000</c:v>
                </c:pt>
                <c:pt idx="3">
                  <c:v>2011</c:v>
                </c:pt>
              </c:numCache>
            </c:numRef>
          </c:cat>
          <c:val>
            <c:numRef>
              <c:f>Sheet5!$I$42:$L$42</c:f>
              <c:numCache>
                <c:formatCode>General</c:formatCode>
                <c:ptCount val="4"/>
                <c:pt idx="0">
                  <c:v>73.275999999999982</c:v>
                </c:pt>
                <c:pt idx="1">
                  <c:v>297.81599999999992</c:v>
                </c:pt>
                <c:pt idx="2">
                  <c:v>150.99700000000001</c:v>
                </c:pt>
                <c:pt idx="3">
                  <c:v>894.65599999999938</c:v>
                </c:pt>
              </c:numCache>
            </c:numRef>
          </c:val>
        </c:ser>
        <c:ser>
          <c:idx val="1"/>
          <c:order val="1"/>
          <c:tx>
            <c:strRef>
              <c:f>Sheet5!$H$43</c:f>
              <c:strCache>
                <c:ptCount val="1"/>
                <c:pt idx="0">
                  <c:v>Exports</c:v>
                </c:pt>
              </c:strCache>
            </c:strRef>
          </c:tx>
          <c:spPr>
            <a:solidFill>
              <a:srgbClr val="B4C98B"/>
            </a:solidFill>
            <a:ln>
              <a:noFill/>
            </a:ln>
          </c:spPr>
          <c:invertIfNegative val="0"/>
          <c:cat>
            <c:numRef>
              <c:f>Sheet5!$I$5:$L$5</c:f>
              <c:numCache>
                <c:formatCode>General</c:formatCode>
                <c:ptCount val="4"/>
                <c:pt idx="0">
                  <c:v>1980</c:v>
                </c:pt>
                <c:pt idx="1">
                  <c:v>1990</c:v>
                </c:pt>
                <c:pt idx="2">
                  <c:v>2000</c:v>
                </c:pt>
                <c:pt idx="3">
                  <c:v>2011</c:v>
                </c:pt>
              </c:numCache>
            </c:numRef>
          </c:cat>
          <c:val>
            <c:numRef>
              <c:f>Sheet5!$I$43:$L$43</c:f>
              <c:numCache>
                <c:formatCode>General</c:formatCode>
                <c:ptCount val="4"/>
                <c:pt idx="0">
                  <c:v>7.0999999999997995E-2</c:v>
                </c:pt>
                <c:pt idx="1">
                  <c:v>7.0270000000000374</c:v>
                </c:pt>
                <c:pt idx="2">
                  <c:v>170.32900000000001</c:v>
                </c:pt>
                <c:pt idx="3">
                  <c:v>563.14199999999937</c:v>
                </c:pt>
              </c:numCache>
            </c:numRef>
          </c:val>
        </c:ser>
        <c:ser>
          <c:idx val="2"/>
          <c:order val="2"/>
          <c:tx>
            <c:strRef>
              <c:f>Sheet5!$H$44</c:f>
              <c:strCache>
                <c:ptCount val="1"/>
                <c:pt idx="0">
                  <c:v>Imports</c:v>
                </c:pt>
              </c:strCache>
            </c:strRef>
          </c:tx>
          <c:spPr>
            <a:solidFill>
              <a:srgbClr val="344893"/>
            </a:solidFill>
            <a:ln>
              <a:noFill/>
            </a:ln>
          </c:spPr>
          <c:invertIfNegative val="0"/>
          <c:cat>
            <c:numRef>
              <c:f>Sheet5!$I$5:$L$5</c:f>
              <c:numCache>
                <c:formatCode>General</c:formatCode>
                <c:ptCount val="4"/>
                <c:pt idx="0">
                  <c:v>1980</c:v>
                </c:pt>
                <c:pt idx="1">
                  <c:v>1990</c:v>
                </c:pt>
                <c:pt idx="2">
                  <c:v>2000</c:v>
                </c:pt>
                <c:pt idx="3">
                  <c:v>2011</c:v>
                </c:pt>
              </c:numCache>
            </c:numRef>
          </c:cat>
          <c:val>
            <c:numRef>
              <c:f>Sheet5!$I$44:$L$44</c:f>
              <c:numCache>
                <c:formatCode>General</c:formatCode>
                <c:ptCount val="4"/>
                <c:pt idx="0">
                  <c:v>-35.597000000000008</c:v>
                </c:pt>
                <c:pt idx="1">
                  <c:v>-104.331</c:v>
                </c:pt>
                <c:pt idx="2">
                  <c:v>-112.315</c:v>
                </c:pt>
                <c:pt idx="3">
                  <c:v>-191.589</c:v>
                </c:pt>
              </c:numCache>
            </c:numRef>
          </c:val>
        </c:ser>
        <c:dLbls>
          <c:showLegendKey val="0"/>
          <c:showVal val="0"/>
          <c:showCatName val="0"/>
          <c:showSerName val="0"/>
          <c:showPercent val="0"/>
          <c:showBubbleSize val="0"/>
        </c:dLbls>
        <c:gapWidth val="70"/>
        <c:overlap val="100"/>
        <c:axId val="166105088"/>
        <c:axId val="166106624"/>
      </c:barChart>
      <c:catAx>
        <c:axId val="166105088"/>
        <c:scaling>
          <c:orientation val="minMax"/>
        </c:scaling>
        <c:delete val="0"/>
        <c:axPos val="b"/>
        <c:numFmt formatCode="General" sourceLinked="1"/>
        <c:majorTickMark val="none"/>
        <c:minorTickMark val="none"/>
        <c:tickLblPos val="low"/>
        <c:crossAx val="166106624"/>
        <c:crosses val="autoZero"/>
        <c:auto val="1"/>
        <c:lblAlgn val="ctr"/>
        <c:lblOffset val="100"/>
        <c:noMultiLvlLbl val="0"/>
      </c:catAx>
      <c:valAx>
        <c:axId val="166106624"/>
        <c:scaling>
          <c:orientation val="minMax"/>
          <c:max val="20000"/>
          <c:min val="-10000"/>
        </c:scaling>
        <c:delete val="0"/>
        <c:axPos val="l"/>
        <c:majorGridlines/>
        <c:numFmt formatCode="General" sourceLinked="1"/>
        <c:majorTickMark val="out"/>
        <c:minorTickMark val="none"/>
        <c:tickLblPos val="nextTo"/>
        <c:spPr>
          <a:ln>
            <a:noFill/>
          </a:ln>
        </c:spPr>
        <c:crossAx val="166105088"/>
        <c:crosses val="autoZero"/>
        <c:crossBetween val="between"/>
        <c:majorUnit val="5000"/>
        <c:dispUnits>
          <c:builtInUnit val="thousands"/>
        </c:dispUnits>
      </c:valAx>
    </c:plotArea>
    <c:plotVisOnly val="1"/>
    <c:dispBlanksAs val="gap"/>
    <c:showDLblsOverMax val="0"/>
  </c:chart>
  <c:spPr>
    <a:ln>
      <a:noFill/>
    </a:ln>
  </c:sp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title>
      <c:tx>
        <c:strRef>
          <c:f>Sheet5!$G$5</c:f>
          <c:strCache>
            <c:ptCount val="1"/>
            <c:pt idx="0">
              <c:v>Australia</c:v>
            </c:pt>
          </c:strCache>
        </c:strRef>
      </c:tx>
      <c:layout>
        <c:manualLayout>
          <c:xMode val="edge"/>
          <c:yMode val="edge"/>
          <c:x val="0.302443660059734"/>
          <c:y val="2.1719467277609401E-4"/>
        </c:manualLayout>
      </c:layout>
      <c:overlay val="0"/>
      <c:txPr>
        <a:bodyPr/>
        <a:lstStyle/>
        <a:p>
          <a:pPr>
            <a:defRPr sz="1400"/>
          </a:pPr>
          <a:endParaRPr lang="en-US"/>
        </a:p>
      </c:txPr>
    </c:title>
    <c:autoTitleDeleted val="0"/>
    <c:plotArea>
      <c:layout>
        <c:manualLayout>
          <c:layoutTarget val="inner"/>
          <c:xMode val="edge"/>
          <c:yMode val="edge"/>
          <c:x val="0.18837229530318095"/>
          <c:y val="0.161874275850654"/>
          <c:w val="0.77704576012989068"/>
          <c:h val="0.68565593152207305"/>
        </c:manualLayout>
      </c:layout>
      <c:barChart>
        <c:barDir val="col"/>
        <c:grouping val="stacked"/>
        <c:varyColors val="0"/>
        <c:ser>
          <c:idx val="0"/>
          <c:order val="0"/>
          <c:tx>
            <c:strRef>
              <c:f>Sheet5!$H$6</c:f>
              <c:strCache>
                <c:ptCount val="1"/>
                <c:pt idx="0">
                  <c:v>Domestic</c:v>
                </c:pt>
              </c:strCache>
            </c:strRef>
          </c:tx>
          <c:spPr>
            <a:solidFill>
              <a:srgbClr val="78A22F"/>
            </a:solidFill>
            <a:ln>
              <a:noFill/>
            </a:ln>
          </c:spPr>
          <c:invertIfNegative val="0"/>
          <c:cat>
            <c:numRef>
              <c:f>Sheet5!$I$5:$L$5</c:f>
              <c:numCache>
                <c:formatCode>General</c:formatCode>
                <c:ptCount val="4"/>
                <c:pt idx="0">
                  <c:v>1980</c:v>
                </c:pt>
                <c:pt idx="1">
                  <c:v>1990</c:v>
                </c:pt>
                <c:pt idx="2">
                  <c:v>2000</c:v>
                </c:pt>
                <c:pt idx="3">
                  <c:v>2011</c:v>
                </c:pt>
              </c:numCache>
            </c:numRef>
          </c:cat>
          <c:val>
            <c:numRef>
              <c:f>Sheet5!$I$6:$L$6</c:f>
              <c:numCache>
                <c:formatCode>General</c:formatCode>
                <c:ptCount val="4"/>
                <c:pt idx="0">
                  <c:v>348.65100000000001</c:v>
                </c:pt>
                <c:pt idx="1">
                  <c:v>251.57400000000001</c:v>
                </c:pt>
                <c:pt idx="2">
                  <c:v>246.10400000000001</c:v>
                </c:pt>
                <c:pt idx="3">
                  <c:v>149.81800000000001</c:v>
                </c:pt>
              </c:numCache>
            </c:numRef>
          </c:val>
        </c:ser>
        <c:ser>
          <c:idx val="1"/>
          <c:order val="1"/>
          <c:tx>
            <c:strRef>
              <c:f>Sheet5!$H$7</c:f>
              <c:strCache>
                <c:ptCount val="1"/>
                <c:pt idx="0">
                  <c:v>Exports</c:v>
                </c:pt>
              </c:strCache>
            </c:strRef>
          </c:tx>
          <c:spPr>
            <a:solidFill>
              <a:srgbClr val="B4C98B"/>
            </a:solidFill>
            <a:ln>
              <a:noFill/>
            </a:ln>
          </c:spPr>
          <c:invertIfNegative val="0"/>
          <c:cat>
            <c:numRef>
              <c:f>Sheet5!$I$5:$L$5</c:f>
              <c:numCache>
                <c:formatCode>General</c:formatCode>
                <c:ptCount val="4"/>
                <c:pt idx="0">
                  <c:v>1980</c:v>
                </c:pt>
                <c:pt idx="1">
                  <c:v>1990</c:v>
                </c:pt>
                <c:pt idx="2">
                  <c:v>2000</c:v>
                </c:pt>
                <c:pt idx="3">
                  <c:v>2011</c:v>
                </c:pt>
              </c:numCache>
            </c:numRef>
          </c:cat>
          <c:val>
            <c:numRef>
              <c:f>Sheet5!$I$7:$L$7</c:f>
              <c:numCache>
                <c:formatCode>General</c:formatCode>
                <c:ptCount val="4"/>
                <c:pt idx="0">
                  <c:v>12.34899999999999</c:v>
                </c:pt>
                <c:pt idx="1">
                  <c:v>32.425999999999988</c:v>
                </c:pt>
                <c:pt idx="2">
                  <c:v>101.018</c:v>
                </c:pt>
                <c:pt idx="3">
                  <c:v>74.375</c:v>
                </c:pt>
              </c:numCache>
            </c:numRef>
          </c:val>
        </c:ser>
        <c:ser>
          <c:idx val="2"/>
          <c:order val="2"/>
          <c:tx>
            <c:strRef>
              <c:f>Sheet5!$H$8</c:f>
              <c:strCache>
                <c:ptCount val="1"/>
                <c:pt idx="0">
                  <c:v>Imports</c:v>
                </c:pt>
              </c:strCache>
            </c:strRef>
          </c:tx>
          <c:spPr>
            <a:solidFill>
              <a:srgbClr val="344893"/>
            </a:solidFill>
            <a:ln>
              <a:noFill/>
            </a:ln>
          </c:spPr>
          <c:invertIfNegative val="0"/>
          <c:cat>
            <c:numRef>
              <c:f>Sheet5!$I$5:$L$5</c:f>
              <c:numCache>
                <c:formatCode>General</c:formatCode>
                <c:ptCount val="4"/>
                <c:pt idx="0">
                  <c:v>1980</c:v>
                </c:pt>
                <c:pt idx="1">
                  <c:v>1990</c:v>
                </c:pt>
                <c:pt idx="2">
                  <c:v>2000</c:v>
                </c:pt>
                <c:pt idx="3">
                  <c:v>2011</c:v>
                </c:pt>
              </c:numCache>
            </c:numRef>
          </c:cat>
          <c:val>
            <c:numRef>
              <c:f>Sheet5!$I$8:$L$8</c:f>
              <c:numCache>
                <c:formatCode>General</c:formatCode>
                <c:ptCount val="4"/>
                <c:pt idx="0">
                  <c:v>-186.90500000000003</c:v>
                </c:pt>
                <c:pt idx="1">
                  <c:v>-277.209</c:v>
                </c:pt>
                <c:pt idx="2">
                  <c:v>-571.22699999999998</c:v>
                </c:pt>
                <c:pt idx="3">
                  <c:v>-937.42800000000011</c:v>
                </c:pt>
              </c:numCache>
            </c:numRef>
          </c:val>
        </c:ser>
        <c:dLbls>
          <c:showLegendKey val="0"/>
          <c:showVal val="0"/>
          <c:showCatName val="0"/>
          <c:showSerName val="0"/>
          <c:showPercent val="0"/>
          <c:showBubbleSize val="0"/>
        </c:dLbls>
        <c:gapWidth val="70"/>
        <c:overlap val="100"/>
        <c:axId val="166224640"/>
        <c:axId val="166226176"/>
      </c:barChart>
      <c:catAx>
        <c:axId val="166224640"/>
        <c:scaling>
          <c:orientation val="minMax"/>
        </c:scaling>
        <c:delete val="0"/>
        <c:axPos val="b"/>
        <c:numFmt formatCode="General" sourceLinked="1"/>
        <c:majorTickMark val="none"/>
        <c:minorTickMark val="none"/>
        <c:tickLblPos val="low"/>
        <c:crossAx val="166226176"/>
        <c:crosses val="autoZero"/>
        <c:auto val="1"/>
        <c:lblAlgn val="ctr"/>
        <c:lblOffset val="100"/>
        <c:noMultiLvlLbl val="0"/>
      </c:catAx>
      <c:valAx>
        <c:axId val="166226176"/>
        <c:scaling>
          <c:orientation val="minMax"/>
          <c:max val="20000"/>
          <c:min val="-10000"/>
        </c:scaling>
        <c:delete val="0"/>
        <c:axPos val="l"/>
        <c:majorGridlines/>
        <c:numFmt formatCode="General" sourceLinked="1"/>
        <c:majorTickMark val="out"/>
        <c:minorTickMark val="none"/>
        <c:tickLblPos val="nextTo"/>
        <c:spPr>
          <a:ln>
            <a:noFill/>
          </a:ln>
        </c:spPr>
        <c:crossAx val="166224640"/>
        <c:crosses val="autoZero"/>
        <c:crossBetween val="between"/>
        <c:majorUnit val="5000"/>
        <c:dispUnits>
          <c:builtInUnit val="thousands"/>
        </c:dispUnits>
      </c:valAx>
    </c:plotArea>
    <c:plotVisOnly val="1"/>
    <c:dispBlanksAs val="gap"/>
    <c:showDLblsOverMax val="0"/>
  </c:chart>
  <c:spPr>
    <a:ln>
      <a:noFill/>
    </a:ln>
  </c:spPr>
  <c:externalData r:id="rId1">
    <c:autoUpdate val="0"/>
  </c:externalData>
  <c:userShapes r:id="rId2"/>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14405856402059"/>
          <c:y val="0.15046759357782999"/>
          <c:w val="0.74259974584953903"/>
          <c:h val="0.69146712203483696"/>
        </c:manualLayout>
      </c:layout>
      <c:barChart>
        <c:barDir val="col"/>
        <c:grouping val="stacked"/>
        <c:varyColors val="0"/>
        <c:ser>
          <c:idx val="0"/>
          <c:order val="0"/>
          <c:tx>
            <c:strRef>
              <c:f>Sheet5!$H$6</c:f>
              <c:strCache>
                <c:ptCount val="1"/>
                <c:pt idx="0">
                  <c:v>Domestic</c:v>
                </c:pt>
              </c:strCache>
            </c:strRef>
          </c:tx>
          <c:spPr>
            <a:solidFill>
              <a:srgbClr val="78A22F"/>
            </a:solidFill>
            <a:ln>
              <a:noFill/>
            </a:ln>
          </c:spPr>
          <c:invertIfNegative val="0"/>
          <c:cat>
            <c:numRef>
              <c:f>Sheet5!$I$5:$L$5</c:f>
              <c:numCache>
                <c:formatCode>General</c:formatCode>
                <c:ptCount val="4"/>
                <c:pt idx="0">
                  <c:v>1980</c:v>
                </c:pt>
                <c:pt idx="1">
                  <c:v>1990</c:v>
                </c:pt>
                <c:pt idx="2">
                  <c:v>2000</c:v>
                </c:pt>
                <c:pt idx="3">
                  <c:v>2011</c:v>
                </c:pt>
              </c:numCache>
            </c:numRef>
          </c:cat>
          <c:val>
            <c:numRef>
              <c:f>Sheet5!$I$6:$L$6</c:f>
              <c:numCache>
                <c:formatCode>General</c:formatCode>
                <c:ptCount val="4"/>
                <c:pt idx="0">
                  <c:v>348.65100000000001</c:v>
                </c:pt>
                <c:pt idx="1">
                  <c:v>251.57400000000001</c:v>
                </c:pt>
                <c:pt idx="2">
                  <c:v>246.10400000000001</c:v>
                </c:pt>
                <c:pt idx="3">
                  <c:v>149.81800000000001</c:v>
                </c:pt>
              </c:numCache>
            </c:numRef>
          </c:val>
        </c:ser>
        <c:ser>
          <c:idx val="1"/>
          <c:order val="1"/>
          <c:tx>
            <c:strRef>
              <c:f>Sheet5!$H$7</c:f>
              <c:strCache>
                <c:ptCount val="1"/>
                <c:pt idx="0">
                  <c:v>Exports</c:v>
                </c:pt>
              </c:strCache>
            </c:strRef>
          </c:tx>
          <c:spPr>
            <a:solidFill>
              <a:srgbClr val="B4C98B"/>
            </a:solidFill>
            <a:ln>
              <a:noFill/>
            </a:ln>
          </c:spPr>
          <c:invertIfNegative val="0"/>
          <c:cat>
            <c:numRef>
              <c:f>Sheet5!$I$5:$L$5</c:f>
              <c:numCache>
                <c:formatCode>General</c:formatCode>
                <c:ptCount val="4"/>
                <c:pt idx="0">
                  <c:v>1980</c:v>
                </c:pt>
                <c:pt idx="1">
                  <c:v>1990</c:v>
                </c:pt>
                <c:pt idx="2">
                  <c:v>2000</c:v>
                </c:pt>
                <c:pt idx="3">
                  <c:v>2011</c:v>
                </c:pt>
              </c:numCache>
            </c:numRef>
          </c:cat>
          <c:val>
            <c:numRef>
              <c:f>Sheet5!$I$7:$L$7</c:f>
              <c:numCache>
                <c:formatCode>General</c:formatCode>
                <c:ptCount val="4"/>
                <c:pt idx="0">
                  <c:v>12.34899999999999</c:v>
                </c:pt>
                <c:pt idx="1">
                  <c:v>32.425999999999988</c:v>
                </c:pt>
                <c:pt idx="2">
                  <c:v>101.018</c:v>
                </c:pt>
                <c:pt idx="3">
                  <c:v>74.375</c:v>
                </c:pt>
              </c:numCache>
            </c:numRef>
          </c:val>
        </c:ser>
        <c:ser>
          <c:idx val="2"/>
          <c:order val="2"/>
          <c:tx>
            <c:strRef>
              <c:f>Sheet5!$H$8</c:f>
              <c:strCache>
                <c:ptCount val="1"/>
                <c:pt idx="0">
                  <c:v>Imports</c:v>
                </c:pt>
              </c:strCache>
            </c:strRef>
          </c:tx>
          <c:spPr>
            <a:solidFill>
              <a:srgbClr val="344893"/>
            </a:solidFill>
            <a:ln>
              <a:noFill/>
            </a:ln>
          </c:spPr>
          <c:invertIfNegative val="0"/>
          <c:cat>
            <c:numRef>
              <c:f>Sheet5!$I$5:$L$5</c:f>
              <c:numCache>
                <c:formatCode>General</c:formatCode>
                <c:ptCount val="4"/>
                <c:pt idx="0">
                  <c:v>1980</c:v>
                </c:pt>
                <c:pt idx="1">
                  <c:v>1990</c:v>
                </c:pt>
                <c:pt idx="2">
                  <c:v>2000</c:v>
                </c:pt>
                <c:pt idx="3">
                  <c:v>2011</c:v>
                </c:pt>
              </c:numCache>
            </c:numRef>
          </c:cat>
          <c:val>
            <c:numRef>
              <c:f>Sheet5!$I$8:$L$8</c:f>
              <c:numCache>
                <c:formatCode>General</c:formatCode>
                <c:ptCount val="4"/>
                <c:pt idx="0">
                  <c:v>-186.90500000000003</c:v>
                </c:pt>
                <c:pt idx="1">
                  <c:v>-277.209</c:v>
                </c:pt>
                <c:pt idx="2">
                  <c:v>-571.22699999999998</c:v>
                </c:pt>
                <c:pt idx="3">
                  <c:v>-937.42800000000011</c:v>
                </c:pt>
              </c:numCache>
            </c:numRef>
          </c:val>
        </c:ser>
        <c:dLbls>
          <c:showLegendKey val="0"/>
          <c:showVal val="0"/>
          <c:showCatName val="0"/>
          <c:showSerName val="0"/>
          <c:showPercent val="0"/>
          <c:showBubbleSize val="0"/>
        </c:dLbls>
        <c:gapWidth val="70"/>
        <c:overlap val="100"/>
        <c:axId val="172899328"/>
        <c:axId val="172909312"/>
      </c:barChart>
      <c:catAx>
        <c:axId val="172899328"/>
        <c:scaling>
          <c:orientation val="minMax"/>
        </c:scaling>
        <c:delete val="0"/>
        <c:axPos val="b"/>
        <c:numFmt formatCode="General" sourceLinked="1"/>
        <c:majorTickMark val="none"/>
        <c:minorTickMark val="none"/>
        <c:tickLblPos val="low"/>
        <c:crossAx val="172909312"/>
        <c:crosses val="autoZero"/>
        <c:auto val="1"/>
        <c:lblAlgn val="ctr"/>
        <c:lblOffset val="100"/>
        <c:noMultiLvlLbl val="0"/>
      </c:catAx>
      <c:valAx>
        <c:axId val="172909312"/>
        <c:scaling>
          <c:orientation val="minMax"/>
          <c:max val="2000"/>
          <c:min val="-1000"/>
        </c:scaling>
        <c:delete val="0"/>
        <c:axPos val="l"/>
        <c:majorGridlines/>
        <c:numFmt formatCode="General" sourceLinked="1"/>
        <c:majorTickMark val="out"/>
        <c:minorTickMark val="none"/>
        <c:tickLblPos val="nextTo"/>
        <c:spPr>
          <a:ln>
            <a:noFill/>
          </a:ln>
        </c:spPr>
        <c:crossAx val="172899328"/>
        <c:crosses val="autoZero"/>
        <c:crossBetween val="between"/>
        <c:dispUnits>
          <c:builtInUnit val="thousands"/>
        </c:dispUnits>
      </c:valAx>
      <c:spPr>
        <a:solidFill>
          <a:srgbClr val="E9E9E5"/>
        </a:solidFill>
      </c:spPr>
    </c:plotArea>
    <c:plotVisOnly val="1"/>
    <c:dispBlanksAs val="gap"/>
    <c:showDLblsOverMax val="0"/>
  </c:chart>
  <c:spPr>
    <a:ln>
      <a:noFill/>
    </a:ln>
  </c:sp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spPr>
            <a:solidFill>
              <a:schemeClr val="tx2"/>
            </a:solidFill>
          </c:spPr>
          <c:invertIfNegative val="0"/>
          <c:cat>
            <c:strRef>
              <c:f>Sheet1!$C$10:$C$21</c:f>
              <c:strCache>
                <c:ptCount val="12"/>
                <c:pt idx="0">
                  <c:v>China</c:v>
                </c:pt>
                <c:pt idx="1">
                  <c:v>United States</c:v>
                </c:pt>
                <c:pt idx="2">
                  <c:v>Germany</c:v>
                </c:pt>
                <c:pt idx="3">
                  <c:v>Italy</c:v>
                </c:pt>
                <c:pt idx="4">
                  <c:v>France</c:v>
                </c:pt>
                <c:pt idx="5">
                  <c:v>Spain</c:v>
                </c:pt>
                <c:pt idx="6">
                  <c:v>Japan</c:v>
                </c:pt>
                <c:pt idx="7">
                  <c:v>Korea</c:v>
                </c:pt>
                <c:pt idx="8">
                  <c:v>Mexico</c:v>
                </c:pt>
                <c:pt idx="9">
                  <c:v>Brazil</c:v>
                </c:pt>
                <c:pt idx="10">
                  <c:v>Thailand</c:v>
                </c:pt>
                <c:pt idx="11">
                  <c:v>India</c:v>
                </c:pt>
              </c:strCache>
            </c:strRef>
          </c:cat>
          <c:val>
            <c:numRef>
              <c:f>Sheet1!$D$10:$D$21</c:f>
              <c:numCache>
                <c:formatCode>General</c:formatCode>
                <c:ptCount val="12"/>
                <c:pt idx="0">
                  <c:v>64</c:v>
                </c:pt>
                <c:pt idx="1">
                  <c:v>83</c:v>
                </c:pt>
                <c:pt idx="2">
                  <c:v>84</c:v>
                </c:pt>
                <c:pt idx="3">
                  <c:v>39</c:v>
                </c:pt>
                <c:pt idx="4">
                  <c:v>54</c:v>
                </c:pt>
                <c:pt idx="5">
                  <c:v>57</c:v>
                </c:pt>
                <c:pt idx="6">
                  <c:v>83</c:v>
                </c:pt>
                <c:pt idx="7">
                  <c:v>76</c:v>
                </c:pt>
                <c:pt idx="8">
                  <c:v>99</c:v>
                </c:pt>
                <c:pt idx="9">
                  <c:v>72</c:v>
                </c:pt>
                <c:pt idx="10">
                  <c:v>75</c:v>
                </c:pt>
                <c:pt idx="11">
                  <c:v>71</c:v>
                </c:pt>
              </c:numCache>
            </c:numRef>
          </c:val>
        </c:ser>
        <c:dLbls>
          <c:showLegendKey val="0"/>
          <c:showVal val="0"/>
          <c:showCatName val="0"/>
          <c:showSerName val="0"/>
          <c:showPercent val="0"/>
          <c:showBubbleSize val="0"/>
        </c:dLbls>
        <c:gapWidth val="50"/>
        <c:axId val="173047808"/>
        <c:axId val="173049344"/>
      </c:barChart>
      <c:catAx>
        <c:axId val="173047808"/>
        <c:scaling>
          <c:orientation val="minMax"/>
        </c:scaling>
        <c:delete val="0"/>
        <c:axPos val="b"/>
        <c:majorTickMark val="out"/>
        <c:minorTickMark val="none"/>
        <c:tickLblPos val="nextTo"/>
        <c:spPr>
          <a:ln>
            <a:noFill/>
          </a:ln>
        </c:spPr>
        <c:txPr>
          <a:bodyPr rot="-5400000" vert="horz"/>
          <a:lstStyle/>
          <a:p>
            <a:pPr>
              <a:defRPr/>
            </a:pPr>
            <a:endParaRPr lang="en-US"/>
          </a:p>
        </c:txPr>
        <c:crossAx val="173049344"/>
        <c:crosses val="autoZero"/>
        <c:auto val="1"/>
        <c:lblAlgn val="ctr"/>
        <c:lblOffset val="100"/>
        <c:noMultiLvlLbl val="0"/>
      </c:catAx>
      <c:valAx>
        <c:axId val="173049344"/>
        <c:scaling>
          <c:orientation val="minMax"/>
        </c:scaling>
        <c:delete val="0"/>
        <c:axPos val="l"/>
        <c:majorGridlines/>
        <c:title>
          <c:tx>
            <c:rich>
              <a:bodyPr rot="-5400000" vert="horz"/>
              <a:lstStyle/>
              <a:p>
                <a:pPr>
                  <a:defRPr/>
                </a:pPr>
                <a:r>
                  <a:rPr lang="en-AU"/>
                  <a:t>Per cent</a:t>
                </a:r>
              </a:p>
            </c:rich>
          </c:tx>
          <c:layout/>
          <c:overlay val="0"/>
        </c:title>
        <c:numFmt formatCode="General" sourceLinked="1"/>
        <c:majorTickMark val="out"/>
        <c:minorTickMark val="none"/>
        <c:tickLblPos val="nextTo"/>
        <c:spPr>
          <a:ln>
            <a:noFill/>
          </a:ln>
        </c:spPr>
        <c:txPr>
          <a:bodyPr rot="0"/>
          <a:lstStyle/>
          <a:p>
            <a:pPr>
              <a:defRPr/>
            </a:pPr>
            <a:endParaRPr lang="en-US"/>
          </a:p>
        </c:txPr>
        <c:crossAx val="173047808"/>
        <c:crosses val="autoZero"/>
        <c:crossBetween val="between"/>
      </c:valAx>
    </c:plotArea>
    <c:plotVisOnly val="1"/>
    <c:dispBlanksAs val="gap"/>
    <c:showDLblsOverMax val="0"/>
  </c:chart>
  <c:spPr>
    <a:noFill/>
    <a:ln>
      <a:noFill/>
    </a:ln>
  </c:sp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Sheet1!$A$107</c:f>
              <c:strCache>
                <c:ptCount val="1"/>
                <c:pt idx="0">
                  <c:v>Top 20</c:v>
                </c:pt>
              </c:strCache>
            </c:strRef>
          </c:tx>
          <c:spPr>
            <a:solidFill>
              <a:srgbClr val="78A22F"/>
            </a:solidFill>
            <a:ln>
              <a:noFill/>
            </a:ln>
          </c:spPr>
          <c:invertIfNegative val="0"/>
          <c:cat>
            <c:numRef>
              <c:f>Sheet1!$B$106:$D$106</c:f>
              <c:numCache>
                <c:formatCode>General</c:formatCode>
                <c:ptCount val="3"/>
                <c:pt idx="0">
                  <c:v>2001</c:v>
                </c:pt>
                <c:pt idx="1">
                  <c:v>2007</c:v>
                </c:pt>
                <c:pt idx="2">
                  <c:v>2012</c:v>
                </c:pt>
              </c:numCache>
            </c:numRef>
          </c:cat>
          <c:val>
            <c:numRef>
              <c:f>Sheet1!$B$107:$D$107</c:f>
              <c:numCache>
                <c:formatCode>General</c:formatCode>
                <c:ptCount val="3"/>
                <c:pt idx="0">
                  <c:v>252756.2939822427</c:v>
                </c:pt>
                <c:pt idx="1">
                  <c:v>381179.43699011422</c:v>
                </c:pt>
                <c:pt idx="2">
                  <c:v>384347</c:v>
                </c:pt>
              </c:numCache>
            </c:numRef>
          </c:val>
        </c:ser>
        <c:ser>
          <c:idx val="1"/>
          <c:order val="1"/>
          <c:tx>
            <c:strRef>
              <c:f>Sheet1!$A$108</c:f>
              <c:strCache>
                <c:ptCount val="1"/>
                <c:pt idx="0">
                  <c:v>Top 100</c:v>
                </c:pt>
              </c:strCache>
            </c:strRef>
          </c:tx>
          <c:spPr>
            <a:solidFill>
              <a:srgbClr val="B4C98B"/>
            </a:solidFill>
            <a:ln>
              <a:noFill/>
            </a:ln>
          </c:spPr>
          <c:invertIfNegative val="0"/>
          <c:cat>
            <c:numRef>
              <c:f>Sheet1!$B$106:$D$106</c:f>
              <c:numCache>
                <c:formatCode>General</c:formatCode>
                <c:ptCount val="3"/>
                <c:pt idx="0">
                  <c:v>2001</c:v>
                </c:pt>
                <c:pt idx="1">
                  <c:v>2007</c:v>
                </c:pt>
                <c:pt idx="2">
                  <c:v>2012</c:v>
                </c:pt>
              </c:numCache>
            </c:numRef>
          </c:cat>
          <c:val>
            <c:numRef>
              <c:f>Sheet1!$B$108:$D$108</c:f>
              <c:numCache>
                <c:formatCode>General</c:formatCode>
                <c:ptCount val="3"/>
                <c:pt idx="0">
                  <c:v>442672.81519237102</c:v>
                </c:pt>
                <c:pt idx="1">
                  <c:v>681813.42806411395</c:v>
                </c:pt>
                <c:pt idx="2">
                  <c:v>698622</c:v>
                </c:pt>
              </c:numCache>
            </c:numRef>
          </c:val>
        </c:ser>
        <c:dLbls>
          <c:showLegendKey val="0"/>
          <c:showVal val="0"/>
          <c:showCatName val="0"/>
          <c:showSerName val="0"/>
          <c:showPercent val="0"/>
          <c:showBubbleSize val="0"/>
        </c:dLbls>
        <c:gapWidth val="150"/>
        <c:axId val="174541056"/>
        <c:axId val="174551040"/>
      </c:barChart>
      <c:catAx>
        <c:axId val="174541056"/>
        <c:scaling>
          <c:orientation val="minMax"/>
        </c:scaling>
        <c:delete val="0"/>
        <c:axPos val="b"/>
        <c:numFmt formatCode="General" sourceLinked="1"/>
        <c:majorTickMark val="out"/>
        <c:minorTickMark val="none"/>
        <c:tickLblPos val="nextTo"/>
        <c:spPr>
          <a:ln>
            <a:noFill/>
          </a:ln>
        </c:spPr>
        <c:crossAx val="174551040"/>
        <c:crosses val="autoZero"/>
        <c:auto val="1"/>
        <c:lblAlgn val="ctr"/>
        <c:lblOffset val="100"/>
        <c:noMultiLvlLbl val="0"/>
      </c:catAx>
      <c:valAx>
        <c:axId val="174551040"/>
        <c:scaling>
          <c:orientation val="minMax"/>
        </c:scaling>
        <c:delete val="0"/>
        <c:axPos val="l"/>
        <c:majorGridlines/>
        <c:numFmt formatCode="General" sourceLinked="1"/>
        <c:majorTickMark val="out"/>
        <c:minorTickMark val="none"/>
        <c:tickLblPos val="nextTo"/>
        <c:spPr>
          <a:ln>
            <a:noFill/>
          </a:ln>
        </c:spPr>
        <c:crossAx val="174541056"/>
        <c:crosses val="autoZero"/>
        <c:crossBetween val="between"/>
        <c:dispUnits>
          <c:builtInUnit val="thousands"/>
          <c:dispUnitsLbl>
            <c:layout>
              <c:manualLayout>
                <c:xMode val="edge"/>
                <c:yMode val="edge"/>
                <c:x val="1.1758827639606331E-2"/>
                <c:y val="0.27764178871246387"/>
              </c:manualLayout>
            </c:layout>
            <c:tx>
              <c:rich>
                <a:bodyPr/>
                <a:lstStyle/>
                <a:p>
                  <a:pPr>
                    <a:defRPr/>
                  </a:pPr>
                  <a:r>
                    <a:rPr lang="en-AU"/>
                    <a:t>US$(2012)</a:t>
                  </a:r>
                  <a:r>
                    <a:rPr lang="en-AU" baseline="0"/>
                    <a:t> billions</a:t>
                  </a:r>
                  <a:endParaRPr lang="en-AU"/>
                </a:p>
              </c:rich>
            </c:tx>
          </c:dispUnitsLbl>
        </c:dispUnits>
      </c:valAx>
      <c:spPr>
        <a:noFill/>
        <a:ln>
          <a:noFill/>
        </a:ln>
      </c:spPr>
    </c:plotArea>
    <c:legend>
      <c:legendPos val="tr"/>
      <c:layout>
        <c:manualLayout>
          <c:xMode val="edge"/>
          <c:yMode val="edge"/>
          <c:x val="0.15624360505524953"/>
          <c:y val="9.6752988566616599E-2"/>
          <c:w val="0.29812414516043895"/>
          <c:h val="0.11037910960355864"/>
        </c:manualLayout>
      </c:layout>
      <c:overlay val="1"/>
      <c:spPr>
        <a:solidFill>
          <a:sysClr val="window" lastClr="FFFFFF"/>
        </a:solidFill>
        <a:ln>
          <a:no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8.5632033783438102E-2"/>
          <c:y val="2.2810138427066209E-2"/>
          <c:w val="0.85917817959795495"/>
          <c:h val="0.78463402600990662"/>
        </c:manualLayout>
      </c:layout>
      <c:lineChart>
        <c:grouping val="standard"/>
        <c:varyColors val="0"/>
        <c:ser>
          <c:idx val="0"/>
          <c:order val="0"/>
          <c:tx>
            <c:v>Gross fixed capital formation</c:v>
          </c:tx>
          <c:spPr>
            <a:ln>
              <a:solidFill>
                <a:srgbClr val="344893"/>
              </a:solidFill>
              <a:prstDash val="sysDash"/>
            </a:ln>
          </c:spPr>
          <c:marker>
            <c:symbol val="none"/>
          </c:marker>
          <c:cat>
            <c:strRef>
              <c:f>Sheet1!$A$9:$A$36</c:f>
              <c:strCache>
                <c:ptCount val="28"/>
                <c:pt idx="0">
                  <c:v>1985-86</c:v>
                </c:pt>
                <c:pt idx="1">
                  <c:v>1986-87</c:v>
                </c:pt>
                <c:pt idx="2">
                  <c:v>1987-88</c:v>
                </c:pt>
                <c:pt idx="3">
                  <c:v>1988-89</c:v>
                </c:pt>
                <c:pt idx="4">
                  <c:v>1989-90</c:v>
                </c:pt>
                <c:pt idx="5">
                  <c:v>1990-91</c:v>
                </c:pt>
                <c:pt idx="6">
                  <c:v>1991-92</c:v>
                </c:pt>
                <c:pt idx="7">
                  <c:v>1992-93</c:v>
                </c:pt>
                <c:pt idx="8">
                  <c:v>1993-94</c:v>
                </c:pt>
                <c:pt idx="9">
                  <c:v>1994-95</c:v>
                </c:pt>
                <c:pt idx="10">
                  <c:v>1995-96</c:v>
                </c:pt>
                <c:pt idx="11">
                  <c:v>1996-97</c:v>
                </c:pt>
                <c:pt idx="12">
                  <c:v>1997-98</c:v>
                </c:pt>
                <c:pt idx="13">
                  <c:v>1998-99</c:v>
                </c:pt>
                <c:pt idx="14">
                  <c:v>1999-00</c:v>
                </c:pt>
                <c:pt idx="15">
                  <c:v>2000-01</c:v>
                </c:pt>
                <c:pt idx="16">
                  <c:v>2001-02</c:v>
                </c:pt>
                <c:pt idx="17">
                  <c:v>2002-03</c:v>
                </c:pt>
                <c:pt idx="18">
                  <c:v>2003-04</c:v>
                </c:pt>
                <c:pt idx="19">
                  <c:v>2004-05</c:v>
                </c:pt>
                <c:pt idx="20">
                  <c:v>2005-06</c:v>
                </c:pt>
                <c:pt idx="21">
                  <c:v>2006-07</c:v>
                </c:pt>
                <c:pt idx="22">
                  <c:v>2007-08</c:v>
                </c:pt>
                <c:pt idx="23">
                  <c:v>2008-09</c:v>
                </c:pt>
                <c:pt idx="24">
                  <c:v>2009-10</c:v>
                </c:pt>
                <c:pt idx="25">
                  <c:v>2010-11</c:v>
                </c:pt>
                <c:pt idx="26">
                  <c:v>2011-12</c:v>
                </c:pt>
                <c:pt idx="27">
                  <c:v>2012-13</c:v>
                </c:pt>
              </c:strCache>
            </c:strRef>
          </c:cat>
          <c:val>
            <c:numRef>
              <c:f>Sheet1!$I$9:$I$36</c:f>
              <c:numCache>
                <c:formatCode>General</c:formatCode>
                <c:ptCount val="28"/>
                <c:pt idx="0">
                  <c:v>100</c:v>
                </c:pt>
                <c:pt idx="1">
                  <c:v>118.265503875969</c:v>
                </c:pt>
                <c:pt idx="2">
                  <c:v>134.9442829457364</c:v>
                </c:pt>
                <c:pt idx="3">
                  <c:v>142.7204457364341</c:v>
                </c:pt>
                <c:pt idx="4">
                  <c:v>156.25</c:v>
                </c:pt>
                <c:pt idx="5">
                  <c:v>143.14437984496121</c:v>
                </c:pt>
                <c:pt idx="6">
                  <c:v>136.60368217054261</c:v>
                </c:pt>
                <c:pt idx="7">
                  <c:v>140.625</c:v>
                </c:pt>
                <c:pt idx="8">
                  <c:v>148.7281976744186</c:v>
                </c:pt>
                <c:pt idx="9">
                  <c:v>175.07267441860469</c:v>
                </c:pt>
                <c:pt idx="10">
                  <c:v>169.5978682170543</c:v>
                </c:pt>
                <c:pt idx="11">
                  <c:v>161.2281976744186</c:v>
                </c:pt>
                <c:pt idx="12">
                  <c:v>180.69282945736441</c:v>
                </c:pt>
                <c:pt idx="13">
                  <c:v>164.40164728682171</c:v>
                </c:pt>
                <c:pt idx="14">
                  <c:v>192.8294573643411</c:v>
                </c:pt>
                <c:pt idx="15">
                  <c:v>177.33769379844961</c:v>
                </c:pt>
                <c:pt idx="16">
                  <c:v>173.65552325581399</c:v>
                </c:pt>
                <c:pt idx="17">
                  <c:v>239.21996124031</c:v>
                </c:pt>
                <c:pt idx="18">
                  <c:v>258.39389534883719</c:v>
                </c:pt>
                <c:pt idx="19">
                  <c:v>293.10804263565899</c:v>
                </c:pt>
                <c:pt idx="20">
                  <c:v>336.1434108527132</c:v>
                </c:pt>
                <c:pt idx="21">
                  <c:v>295.89389534883719</c:v>
                </c:pt>
                <c:pt idx="22">
                  <c:v>305.83817829457359</c:v>
                </c:pt>
                <c:pt idx="23">
                  <c:v>265.38275193798438</c:v>
                </c:pt>
                <c:pt idx="24">
                  <c:v>236.31298449612399</c:v>
                </c:pt>
                <c:pt idx="25">
                  <c:v>240.16472868217059</c:v>
                </c:pt>
                <c:pt idx="26">
                  <c:v>260.6468023255814</c:v>
                </c:pt>
                <c:pt idx="27">
                  <c:v>231.64970930232559</c:v>
                </c:pt>
              </c:numCache>
            </c:numRef>
          </c:val>
          <c:smooth val="0"/>
        </c:ser>
        <c:ser>
          <c:idx val="2"/>
          <c:order val="1"/>
          <c:tx>
            <c:v>Gross value added</c:v>
          </c:tx>
          <c:spPr>
            <a:ln>
              <a:solidFill>
                <a:schemeClr val="tx1"/>
              </a:solidFill>
            </a:ln>
          </c:spPr>
          <c:marker>
            <c:symbol val="none"/>
          </c:marker>
          <c:cat>
            <c:strRef>
              <c:f>Sheet1!$A$9:$A$36</c:f>
              <c:strCache>
                <c:ptCount val="28"/>
                <c:pt idx="0">
                  <c:v>1985-86</c:v>
                </c:pt>
                <c:pt idx="1">
                  <c:v>1986-87</c:v>
                </c:pt>
                <c:pt idx="2">
                  <c:v>1987-88</c:v>
                </c:pt>
                <c:pt idx="3">
                  <c:v>1988-89</c:v>
                </c:pt>
                <c:pt idx="4">
                  <c:v>1989-90</c:v>
                </c:pt>
                <c:pt idx="5">
                  <c:v>1990-91</c:v>
                </c:pt>
                <c:pt idx="6">
                  <c:v>1991-92</c:v>
                </c:pt>
                <c:pt idx="7">
                  <c:v>1992-93</c:v>
                </c:pt>
                <c:pt idx="8">
                  <c:v>1993-94</c:v>
                </c:pt>
                <c:pt idx="9">
                  <c:v>1994-95</c:v>
                </c:pt>
                <c:pt idx="10">
                  <c:v>1995-96</c:v>
                </c:pt>
                <c:pt idx="11">
                  <c:v>1996-97</c:v>
                </c:pt>
                <c:pt idx="12">
                  <c:v>1997-98</c:v>
                </c:pt>
                <c:pt idx="13">
                  <c:v>1998-99</c:v>
                </c:pt>
                <c:pt idx="14">
                  <c:v>1999-00</c:v>
                </c:pt>
                <c:pt idx="15">
                  <c:v>2000-01</c:v>
                </c:pt>
                <c:pt idx="16">
                  <c:v>2001-02</c:v>
                </c:pt>
                <c:pt idx="17">
                  <c:v>2002-03</c:v>
                </c:pt>
                <c:pt idx="18">
                  <c:v>2003-04</c:v>
                </c:pt>
                <c:pt idx="19">
                  <c:v>2004-05</c:v>
                </c:pt>
                <c:pt idx="20">
                  <c:v>2005-06</c:v>
                </c:pt>
                <c:pt idx="21">
                  <c:v>2006-07</c:v>
                </c:pt>
                <c:pt idx="22">
                  <c:v>2007-08</c:v>
                </c:pt>
                <c:pt idx="23">
                  <c:v>2008-09</c:v>
                </c:pt>
                <c:pt idx="24">
                  <c:v>2009-10</c:v>
                </c:pt>
                <c:pt idx="25">
                  <c:v>2010-11</c:v>
                </c:pt>
                <c:pt idx="26">
                  <c:v>2011-12</c:v>
                </c:pt>
                <c:pt idx="27">
                  <c:v>2012-13</c:v>
                </c:pt>
              </c:strCache>
            </c:strRef>
          </c:cat>
          <c:val>
            <c:numRef>
              <c:f>Sheet1!$N$9:$N$36</c:f>
              <c:numCache>
                <c:formatCode>General</c:formatCode>
                <c:ptCount val="28"/>
                <c:pt idx="0">
                  <c:v>100</c:v>
                </c:pt>
                <c:pt idx="1">
                  <c:v>102.736325231799</c:v>
                </c:pt>
                <c:pt idx="2">
                  <c:v>109.5874252482581</c:v>
                </c:pt>
                <c:pt idx="3">
                  <c:v>115.8994897679267</c:v>
                </c:pt>
                <c:pt idx="4">
                  <c:v>114.5347561310144</c:v>
                </c:pt>
                <c:pt idx="5">
                  <c:v>112.0123991880178</c:v>
                </c:pt>
                <c:pt idx="6">
                  <c:v>108.68903275360729</c:v>
                </c:pt>
                <c:pt idx="7">
                  <c:v>111.0111373237505</c:v>
                </c:pt>
                <c:pt idx="8">
                  <c:v>115.96395457288639</c:v>
                </c:pt>
                <c:pt idx="9">
                  <c:v>118.425961485708</c:v>
                </c:pt>
                <c:pt idx="10">
                  <c:v>121.13211170241949</c:v>
                </c:pt>
                <c:pt idx="11">
                  <c:v>123.1867559115597</c:v>
                </c:pt>
                <c:pt idx="12">
                  <c:v>126.8242168211993</c:v>
                </c:pt>
                <c:pt idx="13">
                  <c:v>129.57151478575739</c:v>
                </c:pt>
                <c:pt idx="14">
                  <c:v>131.0816371317276</c:v>
                </c:pt>
                <c:pt idx="15">
                  <c:v>134.0291874691392</c:v>
                </c:pt>
                <c:pt idx="16">
                  <c:v>137.21539474406089</c:v>
                </c:pt>
                <c:pt idx="17">
                  <c:v>142.60986448675041</c:v>
                </c:pt>
                <c:pt idx="18">
                  <c:v>144.5918143413617</c:v>
                </c:pt>
                <c:pt idx="19">
                  <c:v>143.37109782191251</c:v>
                </c:pt>
                <c:pt idx="20">
                  <c:v>142.86635211499421</c:v>
                </c:pt>
                <c:pt idx="21">
                  <c:v>145.7645251549898</c:v>
                </c:pt>
                <c:pt idx="22">
                  <c:v>151.45525868217479</c:v>
                </c:pt>
                <c:pt idx="23">
                  <c:v>143.47533878312399</c:v>
                </c:pt>
                <c:pt idx="24">
                  <c:v>144.09529818401271</c:v>
                </c:pt>
                <c:pt idx="25">
                  <c:v>143.8607560212871</c:v>
                </c:pt>
                <c:pt idx="26">
                  <c:v>143.86898557085641</c:v>
                </c:pt>
                <c:pt idx="27">
                  <c:v>142.12980742854</c:v>
                </c:pt>
              </c:numCache>
            </c:numRef>
          </c:val>
          <c:smooth val="0"/>
        </c:ser>
        <c:ser>
          <c:idx val="1"/>
          <c:order val="2"/>
          <c:tx>
            <c:v>Number employed</c:v>
          </c:tx>
          <c:spPr>
            <a:ln>
              <a:solidFill>
                <a:srgbClr val="78A22F"/>
              </a:solidFill>
              <a:prstDash val="lgDash"/>
            </a:ln>
          </c:spPr>
          <c:marker>
            <c:symbol val="none"/>
          </c:marker>
          <c:cat>
            <c:strRef>
              <c:f>Sheet1!$A$9:$A$36</c:f>
              <c:strCache>
                <c:ptCount val="28"/>
                <c:pt idx="0">
                  <c:v>1985-86</c:v>
                </c:pt>
                <c:pt idx="1">
                  <c:v>1986-87</c:v>
                </c:pt>
                <c:pt idx="2">
                  <c:v>1987-88</c:v>
                </c:pt>
                <c:pt idx="3">
                  <c:v>1988-89</c:v>
                </c:pt>
                <c:pt idx="4">
                  <c:v>1989-90</c:v>
                </c:pt>
                <c:pt idx="5">
                  <c:v>1990-91</c:v>
                </c:pt>
                <c:pt idx="6">
                  <c:v>1991-92</c:v>
                </c:pt>
                <c:pt idx="7">
                  <c:v>1992-93</c:v>
                </c:pt>
                <c:pt idx="8">
                  <c:v>1993-94</c:v>
                </c:pt>
                <c:pt idx="9">
                  <c:v>1994-95</c:v>
                </c:pt>
                <c:pt idx="10">
                  <c:v>1995-96</c:v>
                </c:pt>
                <c:pt idx="11">
                  <c:v>1996-97</c:v>
                </c:pt>
                <c:pt idx="12">
                  <c:v>1997-98</c:v>
                </c:pt>
                <c:pt idx="13">
                  <c:v>1998-99</c:v>
                </c:pt>
                <c:pt idx="14">
                  <c:v>1999-00</c:v>
                </c:pt>
                <c:pt idx="15">
                  <c:v>2000-01</c:v>
                </c:pt>
                <c:pt idx="16">
                  <c:v>2001-02</c:v>
                </c:pt>
                <c:pt idx="17">
                  <c:v>2002-03</c:v>
                </c:pt>
                <c:pt idx="18">
                  <c:v>2003-04</c:v>
                </c:pt>
                <c:pt idx="19">
                  <c:v>2004-05</c:v>
                </c:pt>
                <c:pt idx="20">
                  <c:v>2005-06</c:v>
                </c:pt>
                <c:pt idx="21">
                  <c:v>2006-07</c:v>
                </c:pt>
                <c:pt idx="22">
                  <c:v>2007-08</c:v>
                </c:pt>
                <c:pt idx="23">
                  <c:v>2008-09</c:v>
                </c:pt>
                <c:pt idx="24">
                  <c:v>2009-10</c:v>
                </c:pt>
                <c:pt idx="25">
                  <c:v>2010-11</c:v>
                </c:pt>
                <c:pt idx="26">
                  <c:v>2011-12</c:v>
                </c:pt>
                <c:pt idx="27">
                  <c:v>2012-13</c:v>
                </c:pt>
              </c:strCache>
            </c:strRef>
          </c:cat>
          <c:val>
            <c:numRef>
              <c:f>Sheet1!$D$9:$D$36</c:f>
              <c:numCache>
                <c:formatCode>General</c:formatCode>
                <c:ptCount val="28"/>
                <c:pt idx="0">
                  <c:v>100</c:v>
                </c:pt>
                <c:pt idx="1">
                  <c:v>99.372642149056219</c:v>
                </c:pt>
                <c:pt idx="2">
                  <c:v>102.40941631592381</c:v>
                </c:pt>
                <c:pt idx="3">
                  <c:v>106.270355564686</c:v>
                </c:pt>
                <c:pt idx="4">
                  <c:v>106.44759114858169</c:v>
                </c:pt>
                <c:pt idx="5">
                  <c:v>100.94038483550371</c:v>
                </c:pt>
                <c:pt idx="6">
                  <c:v>96.307334402496238</c:v>
                </c:pt>
                <c:pt idx="7">
                  <c:v>95.932577364097213</c:v>
                </c:pt>
                <c:pt idx="8">
                  <c:v>96.641789548776529</c:v>
                </c:pt>
                <c:pt idx="9">
                  <c:v>98.972929462514671</c:v>
                </c:pt>
                <c:pt idx="10">
                  <c:v>98.469496234799919</c:v>
                </c:pt>
                <c:pt idx="11">
                  <c:v>99.801997676854938</c:v>
                </c:pt>
                <c:pt idx="12">
                  <c:v>99.24670721588619</c:v>
                </c:pt>
                <c:pt idx="13">
                  <c:v>96.2083265934385</c:v>
                </c:pt>
                <c:pt idx="14">
                  <c:v>97.672665261101272</c:v>
                </c:pt>
                <c:pt idx="15">
                  <c:v>98.644202000161414</c:v>
                </c:pt>
                <c:pt idx="16">
                  <c:v>96.303643477555909</c:v>
                </c:pt>
                <c:pt idx="17">
                  <c:v>99.15295923067417</c:v>
                </c:pt>
                <c:pt idx="18">
                  <c:v>95.419265599144893</c:v>
                </c:pt>
                <c:pt idx="19">
                  <c:v>97.093168209011736</c:v>
                </c:pt>
                <c:pt idx="20">
                  <c:v>94.702999827476262</c:v>
                </c:pt>
                <c:pt idx="21">
                  <c:v>94.731811871664803</c:v>
                </c:pt>
                <c:pt idx="22">
                  <c:v>98.180055558000078</c:v>
                </c:pt>
                <c:pt idx="23">
                  <c:v>95.025082795733596</c:v>
                </c:pt>
                <c:pt idx="24">
                  <c:v>92.715786878794404</c:v>
                </c:pt>
                <c:pt idx="25">
                  <c:v>91.130894306389564</c:v>
                </c:pt>
                <c:pt idx="26">
                  <c:v>88.208943854249057</c:v>
                </c:pt>
                <c:pt idx="27">
                  <c:v>88.176818904831194</c:v>
                </c:pt>
              </c:numCache>
            </c:numRef>
          </c:val>
          <c:smooth val="0"/>
        </c:ser>
        <c:dLbls>
          <c:showLegendKey val="0"/>
          <c:showVal val="0"/>
          <c:showCatName val="0"/>
          <c:showSerName val="0"/>
          <c:showPercent val="0"/>
          <c:showBubbleSize val="0"/>
        </c:dLbls>
        <c:marker val="1"/>
        <c:smooth val="0"/>
        <c:axId val="174574208"/>
        <c:axId val="174584192"/>
      </c:lineChart>
      <c:catAx>
        <c:axId val="174574208"/>
        <c:scaling>
          <c:orientation val="minMax"/>
        </c:scaling>
        <c:delete val="0"/>
        <c:axPos val="b"/>
        <c:numFmt formatCode="General" sourceLinked="1"/>
        <c:majorTickMark val="out"/>
        <c:minorTickMark val="none"/>
        <c:tickLblPos val="nextTo"/>
        <c:spPr>
          <a:ln>
            <a:noFill/>
          </a:ln>
        </c:spPr>
        <c:crossAx val="174584192"/>
        <c:crosses val="autoZero"/>
        <c:auto val="1"/>
        <c:lblAlgn val="ctr"/>
        <c:lblOffset val="100"/>
        <c:tickLblSkip val="3"/>
        <c:tickMarkSkip val="3"/>
        <c:noMultiLvlLbl val="0"/>
      </c:catAx>
      <c:valAx>
        <c:axId val="174584192"/>
        <c:scaling>
          <c:orientation val="minMax"/>
          <c:max val="350"/>
          <c:min val="60"/>
        </c:scaling>
        <c:delete val="0"/>
        <c:axPos val="l"/>
        <c:majorGridlines/>
        <c:numFmt formatCode="General" sourceLinked="1"/>
        <c:majorTickMark val="out"/>
        <c:minorTickMark val="none"/>
        <c:tickLblPos val="nextTo"/>
        <c:spPr>
          <a:ln>
            <a:noFill/>
          </a:ln>
        </c:spPr>
        <c:crossAx val="174574208"/>
        <c:crosses val="autoZero"/>
        <c:crossBetween val="between"/>
        <c:majorUnit val="40"/>
      </c:valAx>
      <c:spPr>
        <a:ln>
          <a:noFill/>
        </a:ln>
      </c:spPr>
    </c:plotArea>
    <c:legend>
      <c:legendPos val="b"/>
      <c:layout>
        <c:manualLayout>
          <c:xMode val="edge"/>
          <c:yMode val="edge"/>
          <c:x val="4.9999900955776763E-2"/>
          <c:y val="0.9073565804274466"/>
          <c:w val="0.89999998019115202"/>
          <c:h val="7.2263242707730199E-2"/>
        </c:manualLayout>
      </c:layout>
      <c:overlay val="0"/>
      <c:txPr>
        <a:bodyPr/>
        <a:lstStyle/>
        <a:p>
          <a:pPr>
            <a:defRPr sz="800"/>
          </a:pPr>
          <a:endParaRPr lang="en-US"/>
        </a:p>
      </c:txPr>
    </c:legend>
    <c:plotVisOnly val="1"/>
    <c:dispBlanksAs val="gap"/>
    <c:showDLblsOverMax val="0"/>
  </c:chart>
  <c:spPr>
    <a:ln>
      <a:noFill/>
    </a:ln>
  </c:spPr>
  <c:txPr>
    <a:bodyPr/>
    <a:lstStyle/>
    <a:p>
      <a:pPr>
        <a:defRPr sz="900" baseline="0">
          <a:latin typeface="Arial" pitchFamily="34" charset="0"/>
        </a:defRPr>
      </a:pPr>
      <a:endParaRPr lang="en-US"/>
    </a:p>
  </c:txPr>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3.840161952935256E-2"/>
          <c:y val="0"/>
          <c:w val="0.92809321132155775"/>
          <c:h val="1"/>
        </c:manualLayout>
      </c:layout>
      <c:pieChart>
        <c:varyColors val="1"/>
        <c:ser>
          <c:idx val="0"/>
          <c:order val="0"/>
          <c:spPr>
            <a:solidFill>
              <a:schemeClr val="bg2"/>
            </a:solidFill>
          </c:spPr>
          <c:dPt>
            <c:idx val="0"/>
            <c:bubble3D val="0"/>
          </c:dPt>
          <c:dPt>
            <c:idx val="1"/>
            <c:bubble3D val="0"/>
            <c:spPr>
              <a:solidFill>
                <a:schemeClr val="tx2"/>
              </a:solidFill>
            </c:spPr>
          </c:dPt>
          <c:val>
            <c:numRef>
              <c:f>Sheet1!$C$7:$D$7</c:f>
              <c:numCache>
                <c:formatCode>#,##0_ ;\-#,##0\ </c:formatCode>
                <c:ptCount val="2"/>
                <c:pt idx="0" formatCode="0">
                  <c:v>104892</c:v>
                </c:pt>
                <c:pt idx="1">
                  <c:v>5409</c:v>
                </c:pt>
              </c:numCache>
            </c:numRef>
          </c:val>
        </c:ser>
        <c:dLbls>
          <c:showLegendKey val="0"/>
          <c:showVal val="0"/>
          <c:showCatName val="0"/>
          <c:showSerName val="0"/>
          <c:showPercent val="0"/>
          <c:showBubbleSize val="0"/>
          <c:showLeaderLines val="0"/>
        </c:dLbls>
        <c:firstSliceAng val="18"/>
      </c:pieChart>
    </c:plotArea>
    <c:plotVisOnly val="1"/>
    <c:dispBlanksAs val="gap"/>
    <c:showDLblsOverMax val="0"/>
  </c:chart>
  <c:spPr>
    <a:noFill/>
    <a:ln>
      <a:noFill/>
    </a:ln>
  </c:spPr>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3.5334913054153316E-2"/>
          <c:y val="4.9849324390006805E-3"/>
          <c:w val="0.93830870456261461"/>
          <c:h val="0.99501040147759312"/>
        </c:manualLayout>
      </c:layout>
      <c:pieChart>
        <c:varyColors val="1"/>
        <c:ser>
          <c:idx val="0"/>
          <c:order val="0"/>
          <c:spPr>
            <a:solidFill>
              <a:schemeClr val="bg2"/>
            </a:solidFill>
          </c:spPr>
          <c:dPt>
            <c:idx val="0"/>
            <c:bubble3D val="0"/>
          </c:dPt>
          <c:dPt>
            <c:idx val="1"/>
            <c:bubble3D val="0"/>
            <c:spPr>
              <a:solidFill>
                <a:schemeClr val="tx2"/>
              </a:solidFill>
            </c:spPr>
          </c:dPt>
          <c:val>
            <c:numRef>
              <c:f>Sheet1!$C$15:$D$15</c:f>
              <c:numCache>
                <c:formatCode>_-* #,##0_-;\-* #,##0_-;_-* "-"??_-;_-@_-</c:formatCode>
                <c:ptCount val="2"/>
                <c:pt idx="0">
                  <c:v>141482</c:v>
                </c:pt>
                <c:pt idx="1">
                  <c:v>6878</c:v>
                </c:pt>
              </c:numCache>
            </c:numRef>
          </c:val>
        </c:ser>
        <c:dLbls>
          <c:showLegendKey val="0"/>
          <c:showVal val="0"/>
          <c:showCatName val="0"/>
          <c:showSerName val="0"/>
          <c:showPercent val="0"/>
          <c:showBubbleSize val="0"/>
          <c:showLeaderLines val="0"/>
        </c:dLbls>
        <c:firstSliceAng val="18"/>
      </c:pieChart>
      <c:spPr>
        <a:noFill/>
        <a:ln>
          <a:noFill/>
        </a:ln>
      </c:spPr>
    </c:plotArea>
    <c:plotVisOnly val="1"/>
    <c:dispBlanksAs val="gap"/>
    <c:showDLblsOverMax val="0"/>
  </c:chart>
  <c:spPr>
    <a:noFill/>
    <a:ln>
      <a:noFill/>
    </a:ln>
  </c:spPr>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3.9023886454506551E-2"/>
          <c:y val="4.9748225916204916E-3"/>
          <c:w val="0.93570927795099434"/>
          <c:h val="0.99500418003305147"/>
        </c:manualLayout>
      </c:layout>
      <c:pieChart>
        <c:varyColors val="1"/>
        <c:ser>
          <c:idx val="0"/>
          <c:order val="0"/>
          <c:spPr>
            <a:solidFill>
              <a:schemeClr val="bg2"/>
            </a:solidFill>
          </c:spPr>
          <c:dPt>
            <c:idx val="0"/>
            <c:bubble3D val="0"/>
          </c:dPt>
          <c:dPt>
            <c:idx val="1"/>
            <c:bubble3D val="0"/>
            <c:spPr>
              <a:solidFill>
                <a:schemeClr val="tx2"/>
              </a:solidFill>
            </c:spPr>
          </c:dPt>
          <c:val>
            <c:numRef>
              <c:f>Data!$C$43:$D$43</c:f>
              <c:numCache>
                <c:formatCode>General</c:formatCode>
                <c:ptCount val="2"/>
                <c:pt idx="0">
                  <c:v>9470</c:v>
                </c:pt>
                <c:pt idx="1">
                  <c:v>478</c:v>
                </c:pt>
              </c:numCache>
            </c:numRef>
          </c:val>
        </c:ser>
        <c:dLbls>
          <c:showLegendKey val="0"/>
          <c:showVal val="0"/>
          <c:showCatName val="0"/>
          <c:showSerName val="0"/>
          <c:showPercent val="0"/>
          <c:showBubbleSize val="0"/>
          <c:showLeaderLines val="0"/>
        </c:dLbls>
        <c:firstSliceAng val="18"/>
      </c:pieChart>
    </c:plotArea>
    <c:plotVisOnly val="1"/>
    <c:dispBlanksAs val="gap"/>
    <c:showDLblsOverMax val="0"/>
  </c:chart>
  <c:spPr>
    <a:noFill/>
    <a:ln>
      <a:noFill/>
    </a:ln>
  </c:spPr>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3172559287161795"/>
          <c:y val="0"/>
          <c:w val="0.54581470538186661"/>
          <c:h val="1"/>
        </c:manualLayout>
      </c:layout>
      <c:pieChart>
        <c:varyColors val="1"/>
        <c:ser>
          <c:idx val="0"/>
          <c:order val="0"/>
          <c:spPr>
            <a:solidFill>
              <a:schemeClr val="bg2"/>
            </a:solidFill>
          </c:spPr>
          <c:dPt>
            <c:idx val="0"/>
            <c:bubble3D val="0"/>
          </c:dPt>
          <c:dPt>
            <c:idx val="1"/>
            <c:bubble3D val="0"/>
            <c:spPr>
              <a:solidFill>
                <a:schemeClr val="tx2"/>
              </a:solidFill>
            </c:spPr>
          </c:dPt>
          <c:dPt>
            <c:idx val="2"/>
            <c:bubble3D val="0"/>
          </c:dPt>
          <c:dPt>
            <c:idx val="3"/>
            <c:bubble3D val="0"/>
          </c:dPt>
          <c:dPt>
            <c:idx val="4"/>
            <c:bubble3D val="0"/>
          </c:dPt>
          <c:dLbls>
            <c:dLbl>
              <c:idx val="0"/>
              <c:layout>
                <c:manualLayout>
                  <c:x val="0.31312877029611808"/>
                  <c:y val="0.13705261525853571"/>
                </c:manualLayout>
              </c:layout>
              <c:tx>
                <c:rich>
                  <a:bodyPr/>
                  <a:lstStyle/>
                  <a:p>
                    <a:pPr>
                      <a:lnSpc>
                        <a:spcPts val="1100"/>
                      </a:lnSpc>
                      <a:spcAft>
                        <a:spcPts val="200"/>
                      </a:spcAft>
                      <a:defRPr/>
                    </a:pPr>
                    <a:r>
                      <a:rPr lang="en-US" b="1"/>
                      <a:t>All manufacturing</a:t>
                    </a:r>
                  </a:p>
                  <a:p>
                    <a:pPr>
                      <a:lnSpc>
                        <a:spcPts val="1100"/>
                      </a:lnSpc>
                      <a:spcAft>
                        <a:spcPts val="200"/>
                      </a:spcAft>
                      <a:defRPr/>
                    </a:pPr>
                    <a:r>
                      <a:rPr lang="en-US"/>
                      <a:t>(943</a:t>
                    </a:r>
                    <a:r>
                      <a:rPr lang="en-AU" sz="1000" b="0" i="0" u="none" strike="noStrike" baseline="0" smtClean="0"/>
                      <a:t> </a:t>
                    </a:r>
                    <a:r>
                      <a:rPr lang="en-US"/>
                      <a:t>790)</a:t>
                    </a:r>
                  </a:p>
                </c:rich>
              </c:tx>
              <c:spPr/>
              <c:dLblPos val="bestFit"/>
              <c:showLegendKey val="0"/>
              <c:showVal val="0"/>
              <c:showCatName val="1"/>
              <c:showSerName val="0"/>
              <c:showPercent val="1"/>
              <c:showBubbleSize val="0"/>
              <c:separator> </c:separator>
            </c:dLbl>
            <c:dLbl>
              <c:idx val="1"/>
              <c:layout>
                <c:manualLayout>
                  <c:x val="1.4255925925926E-2"/>
                  <c:y val="4.8506944444444498E-2"/>
                </c:manualLayout>
              </c:layout>
              <c:tx>
                <c:rich>
                  <a:bodyPr/>
                  <a:lstStyle/>
                  <a:p>
                    <a:pPr>
                      <a:lnSpc>
                        <a:spcPts val="1100"/>
                      </a:lnSpc>
                      <a:spcAft>
                        <a:spcPts val="200"/>
                      </a:spcAft>
                      <a:defRPr/>
                    </a:pPr>
                    <a:r>
                      <a:rPr lang="en-US" b="1"/>
                      <a:t>Automotive manufacturing</a:t>
                    </a:r>
                    <a:r>
                      <a:rPr lang="en-US" sz="1300" b="1" baseline="30000"/>
                      <a:t>e</a:t>
                    </a:r>
                  </a:p>
                  <a:p>
                    <a:pPr>
                      <a:lnSpc>
                        <a:spcPts val="1100"/>
                      </a:lnSpc>
                      <a:spcAft>
                        <a:spcPts val="200"/>
                      </a:spcAft>
                      <a:defRPr/>
                    </a:pPr>
                    <a:r>
                      <a:rPr lang="en-US"/>
                      <a:t>(45</a:t>
                    </a:r>
                    <a:r>
                      <a:rPr lang="en-AU" sz="1000" b="0" i="0" u="none" strike="noStrike" baseline="0" smtClean="0"/>
                      <a:t> </a:t>
                    </a:r>
                    <a:r>
                      <a:rPr lang="en-US"/>
                      <a:t>026)</a:t>
                    </a:r>
                  </a:p>
                </c:rich>
              </c:tx>
              <c:spPr/>
              <c:dLblPos val="bestFit"/>
              <c:showLegendKey val="0"/>
              <c:showVal val="0"/>
              <c:showCatName val="1"/>
              <c:showSerName val="0"/>
              <c:showPercent val="1"/>
              <c:showBubbleSize val="0"/>
              <c:separator> </c:separator>
            </c:dLbl>
            <c:dLblPos val="outEnd"/>
            <c:showLegendKey val="0"/>
            <c:showVal val="0"/>
            <c:showCatName val="1"/>
            <c:showSerName val="0"/>
            <c:showPercent val="1"/>
            <c:showBubbleSize val="0"/>
            <c:separator> </c:separator>
            <c:showLeaderLines val="0"/>
          </c:dLbls>
          <c:cat>
            <c:strRef>
              <c:f>'NF Version'!$G$6:$G$7</c:f>
              <c:strCache>
                <c:ptCount val="2"/>
                <c:pt idx="0">
                  <c:v>All manufacturing (943 790)</c:v>
                </c:pt>
                <c:pt idx="1">
                  <c:v>Motor vehicle and parts manufacturing (45 026)</c:v>
                </c:pt>
              </c:strCache>
            </c:strRef>
          </c:cat>
          <c:val>
            <c:numRef>
              <c:f>('NF Version'!$I$6,'NF Version'!$H$7)</c:f>
              <c:numCache>
                <c:formatCode>#,##0</c:formatCode>
                <c:ptCount val="2"/>
                <c:pt idx="0">
                  <c:v>898764.00000000012</c:v>
                </c:pt>
                <c:pt idx="1">
                  <c:v>45026</c:v>
                </c:pt>
              </c:numCache>
            </c:numRef>
          </c:val>
        </c:ser>
        <c:dLbls>
          <c:showLegendKey val="0"/>
          <c:showVal val="0"/>
          <c:showCatName val="0"/>
          <c:showSerName val="0"/>
          <c:showPercent val="0"/>
          <c:showBubbleSize val="0"/>
          <c:showLeaderLines val="0"/>
        </c:dLbls>
        <c:firstSliceAng val="90"/>
      </c:pieChart>
    </c:plotArea>
    <c:plotVisOnly val="1"/>
    <c:dispBlanksAs val="gap"/>
    <c:showDLblsOverMax val="0"/>
  </c:chart>
  <c:spPr>
    <a:noFill/>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title>
      <c:tx>
        <c:strRef>
          <c:f>Sheet5!$G$17</c:f>
          <c:strCache>
            <c:ptCount val="1"/>
            <c:pt idx="0">
              <c:v>EU</c:v>
            </c:pt>
          </c:strCache>
        </c:strRef>
      </c:tx>
      <c:layout>
        <c:manualLayout>
          <c:xMode val="edge"/>
          <c:yMode val="edge"/>
          <c:x val="0.40388901868421201"/>
          <c:y val="0"/>
        </c:manualLayout>
      </c:layout>
      <c:overlay val="0"/>
      <c:txPr>
        <a:bodyPr/>
        <a:lstStyle/>
        <a:p>
          <a:pPr>
            <a:defRPr sz="1400"/>
          </a:pPr>
          <a:endParaRPr lang="en-US"/>
        </a:p>
      </c:txPr>
    </c:title>
    <c:autoTitleDeleted val="0"/>
    <c:plotArea>
      <c:layout>
        <c:manualLayout>
          <c:layoutTarget val="inner"/>
          <c:xMode val="edge"/>
          <c:yMode val="edge"/>
          <c:x val="0.16874728114805301"/>
          <c:y val="0.16423426675605499"/>
          <c:w val="0.76142708905572798"/>
          <c:h val="0.70816647919010101"/>
        </c:manualLayout>
      </c:layout>
      <c:barChart>
        <c:barDir val="col"/>
        <c:grouping val="stacked"/>
        <c:varyColors val="0"/>
        <c:ser>
          <c:idx val="0"/>
          <c:order val="0"/>
          <c:tx>
            <c:strRef>
              <c:f>Sheet5!$H$18</c:f>
              <c:strCache>
                <c:ptCount val="1"/>
                <c:pt idx="0">
                  <c:v>Domestic</c:v>
                </c:pt>
              </c:strCache>
            </c:strRef>
          </c:tx>
          <c:spPr>
            <a:solidFill>
              <a:srgbClr val="78A22F"/>
            </a:solidFill>
            <a:ln>
              <a:noFill/>
            </a:ln>
          </c:spPr>
          <c:invertIfNegative val="0"/>
          <c:cat>
            <c:numRef>
              <c:f>Sheet5!$I$5:$L$5</c:f>
              <c:numCache>
                <c:formatCode>General</c:formatCode>
                <c:ptCount val="4"/>
                <c:pt idx="0">
                  <c:v>1980</c:v>
                </c:pt>
                <c:pt idx="1">
                  <c:v>1990</c:v>
                </c:pt>
                <c:pt idx="2">
                  <c:v>2000</c:v>
                </c:pt>
                <c:pt idx="3">
                  <c:v>2011</c:v>
                </c:pt>
              </c:numCache>
            </c:numRef>
          </c:cat>
          <c:val>
            <c:numRef>
              <c:f>Sheet5!$I$18:$L$18</c:f>
              <c:numCache>
                <c:formatCode>General</c:formatCode>
                <c:ptCount val="4"/>
                <c:pt idx="0">
                  <c:v>11891.16</c:v>
                </c:pt>
                <c:pt idx="1">
                  <c:v>15659.254999999999</c:v>
                </c:pt>
                <c:pt idx="2">
                  <c:v>17013.991999999998</c:v>
                </c:pt>
                <c:pt idx="3">
                  <c:v>15451.608</c:v>
                </c:pt>
              </c:numCache>
            </c:numRef>
          </c:val>
        </c:ser>
        <c:ser>
          <c:idx val="1"/>
          <c:order val="1"/>
          <c:tx>
            <c:strRef>
              <c:f>Sheet5!$H$19</c:f>
              <c:strCache>
                <c:ptCount val="1"/>
                <c:pt idx="0">
                  <c:v>Exports</c:v>
                </c:pt>
              </c:strCache>
            </c:strRef>
          </c:tx>
          <c:spPr>
            <a:solidFill>
              <a:srgbClr val="B4C98B"/>
            </a:solidFill>
            <a:ln>
              <a:noFill/>
            </a:ln>
          </c:spPr>
          <c:invertIfNegative val="0"/>
          <c:cat>
            <c:numRef>
              <c:f>Sheet5!$I$5:$L$5</c:f>
              <c:numCache>
                <c:formatCode>General</c:formatCode>
                <c:ptCount val="4"/>
                <c:pt idx="0">
                  <c:v>1980</c:v>
                </c:pt>
                <c:pt idx="1">
                  <c:v>1990</c:v>
                </c:pt>
                <c:pt idx="2">
                  <c:v>2000</c:v>
                </c:pt>
                <c:pt idx="3">
                  <c:v>2011</c:v>
                </c:pt>
              </c:numCache>
            </c:numRef>
          </c:cat>
          <c:val>
            <c:numRef>
              <c:f>Sheet5!$I$19:$L$19</c:f>
              <c:numCache>
                <c:formatCode>General</c:formatCode>
                <c:ptCount val="4"/>
                <c:pt idx="0">
                  <c:v>1822.6769999999999</c:v>
                </c:pt>
                <c:pt idx="1">
                  <c:v>1487.0660000000009</c:v>
                </c:pt>
                <c:pt idx="2">
                  <c:v>1900.834000000003</c:v>
                </c:pt>
                <c:pt idx="3">
                  <c:v>3424.018</c:v>
                </c:pt>
              </c:numCache>
            </c:numRef>
          </c:val>
        </c:ser>
        <c:ser>
          <c:idx val="2"/>
          <c:order val="2"/>
          <c:tx>
            <c:strRef>
              <c:f>Sheet5!$H$20</c:f>
              <c:strCache>
                <c:ptCount val="1"/>
                <c:pt idx="0">
                  <c:v>Imports</c:v>
                </c:pt>
              </c:strCache>
            </c:strRef>
          </c:tx>
          <c:spPr>
            <a:solidFill>
              <a:srgbClr val="344893"/>
            </a:solidFill>
            <a:ln>
              <a:noFill/>
            </a:ln>
          </c:spPr>
          <c:invertIfNegative val="0"/>
          <c:cat>
            <c:numRef>
              <c:f>Sheet5!$I$5:$L$5</c:f>
              <c:numCache>
                <c:formatCode>General</c:formatCode>
                <c:ptCount val="4"/>
                <c:pt idx="0">
                  <c:v>1980</c:v>
                </c:pt>
                <c:pt idx="1">
                  <c:v>1990</c:v>
                </c:pt>
                <c:pt idx="2">
                  <c:v>2000</c:v>
                </c:pt>
                <c:pt idx="3">
                  <c:v>2011</c:v>
                </c:pt>
              </c:numCache>
            </c:numRef>
          </c:cat>
          <c:val>
            <c:numRef>
              <c:f>Sheet5!$I$20:$L$20</c:f>
              <c:numCache>
                <c:formatCode>General</c:formatCode>
                <c:ptCount val="4"/>
                <c:pt idx="0">
                  <c:v>-1311.2049999999999</c:v>
                </c:pt>
                <c:pt idx="1">
                  <c:v>-2041.033000000001</c:v>
                </c:pt>
                <c:pt idx="2">
                  <c:v>-1850.6700000000019</c:v>
                </c:pt>
                <c:pt idx="3">
                  <c:v>-2270.0120000000002</c:v>
                </c:pt>
              </c:numCache>
            </c:numRef>
          </c:val>
        </c:ser>
        <c:dLbls>
          <c:showLegendKey val="0"/>
          <c:showVal val="0"/>
          <c:showCatName val="0"/>
          <c:showSerName val="0"/>
          <c:showPercent val="0"/>
          <c:showBubbleSize val="0"/>
        </c:dLbls>
        <c:gapWidth val="70"/>
        <c:overlap val="100"/>
        <c:axId val="153245952"/>
        <c:axId val="153255936"/>
      </c:barChart>
      <c:catAx>
        <c:axId val="153245952"/>
        <c:scaling>
          <c:orientation val="minMax"/>
        </c:scaling>
        <c:delete val="0"/>
        <c:axPos val="b"/>
        <c:numFmt formatCode="General" sourceLinked="1"/>
        <c:majorTickMark val="none"/>
        <c:minorTickMark val="none"/>
        <c:tickLblPos val="low"/>
        <c:crossAx val="153255936"/>
        <c:crosses val="autoZero"/>
        <c:auto val="1"/>
        <c:lblAlgn val="ctr"/>
        <c:lblOffset val="100"/>
        <c:noMultiLvlLbl val="0"/>
      </c:catAx>
      <c:valAx>
        <c:axId val="153255936"/>
        <c:scaling>
          <c:orientation val="minMax"/>
          <c:max val="20000"/>
          <c:min val="-10000"/>
        </c:scaling>
        <c:delete val="0"/>
        <c:axPos val="l"/>
        <c:majorGridlines/>
        <c:numFmt formatCode="General" sourceLinked="1"/>
        <c:majorTickMark val="out"/>
        <c:minorTickMark val="none"/>
        <c:tickLblPos val="nextTo"/>
        <c:spPr>
          <a:ln>
            <a:noFill/>
          </a:ln>
        </c:spPr>
        <c:crossAx val="153245952"/>
        <c:crosses val="autoZero"/>
        <c:crossBetween val="between"/>
        <c:majorUnit val="5000"/>
        <c:dispUnits>
          <c:builtInUnit val="thousands"/>
        </c:dispUnits>
      </c:valAx>
    </c:plotArea>
    <c:plotVisOnly val="1"/>
    <c:dispBlanksAs val="gap"/>
    <c:showDLblsOverMax val="0"/>
  </c:chart>
  <c:spPr>
    <a:ln>
      <a:noFill/>
    </a:ln>
  </c:spPr>
  <c:externalData r:id="rId1">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2383573928258967"/>
          <c:y val="5.1400554097404488E-2"/>
          <c:w val="0.83408546426785057"/>
          <c:h val="0.57308254963427385"/>
        </c:manualLayout>
      </c:layout>
      <c:barChart>
        <c:barDir val="col"/>
        <c:grouping val="clustered"/>
        <c:varyColors val="0"/>
        <c:ser>
          <c:idx val="0"/>
          <c:order val="0"/>
          <c:tx>
            <c:strRef>
              <c:f>'Wages - BLS'!$B$61</c:f>
              <c:strCache>
                <c:ptCount val="1"/>
                <c:pt idx="0">
                  <c:v>US Bureau of Labor Statistics</c:v>
                </c:pt>
              </c:strCache>
            </c:strRef>
          </c:tx>
          <c:spPr>
            <a:solidFill>
              <a:srgbClr val="78A22F"/>
            </a:solidFill>
          </c:spPr>
          <c:invertIfNegative val="0"/>
          <c:cat>
            <c:strRef>
              <c:f>'Wages - BLS'!$A$62:$A$71</c:f>
              <c:strCache>
                <c:ptCount val="10"/>
                <c:pt idx="0">
                  <c:v>Australia</c:v>
                </c:pt>
                <c:pt idx="1">
                  <c:v>Brazil</c:v>
                </c:pt>
                <c:pt idx="2">
                  <c:v>China </c:v>
                </c:pt>
                <c:pt idx="3">
                  <c:v>Germany</c:v>
                </c:pt>
                <c:pt idx="4">
                  <c:v>India</c:v>
                </c:pt>
                <c:pt idx="5">
                  <c:v>Japan</c:v>
                </c:pt>
                <c:pt idx="6">
                  <c:v>Mexico</c:v>
                </c:pt>
                <c:pt idx="7">
                  <c:v>Korea</c:v>
                </c:pt>
                <c:pt idx="8">
                  <c:v>Thailand</c:v>
                </c:pt>
                <c:pt idx="9">
                  <c:v>United States</c:v>
                </c:pt>
              </c:strCache>
            </c:strRef>
          </c:cat>
          <c:val>
            <c:numRef>
              <c:f>'Wages - BLS'!$B$62:$B$71</c:f>
              <c:numCache>
                <c:formatCode>0</c:formatCode>
                <c:ptCount val="10"/>
                <c:pt idx="0">
                  <c:v>52.456800849502848</c:v>
                </c:pt>
                <c:pt idx="1">
                  <c:v>18.148469929529877</c:v>
                </c:pt>
                <c:pt idx="3">
                  <c:v>56.993918331885311</c:v>
                </c:pt>
                <c:pt idx="5">
                  <c:v>40.206583647070175</c:v>
                </c:pt>
                <c:pt idx="6">
                  <c:v>7.5200308910126461</c:v>
                </c:pt>
                <c:pt idx="7">
                  <c:v>24.973453036007335</c:v>
                </c:pt>
                <c:pt idx="9">
                  <c:v>36.084564147118449</c:v>
                </c:pt>
              </c:numCache>
            </c:numRef>
          </c:val>
        </c:ser>
        <c:ser>
          <c:idx val="1"/>
          <c:order val="1"/>
          <c:tx>
            <c:strRef>
              <c:f>'Wages - BLS'!$C$61</c:f>
              <c:strCache>
                <c:ptCount val="1"/>
                <c:pt idx="0">
                  <c:v>Morgan Stanley</c:v>
                </c:pt>
              </c:strCache>
            </c:strRef>
          </c:tx>
          <c:spPr>
            <a:solidFill>
              <a:schemeClr val="accent1"/>
            </a:solidFill>
          </c:spPr>
          <c:invertIfNegative val="0"/>
          <c:cat>
            <c:strRef>
              <c:f>'Wages - BLS'!$A$62:$A$71</c:f>
              <c:strCache>
                <c:ptCount val="10"/>
                <c:pt idx="0">
                  <c:v>Australia</c:v>
                </c:pt>
                <c:pt idx="1">
                  <c:v>Brazil</c:v>
                </c:pt>
                <c:pt idx="2">
                  <c:v>China </c:v>
                </c:pt>
                <c:pt idx="3">
                  <c:v>Germany</c:v>
                </c:pt>
                <c:pt idx="4">
                  <c:v>India</c:v>
                </c:pt>
                <c:pt idx="5">
                  <c:v>Japan</c:v>
                </c:pt>
                <c:pt idx="6">
                  <c:v>Mexico</c:v>
                </c:pt>
                <c:pt idx="7">
                  <c:v>Korea</c:v>
                </c:pt>
                <c:pt idx="8">
                  <c:v>Thailand</c:v>
                </c:pt>
                <c:pt idx="9">
                  <c:v>United States</c:v>
                </c:pt>
              </c:strCache>
            </c:strRef>
          </c:cat>
          <c:val>
            <c:numRef>
              <c:f>'Wages - BLS'!$C$62:$C$71</c:f>
              <c:numCache>
                <c:formatCode>0</c:formatCode>
                <c:ptCount val="10"/>
                <c:pt idx="0">
                  <c:v>31.082929255253013</c:v>
                </c:pt>
                <c:pt idx="1">
                  <c:v>18.649757553151808</c:v>
                </c:pt>
                <c:pt idx="2">
                  <c:v>3.7299515106303618</c:v>
                </c:pt>
                <c:pt idx="3">
                  <c:v>37.299515106303616</c:v>
                </c:pt>
                <c:pt idx="4">
                  <c:v>3.7299515106303618</c:v>
                </c:pt>
                <c:pt idx="5">
                  <c:v>28.596294914832772</c:v>
                </c:pt>
                <c:pt idx="6">
                  <c:v>7.4599030212607236</c:v>
                </c:pt>
                <c:pt idx="7">
                  <c:v>14.919806042521447</c:v>
                </c:pt>
                <c:pt idx="8">
                  <c:v>7.4599030212607236</c:v>
                </c:pt>
                <c:pt idx="9">
                  <c:v>28.596294914832772</c:v>
                </c:pt>
              </c:numCache>
            </c:numRef>
          </c:val>
        </c:ser>
        <c:ser>
          <c:idx val="2"/>
          <c:order val="2"/>
          <c:tx>
            <c:strRef>
              <c:f>'Wages - BLS'!$D$61</c:f>
              <c:strCache>
                <c:ptCount val="1"/>
                <c:pt idx="0">
                  <c:v>ABS</c:v>
                </c:pt>
              </c:strCache>
            </c:strRef>
          </c:tx>
          <c:spPr>
            <a:solidFill>
              <a:schemeClr val="accent5"/>
            </a:solidFill>
          </c:spPr>
          <c:invertIfNegative val="0"/>
          <c:cat>
            <c:strRef>
              <c:f>'Wages - BLS'!$A$62:$A$71</c:f>
              <c:strCache>
                <c:ptCount val="10"/>
                <c:pt idx="0">
                  <c:v>Australia</c:v>
                </c:pt>
                <c:pt idx="1">
                  <c:v>Brazil</c:v>
                </c:pt>
                <c:pt idx="2">
                  <c:v>China </c:v>
                </c:pt>
                <c:pt idx="3">
                  <c:v>Germany</c:v>
                </c:pt>
                <c:pt idx="4">
                  <c:v>India</c:v>
                </c:pt>
                <c:pt idx="5">
                  <c:v>Japan</c:v>
                </c:pt>
                <c:pt idx="6">
                  <c:v>Mexico</c:v>
                </c:pt>
                <c:pt idx="7">
                  <c:v>Korea</c:v>
                </c:pt>
                <c:pt idx="8">
                  <c:v>Thailand</c:v>
                </c:pt>
                <c:pt idx="9">
                  <c:v>United States</c:v>
                </c:pt>
              </c:strCache>
            </c:strRef>
          </c:cat>
          <c:val>
            <c:numRef>
              <c:f>'Wages - BLS'!$D$62:$D$71</c:f>
              <c:numCache>
                <c:formatCode>General</c:formatCode>
                <c:ptCount val="10"/>
                <c:pt idx="0" formatCode="0.00">
                  <c:v>35.152313167259791</c:v>
                </c:pt>
              </c:numCache>
            </c:numRef>
          </c:val>
        </c:ser>
        <c:dLbls>
          <c:showLegendKey val="0"/>
          <c:showVal val="0"/>
          <c:showCatName val="0"/>
          <c:showSerName val="0"/>
          <c:showPercent val="0"/>
          <c:showBubbleSize val="0"/>
        </c:dLbls>
        <c:gapWidth val="50"/>
        <c:axId val="35120256"/>
        <c:axId val="35121792"/>
      </c:barChart>
      <c:catAx>
        <c:axId val="35120256"/>
        <c:scaling>
          <c:orientation val="minMax"/>
        </c:scaling>
        <c:delete val="0"/>
        <c:axPos val="b"/>
        <c:numFmt formatCode="General" sourceLinked="1"/>
        <c:majorTickMark val="out"/>
        <c:minorTickMark val="none"/>
        <c:tickLblPos val="nextTo"/>
        <c:spPr>
          <a:ln>
            <a:noFill/>
          </a:ln>
        </c:spPr>
        <c:txPr>
          <a:bodyPr rot="-5400000" vert="horz"/>
          <a:lstStyle/>
          <a:p>
            <a:pPr>
              <a:defRPr/>
            </a:pPr>
            <a:endParaRPr lang="en-US"/>
          </a:p>
        </c:txPr>
        <c:crossAx val="35121792"/>
        <c:crosses val="autoZero"/>
        <c:auto val="1"/>
        <c:lblAlgn val="ctr"/>
        <c:lblOffset val="100"/>
        <c:noMultiLvlLbl val="0"/>
      </c:catAx>
      <c:valAx>
        <c:axId val="35121792"/>
        <c:scaling>
          <c:orientation val="minMax"/>
        </c:scaling>
        <c:delete val="0"/>
        <c:axPos val="l"/>
        <c:majorGridlines/>
        <c:title>
          <c:tx>
            <c:rich>
              <a:bodyPr rot="-5400000" vert="horz"/>
              <a:lstStyle/>
              <a:p>
                <a:pPr>
                  <a:defRPr/>
                </a:pPr>
                <a:r>
                  <a:rPr lang="en-AU"/>
                  <a:t>$/hr</a:t>
                </a:r>
              </a:p>
            </c:rich>
          </c:tx>
          <c:layout>
            <c:manualLayout>
              <c:xMode val="edge"/>
              <c:yMode val="edge"/>
              <c:x val="1.238888888888889E-2"/>
              <c:y val="0.24577245552639254"/>
            </c:manualLayout>
          </c:layout>
          <c:overlay val="0"/>
        </c:title>
        <c:numFmt formatCode="0" sourceLinked="1"/>
        <c:majorTickMark val="out"/>
        <c:minorTickMark val="none"/>
        <c:tickLblPos val="nextTo"/>
        <c:spPr>
          <a:ln>
            <a:noFill/>
          </a:ln>
        </c:spPr>
        <c:crossAx val="35120256"/>
        <c:crosses val="autoZero"/>
        <c:crossBetween val="between"/>
      </c:valAx>
    </c:plotArea>
    <c:legend>
      <c:legendPos val="r"/>
      <c:layout>
        <c:manualLayout>
          <c:xMode val="edge"/>
          <c:yMode val="edge"/>
          <c:x val="0.10633850532926997"/>
          <c:y val="0.88490819127776044"/>
          <c:w val="0.7665003171263709"/>
          <c:h val="0.11322851101292589"/>
        </c:manualLayout>
      </c:layout>
      <c:overlay val="0"/>
    </c:legend>
    <c:plotVisOnly val="1"/>
    <c:dispBlanksAs val="gap"/>
    <c:showDLblsOverMax val="0"/>
  </c:chart>
  <c:spPr>
    <a:ln>
      <a:noFill/>
    </a:ln>
  </c:spPr>
  <c:externalData r:id="rId1">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1809879301419503"/>
          <c:y val="4.3861799341024701E-2"/>
          <c:w val="0.84417404571833365"/>
          <c:h val="0.77420577051334405"/>
        </c:manualLayout>
      </c:layout>
      <c:barChart>
        <c:barDir val="col"/>
        <c:grouping val="clustered"/>
        <c:varyColors val="0"/>
        <c:ser>
          <c:idx val="0"/>
          <c:order val="0"/>
          <c:tx>
            <c:strRef>
              <c:f>'AU Scale'!$A$3</c:f>
              <c:strCache>
                <c:ptCount val="1"/>
                <c:pt idx="0">
                  <c:v>Ford</c:v>
                </c:pt>
              </c:strCache>
            </c:strRef>
          </c:tx>
          <c:spPr>
            <a:solidFill>
              <a:srgbClr val="78A22F"/>
            </a:solidFill>
          </c:spPr>
          <c:invertIfNegative val="0"/>
          <c:cat>
            <c:numRef>
              <c:f>'AU Scale'!$B$2:$K$2</c:f>
              <c:numCache>
                <c:formatCode>General</c:formatCode>
                <c:ptCount val="10"/>
                <c:pt idx="0">
                  <c:v>2003</c:v>
                </c:pt>
                <c:pt idx="1">
                  <c:v>2004</c:v>
                </c:pt>
                <c:pt idx="2">
                  <c:v>2005</c:v>
                </c:pt>
                <c:pt idx="3">
                  <c:v>2006</c:v>
                </c:pt>
                <c:pt idx="4">
                  <c:v>2007</c:v>
                </c:pt>
                <c:pt idx="5">
                  <c:v>2008</c:v>
                </c:pt>
                <c:pt idx="6">
                  <c:v>2009</c:v>
                </c:pt>
                <c:pt idx="7">
                  <c:v>2010</c:v>
                </c:pt>
                <c:pt idx="8">
                  <c:v>2011</c:v>
                </c:pt>
                <c:pt idx="9">
                  <c:v>2012</c:v>
                </c:pt>
              </c:numCache>
            </c:numRef>
          </c:cat>
          <c:val>
            <c:numRef>
              <c:f>'AU Scale'!$B$3:$K$3</c:f>
              <c:numCache>
                <c:formatCode>General</c:formatCode>
                <c:ptCount val="10"/>
                <c:pt idx="0">
                  <c:v>104990</c:v>
                </c:pt>
                <c:pt idx="1">
                  <c:v>110973</c:v>
                </c:pt>
                <c:pt idx="2">
                  <c:v>108026</c:v>
                </c:pt>
                <c:pt idx="3">
                  <c:v>81470</c:v>
                </c:pt>
                <c:pt idx="4">
                  <c:v>68578</c:v>
                </c:pt>
                <c:pt idx="5">
                  <c:v>61728</c:v>
                </c:pt>
                <c:pt idx="6">
                  <c:v>54543</c:v>
                </c:pt>
                <c:pt idx="7">
                  <c:v>57358</c:v>
                </c:pt>
                <c:pt idx="8">
                  <c:v>37778</c:v>
                </c:pt>
                <c:pt idx="9">
                  <c:v>37700</c:v>
                </c:pt>
              </c:numCache>
            </c:numRef>
          </c:val>
        </c:ser>
        <c:ser>
          <c:idx val="1"/>
          <c:order val="1"/>
          <c:tx>
            <c:strRef>
              <c:f>'AU Scale'!$A$4</c:f>
              <c:strCache>
                <c:ptCount val="1"/>
                <c:pt idx="0">
                  <c:v>Holden</c:v>
                </c:pt>
              </c:strCache>
            </c:strRef>
          </c:tx>
          <c:spPr>
            <a:solidFill>
              <a:srgbClr val="B4C98B"/>
            </a:solidFill>
          </c:spPr>
          <c:invertIfNegative val="0"/>
          <c:cat>
            <c:numRef>
              <c:f>'AU Scale'!$B$2:$K$2</c:f>
              <c:numCache>
                <c:formatCode>General</c:formatCode>
                <c:ptCount val="10"/>
                <c:pt idx="0">
                  <c:v>2003</c:v>
                </c:pt>
                <c:pt idx="1">
                  <c:v>2004</c:v>
                </c:pt>
                <c:pt idx="2">
                  <c:v>2005</c:v>
                </c:pt>
                <c:pt idx="3">
                  <c:v>2006</c:v>
                </c:pt>
                <c:pt idx="4">
                  <c:v>2007</c:v>
                </c:pt>
                <c:pt idx="5">
                  <c:v>2008</c:v>
                </c:pt>
                <c:pt idx="6">
                  <c:v>2009</c:v>
                </c:pt>
                <c:pt idx="7">
                  <c:v>2010</c:v>
                </c:pt>
                <c:pt idx="8">
                  <c:v>2011</c:v>
                </c:pt>
                <c:pt idx="9">
                  <c:v>2012</c:v>
                </c:pt>
              </c:numCache>
            </c:numRef>
          </c:cat>
          <c:val>
            <c:numRef>
              <c:f>'AU Scale'!$B$4:$K$4</c:f>
              <c:numCache>
                <c:formatCode>General</c:formatCode>
                <c:ptCount val="10"/>
                <c:pt idx="0">
                  <c:v>153321</c:v>
                </c:pt>
                <c:pt idx="1">
                  <c:v>165252</c:v>
                </c:pt>
                <c:pt idx="2">
                  <c:v>151901</c:v>
                </c:pt>
                <c:pt idx="3">
                  <c:v>125855</c:v>
                </c:pt>
                <c:pt idx="4">
                  <c:v>107795</c:v>
                </c:pt>
                <c:pt idx="5">
                  <c:v>119246</c:v>
                </c:pt>
                <c:pt idx="6">
                  <c:v>66879</c:v>
                </c:pt>
                <c:pt idx="7">
                  <c:v>66145</c:v>
                </c:pt>
                <c:pt idx="8">
                  <c:v>90424</c:v>
                </c:pt>
                <c:pt idx="9">
                  <c:v>82172</c:v>
                </c:pt>
              </c:numCache>
            </c:numRef>
          </c:val>
        </c:ser>
        <c:ser>
          <c:idx val="2"/>
          <c:order val="2"/>
          <c:tx>
            <c:strRef>
              <c:f>'AU Scale'!$A$5</c:f>
              <c:strCache>
                <c:ptCount val="1"/>
                <c:pt idx="0">
                  <c:v>Toyota</c:v>
                </c:pt>
              </c:strCache>
            </c:strRef>
          </c:tx>
          <c:spPr>
            <a:solidFill>
              <a:srgbClr val="39580D"/>
            </a:solidFill>
          </c:spPr>
          <c:invertIfNegative val="0"/>
          <c:cat>
            <c:numRef>
              <c:f>'AU Scale'!$B$2:$K$2</c:f>
              <c:numCache>
                <c:formatCode>General</c:formatCode>
                <c:ptCount val="10"/>
                <c:pt idx="0">
                  <c:v>2003</c:v>
                </c:pt>
                <c:pt idx="1">
                  <c:v>2004</c:v>
                </c:pt>
                <c:pt idx="2">
                  <c:v>2005</c:v>
                </c:pt>
                <c:pt idx="3">
                  <c:v>2006</c:v>
                </c:pt>
                <c:pt idx="4">
                  <c:v>2007</c:v>
                </c:pt>
                <c:pt idx="5">
                  <c:v>2008</c:v>
                </c:pt>
                <c:pt idx="6">
                  <c:v>2009</c:v>
                </c:pt>
                <c:pt idx="7">
                  <c:v>2010</c:v>
                </c:pt>
                <c:pt idx="8">
                  <c:v>2011</c:v>
                </c:pt>
                <c:pt idx="9">
                  <c:v>2012</c:v>
                </c:pt>
              </c:numCache>
            </c:numRef>
          </c:cat>
          <c:val>
            <c:numRef>
              <c:f>'AU Scale'!$B$5:$K$5</c:f>
              <c:numCache>
                <c:formatCode>General</c:formatCode>
                <c:ptCount val="10"/>
                <c:pt idx="0">
                  <c:v>113594</c:v>
                </c:pt>
                <c:pt idx="1">
                  <c:v>109854</c:v>
                </c:pt>
                <c:pt idx="2">
                  <c:v>109222</c:v>
                </c:pt>
                <c:pt idx="3">
                  <c:v>111610</c:v>
                </c:pt>
                <c:pt idx="4">
                  <c:v>148931</c:v>
                </c:pt>
                <c:pt idx="5">
                  <c:v>141416</c:v>
                </c:pt>
                <c:pt idx="6">
                  <c:v>96836</c:v>
                </c:pt>
                <c:pt idx="7">
                  <c:v>119438</c:v>
                </c:pt>
                <c:pt idx="8">
                  <c:v>93755</c:v>
                </c:pt>
                <c:pt idx="9">
                  <c:v>101382</c:v>
                </c:pt>
              </c:numCache>
            </c:numRef>
          </c:val>
        </c:ser>
        <c:ser>
          <c:idx val="3"/>
          <c:order val="3"/>
          <c:tx>
            <c:strRef>
              <c:f>'AU Scale'!$A$6</c:f>
              <c:strCache>
                <c:ptCount val="1"/>
                <c:pt idx="0">
                  <c:v>Mitsubishi</c:v>
                </c:pt>
              </c:strCache>
            </c:strRef>
          </c:tx>
          <c:spPr>
            <a:pattFill prst="wdUpDiag">
              <a:fgClr>
                <a:sysClr val="window" lastClr="FFFFFF">
                  <a:lumMod val="50000"/>
                </a:sysClr>
              </a:fgClr>
              <a:bgClr>
                <a:srgbClr val="C9C9C9"/>
              </a:bgClr>
            </a:pattFill>
          </c:spPr>
          <c:invertIfNegative val="0"/>
          <c:cat>
            <c:numRef>
              <c:f>'AU Scale'!$B$2:$K$2</c:f>
              <c:numCache>
                <c:formatCode>General</c:formatCode>
                <c:ptCount val="10"/>
                <c:pt idx="0">
                  <c:v>2003</c:v>
                </c:pt>
                <c:pt idx="1">
                  <c:v>2004</c:v>
                </c:pt>
                <c:pt idx="2">
                  <c:v>2005</c:v>
                </c:pt>
                <c:pt idx="3">
                  <c:v>2006</c:v>
                </c:pt>
                <c:pt idx="4">
                  <c:v>2007</c:v>
                </c:pt>
                <c:pt idx="5">
                  <c:v>2008</c:v>
                </c:pt>
                <c:pt idx="6">
                  <c:v>2009</c:v>
                </c:pt>
                <c:pt idx="7">
                  <c:v>2010</c:v>
                </c:pt>
                <c:pt idx="8">
                  <c:v>2011</c:v>
                </c:pt>
                <c:pt idx="9">
                  <c:v>2012</c:v>
                </c:pt>
              </c:numCache>
            </c:numRef>
          </c:cat>
          <c:val>
            <c:numRef>
              <c:f>'AU Scale'!$B$6:$K$6</c:f>
              <c:numCache>
                <c:formatCode>General</c:formatCode>
                <c:ptCount val="10"/>
                <c:pt idx="0">
                  <c:v>34763</c:v>
                </c:pt>
                <c:pt idx="1">
                  <c:v>21418</c:v>
                </c:pt>
                <c:pt idx="2">
                  <c:v>18672</c:v>
                </c:pt>
                <c:pt idx="3">
                  <c:v>10493</c:v>
                </c:pt>
                <c:pt idx="4">
                  <c:v>10321</c:v>
                </c:pt>
                <c:pt idx="5">
                  <c:v>2294</c:v>
                </c:pt>
                <c:pt idx="6">
                  <c:v>0</c:v>
                </c:pt>
                <c:pt idx="7">
                  <c:v>0</c:v>
                </c:pt>
                <c:pt idx="8">
                  <c:v>0</c:v>
                </c:pt>
                <c:pt idx="9">
                  <c:v>0</c:v>
                </c:pt>
              </c:numCache>
            </c:numRef>
          </c:val>
        </c:ser>
        <c:dLbls>
          <c:showLegendKey val="0"/>
          <c:showVal val="0"/>
          <c:showCatName val="0"/>
          <c:showSerName val="0"/>
          <c:showPercent val="0"/>
          <c:showBubbleSize val="0"/>
        </c:dLbls>
        <c:gapWidth val="50"/>
        <c:axId val="35218176"/>
        <c:axId val="35219712"/>
      </c:barChart>
      <c:catAx>
        <c:axId val="35218176"/>
        <c:scaling>
          <c:orientation val="minMax"/>
        </c:scaling>
        <c:delete val="0"/>
        <c:axPos val="b"/>
        <c:numFmt formatCode="General" sourceLinked="1"/>
        <c:majorTickMark val="out"/>
        <c:minorTickMark val="none"/>
        <c:tickLblPos val="nextTo"/>
        <c:spPr>
          <a:ln>
            <a:noFill/>
          </a:ln>
        </c:spPr>
        <c:crossAx val="35219712"/>
        <c:crosses val="autoZero"/>
        <c:auto val="1"/>
        <c:lblAlgn val="ctr"/>
        <c:lblOffset val="100"/>
        <c:noMultiLvlLbl val="0"/>
      </c:catAx>
      <c:valAx>
        <c:axId val="35219712"/>
        <c:scaling>
          <c:orientation val="minMax"/>
        </c:scaling>
        <c:delete val="0"/>
        <c:axPos val="l"/>
        <c:majorGridlines/>
        <c:numFmt formatCode="General" sourceLinked="1"/>
        <c:majorTickMark val="out"/>
        <c:minorTickMark val="none"/>
        <c:tickLblPos val="nextTo"/>
        <c:spPr>
          <a:ln>
            <a:noFill/>
          </a:ln>
        </c:spPr>
        <c:crossAx val="35218176"/>
        <c:crosses val="autoZero"/>
        <c:crossBetween val="between"/>
        <c:dispUnits>
          <c:builtInUnit val="thousands"/>
          <c:dispUnitsLbl>
            <c:layout>
              <c:manualLayout>
                <c:xMode val="edge"/>
                <c:yMode val="edge"/>
                <c:x val="1.3633217993079585E-2"/>
                <c:y val="0.24091937144759318"/>
              </c:manualLayout>
            </c:layout>
            <c:tx>
              <c:rich>
                <a:bodyPr/>
                <a:lstStyle/>
                <a:p>
                  <a:pPr>
                    <a:defRPr/>
                  </a:pPr>
                  <a:r>
                    <a:rPr lang="en-AU"/>
                    <a:t>Units (Thousands)</a:t>
                  </a:r>
                </a:p>
              </c:rich>
            </c:tx>
          </c:dispUnitsLbl>
        </c:dispUnits>
      </c:valAx>
    </c:plotArea>
    <c:legend>
      <c:legendPos val="r"/>
      <c:layout>
        <c:manualLayout>
          <c:xMode val="edge"/>
          <c:yMode val="edge"/>
          <c:x val="9.7221117256536704E-2"/>
          <c:y val="0.91020901561831202"/>
          <c:w val="0.87045436794449138"/>
          <c:h val="8.0322569406424502E-2"/>
        </c:manualLayout>
      </c:layout>
      <c:overlay val="0"/>
    </c:legend>
    <c:plotVisOnly val="1"/>
    <c:dispBlanksAs val="gap"/>
    <c:showDLblsOverMax val="0"/>
  </c:chart>
  <c:spPr>
    <a:noFill/>
    <a:ln>
      <a:noFill/>
    </a:ln>
  </c:spPr>
  <c:externalData r:id="rId2">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6599518810148695E-2"/>
          <c:y val="5.1400554097404502E-2"/>
          <c:w val="0.90006714785651798"/>
          <c:h val="0.60439355291856123"/>
        </c:manualLayout>
      </c:layout>
      <c:barChart>
        <c:barDir val="col"/>
        <c:grouping val="clustered"/>
        <c:varyColors val="0"/>
        <c:ser>
          <c:idx val="0"/>
          <c:order val="0"/>
          <c:spPr>
            <a:solidFill>
              <a:schemeClr val="tx2"/>
            </a:solidFill>
            <a:ln>
              <a:noFill/>
            </a:ln>
          </c:spPr>
          <c:invertIfNegative val="0"/>
          <c:cat>
            <c:strRef>
              <c:f>Sheet1!$A$1:$M$1</c:f>
              <c:strCache>
                <c:ptCount val="13"/>
                <c:pt idx="0">
                  <c:v>Australia</c:v>
                </c:pt>
                <c:pt idx="1">
                  <c:v>Canada</c:v>
                </c:pt>
                <c:pt idx="2">
                  <c:v>France</c:v>
                </c:pt>
                <c:pt idx="3">
                  <c:v>Germany</c:v>
                </c:pt>
                <c:pt idx="4">
                  <c:v>Italy</c:v>
                </c:pt>
                <c:pt idx="5">
                  <c:v>Netherlands</c:v>
                </c:pt>
                <c:pt idx="6">
                  <c:v>United Kingdom</c:v>
                </c:pt>
                <c:pt idx="7">
                  <c:v>Japan</c:v>
                </c:pt>
                <c:pt idx="8">
                  <c:v>Brazil</c:v>
                </c:pt>
                <c:pt idx="9">
                  <c:v>Mexico</c:v>
                </c:pt>
                <c:pt idx="10">
                  <c:v>Russia</c:v>
                </c:pt>
                <c:pt idx="11">
                  <c:v>China</c:v>
                </c:pt>
                <c:pt idx="12">
                  <c:v>India</c:v>
                </c:pt>
              </c:strCache>
            </c:strRef>
          </c:cat>
          <c:val>
            <c:numRef>
              <c:f>Sheet1!$A$2:$M$2</c:f>
              <c:numCache>
                <c:formatCode>General</c:formatCode>
                <c:ptCount val="13"/>
                <c:pt idx="0">
                  <c:v>2.9</c:v>
                </c:pt>
                <c:pt idx="1">
                  <c:v>-3.1</c:v>
                </c:pt>
                <c:pt idx="2">
                  <c:v>-3.4</c:v>
                </c:pt>
                <c:pt idx="3">
                  <c:v>0.1</c:v>
                </c:pt>
                <c:pt idx="4">
                  <c:v>-3</c:v>
                </c:pt>
                <c:pt idx="5">
                  <c:v>-3.8</c:v>
                </c:pt>
                <c:pt idx="6">
                  <c:v>-5</c:v>
                </c:pt>
                <c:pt idx="7">
                  <c:v>7.4</c:v>
                </c:pt>
                <c:pt idx="8">
                  <c:v>-5.4</c:v>
                </c:pt>
                <c:pt idx="9">
                  <c:v>-13</c:v>
                </c:pt>
                <c:pt idx="10">
                  <c:v>-12.4</c:v>
                </c:pt>
                <c:pt idx="11">
                  <c:v>-17.899999999999999</c:v>
                </c:pt>
                <c:pt idx="12">
                  <c:v>-14.9</c:v>
                </c:pt>
              </c:numCache>
            </c:numRef>
          </c:val>
        </c:ser>
        <c:dLbls>
          <c:showLegendKey val="0"/>
          <c:showVal val="0"/>
          <c:showCatName val="0"/>
          <c:showSerName val="0"/>
          <c:showPercent val="0"/>
          <c:showBubbleSize val="0"/>
        </c:dLbls>
        <c:gapWidth val="50"/>
        <c:axId val="35248384"/>
        <c:axId val="35250176"/>
      </c:barChart>
      <c:catAx>
        <c:axId val="35248384"/>
        <c:scaling>
          <c:orientation val="minMax"/>
        </c:scaling>
        <c:delete val="0"/>
        <c:axPos val="b"/>
        <c:majorTickMark val="out"/>
        <c:minorTickMark val="none"/>
        <c:tickLblPos val="low"/>
        <c:spPr>
          <a:ln>
            <a:noFill/>
          </a:ln>
        </c:spPr>
        <c:txPr>
          <a:bodyPr rot="-5400000" vert="horz"/>
          <a:lstStyle/>
          <a:p>
            <a:pPr>
              <a:defRPr b="0"/>
            </a:pPr>
            <a:endParaRPr lang="en-US"/>
          </a:p>
        </c:txPr>
        <c:crossAx val="35250176"/>
        <c:crosses val="autoZero"/>
        <c:auto val="1"/>
        <c:lblAlgn val="ctr"/>
        <c:lblOffset val="100"/>
        <c:noMultiLvlLbl val="0"/>
      </c:catAx>
      <c:valAx>
        <c:axId val="35250176"/>
        <c:scaling>
          <c:orientation val="minMax"/>
        </c:scaling>
        <c:delete val="0"/>
        <c:axPos val="l"/>
        <c:majorGridlines/>
        <c:numFmt formatCode="General" sourceLinked="1"/>
        <c:majorTickMark val="out"/>
        <c:minorTickMark val="none"/>
        <c:tickLblPos val="nextTo"/>
        <c:spPr>
          <a:ln>
            <a:noFill/>
          </a:ln>
        </c:spPr>
        <c:crossAx val="35248384"/>
        <c:crosses val="autoZero"/>
        <c:crossBetween val="between"/>
      </c:valAx>
    </c:plotArea>
    <c:plotVisOnly val="1"/>
    <c:dispBlanksAs val="gap"/>
    <c:showDLblsOverMax val="0"/>
  </c:chart>
  <c:spPr>
    <a:ln>
      <a:noFill/>
    </a:ln>
  </c:spPr>
  <c:externalData r:id="rId1">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7905074365704301E-2"/>
          <c:y val="4.2366204637553938E-2"/>
          <c:w val="0.91136847090992612"/>
          <c:h val="0.64837963851942881"/>
        </c:manualLayout>
      </c:layout>
      <c:barChart>
        <c:barDir val="col"/>
        <c:grouping val="clustered"/>
        <c:varyColors val="0"/>
        <c:ser>
          <c:idx val="3"/>
          <c:order val="0"/>
          <c:tx>
            <c:strRef>
              <c:f>'components nominal'!$F$10</c:f>
              <c:strCache>
                <c:ptCount val="1"/>
                <c:pt idx="0">
                  <c:v>Components sourced by Australian vehicle assemblers from Australian suppliers</c:v>
                </c:pt>
              </c:strCache>
            </c:strRef>
          </c:tx>
          <c:spPr>
            <a:solidFill>
              <a:srgbClr val="78A22F"/>
            </a:solidFill>
          </c:spPr>
          <c:invertIfNegative val="0"/>
          <c:cat>
            <c:numRef>
              <c:f>'components nominal'!$C$24:$C$34</c:f>
              <c:numCache>
                <c:formatCode>General</c:formatCode>
                <c:ptCount val="11"/>
                <c:pt idx="0">
                  <c:v>2002</c:v>
                </c:pt>
                <c:pt idx="1">
                  <c:v>2003</c:v>
                </c:pt>
                <c:pt idx="2">
                  <c:v>2004</c:v>
                </c:pt>
                <c:pt idx="3">
                  <c:v>2005</c:v>
                </c:pt>
                <c:pt idx="4">
                  <c:v>2006</c:v>
                </c:pt>
                <c:pt idx="5">
                  <c:v>2007</c:v>
                </c:pt>
                <c:pt idx="6">
                  <c:v>2008</c:v>
                </c:pt>
                <c:pt idx="7">
                  <c:v>2009</c:v>
                </c:pt>
                <c:pt idx="8">
                  <c:v>2010</c:v>
                </c:pt>
                <c:pt idx="9">
                  <c:v>2011</c:v>
                </c:pt>
                <c:pt idx="10">
                  <c:v>2012</c:v>
                </c:pt>
              </c:numCache>
            </c:numRef>
          </c:cat>
          <c:val>
            <c:numRef>
              <c:f>'components nominal'!$F$24:$F$34</c:f>
              <c:numCache>
                <c:formatCode>General</c:formatCode>
                <c:ptCount val="11"/>
                <c:pt idx="0">
                  <c:v>3.86</c:v>
                </c:pt>
                <c:pt idx="1">
                  <c:v>4.7300000000000004</c:v>
                </c:pt>
                <c:pt idx="2">
                  <c:v>4.9400000000000004</c:v>
                </c:pt>
                <c:pt idx="3">
                  <c:v>4.9000000000000004</c:v>
                </c:pt>
                <c:pt idx="4">
                  <c:v>4.6500000000000004</c:v>
                </c:pt>
                <c:pt idx="5">
                  <c:v>4.24</c:v>
                </c:pt>
                <c:pt idx="6">
                  <c:v>4.38</c:v>
                </c:pt>
                <c:pt idx="7">
                  <c:v>3.14</c:v>
                </c:pt>
                <c:pt idx="8">
                  <c:v>3.71</c:v>
                </c:pt>
                <c:pt idx="9">
                  <c:v>2.52</c:v>
                </c:pt>
                <c:pt idx="10">
                  <c:v>2.34</c:v>
                </c:pt>
              </c:numCache>
            </c:numRef>
          </c:val>
        </c:ser>
        <c:ser>
          <c:idx val="1"/>
          <c:order val="1"/>
          <c:tx>
            <c:strRef>
              <c:f>'components nominal'!$D$10</c:f>
              <c:strCache>
                <c:ptCount val="1"/>
                <c:pt idx="0">
                  <c:v>Component exports</c:v>
                </c:pt>
              </c:strCache>
            </c:strRef>
          </c:tx>
          <c:spPr>
            <a:solidFill>
              <a:schemeClr val="accent1"/>
            </a:solidFill>
          </c:spPr>
          <c:invertIfNegative val="0"/>
          <c:cat>
            <c:numRef>
              <c:f>'components nominal'!$C$24:$C$34</c:f>
              <c:numCache>
                <c:formatCode>General</c:formatCode>
                <c:ptCount val="11"/>
                <c:pt idx="0">
                  <c:v>2002</c:v>
                </c:pt>
                <c:pt idx="1">
                  <c:v>2003</c:v>
                </c:pt>
                <c:pt idx="2">
                  <c:v>2004</c:v>
                </c:pt>
                <c:pt idx="3">
                  <c:v>2005</c:v>
                </c:pt>
                <c:pt idx="4">
                  <c:v>2006</c:v>
                </c:pt>
                <c:pt idx="5">
                  <c:v>2007</c:v>
                </c:pt>
                <c:pt idx="6">
                  <c:v>2008</c:v>
                </c:pt>
                <c:pt idx="7">
                  <c:v>2009</c:v>
                </c:pt>
                <c:pt idx="8">
                  <c:v>2010</c:v>
                </c:pt>
                <c:pt idx="9">
                  <c:v>2011</c:v>
                </c:pt>
                <c:pt idx="10">
                  <c:v>2012</c:v>
                </c:pt>
              </c:numCache>
            </c:numRef>
          </c:cat>
          <c:val>
            <c:numRef>
              <c:f>'components nominal'!$D$24:$D$34</c:f>
              <c:numCache>
                <c:formatCode>General</c:formatCode>
                <c:ptCount val="11"/>
                <c:pt idx="0">
                  <c:v>1.71</c:v>
                </c:pt>
                <c:pt idx="1">
                  <c:v>1.71</c:v>
                </c:pt>
                <c:pt idx="2">
                  <c:v>1.64</c:v>
                </c:pt>
                <c:pt idx="3">
                  <c:v>1.68</c:v>
                </c:pt>
                <c:pt idx="4">
                  <c:v>1.8</c:v>
                </c:pt>
                <c:pt idx="5">
                  <c:v>1.83</c:v>
                </c:pt>
                <c:pt idx="6">
                  <c:v>1.72</c:v>
                </c:pt>
                <c:pt idx="7">
                  <c:v>1.23</c:v>
                </c:pt>
                <c:pt idx="8">
                  <c:v>1.46</c:v>
                </c:pt>
                <c:pt idx="9">
                  <c:v>1.58</c:v>
                </c:pt>
                <c:pt idx="10">
                  <c:v>1.57</c:v>
                </c:pt>
              </c:numCache>
            </c:numRef>
          </c:val>
        </c:ser>
        <c:ser>
          <c:idx val="2"/>
          <c:order val="2"/>
          <c:tx>
            <c:strRef>
              <c:f>'components nominal'!$E$10</c:f>
              <c:strCache>
                <c:ptCount val="1"/>
                <c:pt idx="0">
                  <c:v>Component imports</c:v>
                </c:pt>
              </c:strCache>
            </c:strRef>
          </c:tx>
          <c:spPr>
            <a:solidFill>
              <a:srgbClr val="344893"/>
            </a:solidFill>
          </c:spPr>
          <c:invertIfNegative val="0"/>
          <c:cat>
            <c:numRef>
              <c:f>'components nominal'!$C$24:$C$34</c:f>
              <c:numCache>
                <c:formatCode>General</c:formatCode>
                <c:ptCount val="11"/>
                <c:pt idx="0">
                  <c:v>2002</c:v>
                </c:pt>
                <c:pt idx="1">
                  <c:v>2003</c:v>
                </c:pt>
                <c:pt idx="2">
                  <c:v>2004</c:v>
                </c:pt>
                <c:pt idx="3">
                  <c:v>2005</c:v>
                </c:pt>
                <c:pt idx="4">
                  <c:v>2006</c:v>
                </c:pt>
                <c:pt idx="5">
                  <c:v>2007</c:v>
                </c:pt>
                <c:pt idx="6">
                  <c:v>2008</c:v>
                </c:pt>
                <c:pt idx="7">
                  <c:v>2009</c:v>
                </c:pt>
                <c:pt idx="8">
                  <c:v>2010</c:v>
                </c:pt>
                <c:pt idx="9">
                  <c:v>2011</c:v>
                </c:pt>
                <c:pt idx="10">
                  <c:v>2012</c:v>
                </c:pt>
              </c:numCache>
            </c:numRef>
          </c:cat>
          <c:val>
            <c:numRef>
              <c:f>'components nominal'!$E$24:$E$34</c:f>
              <c:numCache>
                <c:formatCode>0.00</c:formatCode>
                <c:ptCount val="11"/>
                <c:pt idx="0">
                  <c:v>6.32</c:v>
                </c:pt>
                <c:pt idx="1">
                  <c:v>6.48</c:v>
                </c:pt>
                <c:pt idx="2">
                  <c:v>6.48</c:v>
                </c:pt>
                <c:pt idx="3">
                  <c:v>6.67</c:v>
                </c:pt>
                <c:pt idx="4">
                  <c:v>6.73</c:v>
                </c:pt>
                <c:pt idx="5">
                  <c:v>7.24</c:v>
                </c:pt>
                <c:pt idx="6">
                  <c:v>7.61</c:v>
                </c:pt>
                <c:pt idx="7">
                  <c:v>6.48</c:v>
                </c:pt>
                <c:pt idx="8">
                  <c:v>7.47</c:v>
                </c:pt>
                <c:pt idx="9">
                  <c:v>7.84</c:v>
                </c:pt>
                <c:pt idx="10">
                  <c:v>8.4</c:v>
                </c:pt>
              </c:numCache>
            </c:numRef>
          </c:val>
        </c:ser>
        <c:dLbls>
          <c:showLegendKey val="0"/>
          <c:showVal val="0"/>
          <c:showCatName val="0"/>
          <c:showSerName val="0"/>
          <c:showPercent val="0"/>
          <c:showBubbleSize val="0"/>
        </c:dLbls>
        <c:gapWidth val="50"/>
        <c:axId val="35292288"/>
        <c:axId val="35293824"/>
      </c:barChart>
      <c:catAx>
        <c:axId val="35292288"/>
        <c:scaling>
          <c:orientation val="minMax"/>
        </c:scaling>
        <c:delete val="0"/>
        <c:axPos val="b"/>
        <c:numFmt formatCode="General" sourceLinked="1"/>
        <c:majorTickMark val="out"/>
        <c:minorTickMark val="none"/>
        <c:tickLblPos val="nextTo"/>
        <c:spPr>
          <a:ln>
            <a:noFill/>
          </a:ln>
        </c:spPr>
        <c:txPr>
          <a:bodyPr/>
          <a:lstStyle/>
          <a:p>
            <a:pPr>
              <a:defRPr sz="900"/>
            </a:pPr>
            <a:endParaRPr lang="en-US"/>
          </a:p>
        </c:txPr>
        <c:crossAx val="35293824"/>
        <c:crosses val="autoZero"/>
        <c:auto val="1"/>
        <c:lblAlgn val="ctr"/>
        <c:lblOffset val="100"/>
        <c:noMultiLvlLbl val="0"/>
      </c:catAx>
      <c:valAx>
        <c:axId val="35293824"/>
        <c:scaling>
          <c:orientation val="minMax"/>
        </c:scaling>
        <c:delete val="0"/>
        <c:axPos val="l"/>
        <c:majorGridlines/>
        <c:numFmt formatCode="General" sourceLinked="1"/>
        <c:majorTickMark val="out"/>
        <c:minorTickMark val="none"/>
        <c:tickLblPos val="nextTo"/>
        <c:spPr>
          <a:ln>
            <a:noFill/>
          </a:ln>
        </c:spPr>
        <c:txPr>
          <a:bodyPr/>
          <a:lstStyle/>
          <a:p>
            <a:pPr>
              <a:defRPr sz="1000"/>
            </a:pPr>
            <a:endParaRPr lang="en-US"/>
          </a:p>
        </c:txPr>
        <c:crossAx val="35292288"/>
        <c:crosses val="autoZero"/>
        <c:crossBetween val="between"/>
      </c:valAx>
      <c:spPr>
        <a:noFill/>
        <a:ln w="25400">
          <a:noFill/>
        </a:ln>
      </c:spPr>
    </c:plotArea>
    <c:legend>
      <c:legendPos val="r"/>
      <c:layout>
        <c:manualLayout>
          <c:xMode val="edge"/>
          <c:yMode val="edge"/>
          <c:x val="5.5166614173228344E-2"/>
          <c:y val="0.81207106718839117"/>
          <c:w val="0.90038286095055609"/>
          <c:h val="0.18477737718972162"/>
        </c:manualLayout>
      </c:layout>
      <c:overlay val="0"/>
      <c:txPr>
        <a:bodyPr/>
        <a:lstStyle/>
        <a:p>
          <a:pPr>
            <a:defRPr sz="900"/>
          </a:pPr>
          <a:endParaRPr lang="en-US"/>
        </a:p>
      </c:txPr>
    </c:legend>
    <c:plotVisOnly val="1"/>
    <c:dispBlanksAs val="gap"/>
    <c:showDLblsOverMax val="0"/>
  </c:chart>
  <c:spPr>
    <a:noFill/>
    <a:ln>
      <a:noFill/>
    </a:ln>
  </c:spPr>
  <c:externalData r:id="rId1">
    <c:autoUpdate val="0"/>
  </c:externalData>
</c:chartSpace>
</file>

<file path=word/charts/chart24.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9.5866487455197102E-2"/>
          <c:y val="5.1358641975308698E-2"/>
          <c:w val="0.85406182795698904"/>
          <c:h val="0.59737569444444505"/>
        </c:manualLayout>
      </c:layout>
      <c:barChart>
        <c:barDir val="col"/>
        <c:grouping val="clustered"/>
        <c:varyColors val="0"/>
        <c:ser>
          <c:idx val="0"/>
          <c:order val="0"/>
          <c:spPr>
            <a:solidFill>
              <a:schemeClr val="tx2"/>
            </a:solidFill>
          </c:spPr>
          <c:invertIfNegative val="0"/>
          <c:dPt>
            <c:idx val="3"/>
            <c:invertIfNegative val="0"/>
            <c:bubble3D val="0"/>
            <c:spPr>
              <a:solidFill>
                <a:schemeClr val="accent5"/>
              </a:solidFill>
            </c:spPr>
          </c:dPt>
          <c:dPt>
            <c:idx val="4"/>
            <c:invertIfNegative val="0"/>
            <c:bubble3D val="0"/>
            <c:spPr>
              <a:solidFill>
                <a:schemeClr val="accent5"/>
              </a:solidFill>
            </c:spPr>
          </c:dPt>
          <c:dPt>
            <c:idx val="6"/>
            <c:invertIfNegative val="0"/>
            <c:bubble3D val="0"/>
            <c:spPr>
              <a:solidFill>
                <a:schemeClr val="accent5"/>
              </a:solidFill>
            </c:spPr>
          </c:dPt>
          <c:cat>
            <c:strRef>
              <c:f>'Top 10'!$B$3:$B$12</c:f>
              <c:strCache>
                <c:ptCount val="10"/>
                <c:pt idx="0">
                  <c:v>Mazda3</c:v>
                </c:pt>
                <c:pt idx="1">
                  <c:v>Toyota HiLux</c:v>
                </c:pt>
                <c:pt idx="2">
                  <c:v>Toyota Corolla</c:v>
                </c:pt>
                <c:pt idx="3">
                  <c:v>Holden Commodore</c:v>
                </c:pt>
                <c:pt idx="4">
                  <c:v>Holden Cruze</c:v>
                </c:pt>
                <c:pt idx="5">
                  <c:v>Hyundai i30</c:v>
                </c:pt>
                <c:pt idx="6">
                  <c:v>Toyota Camry</c:v>
                </c:pt>
                <c:pt idx="7">
                  <c:v>Nissan Navara</c:v>
                </c:pt>
                <c:pt idx="8">
                  <c:v>Toyota Yaris</c:v>
                </c:pt>
                <c:pt idx="9">
                  <c:v>Ford Focus</c:v>
                </c:pt>
              </c:strCache>
            </c:strRef>
          </c:cat>
          <c:val>
            <c:numRef>
              <c:f>'Top 10'!$C$3:$C$12</c:f>
              <c:numCache>
                <c:formatCode>0</c:formatCode>
                <c:ptCount val="10"/>
                <c:pt idx="0">
                  <c:v>44128</c:v>
                </c:pt>
                <c:pt idx="1">
                  <c:v>40646</c:v>
                </c:pt>
                <c:pt idx="2">
                  <c:v>38799</c:v>
                </c:pt>
                <c:pt idx="3">
                  <c:v>30532</c:v>
                </c:pt>
                <c:pt idx="4">
                  <c:v>29161</c:v>
                </c:pt>
                <c:pt idx="5">
                  <c:v>28348</c:v>
                </c:pt>
                <c:pt idx="6">
                  <c:v>27230</c:v>
                </c:pt>
                <c:pt idx="7">
                  <c:v>26045</c:v>
                </c:pt>
                <c:pt idx="8">
                  <c:v>18808</c:v>
                </c:pt>
                <c:pt idx="9">
                  <c:v>18586</c:v>
                </c:pt>
              </c:numCache>
            </c:numRef>
          </c:val>
        </c:ser>
        <c:dLbls>
          <c:showLegendKey val="0"/>
          <c:showVal val="0"/>
          <c:showCatName val="0"/>
          <c:showSerName val="0"/>
          <c:showPercent val="0"/>
          <c:showBubbleSize val="0"/>
        </c:dLbls>
        <c:gapWidth val="50"/>
        <c:axId val="35318784"/>
        <c:axId val="35328768"/>
      </c:barChart>
      <c:catAx>
        <c:axId val="35318784"/>
        <c:scaling>
          <c:orientation val="minMax"/>
        </c:scaling>
        <c:delete val="0"/>
        <c:axPos val="b"/>
        <c:majorTickMark val="out"/>
        <c:minorTickMark val="none"/>
        <c:tickLblPos val="nextTo"/>
        <c:spPr>
          <a:ln>
            <a:noFill/>
          </a:ln>
        </c:spPr>
        <c:txPr>
          <a:bodyPr rot="-5400000" vert="horz"/>
          <a:lstStyle/>
          <a:p>
            <a:pPr>
              <a:defRPr/>
            </a:pPr>
            <a:endParaRPr lang="en-US"/>
          </a:p>
        </c:txPr>
        <c:crossAx val="35328768"/>
        <c:crosses val="autoZero"/>
        <c:auto val="1"/>
        <c:lblAlgn val="ctr"/>
        <c:lblOffset val="100"/>
        <c:noMultiLvlLbl val="0"/>
      </c:catAx>
      <c:valAx>
        <c:axId val="35328768"/>
        <c:scaling>
          <c:orientation val="minMax"/>
        </c:scaling>
        <c:delete val="0"/>
        <c:axPos val="l"/>
        <c:majorGridlines/>
        <c:numFmt formatCode="0" sourceLinked="1"/>
        <c:majorTickMark val="out"/>
        <c:minorTickMark val="none"/>
        <c:tickLblPos val="nextTo"/>
        <c:spPr>
          <a:ln>
            <a:noFill/>
          </a:ln>
        </c:spPr>
        <c:crossAx val="35318784"/>
        <c:crosses val="autoZero"/>
        <c:crossBetween val="between"/>
        <c:majorUnit val="10000"/>
        <c:dispUnits>
          <c:builtInUnit val="thousands"/>
          <c:dispUnitsLbl>
            <c:layout>
              <c:manualLayout>
                <c:xMode val="edge"/>
                <c:yMode val="edge"/>
                <c:x val="7.0609318996415803E-3"/>
                <c:y val="0.231616666666667"/>
              </c:manualLayout>
            </c:layout>
            <c:tx>
              <c:rich>
                <a:bodyPr/>
                <a:lstStyle/>
                <a:p>
                  <a:pPr>
                    <a:defRPr/>
                  </a:pPr>
                  <a:r>
                    <a:rPr lang="en-AU"/>
                    <a:t>Vehicles ('000)</a:t>
                  </a:r>
                </a:p>
              </c:rich>
            </c:tx>
          </c:dispUnitsLbl>
        </c:dispUnits>
      </c:valAx>
    </c:plotArea>
    <c:plotVisOnly val="1"/>
    <c:dispBlanksAs val="gap"/>
    <c:showDLblsOverMax val="0"/>
  </c:chart>
  <c:spPr>
    <a:ln>
      <a:noFill/>
    </a:ln>
  </c:spPr>
  <c:externalData r:id="rId1">
    <c:autoUpdate val="0"/>
  </c:externalData>
</c:chartSpace>
</file>

<file path=word/charts/chart25.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11162222222222"/>
          <c:y val="4.3519135802469099E-2"/>
          <c:w val="0.86531925925925901"/>
          <c:h val="0.78407273305766678"/>
        </c:manualLayout>
      </c:layout>
      <c:barChart>
        <c:barDir val="col"/>
        <c:grouping val="stacked"/>
        <c:varyColors val="0"/>
        <c:ser>
          <c:idx val="0"/>
          <c:order val="0"/>
          <c:tx>
            <c:strRef>
              <c:f>'Sales by segment'!$B$3</c:f>
              <c:strCache>
                <c:ptCount val="1"/>
                <c:pt idx="0">
                  <c:v>Light and small</c:v>
                </c:pt>
              </c:strCache>
            </c:strRef>
          </c:tx>
          <c:spPr>
            <a:solidFill>
              <a:schemeClr val="tx2"/>
            </a:solidFill>
            <a:ln>
              <a:noFill/>
            </a:ln>
          </c:spPr>
          <c:invertIfNegative val="0"/>
          <c:cat>
            <c:numRef>
              <c:f>'Sales by segment'!$A$4:$A$25</c:f>
              <c:numCache>
                <c:formatCode>General</c:formatCode>
                <c:ptCount val="22"/>
                <c:pt idx="0">
                  <c:v>1991</c:v>
                </c:pt>
                <c:pt idx="1">
                  <c:v>1992</c:v>
                </c:pt>
                <c:pt idx="2">
                  <c:v>1993</c:v>
                </c:pt>
                <c:pt idx="3">
                  <c:v>1994</c:v>
                </c:pt>
                <c:pt idx="4">
                  <c:v>1995</c:v>
                </c:pt>
                <c:pt idx="5">
                  <c:v>1996</c:v>
                </c:pt>
                <c:pt idx="6">
                  <c:v>1997</c:v>
                </c:pt>
                <c:pt idx="7">
                  <c:v>1998</c:v>
                </c:pt>
                <c:pt idx="8">
                  <c:v>1999</c:v>
                </c:pt>
                <c:pt idx="9">
                  <c:v>2000</c:v>
                </c:pt>
                <c:pt idx="10">
                  <c:v>2001</c:v>
                </c:pt>
                <c:pt idx="11">
                  <c:v>2002</c:v>
                </c:pt>
                <c:pt idx="12">
                  <c:v>2003</c:v>
                </c:pt>
                <c:pt idx="13">
                  <c:v>2004</c:v>
                </c:pt>
                <c:pt idx="14">
                  <c:v>2005</c:v>
                </c:pt>
                <c:pt idx="15">
                  <c:v>2006</c:v>
                </c:pt>
                <c:pt idx="16">
                  <c:v>2007</c:v>
                </c:pt>
                <c:pt idx="17">
                  <c:v>2008</c:v>
                </c:pt>
                <c:pt idx="18">
                  <c:v>2009</c:v>
                </c:pt>
                <c:pt idx="19">
                  <c:v>2010</c:v>
                </c:pt>
                <c:pt idx="20">
                  <c:v>2011</c:v>
                </c:pt>
                <c:pt idx="21">
                  <c:v>2012</c:v>
                </c:pt>
              </c:numCache>
            </c:numRef>
          </c:cat>
          <c:val>
            <c:numRef>
              <c:f>'Sales by segment'!$B$4:$B$25</c:f>
              <c:numCache>
                <c:formatCode>General</c:formatCode>
                <c:ptCount val="22"/>
                <c:pt idx="0">
                  <c:v>141467</c:v>
                </c:pt>
                <c:pt idx="1">
                  <c:v>138050</c:v>
                </c:pt>
                <c:pt idx="2">
                  <c:v>135422</c:v>
                </c:pt>
                <c:pt idx="3">
                  <c:v>146508</c:v>
                </c:pt>
                <c:pt idx="4">
                  <c:v>173384</c:v>
                </c:pt>
                <c:pt idx="5">
                  <c:v>184872</c:v>
                </c:pt>
                <c:pt idx="6">
                  <c:v>229676</c:v>
                </c:pt>
                <c:pt idx="7">
                  <c:v>253186</c:v>
                </c:pt>
                <c:pt idx="8">
                  <c:v>232283</c:v>
                </c:pt>
                <c:pt idx="9">
                  <c:v>248003</c:v>
                </c:pt>
                <c:pt idx="10">
                  <c:v>232547</c:v>
                </c:pt>
                <c:pt idx="11">
                  <c:v>237803</c:v>
                </c:pt>
                <c:pt idx="12">
                  <c:v>257939</c:v>
                </c:pt>
                <c:pt idx="13">
                  <c:v>270028</c:v>
                </c:pt>
                <c:pt idx="14">
                  <c:v>313903</c:v>
                </c:pt>
                <c:pt idx="15">
                  <c:v>335444</c:v>
                </c:pt>
                <c:pt idx="16">
                  <c:v>360279</c:v>
                </c:pt>
                <c:pt idx="17">
                  <c:v>355063</c:v>
                </c:pt>
                <c:pt idx="18">
                  <c:v>330448</c:v>
                </c:pt>
                <c:pt idx="19">
                  <c:v>377014</c:v>
                </c:pt>
                <c:pt idx="20">
                  <c:v>376532</c:v>
                </c:pt>
                <c:pt idx="21">
                  <c:v>389773</c:v>
                </c:pt>
              </c:numCache>
            </c:numRef>
          </c:val>
        </c:ser>
        <c:ser>
          <c:idx val="1"/>
          <c:order val="1"/>
          <c:tx>
            <c:strRef>
              <c:f>'Sales by segment'!$C$3</c:f>
              <c:strCache>
                <c:ptCount val="1"/>
                <c:pt idx="0">
                  <c:v>Medium</c:v>
                </c:pt>
              </c:strCache>
            </c:strRef>
          </c:tx>
          <c:spPr>
            <a:solidFill>
              <a:schemeClr val="accent2"/>
            </a:solidFill>
            <a:ln>
              <a:noFill/>
            </a:ln>
          </c:spPr>
          <c:invertIfNegative val="0"/>
          <c:cat>
            <c:numRef>
              <c:f>'Sales by segment'!$A$4:$A$25</c:f>
              <c:numCache>
                <c:formatCode>General</c:formatCode>
                <c:ptCount val="22"/>
                <c:pt idx="0">
                  <c:v>1991</c:v>
                </c:pt>
                <c:pt idx="1">
                  <c:v>1992</c:v>
                </c:pt>
                <c:pt idx="2">
                  <c:v>1993</c:v>
                </c:pt>
                <c:pt idx="3">
                  <c:v>1994</c:v>
                </c:pt>
                <c:pt idx="4">
                  <c:v>1995</c:v>
                </c:pt>
                <c:pt idx="5">
                  <c:v>1996</c:v>
                </c:pt>
                <c:pt idx="6">
                  <c:v>1997</c:v>
                </c:pt>
                <c:pt idx="7">
                  <c:v>1998</c:v>
                </c:pt>
                <c:pt idx="8">
                  <c:v>1999</c:v>
                </c:pt>
                <c:pt idx="9">
                  <c:v>2000</c:v>
                </c:pt>
                <c:pt idx="10">
                  <c:v>2001</c:v>
                </c:pt>
                <c:pt idx="11">
                  <c:v>2002</c:v>
                </c:pt>
                <c:pt idx="12">
                  <c:v>2003</c:v>
                </c:pt>
                <c:pt idx="13">
                  <c:v>2004</c:v>
                </c:pt>
                <c:pt idx="14">
                  <c:v>2005</c:v>
                </c:pt>
                <c:pt idx="15">
                  <c:v>2006</c:v>
                </c:pt>
                <c:pt idx="16">
                  <c:v>2007</c:v>
                </c:pt>
                <c:pt idx="17">
                  <c:v>2008</c:v>
                </c:pt>
                <c:pt idx="18">
                  <c:v>2009</c:v>
                </c:pt>
                <c:pt idx="19">
                  <c:v>2010</c:v>
                </c:pt>
                <c:pt idx="20">
                  <c:v>2011</c:v>
                </c:pt>
                <c:pt idx="21">
                  <c:v>2012</c:v>
                </c:pt>
              </c:numCache>
            </c:numRef>
          </c:cat>
          <c:val>
            <c:numRef>
              <c:f>'Sales by segment'!$C$4:$C$25</c:f>
              <c:numCache>
                <c:formatCode>General</c:formatCode>
                <c:ptCount val="22"/>
                <c:pt idx="0">
                  <c:v>100107</c:v>
                </c:pt>
                <c:pt idx="1">
                  <c:v>101316</c:v>
                </c:pt>
                <c:pt idx="2">
                  <c:v>89231</c:v>
                </c:pt>
                <c:pt idx="3">
                  <c:v>92401</c:v>
                </c:pt>
                <c:pt idx="4">
                  <c:v>79011</c:v>
                </c:pt>
                <c:pt idx="5">
                  <c:v>65292</c:v>
                </c:pt>
                <c:pt idx="6">
                  <c:v>66715</c:v>
                </c:pt>
                <c:pt idx="7">
                  <c:v>69545</c:v>
                </c:pt>
                <c:pt idx="8">
                  <c:v>64871</c:v>
                </c:pt>
                <c:pt idx="9">
                  <c:v>61538</c:v>
                </c:pt>
                <c:pt idx="10">
                  <c:v>63729</c:v>
                </c:pt>
                <c:pt idx="11">
                  <c:v>64870</c:v>
                </c:pt>
                <c:pt idx="12">
                  <c:v>75640</c:v>
                </c:pt>
                <c:pt idx="13">
                  <c:v>81609</c:v>
                </c:pt>
                <c:pt idx="14">
                  <c:v>85421</c:v>
                </c:pt>
                <c:pt idx="15">
                  <c:v>87025</c:v>
                </c:pt>
                <c:pt idx="16">
                  <c:v>92066</c:v>
                </c:pt>
                <c:pt idx="17">
                  <c:v>86819</c:v>
                </c:pt>
                <c:pt idx="18">
                  <c:v>76638</c:v>
                </c:pt>
                <c:pt idx="19">
                  <c:v>82622</c:v>
                </c:pt>
                <c:pt idx="20">
                  <c:v>75984</c:v>
                </c:pt>
                <c:pt idx="21">
                  <c:v>87674</c:v>
                </c:pt>
              </c:numCache>
            </c:numRef>
          </c:val>
        </c:ser>
        <c:ser>
          <c:idx val="2"/>
          <c:order val="2"/>
          <c:tx>
            <c:strRef>
              <c:f>'Sales by segment'!$D$3</c:f>
              <c:strCache>
                <c:ptCount val="1"/>
                <c:pt idx="0">
                  <c:v>Large</c:v>
                </c:pt>
              </c:strCache>
            </c:strRef>
          </c:tx>
          <c:spPr>
            <a:solidFill>
              <a:schemeClr val="accent1"/>
            </a:solidFill>
            <a:ln>
              <a:noFill/>
            </a:ln>
          </c:spPr>
          <c:invertIfNegative val="0"/>
          <c:cat>
            <c:numRef>
              <c:f>'Sales by segment'!$A$4:$A$25</c:f>
              <c:numCache>
                <c:formatCode>General</c:formatCode>
                <c:ptCount val="22"/>
                <c:pt idx="0">
                  <c:v>1991</c:v>
                </c:pt>
                <c:pt idx="1">
                  <c:v>1992</c:v>
                </c:pt>
                <c:pt idx="2">
                  <c:v>1993</c:v>
                </c:pt>
                <c:pt idx="3">
                  <c:v>1994</c:v>
                </c:pt>
                <c:pt idx="4">
                  <c:v>1995</c:v>
                </c:pt>
                <c:pt idx="5">
                  <c:v>1996</c:v>
                </c:pt>
                <c:pt idx="6">
                  <c:v>1997</c:v>
                </c:pt>
                <c:pt idx="7">
                  <c:v>1998</c:v>
                </c:pt>
                <c:pt idx="8">
                  <c:v>1999</c:v>
                </c:pt>
                <c:pt idx="9">
                  <c:v>2000</c:v>
                </c:pt>
                <c:pt idx="10">
                  <c:v>2001</c:v>
                </c:pt>
                <c:pt idx="11">
                  <c:v>2002</c:v>
                </c:pt>
                <c:pt idx="12">
                  <c:v>2003</c:v>
                </c:pt>
                <c:pt idx="13">
                  <c:v>2004</c:v>
                </c:pt>
                <c:pt idx="14">
                  <c:v>2005</c:v>
                </c:pt>
                <c:pt idx="15">
                  <c:v>2006</c:v>
                </c:pt>
                <c:pt idx="16">
                  <c:v>2007</c:v>
                </c:pt>
                <c:pt idx="17">
                  <c:v>2008</c:v>
                </c:pt>
                <c:pt idx="18">
                  <c:v>2009</c:v>
                </c:pt>
                <c:pt idx="19">
                  <c:v>2010</c:v>
                </c:pt>
                <c:pt idx="20">
                  <c:v>2011</c:v>
                </c:pt>
                <c:pt idx="21">
                  <c:v>2012</c:v>
                </c:pt>
              </c:numCache>
            </c:numRef>
          </c:cat>
          <c:val>
            <c:numRef>
              <c:f>'Sales by segment'!$D$4:$D$25</c:f>
              <c:numCache>
                <c:formatCode>General</c:formatCode>
                <c:ptCount val="22"/>
                <c:pt idx="0">
                  <c:v>118813</c:v>
                </c:pt>
                <c:pt idx="1">
                  <c:v>136468</c:v>
                </c:pt>
                <c:pt idx="2">
                  <c:v>160829</c:v>
                </c:pt>
                <c:pt idx="3">
                  <c:v>190694</c:v>
                </c:pt>
                <c:pt idx="4">
                  <c:v>204724</c:v>
                </c:pt>
                <c:pt idx="5">
                  <c:v>213304</c:v>
                </c:pt>
                <c:pt idx="6">
                  <c:v>210903</c:v>
                </c:pt>
                <c:pt idx="7">
                  <c:v>230745</c:v>
                </c:pt>
                <c:pt idx="8">
                  <c:v>217815</c:v>
                </c:pt>
                <c:pt idx="9">
                  <c:v>207391</c:v>
                </c:pt>
                <c:pt idx="10">
                  <c:v>195759</c:v>
                </c:pt>
                <c:pt idx="11">
                  <c:v>194243</c:v>
                </c:pt>
                <c:pt idx="12">
                  <c:v>211592</c:v>
                </c:pt>
                <c:pt idx="13">
                  <c:v>194756</c:v>
                </c:pt>
                <c:pt idx="14">
                  <c:v>167304</c:v>
                </c:pt>
                <c:pt idx="15">
                  <c:v>136280</c:v>
                </c:pt>
                <c:pt idx="16">
                  <c:v>139372</c:v>
                </c:pt>
                <c:pt idx="17">
                  <c:v>119339</c:v>
                </c:pt>
                <c:pt idx="18">
                  <c:v>101701</c:v>
                </c:pt>
                <c:pt idx="19">
                  <c:v>98583</c:v>
                </c:pt>
                <c:pt idx="20">
                  <c:v>78077</c:v>
                </c:pt>
                <c:pt idx="21">
                  <c:v>63096</c:v>
                </c:pt>
              </c:numCache>
            </c:numRef>
          </c:val>
        </c:ser>
        <c:ser>
          <c:idx val="8"/>
          <c:order val="3"/>
          <c:tx>
            <c:strRef>
              <c:f>'Sales by segment'!$J$3</c:f>
              <c:strCache>
                <c:ptCount val="1"/>
                <c:pt idx="0">
                  <c:v>SUVs</c:v>
                </c:pt>
              </c:strCache>
            </c:strRef>
          </c:tx>
          <c:spPr>
            <a:pattFill prst="wdUpDiag">
              <a:fgClr>
                <a:schemeClr val="bg2"/>
              </a:fgClr>
              <a:bgClr>
                <a:schemeClr val="accent5"/>
              </a:bgClr>
            </a:pattFill>
          </c:spPr>
          <c:invertIfNegative val="0"/>
          <c:cat>
            <c:numRef>
              <c:f>'Sales by segment'!$A$4:$A$25</c:f>
              <c:numCache>
                <c:formatCode>General</c:formatCode>
                <c:ptCount val="22"/>
                <c:pt idx="0">
                  <c:v>1991</c:v>
                </c:pt>
                <c:pt idx="1">
                  <c:v>1992</c:v>
                </c:pt>
                <c:pt idx="2">
                  <c:v>1993</c:v>
                </c:pt>
                <c:pt idx="3">
                  <c:v>1994</c:v>
                </c:pt>
                <c:pt idx="4">
                  <c:v>1995</c:v>
                </c:pt>
                <c:pt idx="5">
                  <c:v>1996</c:v>
                </c:pt>
                <c:pt idx="6">
                  <c:v>1997</c:v>
                </c:pt>
                <c:pt idx="7">
                  <c:v>1998</c:v>
                </c:pt>
                <c:pt idx="8">
                  <c:v>1999</c:v>
                </c:pt>
                <c:pt idx="9">
                  <c:v>2000</c:v>
                </c:pt>
                <c:pt idx="10">
                  <c:v>2001</c:v>
                </c:pt>
                <c:pt idx="11">
                  <c:v>2002</c:v>
                </c:pt>
                <c:pt idx="12">
                  <c:v>2003</c:v>
                </c:pt>
                <c:pt idx="13">
                  <c:v>2004</c:v>
                </c:pt>
                <c:pt idx="14">
                  <c:v>2005</c:v>
                </c:pt>
                <c:pt idx="15">
                  <c:v>2006</c:v>
                </c:pt>
                <c:pt idx="16">
                  <c:v>2007</c:v>
                </c:pt>
                <c:pt idx="17">
                  <c:v>2008</c:v>
                </c:pt>
                <c:pt idx="18">
                  <c:v>2009</c:v>
                </c:pt>
                <c:pt idx="19">
                  <c:v>2010</c:v>
                </c:pt>
                <c:pt idx="20">
                  <c:v>2011</c:v>
                </c:pt>
                <c:pt idx="21">
                  <c:v>2012</c:v>
                </c:pt>
              </c:numCache>
            </c:numRef>
          </c:cat>
          <c:val>
            <c:numRef>
              <c:f>'Sales by segment'!$J$4:$J$25</c:f>
              <c:numCache>
                <c:formatCode>General</c:formatCode>
                <c:ptCount val="22"/>
                <c:pt idx="0">
                  <c:v>35272</c:v>
                </c:pt>
                <c:pt idx="1">
                  <c:v>42229</c:v>
                </c:pt>
                <c:pt idx="2">
                  <c:v>46433</c:v>
                </c:pt>
                <c:pt idx="3">
                  <c:v>45533</c:v>
                </c:pt>
                <c:pt idx="4">
                  <c:v>45706</c:v>
                </c:pt>
                <c:pt idx="5">
                  <c:v>50269</c:v>
                </c:pt>
                <c:pt idx="6">
                  <c:v>71268</c:v>
                </c:pt>
                <c:pt idx="7">
                  <c:v>96551</c:v>
                </c:pt>
                <c:pt idx="8">
                  <c:v>104055</c:v>
                </c:pt>
                <c:pt idx="9">
                  <c:v>105510</c:v>
                </c:pt>
                <c:pt idx="10">
                  <c:v>116236</c:v>
                </c:pt>
                <c:pt idx="11">
                  <c:v>138064</c:v>
                </c:pt>
                <c:pt idx="12">
                  <c:v>150578</c:v>
                </c:pt>
                <c:pt idx="13">
                  <c:v>173087</c:v>
                </c:pt>
                <c:pt idx="14">
                  <c:v>180292</c:v>
                </c:pt>
                <c:pt idx="15">
                  <c:v>171090</c:v>
                </c:pt>
                <c:pt idx="16">
                  <c:v>198481</c:v>
                </c:pt>
                <c:pt idx="17">
                  <c:v>194825</c:v>
                </c:pt>
                <c:pt idx="18">
                  <c:v>188756</c:v>
                </c:pt>
                <c:pt idx="19">
                  <c:v>236513</c:v>
                </c:pt>
                <c:pt idx="20">
                  <c:v>245152</c:v>
                </c:pt>
                <c:pt idx="21">
                  <c:v>307253</c:v>
                </c:pt>
              </c:numCache>
            </c:numRef>
          </c:val>
        </c:ser>
        <c:ser>
          <c:idx val="11"/>
          <c:order val="4"/>
          <c:tx>
            <c:strRef>
              <c:f>'Sales by segment'!$M$3</c:f>
              <c:strCache>
                <c:ptCount val="1"/>
                <c:pt idx="0">
                  <c:v>Pickups/CC (including utes)</c:v>
                </c:pt>
              </c:strCache>
            </c:strRef>
          </c:tx>
          <c:spPr>
            <a:pattFill prst="ltDnDiag">
              <a:fgClr>
                <a:schemeClr val="accent5"/>
              </a:fgClr>
              <a:bgClr>
                <a:schemeClr val="bg1"/>
              </a:bgClr>
            </a:pattFill>
          </c:spPr>
          <c:invertIfNegative val="0"/>
          <c:cat>
            <c:numRef>
              <c:f>'Sales by segment'!$A$4:$A$25</c:f>
              <c:numCache>
                <c:formatCode>General</c:formatCode>
                <c:ptCount val="22"/>
                <c:pt idx="0">
                  <c:v>1991</c:v>
                </c:pt>
                <c:pt idx="1">
                  <c:v>1992</c:v>
                </c:pt>
                <c:pt idx="2">
                  <c:v>1993</c:v>
                </c:pt>
                <c:pt idx="3">
                  <c:v>1994</c:v>
                </c:pt>
                <c:pt idx="4">
                  <c:v>1995</c:v>
                </c:pt>
                <c:pt idx="5">
                  <c:v>1996</c:v>
                </c:pt>
                <c:pt idx="6">
                  <c:v>1997</c:v>
                </c:pt>
                <c:pt idx="7">
                  <c:v>1998</c:v>
                </c:pt>
                <c:pt idx="8">
                  <c:v>1999</c:v>
                </c:pt>
                <c:pt idx="9">
                  <c:v>2000</c:v>
                </c:pt>
                <c:pt idx="10">
                  <c:v>2001</c:v>
                </c:pt>
                <c:pt idx="11">
                  <c:v>2002</c:v>
                </c:pt>
                <c:pt idx="12">
                  <c:v>2003</c:v>
                </c:pt>
                <c:pt idx="13">
                  <c:v>2004</c:v>
                </c:pt>
                <c:pt idx="14">
                  <c:v>2005</c:v>
                </c:pt>
                <c:pt idx="15">
                  <c:v>2006</c:v>
                </c:pt>
                <c:pt idx="16">
                  <c:v>2007</c:v>
                </c:pt>
                <c:pt idx="17">
                  <c:v>2008</c:v>
                </c:pt>
                <c:pt idx="18">
                  <c:v>2009</c:v>
                </c:pt>
                <c:pt idx="19">
                  <c:v>2010</c:v>
                </c:pt>
                <c:pt idx="20">
                  <c:v>2011</c:v>
                </c:pt>
                <c:pt idx="21">
                  <c:v>2012</c:v>
                </c:pt>
              </c:numCache>
            </c:numRef>
          </c:cat>
          <c:val>
            <c:numRef>
              <c:f>'Sales by segment'!$M$4:$M$25</c:f>
              <c:numCache>
                <c:formatCode>General</c:formatCode>
                <c:ptCount val="22"/>
                <c:pt idx="0">
                  <c:v>52669</c:v>
                </c:pt>
                <c:pt idx="1">
                  <c:v>58765</c:v>
                </c:pt>
                <c:pt idx="2">
                  <c:v>60530</c:v>
                </c:pt>
                <c:pt idx="3">
                  <c:v>69615</c:v>
                </c:pt>
                <c:pt idx="4">
                  <c:v>68596</c:v>
                </c:pt>
                <c:pt idx="5">
                  <c:v>70394</c:v>
                </c:pt>
                <c:pt idx="6">
                  <c:v>72999</c:v>
                </c:pt>
                <c:pt idx="7">
                  <c:v>83893</c:v>
                </c:pt>
                <c:pt idx="8">
                  <c:v>91144</c:v>
                </c:pt>
                <c:pt idx="9">
                  <c:v>86809</c:v>
                </c:pt>
                <c:pt idx="10">
                  <c:v>89478</c:v>
                </c:pt>
                <c:pt idx="11">
                  <c:v>104035</c:v>
                </c:pt>
                <c:pt idx="12">
                  <c:v>121636</c:v>
                </c:pt>
                <c:pt idx="13">
                  <c:v>137990</c:v>
                </c:pt>
                <c:pt idx="14">
                  <c:v>142262</c:v>
                </c:pt>
                <c:pt idx="15">
                  <c:v>137184</c:v>
                </c:pt>
                <c:pt idx="16">
                  <c:v>153297</c:v>
                </c:pt>
                <c:pt idx="17">
                  <c:v>156120</c:v>
                </c:pt>
                <c:pt idx="18">
                  <c:v>153206</c:v>
                </c:pt>
                <c:pt idx="19">
                  <c:v>153008</c:v>
                </c:pt>
                <c:pt idx="20">
                  <c:v>152029</c:v>
                </c:pt>
                <c:pt idx="21">
                  <c:v>173769</c:v>
                </c:pt>
              </c:numCache>
            </c:numRef>
          </c:val>
        </c:ser>
        <c:ser>
          <c:idx val="3"/>
          <c:order val="5"/>
          <c:tx>
            <c:strRef>
              <c:f>'Sales by segment'!$R$3</c:f>
              <c:strCache>
                <c:ptCount val="1"/>
                <c:pt idx="0">
                  <c:v>Other</c:v>
                </c:pt>
              </c:strCache>
            </c:strRef>
          </c:tx>
          <c:spPr>
            <a:solidFill>
              <a:schemeClr val="accent3"/>
            </a:solidFill>
          </c:spPr>
          <c:invertIfNegative val="0"/>
          <c:cat>
            <c:numRef>
              <c:f>'Sales by segment'!$A$4:$A$25</c:f>
              <c:numCache>
                <c:formatCode>General</c:formatCode>
                <c:ptCount val="22"/>
                <c:pt idx="0">
                  <c:v>1991</c:v>
                </c:pt>
                <c:pt idx="1">
                  <c:v>1992</c:v>
                </c:pt>
                <c:pt idx="2">
                  <c:v>1993</c:v>
                </c:pt>
                <c:pt idx="3">
                  <c:v>1994</c:v>
                </c:pt>
                <c:pt idx="4">
                  <c:v>1995</c:v>
                </c:pt>
                <c:pt idx="5">
                  <c:v>1996</c:v>
                </c:pt>
                <c:pt idx="6">
                  <c:v>1997</c:v>
                </c:pt>
                <c:pt idx="7">
                  <c:v>1998</c:v>
                </c:pt>
                <c:pt idx="8">
                  <c:v>1999</c:v>
                </c:pt>
                <c:pt idx="9">
                  <c:v>2000</c:v>
                </c:pt>
                <c:pt idx="10">
                  <c:v>2001</c:v>
                </c:pt>
                <c:pt idx="11">
                  <c:v>2002</c:v>
                </c:pt>
                <c:pt idx="12">
                  <c:v>2003</c:v>
                </c:pt>
                <c:pt idx="13">
                  <c:v>2004</c:v>
                </c:pt>
                <c:pt idx="14">
                  <c:v>2005</c:v>
                </c:pt>
                <c:pt idx="15">
                  <c:v>2006</c:v>
                </c:pt>
                <c:pt idx="16">
                  <c:v>2007</c:v>
                </c:pt>
                <c:pt idx="17">
                  <c:v>2008</c:v>
                </c:pt>
                <c:pt idx="18">
                  <c:v>2009</c:v>
                </c:pt>
                <c:pt idx="19">
                  <c:v>2010</c:v>
                </c:pt>
                <c:pt idx="20">
                  <c:v>2011</c:v>
                </c:pt>
                <c:pt idx="21">
                  <c:v>2012</c:v>
                </c:pt>
              </c:numCache>
            </c:numRef>
          </c:cat>
          <c:val>
            <c:numRef>
              <c:f>'Sales by segment'!$R$4:$R$25</c:f>
              <c:numCache>
                <c:formatCode>General</c:formatCode>
                <c:ptCount val="22"/>
                <c:pt idx="0">
                  <c:v>50049</c:v>
                </c:pt>
                <c:pt idx="1">
                  <c:v>51648</c:v>
                </c:pt>
                <c:pt idx="2">
                  <c:v>48868</c:v>
                </c:pt>
                <c:pt idx="3">
                  <c:v>54075</c:v>
                </c:pt>
                <c:pt idx="4">
                  <c:v>54347</c:v>
                </c:pt>
                <c:pt idx="5">
                  <c:v>51616</c:v>
                </c:pt>
                <c:pt idx="6">
                  <c:v>55259</c:v>
                </c:pt>
                <c:pt idx="7">
                  <c:v>55153</c:v>
                </c:pt>
                <c:pt idx="8">
                  <c:v>57039</c:v>
                </c:pt>
                <c:pt idx="9">
                  <c:v>59017</c:v>
                </c:pt>
                <c:pt idx="10">
                  <c:v>55833</c:v>
                </c:pt>
                <c:pt idx="11">
                  <c:v>63584</c:v>
                </c:pt>
                <c:pt idx="12">
                  <c:v>67651</c:v>
                </c:pt>
                <c:pt idx="13">
                  <c:v>68458</c:v>
                </c:pt>
                <c:pt idx="14">
                  <c:v>66838</c:v>
                </c:pt>
                <c:pt idx="15">
                  <c:v>63133</c:v>
                </c:pt>
                <c:pt idx="16">
                  <c:v>68619</c:v>
                </c:pt>
                <c:pt idx="17">
                  <c:v>63680</c:v>
                </c:pt>
                <c:pt idx="18">
                  <c:v>58110</c:v>
                </c:pt>
                <c:pt idx="19">
                  <c:v>58599</c:v>
                </c:pt>
                <c:pt idx="20">
                  <c:v>52402</c:v>
                </c:pt>
                <c:pt idx="21">
                  <c:v>59417</c:v>
                </c:pt>
              </c:numCache>
            </c:numRef>
          </c:val>
        </c:ser>
        <c:dLbls>
          <c:showLegendKey val="0"/>
          <c:showVal val="0"/>
          <c:showCatName val="0"/>
          <c:showSerName val="0"/>
          <c:showPercent val="0"/>
          <c:showBubbleSize val="0"/>
        </c:dLbls>
        <c:gapWidth val="30"/>
        <c:overlap val="100"/>
        <c:axId val="35382400"/>
        <c:axId val="35383936"/>
      </c:barChart>
      <c:catAx>
        <c:axId val="35382400"/>
        <c:scaling>
          <c:orientation val="minMax"/>
        </c:scaling>
        <c:delete val="0"/>
        <c:axPos val="b"/>
        <c:numFmt formatCode="General" sourceLinked="1"/>
        <c:majorTickMark val="out"/>
        <c:minorTickMark val="none"/>
        <c:tickLblPos val="nextTo"/>
        <c:spPr>
          <a:ln>
            <a:noFill/>
          </a:ln>
        </c:spPr>
        <c:crossAx val="35383936"/>
        <c:crosses val="autoZero"/>
        <c:auto val="1"/>
        <c:lblAlgn val="ctr"/>
        <c:lblOffset val="100"/>
        <c:tickLblSkip val="3"/>
        <c:noMultiLvlLbl val="0"/>
      </c:catAx>
      <c:valAx>
        <c:axId val="35383936"/>
        <c:scaling>
          <c:orientation val="minMax"/>
        </c:scaling>
        <c:delete val="0"/>
        <c:axPos val="l"/>
        <c:majorGridlines/>
        <c:title>
          <c:tx>
            <c:rich>
              <a:bodyPr rot="-5400000" vert="horz"/>
              <a:lstStyle/>
              <a:p>
                <a:pPr>
                  <a:defRPr/>
                </a:pPr>
                <a:r>
                  <a:rPr lang="en-AU"/>
                  <a:t>Vehicles ('000)</a:t>
                </a:r>
              </a:p>
            </c:rich>
          </c:tx>
          <c:overlay val="0"/>
        </c:title>
        <c:numFmt formatCode="General" sourceLinked="1"/>
        <c:majorTickMark val="out"/>
        <c:minorTickMark val="none"/>
        <c:tickLblPos val="nextTo"/>
        <c:spPr>
          <a:ln>
            <a:noFill/>
          </a:ln>
        </c:spPr>
        <c:crossAx val="35382400"/>
        <c:crosses val="autoZero"/>
        <c:crossBetween val="between"/>
        <c:dispUnits>
          <c:builtInUnit val="thousands"/>
        </c:dispUnits>
      </c:valAx>
    </c:plotArea>
    <c:legend>
      <c:legendPos val="b"/>
      <c:layout>
        <c:manualLayout>
          <c:xMode val="edge"/>
          <c:yMode val="edge"/>
          <c:x val="1.114286751296634E-2"/>
          <c:y val="0.90691067575784701"/>
          <c:w val="0.97886481481481502"/>
          <c:h val="9.3089197530864198E-2"/>
        </c:manualLayout>
      </c:layout>
      <c:overlay val="0"/>
    </c:legend>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1">
    <c:autoUpdate val="0"/>
  </c:externalData>
</c:chartSpace>
</file>

<file path=word/charts/chart26.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2046912538117781"/>
          <c:y val="4.013890215211522E-2"/>
          <c:w val="0.77252403843931994"/>
          <c:h val="0.77952626367344702"/>
        </c:manualLayout>
      </c:layout>
      <c:barChart>
        <c:barDir val="col"/>
        <c:grouping val="stacked"/>
        <c:varyColors val="0"/>
        <c:ser>
          <c:idx val="0"/>
          <c:order val="0"/>
          <c:tx>
            <c:strRef>
              <c:f>'Domestic production and exports'!$C$21</c:f>
              <c:strCache>
                <c:ptCount val="1"/>
                <c:pt idx="0">
                  <c:v>Domestic market (LHS)</c:v>
                </c:pt>
              </c:strCache>
            </c:strRef>
          </c:tx>
          <c:spPr>
            <a:solidFill>
              <a:schemeClr val="tx2"/>
            </a:solidFill>
          </c:spPr>
          <c:invertIfNegative val="0"/>
          <c:cat>
            <c:numRef>
              <c:f>'Domestic production and exports'!$A$22:$A$39</c:f>
              <c:numCache>
                <c:formatCode>General</c:formatCode>
                <c:ptCount val="18"/>
                <c:pt idx="0">
                  <c:v>1995</c:v>
                </c:pt>
                <c:pt idx="1">
                  <c:v>1996</c:v>
                </c:pt>
                <c:pt idx="2">
                  <c:v>1997</c:v>
                </c:pt>
                <c:pt idx="3">
                  <c:v>1998</c:v>
                </c:pt>
                <c:pt idx="4">
                  <c:v>1999</c:v>
                </c:pt>
                <c:pt idx="5">
                  <c:v>2000</c:v>
                </c:pt>
                <c:pt idx="6">
                  <c:v>2001</c:v>
                </c:pt>
                <c:pt idx="7">
                  <c:v>2002</c:v>
                </c:pt>
                <c:pt idx="8">
                  <c:v>2003</c:v>
                </c:pt>
                <c:pt idx="9">
                  <c:v>2004</c:v>
                </c:pt>
                <c:pt idx="10">
                  <c:v>2005</c:v>
                </c:pt>
                <c:pt idx="11">
                  <c:v>2006</c:v>
                </c:pt>
                <c:pt idx="12">
                  <c:v>2007</c:v>
                </c:pt>
                <c:pt idx="13">
                  <c:v>2008</c:v>
                </c:pt>
                <c:pt idx="14">
                  <c:v>2009</c:v>
                </c:pt>
                <c:pt idx="15">
                  <c:v>2010</c:v>
                </c:pt>
                <c:pt idx="16">
                  <c:v>2011</c:v>
                </c:pt>
                <c:pt idx="17">
                  <c:v>2012</c:v>
                </c:pt>
              </c:numCache>
            </c:numRef>
          </c:cat>
          <c:val>
            <c:numRef>
              <c:f>'Domestic production and exports'!$C$22:$C$39</c:f>
              <c:numCache>
                <c:formatCode>_-* #,##0_-;\-* #,##0_-;_-* "-"??_-;_-@_-</c:formatCode>
                <c:ptCount val="18"/>
                <c:pt idx="0">
                  <c:v>288968</c:v>
                </c:pt>
                <c:pt idx="1">
                  <c:v>281576</c:v>
                </c:pt>
                <c:pt idx="2">
                  <c:v>267509</c:v>
                </c:pt>
                <c:pt idx="3">
                  <c:v>295503</c:v>
                </c:pt>
                <c:pt idx="4">
                  <c:v>264618</c:v>
                </c:pt>
                <c:pt idx="5">
                  <c:v>258668</c:v>
                </c:pt>
                <c:pt idx="6">
                  <c:v>229513</c:v>
                </c:pt>
                <c:pt idx="7">
                  <c:v>247663</c:v>
                </c:pt>
                <c:pt idx="8">
                  <c:v>286490</c:v>
                </c:pt>
                <c:pt idx="9">
                  <c:v>276063</c:v>
                </c:pt>
                <c:pt idx="10">
                  <c:v>245799</c:v>
                </c:pt>
                <c:pt idx="11">
                  <c:v>196686</c:v>
                </c:pt>
                <c:pt idx="12">
                  <c:v>195392</c:v>
                </c:pt>
                <c:pt idx="13">
                  <c:v>162728</c:v>
                </c:pt>
                <c:pt idx="14">
                  <c:v>145343</c:v>
                </c:pt>
                <c:pt idx="15">
                  <c:v>148846</c:v>
                </c:pt>
                <c:pt idx="16">
                  <c:v>147582</c:v>
                </c:pt>
                <c:pt idx="17">
                  <c:v>131834</c:v>
                </c:pt>
              </c:numCache>
            </c:numRef>
          </c:val>
        </c:ser>
        <c:ser>
          <c:idx val="1"/>
          <c:order val="1"/>
          <c:tx>
            <c:strRef>
              <c:f>'Domestic production and exports'!$D$21</c:f>
              <c:strCache>
                <c:ptCount val="1"/>
                <c:pt idx="0">
                  <c:v>Export market (LHS)</c:v>
                </c:pt>
              </c:strCache>
            </c:strRef>
          </c:tx>
          <c:spPr>
            <a:solidFill>
              <a:schemeClr val="accent1"/>
            </a:solidFill>
          </c:spPr>
          <c:invertIfNegative val="0"/>
          <c:cat>
            <c:numRef>
              <c:f>'Domestic production and exports'!$A$22:$A$39</c:f>
              <c:numCache>
                <c:formatCode>General</c:formatCode>
                <c:ptCount val="18"/>
                <c:pt idx="0">
                  <c:v>1995</c:v>
                </c:pt>
                <c:pt idx="1">
                  <c:v>1996</c:v>
                </c:pt>
                <c:pt idx="2">
                  <c:v>1997</c:v>
                </c:pt>
                <c:pt idx="3">
                  <c:v>1998</c:v>
                </c:pt>
                <c:pt idx="4">
                  <c:v>1999</c:v>
                </c:pt>
                <c:pt idx="5">
                  <c:v>2000</c:v>
                </c:pt>
                <c:pt idx="6">
                  <c:v>2001</c:v>
                </c:pt>
                <c:pt idx="7">
                  <c:v>2002</c:v>
                </c:pt>
                <c:pt idx="8">
                  <c:v>2003</c:v>
                </c:pt>
                <c:pt idx="9">
                  <c:v>2004</c:v>
                </c:pt>
                <c:pt idx="10">
                  <c:v>2005</c:v>
                </c:pt>
                <c:pt idx="11">
                  <c:v>2006</c:v>
                </c:pt>
                <c:pt idx="12">
                  <c:v>2007</c:v>
                </c:pt>
                <c:pt idx="13">
                  <c:v>2008</c:v>
                </c:pt>
                <c:pt idx="14">
                  <c:v>2009</c:v>
                </c:pt>
                <c:pt idx="15">
                  <c:v>2010</c:v>
                </c:pt>
                <c:pt idx="16">
                  <c:v>2011</c:v>
                </c:pt>
                <c:pt idx="17">
                  <c:v>2012</c:v>
                </c:pt>
              </c:numCache>
            </c:numRef>
          </c:cat>
          <c:val>
            <c:numRef>
              <c:f>'Domestic production and exports'!$D$22:$D$39</c:f>
              <c:numCache>
                <c:formatCode>_-* #,##0_-;\-* #,##0_-;_-* "-"??_-;_-@_-</c:formatCode>
                <c:ptCount val="18"/>
                <c:pt idx="0">
                  <c:v>23940</c:v>
                </c:pt>
                <c:pt idx="1">
                  <c:v>44055</c:v>
                </c:pt>
                <c:pt idx="2">
                  <c:v>51757</c:v>
                </c:pt>
                <c:pt idx="3">
                  <c:v>58389</c:v>
                </c:pt>
                <c:pt idx="4">
                  <c:v>83205</c:v>
                </c:pt>
                <c:pt idx="5">
                  <c:v>101018</c:v>
                </c:pt>
                <c:pt idx="6">
                  <c:v>117661</c:v>
                </c:pt>
                <c:pt idx="7">
                  <c:v>112088</c:v>
                </c:pt>
                <c:pt idx="8">
                  <c:v>120178</c:v>
                </c:pt>
                <c:pt idx="9">
                  <c:v>131474</c:v>
                </c:pt>
                <c:pt idx="10">
                  <c:v>142022</c:v>
                </c:pt>
                <c:pt idx="11">
                  <c:v>132742</c:v>
                </c:pt>
                <c:pt idx="12">
                  <c:v>140233</c:v>
                </c:pt>
                <c:pt idx="13">
                  <c:v>161956</c:v>
                </c:pt>
                <c:pt idx="14">
                  <c:v>72915</c:v>
                </c:pt>
                <c:pt idx="15">
                  <c:v>94095</c:v>
                </c:pt>
                <c:pt idx="16">
                  <c:v>74375</c:v>
                </c:pt>
                <c:pt idx="17">
                  <c:v>89420</c:v>
                </c:pt>
              </c:numCache>
            </c:numRef>
          </c:val>
        </c:ser>
        <c:dLbls>
          <c:showLegendKey val="0"/>
          <c:showVal val="0"/>
          <c:showCatName val="0"/>
          <c:showSerName val="0"/>
          <c:showPercent val="0"/>
          <c:showBubbleSize val="0"/>
        </c:dLbls>
        <c:gapWidth val="50"/>
        <c:overlap val="100"/>
        <c:axId val="35419648"/>
        <c:axId val="35421184"/>
      </c:barChart>
      <c:lineChart>
        <c:grouping val="standard"/>
        <c:varyColors val="0"/>
        <c:ser>
          <c:idx val="2"/>
          <c:order val="2"/>
          <c:tx>
            <c:strRef>
              <c:f>'Domestic production and exports'!$F$21</c:f>
              <c:strCache>
                <c:ptCount val="1"/>
                <c:pt idx="0">
                  <c:v>Exchange rate (RHS)</c:v>
                </c:pt>
              </c:strCache>
            </c:strRef>
          </c:tx>
          <c:spPr>
            <a:ln>
              <a:solidFill>
                <a:schemeClr val="accent5"/>
              </a:solidFill>
            </a:ln>
          </c:spPr>
          <c:marker>
            <c:symbol val="none"/>
          </c:marker>
          <c:val>
            <c:numRef>
              <c:f>'Domestic production and exports'!$F$22:$F$39</c:f>
              <c:numCache>
                <c:formatCode>General</c:formatCode>
                <c:ptCount val="18"/>
                <c:pt idx="0">
                  <c:v>52.108333333333327</c:v>
                </c:pt>
                <c:pt idx="1">
                  <c:v>57.641666666666659</c:v>
                </c:pt>
                <c:pt idx="2">
                  <c:v>58.308333333333337</c:v>
                </c:pt>
                <c:pt idx="3">
                  <c:v>56.958333333333343</c:v>
                </c:pt>
                <c:pt idx="4">
                  <c:v>56.541666666666657</c:v>
                </c:pt>
                <c:pt idx="5">
                  <c:v>52.050000000000004</c:v>
                </c:pt>
                <c:pt idx="6">
                  <c:v>49.291666666666664</c:v>
                </c:pt>
                <c:pt idx="7">
                  <c:v>51.683333333333337</c:v>
                </c:pt>
                <c:pt idx="8">
                  <c:v>58.1</c:v>
                </c:pt>
                <c:pt idx="9">
                  <c:v>62.20000000000001</c:v>
                </c:pt>
                <c:pt idx="10">
                  <c:v>63.841666666666676</c:v>
                </c:pt>
                <c:pt idx="11">
                  <c:v>63.216666666666661</c:v>
                </c:pt>
                <c:pt idx="12">
                  <c:v>67.666666666666671</c:v>
                </c:pt>
                <c:pt idx="13">
                  <c:v>66.174999999999997</c:v>
                </c:pt>
                <c:pt idx="14">
                  <c:v>63.633333333333347</c:v>
                </c:pt>
                <c:pt idx="15">
                  <c:v>70.875</c:v>
                </c:pt>
                <c:pt idx="16">
                  <c:v>76.24166666666666</c:v>
                </c:pt>
                <c:pt idx="17">
                  <c:v>77.058333333333337</c:v>
                </c:pt>
              </c:numCache>
            </c:numRef>
          </c:val>
          <c:smooth val="0"/>
        </c:ser>
        <c:dLbls>
          <c:showLegendKey val="0"/>
          <c:showVal val="0"/>
          <c:showCatName val="0"/>
          <c:showSerName val="0"/>
          <c:showPercent val="0"/>
          <c:showBubbleSize val="0"/>
        </c:dLbls>
        <c:marker val="1"/>
        <c:smooth val="0"/>
        <c:axId val="35425280"/>
        <c:axId val="35423360"/>
      </c:lineChart>
      <c:catAx>
        <c:axId val="35419648"/>
        <c:scaling>
          <c:orientation val="minMax"/>
        </c:scaling>
        <c:delete val="0"/>
        <c:axPos val="b"/>
        <c:numFmt formatCode="General" sourceLinked="1"/>
        <c:majorTickMark val="out"/>
        <c:minorTickMark val="none"/>
        <c:tickLblPos val="nextTo"/>
        <c:spPr>
          <a:ln>
            <a:noFill/>
          </a:ln>
        </c:spPr>
        <c:txPr>
          <a:bodyPr rot="0"/>
          <a:lstStyle/>
          <a:p>
            <a:pPr>
              <a:defRPr sz="1000"/>
            </a:pPr>
            <a:endParaRPr lang="en-US"/>
          </a:p>
        </c:txPr>
        <c:crossAx val="35421184"/>
        <c:crosses val="autoZero"/>
        <c:auto val="1"/>
        <c:lblAlgn val="ctr"/>
        <c:lblOffset val="100"/>
        <c:tickLblSkip val="17"/>
        <c:noMultiLvlLbl val="0"/>
      </c:catAx>
      <c:valAx>
        <c:axId val="35421184"/>
        <c:scaling>
          <c:orientation val="minMax"/>
        </c:scaling>
        <c:delete val="0"/>
        <c:axPos val="l"/>
        <c:majorGridlines/>
        <c:numFmt formatCode="General" sourceLinked="0"/>
        <c:majorTickMark val="out"/>
        <c:minorTickMark val="none"/>
        <c:tickLblPos val="nextTo"/>
        <c:spPr>
          <a:ln>
            <a:noFill/>
          </a:ln>
        </c:spPr>
        <c:txPr>
          <a:bodyPr/>
          <a:lstStyle/>
          <a:p>
            <a:pPr>
              <a:defRPr>
                <a:solidFill>
                  <a:schemeClr val="accent2"/>
                </a:solidFill>
              </a:defRPr>
            </a:pPr>
            <a:endParaRPr lang="en-US"/>
          </a:p>
        </c:txPr>
        <c:crossAx val="35419648"/>
        <c:crosses val="autoZero"/>
        <c:crossBetween val="between"/>
        <c:dispUnits>
          <c:builtInUnit val="thousands"/>
          <c:dispUnitsLbl>
            <c:layout>
              <c:manualLayout>
                <c:xMode val="edge"/>
                <c:yMode val="edge"/>
                <c:x val="0"/>
                <c:y val="0.27385486111111113"/>
              </c:manualLayout>
            </c:layout>
            <c:tx>
              <c:rich>
                <a:bodyPr/>
                <a:lstStyle/>
                <a:p>
                  <a:pPr>
                    <a:defRPr/>
                  </a:pPr>
                  <a:r>
                    <a:rPr lang="en-AU" b="1">
                      <a:solidFill>
                        <a:schemeClr val="accent2"/>
                      </a:solidFill>
                    </a:rPr>
                    <a:t>Vehicles ('000)</a:t>
                  </a:r>
                </a:p>
              </c:rich>
            </c:tx>
          </c:dispUnitsLbl>
        </c:dispUnits>
      </c:valAx>
      <c:valAx>
        <c:axId val="35423360"/>
        <c:scaling>
          <c:orientation val="minMax"/>
        </c:scaling>
        <c:delete val="0"/>
        <c:axPos val="r"/>
        <c:title>
          <c:tx>
            <c:rich>
              <a:bodyPr rot="-5400000" vert="horz"/>
              <a:lstStyle/>
              <a:p>
                <a:pPr>
                  <a:defRPr/>
                </a:pPr>
                <a:r>
                  <a:rPr lang="en-AU">
                    <a:solidFill>
                      <a:schemeClr val="accent5"/>
                    </a:solidFill>
                  </a:rPr>
                  <a:t>Trade weighted index</a:t>
                </a:r>
                <a:r>
                  <a:rPr lang="en-AU" sz="1300" baseline="30000">
                    <a:solidFill>
                      <a:schemeClr val="accent5"/>
                    </a:solidFill>
                  </a:rPr>
                  <a:t>a</a:t>
                </a:r>
              </a:p>
            </c:rich>
          </c:tx>
          <c:layout>
            <c:manualLayout>
              <c:xMode val="edge"/>
              <c:yMode val="edge"/>
              <c:x val="0.95786384976525818"/>
              <c:y val="0.17588430585249692"/>
            </c:manualLayout>
          </c:layout>
          <c:overlay val="0"/>
        </c:title>
        <c:numFmt formatCode="General" sourceLinked="1"/>
        <c:majorTickMark val="out"/>
        <c:minorTickMark val="none"/>
        <c:tickLblPos val="nextTo"/>
        <c:spPr>
          <a:ln>
            <a:noFill/>
          </a:ln>
        </c:spPr>
        <c:txPr>
          <a:bodyPr/>
          <a:lstStyle/>
          <a:p>
            <a:pPr>
              <a:defRPr>
                <a:solidFill>
                  <a:schemeClr val="accent5"/>
                </a:solidFill>
              </a:defRPr>
            </a:pPr>
            <a:endParaRPr lang="en-US"/>
          </a:p>
        </c:txPr>
        <c:crossAx val="35425280"/>
        <c:crosses val="max"/>
        <c:crossBetween val="between"/>
      </c:valAx>
      <c:catAx>
        <c:axId val="35425280"/>
        <c:scaling>
          <c:orientation val="minMax"/>
        </c:scaling>
        <c:delete val="1"/>
        <c:axPos val="b"/>
        <c:majorTickMark val="out"/>
        <c:minorTickMark val="none"/>
        <c:tickLblPos val="nextTo"/>
        <c:crossAx val="35423360"/>
        <c:crosses val="autoZero"/>
        <c:auto val="1"/>
        <c:lblAlgn val="ctr"/>
        <c:lblOffset val="100"/>
        <c:noMultiLvlLbl val="0"/>
      </c:catAx>
    </c:plotArea>
    <c:legend>
      <c:legendPos val="b"/>
      <c:layout>
        <c:manualLayout>
          <c:xMode val="edge"/>
          <c:yMode val="edge"/>
          <c:x val="9.1549989698386566E-3"/>
          <c:y val="0.92475600968842508"/>
          <c:w val="0.96603286384976528"/>
          <c:h val="7.5244097222222223E-2"/>
        </c:manualLayout>
      </c:layout>
      <c:overlay val="0"/>
    </c:legend>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1">
    <c:autoUpdate val="0"/>
  </c:externalData>
  <c:userShapes r:id="rId2"/>
</c:chartSpace>
</file>

<file path=word/charts/chart27.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23405394265233001"/>
          <c:y val="2.28233333333333E-2"/>
          <c:w val="0.71190286738351305"/>
          <c:h val="0.85160354955630546"/>
        </c:manualLayout>
      </c:layout>
      <c:barChart>
        <c:barDir val="bar"/>
        <c:grouping val="clustered"/>
        <c:varyColors val="0"/>
        <c:ser>
          <c:idx val="1"/>
          <c:order val="0"/>
          <c:tx>
            <c:v>2002</c:v>
          </c:tx>
          <c:spPr>
            <a:solidFill>
              <a:schemeClr val="accent1"/>
            </a:solidFill>
          </c:spPr>
          <c:invertIfNegative val="0"/>
          <c:cat>
            <c:strRef>
              <c:f>'Exports by destination'!$A$6:$A$25</c:f>
              <c:strCache>
                <c:ptCount val="20"/>
                <c:pt idx="0">
                  <c:v>Saudi Arabia</c:v>
                </c:pt>
                <c:pt idx="1">
                  <c:v>New Zealand</c:v>
                </c:pt>
                <c:pt idx="2">
                  <c:v>United States</c:v>
                </c:pt>
                <c:pt idx="3">
                  <c:v>Papua New Guinea</c:v>
                </c:pt>
                <c:pt idx="4">
                  <c:v>United Arab Emirates</c:v>
                </c:pt>
                <c:pt idx="5">
                  <c:v>Korea</c:v>
                </c:pt>
                <c:pt idx="6">
                  <c:v>Kuwait</c:v>
                </c:pt>
                <c:pt idx="7">
                  <c:v>China</c:v>
                </c:pt>
                <c:pt idx="8">
                  <c:v>Oman</c:v>
                </c:pt>
                <c:pt idx="9">
                  <c:v>Indonesia</c:v>
                </c:pt>
                <c:pt idx="10">
                  <c:v>Thailand</c:v>
                </c:pt>
                <c:pt idx="11">
                  <c:v>Qatar</c:v>
                </c:pt>
                <c:pt idx="12">
                  <c:v>South Africa</c:v>
                </c:pt>
                <c:pt idx="13">
                  <c:v>United Kingdom</c:v>
                </c:pt>
                <c:pt idx="14">
                  <c:v>Japan</c:v>
                </c:pt>
                <c:pt idx="15">
                  <c:v>Singapore</c:v>
                </c:pt>
                <c:pt idx="16">
                  <c:v>Chile</c:v>
                </c:pt>
                <c:pt idx="17">
                  <c:v>Bahrain</c:v>
                </c:pt>
                <c:pt idx="18">
                  <c:v>Germany</c:v>
                </c:pt>
                <c:pt idx="19">
                  <c:v>Canada</c:v>
                </c:pt>
              </c:strCache>
            </c:strRef>
          </c:cat>
          <c:val>
            <c:numRef>
              <c:f>'Exports by destination'!$C$6:$C$25</c:f>
              <c:numCache>
                <c:formatCode>#,##0</c:formatCode>
                <c:ptCount val="20"/>
                <c:pt idx="0">
                  <c:v>1224699</c:v>
                </c:pt>
                <c:pt idx="1">
                  <c:v>712939</c:v>
                </c:pt>
                <c:pt idx="2">
                  <c:v>1059181</c:v>
                </c:pt>
                <c:pt idx="3">
                  <c:v>70457</c:v>
                </c:pt>
                <c:pt idx="4">
                  <c:v>215109</c:v>
                </c:pt>
                <c:pt idx="5">
                  <c:v>365008</c:v>
                </c:pt>
                <c:pt idx="6">
                  <c:v>238731</c:v>
                </c:pt>
                <c:pt idx="7">
                  <c:v>17229</c:v>
                </c:pt>
                <c:pt idx="8">
                  <c:v>56363</c:v>
                </c:pt>
                <c:pt idx="9">
                  <c:v>136803</c:v>
                </c:pt>
                <c:pt idx="10">
                  <c:v>23096</c:v>
                </c:pt>
                <c:pt idx="11">
                  <c:v>29172</c:v>
                </c:pt>
                <c:pt idx="12">
                  <c:v>29055</c:v>
                </c:pt>
                <c:pt idx="13">
                  <c:v>76269</c:v>
                </c:pt>
                <c:pt idx="14">
                  <c:v>163358</c:v>
                </c:pt>
                <c:pt idx="15">
                  <c:v>37993</c:v>
                </c:pt>
                <c:pt idx="16">
                  <c:v>20359</c:v>
                </c:pt>
                <c:pt idx="17">
                  <c:v>29742</c:v>
                </c:pt>
                <c:pt idx="18">
                  <c:v>33239</c:v>
                </c:pt>
                <c:pt idx="19">
                  <c:v>17874</c:v>
                </c:pt>
              </c:numCache>
            </c:numRef>
          </c:val>
        </c:ser>
        <c:ser>
          <c:idx val="0"/>
          <c:order val="1"/>
          <c:tx>
            <c:v>2012</c:v>
          </c:tx>
          <c:spPr>
            <a:solidFill>
              <a:schemeClr val="tx2"/>
            </a:solidFill>
          </c:spPr>
          <c:invertIfNegative val="0"/>
          <c:cat>
            <c:strRef>
              <c:f>'Exports by destination'!$A$6:$A$25</c:f>
              <c:strCache>
                <c:ptCount val="20"/>
                <c:pt idx="0">
                  <c:v>Saudi Arabia</c:v>
                </c:pt>
                <c:pt idx="1">
                  <c:v>New Zealand</c:v>
                </c:pt>
                <c:pt idx="2">
                  <c:v>United States</c:v>
                </c:pt>
                <c:pt idx="3">
                  <c:v>Papua New Guinea</c:v>
                </c:pt>
                <c:pt idx="4">
                  <c:v>United Arab Emirates</c:v>
                </c:pt>
                <c:pt idx="5">
                  <c:v>Korea</c:v>
                </c:pt>
                <c:pt idx="6">
                  <c:v>Kuwait</c:v>
                </c:pt>
                <c:pt idx="7">
                  <c:v>China</c:v>
                </c:pt>
                <c:pt idx="8">
                  <c:v>Oman</c:v>
                </c:pt>
                <c:pt idx="9">
                  <c:v>Indonesia</c:v>
                </c:pt>
                <c:pt idx="10">
                  <c:v>Thailand</c:v>
                </c:pt>
                <c:pt idx="11">
                  <c:v>Qatar</c:v>
                </c:pt>
                <c:pt idx="12">
                  <c:v>South Africa</c:v>
                </c:pt>
                <c:pt idx="13">
                  <c:v>United Kingdom</c:v>
                </c:pt>
                <c:pt idx="14">
                  <c:v>Japan</c:v>
                </c:pt>
                <c:pt idx="15">
                  <c:v>Singapore</c:v>
                </c:pt>
                <c:pt idx="16">
                  <c:v>Chile</c:v>
                </c:pt>
                <c:pt idx="17">
                  <c:v>Bahrain</c:v>
                </c:pt>
                <c:pt idx="18">
                  <c:v>Germany</c:v>
                </c:pt>
                <c:pt idx="19">
                  <c:v>Canada</c:v>
                </c:pt>
              </c:strCache>
            </c:strRef>
          </c:cat>
          <c:val>
            <c:numRef>
              <c:f>'Exports by destination'!$B$6:$B$25</c:f>
              <c:numCache>
                <c:formatCode>#,##0</c:formatCode>
                <c:ptCount val="20"/>
                <c:pt idx="0">
                  <c:v>811698</c:v>
                </c:pt>
                <c:pt idx="1">
                  <c:v>466004</c:v>
                </c:pt>
                <c:pt idx="2">
                  <c:v>448544</c:v>
                </c:pt>
                <c:pt idx="3">
                  <c:v>289876</c:v>
                </c:pt>
                <c:pt idx="4">
                  <c:v>251871</c:v>
                </c:pt>
                <c:pt idx="5">
                  <c:v>175176</c:v>
                </c:pt>
                <c:pt idx="6">
                  <c:v>147762</c:v>
                </c:pt>
                <c:pt idx="7">
                  <c:v>134753</c:v>
                </c:pt>
                <c:pt idx="8">
                  <c:v>115771</c:v>
                </c:pt>
                <c:pt idx="9">
                  <c:v>89291</c:v>
                </c:pt>
                <c:pt idx="10">
                  <c:v>69344</c:v>
                </c:pt>
                <c:pt idx="11">
                  <c:v>52550</c:v>
                </c:pt>
                <c:pt idx="12">
                  <c:v>51138</c:v>
                </c:pt>
                <c:pt idx="13">
                  <c:v>45240</c:v>
                </c:pt>
                <c:pt idx="14">
                  <c:v>43417</c:v>
                </c:pt>
                <c:pt idx="15">
                  <c:v>43004</c:v>
                </c:pt>
                <c:pt idx="16">
                  <c:v>38763</c:v>
                </c:pt>
                <c:pt idx="17">
                  <c:v>36443</c:v>
                </c:pt>
                <c:pt idx="18">
                  <c:v>35698</c:v>
                </c:pt>
                <c:pt idx="19">
                  <c:v>31376</c:v>
                </c:pt>
              </c:numCache>
            </c:numRef>
          </c:val>
        </c:ser>
        <c:dLbls>
          <c:showLegendKey val="0"/>
          <c:showVal val="0"/>
          <c:showCatName val="0"/>
          <c:showSerName val="0"/>
          <c:showPercent val="0"/>
          <c:showBubbleSize val="0"/>
        </c:dLbls>
        <c:gapWidth val="50"/>
        <c:axId val="35523968"/>
        <c:axId val="35533952"/>
      </c:barChart>
      <c:catAx>
        <c:axId val="35523968"/>
        <c:scaling>
          <c:orientation val="maxMin"/>
        </c:scaling>
        <c:delete val="0"/>
        <c:axPos val="l"/>
        <c:majorTickMark val="out"/>
        <c:minorTickMark val="none"/>
        <c:tickLblPos val="nextTo"/>
        <c:spPr>
          <a:ln>
            <a:noFill/>
          </a:ln>
        </c:spPr>
        <c:txPr>
          <a:bodyPr/>
          <a:lstStyle/>
          <a:p>
            <a:pPr>
              <a:defRPr sz="900"/>
            </a:pPr>
            <a:endParaRPr lang="en-US"/>
          </a:p>
        </c:txPr>
        <c:crossAx val="35533952"/>
        <c:crosses val="autoZero"/>
        <c:auto val="1"/>
        <c:lblAlgn val="ctr"/>
        <c:lblOffset val="100"/>
        <c:noMultiLvlLbl val="0"/>
      </c:catAx>
      <c:valAx>
        <c:axId val="35533952"/>
        <c:scaling>
          <c:orientation val="minMax"/>
        </c:scaling>
        <c:delete val="0"/>
        <c:axPos val="t"/>
        <c:majorGridlines/>
        <c:numFmt formatCode="0" sourceLinked="0"/>
        <c:majorTickMark val="out"/>
        <c:minorTickMark val="none"/>
        <c:tickLblPos val="high"/>
        <c:spPr>
          <a:ln>
            <a:noFill/>
          </a:ln>
        </c:spPr>
        <c:crossAx val="35523968"/>
        <c:crosses val="autoZero"/>
        <c:crossBetween val="between"/>
        <c:dispUnits>
          <c:builtInUnit val="thousands"/>
          <c:dispUnitsLbl>
            <c:layout>
              <c:manualLayout>
                <c:xMode val="edge"/>
                <c:yMode val="edge"/>
                <c:x val="0.469336917562724"/>
                <c:y val="0.94604972222222194"/>
              </c:manualLayout>
            </c:layout>
            <c:tx>
              <c:rich>
                <a:bodyPr/>
                <a:lstStyle/>
                <a:p>
                  <a:pPr>
                    <a:defRPr/>
                  </a:pPr>
                  <a:r>
                    <a:rPr lang="en-AU"/>
                    <a:t>Value (A$ million, nominal)</a:t>
                  </a:r>
                </a:p>
              </c:rich>
            </c:tx>
          </c:dispUnitsLbl>
        </c:dispUnits>
      </c:valAx>
      <c:spPr>
        <a:ln>
          <a:noFill/>
        </a:ln>
      </c:spPr>
    </c:plotArea>
    <c:legend>
      <c:legendPos val="b"/>
      <c:layout>
        <c:manualLayout>
          <c:xMode val="edge"/>
          <c:yMode val="edge"/>
          <c:x val="0.83375889041524298"/>
          <c:y val="6.9581631278274075E-2"/>
          <c:w val="0.10175495239363079"/>
          <c:h val="0.137875833333333"/>
        </c:manualLayout>
      </c:layout>
      <c:overlay val="0"/>
    </c:legend>
    <c:plotVisOnly val="1"/>
    <c:dispBlanksAs val="gap"/>
    <c:showDLblsOverMax val="0"/>
  </c:chart>
  <c:spPr>
    <a:ln>
      <a:noFill/>
    </a:ln>
  </c:spPr>
  <c:externalData r:id="rId1">
    <c:autoUpdate val="0"/>
  </c:externalData>
</c:chartSpace>
</file>

<file path=word/charts/chart28.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2319007655947259E-2"/>
          <c:y val="4.5901839720764358E-2"/>
          <c:w val="0.89480440026621588"/>
          <c:h val="0.75430295547578352"/>
        </c:manualLayout>
      </c:layout>
      <c:lineChart>
        <c:grouping val="standard"/>
        <c:varyColors val="0"/>
        <c:ser>
          <c:idx val="0"/>
          <c:order val="0"/>
          <c:tx>
            <c:strRef>
              <c:f>'Retail prices'!$B$5</c:f>
              <c:strCache>
                <c:ptCount val="1"/>
                <c:pt idx="0">
                  <c:v>Manufactured in Australia</c:v>
                </c:pt>
              </c:strCache>
            </c:strRef>
          </c:tx>
          <c:spPr>
            <a:ln>
              <a:solidFill>
                <a:srgbClr val="78A22F"/>
              </a:solidFill>
              <a:prstDash val="lgDash"/>
            </a:ln>
          </c:spPr>
          <c:marker>
            <c:symbol val="none"/>
          </c:marker>
          <c:cat>
            <c:numRef>
              <c:f>'Retail prices'!$A$6:$A$33</c:f>
              <c:numCache>
                <c:formatCode>General</c:formatCode>
                <c:ptCount val="28"/>
                <c:pt idx="0">
                  <c:v>1985</c:v>
                </c:pt>
                <c:pt idx="1">
                  <c:v>1986</c:v>
                </c:pt>
                <c:pt idx="2">
                  <c:v>1987</c:v>
                </c:pt>
                <c:pt idx="3">
                  <c:v>1988</c:v>
                </c:pt>
                <c:pt idx="4">
                  <c:v>1989</c:v>
                </c:pt>
                <c:pt idx="5">
                  <c:v>1990</c:v>
                </c:pt>
                <c:pt idx="6">
                  <c:v>1991</c:v>
                </c:pt>
                <c:pt idx="7">
                  <c:v>1992</c:v>
                </c:pt>
                <c:pt idx="8">
                  <c:v>1993</c:v>
                </c:pt>
                <c:pt idx="9">
                  <c:v>1994</c:v>
                </c:pt>
                <c:pt idx="10">
                  <c:v>1995</c:v>
                </c:pt>
                <c:pt idx="11">
                  <c:v>1996</c:v>
                </c:pt>
                <c:pt idx="12">
                  <c:v>1997</c:v>
                </c:pt>
                <c:pt idx="13">
                  <c:v>1998</c:v>
                </c:pt>
                <c:pt idx="14">
                  <c:v>1999</c:v>
                </c:pt>
                <c:pt idx="15">
                  <c:v>2000</c:v>
                </c:pt>
                <c:pt idx="16">
                  <c:v>2001</c:v>
                </c:pt>
                <c:pt idx="17">
                  <c:v>2002</c:v>
                </c:pt>
                <c:pt idx="18">
                  <c:v>2003</c:v>
                </c:pt>
                <c:pt idx="19">
                  <c:v>2004</c:v>
                </c:pt>
                <c:pt idx="20">
                  <c:v>2005</c:v>
                </c:pt>
                <c:pt idx="21">
                  <c:v>2006</c:v>
                </c:pt>
                <c:pt idx="22">
                  <c:v>2007</c:v>
                </c:pt>
                <c:pt idx="23">
                  <c:v>2008</c:v>
                </c:pt>
                <c:pt idx="24">
                  <c:v>2009</c:v>
                </c:pt>
                <c:pt idx="25">
                  <c:v>2010</c:v>
                </c:pt>
                <c:pt idx="26">
                  <c:v>2011</c:v>
                </c:pt>
                <c:pt idx="27">
                  <c:v>2012</c:v>
                </c:pt>
              </c:numCache>
            </c:numRef>
          </c:cat>
          <c:val>
            <c:numRef>
              <c:f>'Retail prices'!$B$6:$B$33</c:f>
              <c:numCache>
                <c:formatCode>General</c:formatCode>
                <c:ptCount val="28"/>
                <c:pt idx="0">
                  <c:v>48.422496570644718</c:v>
                </c:pt>
                <c:pt idx="1">
                  <c:v>56.698673982624605</c:v>
                </c:pt>
                <c:pt idx="2">
                  <c:v>65.112025605852764</c:v>
                </c:pt>
                <c:pt idx="3">
                  <c:v>70.004572473708279</c:v>
                </c:pt>
                <c:pt idx="4">
                  <c:v>73.845450388660268</c:v>
                </c:pt>
                <c:pt idx="5">
                  <c:v>78.052126200274358</c:v>
                </c:pt>
                <c:pt idx="6">
                  <c:v>82.030178326474626</c:v>
                </c:pt>
                <c:pt idx="7">
                  <c:v>82.80749885688158</c:v>
                </c:pt>
                <c:pt idx="8">
                  <c:v>89.026063100137179</c:v>
                </c:pt>
                <c:pt idx="9">
                  <c:v>92.958390489254697</c:v>
                </c:pt>
                <c:pt idx="10">
                  <c:v>97.48513946044811</c:v>
                </c:pt>
                <c:pt idx="11">
                  <c:v>99.405578417924104</c:v>
                </c:pt>
                <c:pt idx="12">
                  <c:v>100.22862368541381</c:v>
                </c:pt>
                <c:pt idx="13">
                  <c:v>100</c:v>
                </c:pt>
                <c:pt idx="14">
                  <c:v>100.45724737082762</c:v>
                </c:pt>
                <c:pt idx="15">
                  <c:v>99.95427526291725</c:v>
                </c:pt>
                <c:pt idx="16">
                  <c:v>101.60036579789667</c:v>
                </c:pt>
                <c:pt idx="17">
                  <c:v>105.89849108367628</c:v>
                </c:pt>
                <c:pt idx="18">
                  <c:v>108.68770004572474</c:v>
                </c:pt>
                <c:pt idx="19">
                  <c:v>110.28806584362141</c:v>
                </c:pt>
                <c:pt idx="20">
                  <c:v>112.11705532693188</c:v>
                </c:pt>
                <c:pt idx="21">
                  <c:v>111.43118427069045</c:v>
                </c:pt>
                <c:pt idx="22">
                  <c:v>111.24828532235941</c:v>
                </c:pt>
                <c:pt idx="23">
                  <c:v>113.80887059899406</c:v>
                </c:pt>
                <c:pt idx="24">
                  <c:v>119.75308641975307</c:v>
                </c:pt>
                <c:pt idx="25">
                  <c:v>122.63374485596708</c:v>
                </c:pt>
                <c:pt idx="26">
                  <c:v>122.26794695930498</c:v>
                </c:pt>
                <c:pt idx="27">
                  <c:v>121.39917695473251</c:v>
                </c:pt>
              </c:numCache>
            </c:numRef>
          </c:val>
          <c:smooth val="0"/>
        </c:ser>
        <c:ser>
          <c:idx val="1"/>
          <c:order val="1"/>
          <c:tx>
            <c:strRef>
              <c:f>'Retail prices'!$C$5</c:f>
              <c:strCache>
                <c:ptCount val="1"/>
                <c:pt idx="0">
                  <c:v>Imported</c:v>
                </c:pt>
              </c:strCache>
            </c:strRef>
          </c:tx>
          <c:spPr>
            <a:ln>
              <a:solidFill>
                <a:srgbClr val="344893"/>
              </a:solidFill>
              <a:prstDash val="sysDash"/>
            </a:ln>
          </c:spPr>
          <c:marker>
            <c:symbol val="none"/>
          </c:marker>
          <c:cat>
            <c:numRef>
              <c:f>'Retail prices'!$A$6:$A$33</c:f>
              <c:numCache>
                <c:formatCode>General</c:formatCode>
                <c:ptCount val="28"/>
                <c:pt idx="0">
                  <c:v>1985</c:v>
                </c:pt>
                <c:pt idx="1">
                  <c:v>1986</c:v>
                </c:pt>
                <c:pt idx="2">
                  <c:v>1987</c:v>
                </c:pt>
                <c:pt idx="3">
                  <c:v>1988</c:v>
                </c:pt>
                <c:pt idx="4">
                  <c:v>1989</c:v>
                </c:pt>
                <c:pt idx="5">
                  <c:v>1990</c:v>
                </c:pt>
                <c:pt idx="6">
                  <c:v>1991</c:v>
                </c:pt>
                <c:pt idx="7">
                  <c:v>1992</c:v>
                </c:pt>
                <c:pt idx="8">
                  <c:v>1993</c:v>
                </c:pt>
                <c:pt idx="9">
                  <c:v>1994</c:v>
                </c:pt>
                <c:pt idx="10">
                  <c:v>1995</c:v>
                </c:pt>
                <c:pt idx="11">
                  <c:v>1996</c:v>
                </c:pt>
                <c:pt idx="12">
                  <c:v>1997</c:v>
                </c:pt>
                <c:pt idx="13">
                  <c:v>1998</c:v>
                </c:pt>
                <c:pt idx="14">
                  <c:v>1999</c:v>
                </c:pt>
                <c:pt idx="15">
                  <c:v>2000</c:v>
                </c:pt>
                <c:pt idx="16">
                  <c:v>2001</c:v>
                </c:pt>
                <c:pt idx="17">
                  <c:v>2002</c:v>
                </c:pt>
                <c:pt idx="18">
                  <c:v>2003</c:v>
                </c:pt>
                <c:pt idx="19">
                  <c:v>2004</c:v>
                </c:pt>
                <c:pt idx="20">
                  <c:v>2005</c:v>
                </c:pt>
                <c:pt idx="21">
                  <c:v>2006</c:v>
                </c:pt>
                <c:pt idx="22">
                  <c:v>2007</c:v>
                </c:pt>
                <c:pt idx="23">
                  <c:v>2008</c:v>
                </c:pt>
                <c:pt idx="24">
                  <c:v>2009</c:v>
                </c:pt>
                <c:pt idx="25">
                  <c:v>2010</c:v>
                </c:pt>
                <c:pt idx="26">
                  <c:v>2011</c:v>
                </c:pt>
                <c:pt idx="27">
                  <c:v>2012</c:v>
                </c:pt>
              </c:numCache>
            </c:numRef>
          </c:cat>
          <c:val>
            <c:numRef>
              <c:f>'Retail prices'!$C$6:$C$33</c:f>
              <c:numCache>
                <c:formatCode>General</c:formatCode>
                <c:ptCount val="28"/>
                <c:pt idx="0">
                  <c:v>48.38850174216028</c:v>
                </c:pt>
                <c:pt idx="1">
                  <c:v>58.710801393728232</c:v>
                </c:pt>
                <c:pt idx="2">
                  <c:v>70.775261324041807</c:v>
                </c:pt>
                <c:pt idx="3">
                  <c:v>77.569686411149831</c:v>
                </c:pt>
                <c:pt idx="4">
                  <c:v>80.70557491289199</c:v>
                </c:pt>
                <c:pt idx="5">
                  <c:v>82.839721254355396</c:v>
                </c:pt>
                <c:pt idx="6">
                  <c:v>84.756097560975618</c:v>
                </c:pt>
                <c:pt idx="7">
                  <c:v>85.757839721254356</c:v>
                </c:pt>
                <c:pt idx="8">
                  <c:v>93.98954703832753</c:v>
                </c:pt>
                <c:pt idx="9">
                  <c:v>99.433797909407673</c:v>
                </c:pt>
                <c:pt idx="10">
                  <c:v>104.18118466898954</c:v>
                </c:pt>
                <c:pt idx="11">
                  <c:v>105.35714285714286</c:v>
                </c:pt>
                <c:pt idx="12">
                  <c:v>101.00174216027875</c:v>
                </c:pt>
                <c:pt idx="13">
                  <c:v>100</c:v>
                </c:pt>
                <c:pt idx="14">
                  <c:v>100.30487804878049</c:v>
                </c:pt>
                <c:pt idx="15">
                  <c:v>97.865853658536594</c:v>
                </c:pt>
                <c:pt idx="16">
                  <c:v>99.041811846689896</c:v>
                </c:pt>
                <c:pt idx="17">
                  <c:v>100.34843205574913</c:v>
                </c:pt>
                <c:pt idx="18">
                  <c:v>100.65331010452962</c:v>
                </c:pt>
                <c:pt idx="19">
                  <c:v>99.912891986062718</c:v>
                </c:pt>
                <c:pt idx="20">
                  <c:v>96.559233449477361</c:v>
                </c:pt>
                <c:pt idx="21">
                  <c:v>96.864111498257842</c:v>
                </c:pt>
                <c:pt idx="22">
                  <c:v>96.820557491289208</c:v>
                </c:pt>
                <c:pt idx="23">
                  <c:v>96.733449477351925</c:v>
                </c:pt>
                <c:pt idx="24">
                  <c:v>98.736933797909415</c:v>
                </c:pt>
                <c:pt idx="25">
                  <c:v>98.170731707317074</c:v>
                </c:pt>
                <c:pt idx="26">
                  <c:v>97.691637630662029</c:v>
                </c:pt>
                <c:pt idx="27">
                  <c:v>97.125435540069688</c:v>
                </c:pt>
              </c:numCache>
            </c:numRef>
          </c:val>
          <c:smooth val="0"/>
        </c:ser>
        <c:ser>
          <c:idx val="2"/>
          <c:order val="2"/>
          <c:tx>
            <c:strRef>
              <c:f>'Retail prices'!$D$5</c:f>
              <c:strCache>
                <c:ptCount val="1"/>
                <c:pt idx="0">
                  <c:v>All vehicles</c:v>
                </c:pt>
              </c:strCache>
            </c:strRef>
          </c:tx>
          <c:marker>
            <c:symbol val="none"/>
          </c:marker>
          <c:cat>
            <c:numRef>
              <c:f>'Retail prices'!$A$6:$A$33</c:f>
              <c:numCache>
                <c:formatCode>General</c:formatCode>
                <c:ptCount val="28"/>
                <c:pt idx="0">
                  <c:v>1985</c:v>
                </c:pt>
                <c:pt idx="1">
                  <c:v>1986</c:v>
                </c:pt>
                <c:pt idx="2">
                  <c:v>1987</c:v>
                </c:pt>
                <c:pt idx="3">
                  <c:v>1988</c:v>
                </c:pt>
                <c:pt idx="4">
                  <c:v>1989</c:v>
                </c:pt>
                <c:pt idx="5">
                  <c:v>1990</c:v>
                </c:pt>
                <c:pt idx="6">
                  <c:v>1991</c:v>
                </c:pt>
                <c:pt idx="7">
                  <c:v>1992</c:v>
                </c:pt>
                <c:pt idx="8">
                  <c:v>1993</c:v>
                </c:pt>
                <c:pt idx="9">
                  <c:v>1994</c:v>
                </c:pt>
                <c:pt idx="10">
                  <c:v>1995</c:v>
                </c:pt>
                <c:pt idx="11">
                  <c:v>1996</c:v>
                </c:pt>
                <c:pt idx="12">
                  <c:v>1997</c:v>
                </c:pt>
                <c:pt idx="13">
                  <c:v>1998</c:v>
                </c:pt>
                <c:pt idx="14">
                  <c:v>1999</c:v>
                </c:pt>
                <c:pt idx="15">
                  <c:v>2000</c:v>
                </c:pt>
                <c:pt idx="16">
                  <c:v>2001</c:v>
                </c:pt>
                <c:pt idx="17">
                  <c:v>2002</c:v>
                </c:pt>
                <c:pt idx="18">
                  <c:v>2003</c:v>
                </c:pt>
                <c:pt idx="19">
                  <c:v>2004</c:v>
                </c:pt>
                <c:pt idx="20">
                  <c:v>2005</c:v>
                </c:pt>
                <c:pt idx="21">
                  <c:v>2006</c:v>
                </c:pt>
                <c:pt idx="22">
                  <c:v>2007</c:v>
                </c:pt>
                <c:pt idx="23">
                  <c:v>2008</c:v>
                </c:pt>
                <c:pt idx="24">
                  <c:v>2009</c:v>
                </c:pt>
                <c:pt idx="25">
                  <c:v>2010</c:v>
                </c:pt>
                <c:pt idx="26">
                  <c:v>2011</c:v>
                </c:pt>
                <c:pt idx="27">
                  <c:v>2012</c:v>
                </c:pt>
              </c:numCache>
            </c:numRef>
          </c:cat>
          <c:val>
            <c:numRef>
              <c:f>'Retail prices'!$D$6:$D$33</c:f>
              <c:numCache>
                <c:formatCode>General</c:formatCode>
                <c:ptCount val="28"/>
                <c:pt idx="0">
                  <c:v>48.993595608417202</c:v>
                </c:pt>
                <c:pt idx="1">
                  <c:v>57.822506861848126</c:v>
                </c:pt>
                <c:pt idx="2">
                  <c:v>67.017383348581888</c:v>
                </c:pt>
                <c:pt idx="3">
                  <c:v>72.461116193961573</c:v>
                </c:pt>
                <c:pt idx="4">
                  <c:v>76.623970722781337</c:v>
                </c:pt>
                <c:pt idx="5">
                  <c:v>80.375114364135413</c:v>
                </c:pt>
                <c:pt idx="6">
                  <c:v>83.760292772186645</c:v>
                </c:pt>
                <c:pt idx="7">
                  <c:v>84.675205855443735</c:v>
                </c:pt>
                <c:pt idx="8">
                  <c:v>91.720036596523329</c:v>
                </c:pt>
                <c:pt idx="9">
                  <c:v>96.294602012808781</c:v>
                </c:pt>
                <c:pt idx="10">
                  <c:v>100.91491308325709</c:v>
                </c:pt>
                <c:pt idx="11">
                  <c:v>102.47026532479414</c:v>
                </c:pt>
                <c:pt idx="12">
                  <c:v>100.64043915827996</c:v>
                </c:pt>
                <c:pt idx="13">
                  <c:v>100</c:v>
                </c:pt>
                <c:pt idx="14">
                  <c:v>100.32021957913999</c:v>
                </c:pt>
                <c:pt idx="15">
                  <c:v>98.719121683440079</c:v>
                </c:pt>
                <c:pt idx="16">
                  <c:v>100.09149130832571</c:v>
                </c:pt>
                <c:pt idx="17">
                  <c:v>102.516010978957</c:v>
                </c:pt>
                <c:pt idx="18">
                  <c:v>103.84263494967978</c:v>
                </c:pt>
                <c:pt idx="19">
                  <c:v>103.97987191216835</c:v>
                </c:pt>
                <c:pt idx="20">
                  <c:v>102.15004574565417</c:v>
                </c:pt>
                <c:pt idx="21">
                  <c:v>102.24153705397987</c:v>
                </c:pt>
                <c:pt idx="22">
                  <c:v>102.15004574565417</c:v>
                </c:pt>
                <c:pt idx="23">
                  <c:v>102.65324794144557</c:v>
                </c:pt>
                <c:pt idx="24">
                  <c:v>105.5352241537054</c:v>
                </c:pt>
                <c:pt idx="25">
                  <c:v>105.62671546203111</c:v>
                </c:pt>
                <c:pt idx="26">
                  <c:v>105.16925892040257</c:v>
                </c:pt>
                <c:pt idx="27">
                  <c:v>104.57456541628545</c:v>
                </c:pt>
              </c:numCache>
            </c:numRef>
          </c:val>
          <c:smooth val="0"/>
        </c:ser>
        <c:dLbls>
          <c:showLegendKey val="0"/>
          <c:showVal val="0"/>
          <c:showCatName val="0"/>
          <c:showSerName val="0"/>
          <c:showPercent val="0"/>
          <c:showBubbleSize val="0"/>
        </c:dLbls>
        <c:marker val="1"/>
        <c:smooth val="0"/>
        <c:axId val="35568256"/>
        <c:axId val="35582336"/>
      </c:lineChart>
      <c:catAx>
        <c:axId val="35568256"/>
        <c:scaling>
          <c:orientation val="minMax"/>
        </c:scaling>
        <c:delete val="0"/>
        <c:axPos val="b"/>
        <c:numFmt formatCode="General" sourceLinked="1"/>
        <c:majorTickMark val="out"/>
        <c:minorTickMark val="none"/>
        <c:tickLblPos val="nextTo"/>
        <c:spPr>
          <a:ln>
            <a:noFill/>
          </a:ln>
        </c:spPr>
        <c:crossAx val="35582336"/>
        <c:crosses val="autoZero"/>
        <c:auto val="1"/>
        <c:lblAlgn val="ctr"/>
        <c:lblOffset val="100"/>
        <c:tickLblSkip val="3"/>
        <c:noMultiLvlLbl val="0"/>
      </c:catAx>
      <c:valAx>
        <c:axId val="35582336"/>
        <c:scaling>
          <c:orientation val="minMax"/>
          <c:max val="140"/>
          <c:min val="40"/>
        </c:scaling>
        <c:delete val="0"/>
        <c:axPos val="l"/>
        <c:majorGridlines/>
        <c:numFmt formatCode="General" sourceLinked="1"/>
        <c:majorTickMark val="out"/>
        <c:minorTickMark val="none"/>
        <c:tickLblPos val="nextTo"/>
        <c:spPr>
          <a:ln>
            <a:noFill/>
          </a:ln>
        </c:spPr>
        <c:crossAx val="35568256"/>
        <c:crosses val="autoZero"/>
        <c:crossBetween val="between"/>
        <c:majorUnit val="20"/>
      </c:valAx>
      <c:spPr>
        <a:ln>
          <a:noFill/>
        </a:ln>
      </c:spPr>
    </c:plotArea>
    <c:legend>
      <c:legendPos val="b"/>
      <c:layout/>
      <c:overlay val="0"/>
    </c:legend>
    <c:plotVisOnly val="1"/>
    <c:dispBlanksAs val="gap"/>
    <c:showDLblsOverMax val="0"/>
  </c:chart>
  <c:spPr>
    <a:ln>
      <a:noFill/>
    </a:ln>
  </c:spPr>
  <c:externalData r:id="rId2">
    <c:autoUpdate val="0"/>
  </c:externalData>
</c:chartSpace>
</file>

<file path=word/charts/chart29.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3129260018575886"/>
          <c:y val="5.0940084514244185E-2"/>
          <c:w val="0.82835463945108345"/>
          <c:h val="0.77416774096154584"/>
        </c:manualLayout>
      </c:layout>
      <c:barChart>
        <c:barDir val="col"/>
        <c:grouping val="stacked"/>
        <c:varyColors val="0"/>
        <c:ser>
          <c:idx val="0"/>
          <c:order val="0"/>
          <c:tx>
            <c:v>Net tariff assistance</c:v>
          </c:tx>
          <c:spPr>
            <a:solidFill>
              <a:schemeClr val="tx2"/>
            </a:solidFill>
          </c:spPr>
          <c:invertIfNegative val="0"/>
          <c:cat>
            <c:strRef>
              <c:f>'NSE - revised data 96-97'!$C$60:$C$75</c:f>
              <c:strCache>
                <c:ptCount val="16"/>
                <c:pt idx="0">
                  <c:v>1996-97</c:v>
                </c:pt>
                <c:pt idx="1">
                  <c:v>1997-98</c:v>
                </c:pt>
                <c:pt idx="2">
                  <c:v>1998-99</c:v>
                </c:pt>
                <c:pt idx="3">
                  <c:v>1999-2000</c:v>
                </c:pt>
                <c:pt idx="4">
                  <c:v>2000-01</c:v>
                </c:pt>
                <c:pt idx="5">
                  <c:v>2001-02</c:v>
                </c:pt>
                <c:pt idx="6">
                  <c:v>2002-03</c:v>
                </c:pt>
                <c:pt idx="7">
                  <c:v>2003-04</c:v>
                </c:pt>
                <c:pt idx="8">
                  <c:v>2004-05</c:v>
                </c:pt>
                <c:pt idx="9">
                  <c:v>2005-06</c:v>
                </c:pt>
                <c:pt idx="10">
                  <c:v>2006-07</c:v>
                </c:pt>
                <c:pt idx="11">
                  <c:v>2007-08</c:v>
                </c:pt>
                <c:pt idx="12">
                  <c:v>2008-09</c:v>
                </c:pt>
                <c:pt idx="13">
                  <c:v>2009-10</c:v>
                </c:pt>
                <c:pt idx="14">
                  <c:v>2010-11</c:v>
                </c:pt>
                <c:pt idx="15">
                  <c:v>2011-12</c:v>
                </c:pt>
              </c:strCache>
            </c:strRef>
          </c:cat>
          <c:val>
            <c:numRef>
              <c:f>'NSE - revised data 96-97'!$H$60:$H$75</c:f>
              <c:numCache>
                <c:formatCode>0</c:formatCode>
                <c:ptCount val="16"/>
                <c:pt idx="0">
                  <c:v>1685.9824797948356</c:v>
                </c:pt>
                <c:pt idx="1">
                  <c:v>1683.4090533601902</c:v>
                </c:pt>
                <c:pt idx="2">
                  <c:v>1419.4073864455884</c:v>
                </c:pt>
                <c:pt idx="3">
                  <c:v>1267.7473927484821</c:v>
                </c:pt>
                <c:pt idx="4">
                  <c:v>1064.9250288813828</c:v>
                </c:pt>
                <c:pt idx="5">
                  <c:v>912.49074850388138</c:v>
                </c:pt>
                <c:pt idx="6">
                  <c:v>976.78793619123633</c:v>
                </c:pt>
                <c:pt idx="7">
                  <c:v>1428.4146595656966</c:v>
                </c:pt>
                <c:pt idx="8">
                  <c:v>1358.2997953678719</c:v>
                </c:pt>
                <c:pt idx="9">
                  <c:v>1230.5743557338246</c:v>
                </c:pt>
                <c:pt idx="10">
                  <c:v>850.14022310764153</c:v>
                </c:pt>
                <c:pt idx="11">
                  <c:v>866.73908255557569</c:v>
                </c:pt>
                <c:pt idx="12">
                  <c:v>826.21117056327114</c:v>
                </c:pt>
                <c:pt idx="13">
                  <c:v>689.90161090041556</c:v>
                </c:pt>
                <c:pt idx="14">
                  <c:v>497.79829368821197</c:v>
                </c:pt>
                <c:pt idx="15">
                  <c:v>496.06823924335185</c:v>
                </c:pt>
              </c:numCache>
            </c:numRef>
          </c:val>
        </c:ser>
        <c:ser>
          <c:idx val="1"/>
          <c:order val="1"/>
          <c:tx>
            <c:v>Budgetary assistance</c:v>
          </c:tx>
          <c:spPr>
            <a:solidFill>
              <a:srgbClr val="B4C98B"/>
            </a:solidFill>
          </c:spPr>
          <c:invertIfNegative val="0"/>
          <c:cat>
            <c:strRef>
              <c:f>'NSE - revised data 96-97'!$C$60:$C$75</c:f>
              <c:strCache>
                <c:ptCount val="16"/>
                <c:pt idx="0">
                  <c:v>1996-97</c:v>
                </c:pt>
                <c:pt idx="1">
                  <c:v>1997-98</c:v>
                </c:pt>
                <c:pt idx="2">
                  <c:v>1998-99</c:v>
                </c:pt>
                <c:pt idx="3">
                  <c:v>1999-2000</c:v>
                </c:pt>
                <c:pt idx="4">
                  <c:v>2000-01</c:v>
                </c:pt>
                <c:pt idx="5">
                  <c:v>2001-02</c:v>
                </c:pt>
                <c:pt idx="6">
                  <c:v>2002-03</c:v>
                </c:pt>
                <c:pt idx="7">
                  <c:v>2003-04</c:v>
                </c:pt>
                <c:pt idx="8">
                  <c:v>2004-05</c:v>
                </c:pt>
                <c:pt idx="9">
                  <c:v>2005-06</c:v>
                </c:pt>
                <c:pt idx="10">
                  <c:v>2006-07</c:v>
                </c:pt>
                <c:pt idx="11">
                  <c:v>2007-08</c:v>
                </c:pt>
                <c:pt idx="12">
                  <c:v>2008-09</c:v>
                </c:pt>
                <c:pt idx="13">
                  <c:v>2009-10</c:v>
                </c:pt>
                <c:pt idx="14">
                  <c:v>2010-11</c:v>
                </c:pt>
                <c:pt idx="15">
                  <c:v>2011-12</c:v>
                </c:pt>
              </c:strCache>
            </c:strRef>
          </c:cat>
          <c:val>
            <c:numRef>
              <c:f>'NSE - revised data 96-97'!$G$60:$G$75</c:f>
              <c:numCache>
                <c:formatCode>0</c:formatCode>
                <c:ptCount val="16"/>
                <c:pt idx="0">
                  <c:v>1311.7224382379507</c:v>
                </c:pt>
                <c:pt idx="1">
                  <c:v>844.74628644563518</c:v>
                </c:pt>
                <c:pt idx="2">
                  <c:v>871.23777484473408</c:v>
                </c:pt>
                <c:pt idx="3">
                  <c:v>879.26518586787017</c:v>
                </c:pt>
                <c:pt idx="4">
                  <c:v>1061.0509470945931</c:v>
                </c:pt>
                <c:pt idx="5">
                  <c:v>1094.9195912408757</c:v>
                </c:pt>
                <c:pt idx="6">
                  <c:v>966.20722726919814</c:v>
                </c:pt>
                <c:pt idx="7">
                  <c:v>975.26011997718217</c:v>
                </c:pt>
                <c:pt idx="8">
                  <c:v>894.11653935174252</c:v>
                </c:pt>
                <c:pt idx="9">
                  <c:v>730.69201030441457</c:v>
                </c:pt>
                <c:pt idx="10">
                  <c:v>743.0674852705838</c:v>
                </c:pt>
                <c:pt idx="11">
                  <c:v>670.40579191120185</c:v>
                </c:pt>
                <c:pt idx="12">
                  <c:v>609.92843847151596</c:v>
                </c:pt>
                <c:pt idx="13">
                  <c:v>784.46065029693295</c:v>
                </c:pt>
                <c:pt idx="14">
                  <c:v>528.60866556972883</c:v>
                </c:pt>
                <c:pt idx="15">
                  <c:v>620.74494142087792</c:v>
                </c:pt>
              </c:numCache>
            </c:numRef>
          </c:val>
        </c:ser>
        <c:dLbls>
          <c:showLegendKey val="0"/>
          <c:showVal val="0"/>
          <c:showCatName val="0"/>
          <c:showSerName val="0"/>
          <c:showPercent val="0"/>
          <c:showBubbleSize val="0"/>
        </c:dLbls>
        <c:gapWidth val="50"/>
        <c:overlap val="100"/>
        <c:axId val="35672832"/>
        <c:axId val="35674368"/>
      </c:barChart>
      <c:catAx>
        <c:axId val="35672832"/>
        <c:scaling>
          <c:orientation val="minMax"/>
        </c:scaling>
        <c:delete val="0"/>
        <c:axPos val="b"/>
        <c:majorTickMark val="none"/>
        <c:minorTickMark val="none"/>
        <c:tickLblPos val="nextTo"/>
        <c:crossAx val="35674368"/>
        <c:crosses val="autoZero"/>
        <c:auto val="1"/>
        <c:lblAlgn val="ctr"/>
        <c:lblOffset val="100"/>
        <c:tickLblSkip val="3"/>
        <c:tickMarkSkip val="1"/>
        <c:noMultiLvlLbl val="0"/>
      </c:catAx>
      <c:valAx>
        <c:axId val="35674368"/>
        <c:scaling>
          <c:orientation val="minMax"/>
          <c:max val="4000"/>
        </c:scaling>
        <c:delete val="0"/>
        <c:axPos val="l"/>
        <c:majorGridlines/>
        <c:title>
          <c:tx>
            <c:rich>
              <a:bodyPr rot="-5400000" vert="horz"/>
              <a:lstStyle/>
              <a:p>
                <a:pPr>
                  <a:defRPr sz="1000"/>
                </a:pPr>
                <a:r>
                  <a:rPr lang="en-AU" sz="1000"/>
                  <a:t>$m (2011-12)</a:t>
                </a:r>
              </a:p>
            </c:rich>
          </c:tx>
          <c:layout>
            <c:manualLayout>
              <c:xMode val="edge"/>
              <c:yMode val="edge"/>
              <c:x val="3.5426132184657741E-3"/>
              <c:y val="0.28368145426549884"/>
            </c:manualLayout>
          </c:layout>
          <c:overlay val="0"/>
        </c:title>
        <c:numFmt formatCode="0" sourceLinked="1"/>
        <c:majorTickMark val="out"/>
        <c:minorTickMark val="none"/>
        <c:tickLblPos val="nextTo"/>
        <c:spPr>
          <a:ln>
            <a:noFill/>
          </a:ln>
        </c:spPr>
        <c:txPr>
          <a:bodyPr/>
          <a:lstStyle/>
          <a:p>
            <a:pPr>
              <a:defRPr sz="1000"/>
            </a:pPr>
            <a:endParaRPr lang="en-US"/>
          </a:p>
        </c:txPr>
        <c:crossAx val="35672832"/>
        <c:crosses val="autoZero"/>
        <c:crossBetween val="between"/>
        <c:majorUnit val="1000"/>
      </c:valAx>
    </c:plotArea>
    <c:legend>
      <c:legendPos val="b"/>
      <c:layout>
        <c:manualLayout>
          <c:xMode val="edge"/>
          <c:yMode val="edge"/>
          <c:x val="0.19531483703826691"/>
          <c:y val="0.92598245219347586"/>
          <c:w val="0.60387554067928828"/>
          <c:h val="6.254716689825536E-2"/>
        </c:manualLayout>
      </c:layout>
      <c:overlay val="0"/>
      <c:txPr>
        <a:bodyPr/>
        <a:lstStyle/>
        <a:p>
          <a:pPr>
            <a:defRPr sz="1000"/>
          </a:pPr>
          <a:endParaRPr lang="en-US"/>
        </a:p>
      </c:txPr>
    </c:legend>
    <c:plotVisOnly val="1"/>
    <c:dispBlanksAs val="gap"/>
    <c:showDLblsOverMax val="0"/>
  </c:chart>
  <c:spPr>
    <a:ln>
      <a:noFill/>
    </a:ln>
  </c:spPr>
  <c:txPr>
    <a:bodyPr/>
    <a:lstStyle/>
    <a:p>
      <a:pPr>
        <a:defRPr sz="900" baseline="0">
          <a:latin typeface="Arial" pitchFamily="34" charset="0"/>
        </a:defRPr>
      </a:pPr>
      <a:endParaRPr lang="en-US"/>
    </a:p>
  </c:txPr>
  <c:externalData r:id="rId1">
    <c:autoUpdate val="0"/>
  </c:externalData>
  <c:userShapes r:id="rId2"/>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title>
      <c:tx>
        <c:strRef>
          <c:f>Sheet5!$G$13</c:f>
          <c:strCache>
            <c:ptCount val="1"/>
            <c:pt idx="0">
              <c:v>China</c:v>
            </c:pt>
          </c:strCache>
        </c:strRef>
      </c:tx>
      <c:layout>
        <c:manualLayout>
          <c:xMode val="edge"/>
          <c:yMode val="edge"/>
          <c:x val="0.34446636784296297"/>
          <c:y val="0"/>
        </c:manualLayout>
      </c:layout>
      <c:overlay val="0"/>
      <c:txPr>
        <a:bodyPr/>
        <a:lstStyle/>
        <a:p>
          <a:pPr>
            <a:defRPr sz="1400"/>
          </a:pPr>
          <a:endParaRPr lang="en-US"/>
        </a:p>
      </c:txPr>
    </c:title>
    <c:autoTitleDeleted val="0"/>
    <c:plotArea>
      <c:layout>
        <c:manualLayout>
          <c:layoutTarget val="inner"/>
          <c:xMode val="edge"/>
          <c:yMode val="edge"/>
          <c:x val="0.19174731653704299"/>
          <c:y val="0.14727640694417499"/>
          <c:w val="0.77557158678864502"/>
          <c:h val="0.70218545316970504"/>
        </c:manualLayout>
      </c:layout>
      <c:barChart>
        <c:barDir val="col"/>
        <c:grouping val="stacked"/>
        <c:varyColors val="0"/>
        <c:ser>
          <c:idx val="0"/>
          <c:order val="0"/>
          <c:tx>
            <c:strRef>
              <c:f>Sheet5!$H$14</c:f>
              <c:strCache>
                <c:ptCount val="1"/>
                <c:pt idx="0">
                  <c:v>Domestic</c:v>
                </c:pt>
              </c:strCache>
            </c:strRef>
          </c:tx>
          <c:spPr>
            <a:solidFill>
              <a:srgbClr val="78A22F"/>
            </a:solidFill>
            <a:ln>
              <a:noFill/>
            </a:ln>
          </c:spPr>
          <c:invertIfNegative val="0"/>
          <c:cat>
            <c:numRef>
              <c:f>Sheet5!$I$5:$L$5</c:f>
              <c:numCache>
                <c:formatCode>General</c:formatCode>
                <c:ptCount val="4"/>
                <c:pt idx="0">
                  <c:v>1980</c:v>
                </c:pt>
                <c:pt idx="1">
                  <c:v>1990</c:v>
                </c:pt>
                <c:pt idx="2">
                  <c:v>2000</c:v>
                </c:pt>
                <c:pt idx="3">
                  <c:v>2011</c:v>
                </c:pt>
              </c:numCache>
            </c:numRef>
          </c:cat>
          <c:val>
            <c:numRef>
              <c:f>Sheet5!$I$14:$L$14</c:f>
              <c:numCache>
                <c:formatCode>General</c:formatCode>
                <c:ptCount val="4"/>
                <c:pt idx="0">
                  <c:v>221.006</c:v>
                </c:pt>
                <c:pt idx="1">
                  <c:v>504.96</c:v>
                </c:pt>
                <c:pt idx="2">
                  <c:v>2049.375</c:v>
                </c:pt>
                <c:pt idx="3">
                  <c:v>16934.669999999991</c:v>
                </c:pt>
              </c:numCache>
            </c:numRef>
          </c:val>
        </c:ser>
        <c:ser>
          <c:idx val="1"/>
          <c:order val="1"/>
          <c:tx>
            <c:strRef>
              <c:f>Sheet5!$H$15</c:f>
              <c:strCache>
                <c:ptCount val="1"/>
                <c:pt idx="0">
                  <c:v>Exports</c:v>
                </c:pt>
              </c:strCache>
            </c:strRef>
          </c:tx>
          <c:spPr>
            <a:solidFill>
              <a:srgbClr val="B4C98B"/>
            </a:solidFill>
            <a:ln>
              <a:noFill/>
            </a:ln>
          </c:spPr>
          <c:invertIfNegative val="0"/>
          <c:cat>
            <c:numRef>
              <c:f>Sheet5!$I$5:$L$5</c:f>
              <c:numCache>
                <c:formatCode>General</c:formatCode>
                <c:ptCount val="4"/>
                <c:pt idx="0">
                  <c:v>1980</c:v>
                </c:pt>
                <c:pt idx="1">
                  <c:v>1990</c:v>
                </c:pt>
                <c:pt idx="2">
                  <c:v>2000</c:v>
                </c:pt>
                <c:pt idx="3">
                  <c:v>2011</c:v>
                </c:pt>
              </c:numCache>
            </c:numRef>
          </c:cat>
          <c:val>
            <c:numRef>
              <c:f>Sheet5!$I$15:$L$15</c:f>
              <c:numCache>
                <c:formatCode>General</c:formatCode>
                <c:ptCount val="4"/>
                <c:pt idx="0">
                  <c:v>1.2820000000000109</c:v>
                </c:pt>
                <c:pt idx="1">
                  <c:v>4.28200000000004</c:v>
                </c:pt>
                <c:pt idx="2">
                  <c:v>19.69399999999996</c:v>
                </c:pt>
                <c:pt idx="3">
                  <c:v>1364.5360000000001</c:v>
                </c:pt>
              </c:numCache>
            </c:numRef>
          </c:val>
        </c:ser>
        <c:ser>
          <c:idx val="2"/>
          <c:order val="2"/>
          <c:tx>
            <c:strRef>
              <c:f>Sheet5!$H$16</c:f>
              <c:strCache>
                <c:ptCount val="1"/>
                <c:pt idx="0">
                  <c:v>Imports</c:v>
                </c:pt>
              </c:strCache>
            </c:strRef>
          </c:tx>
          <c:spPr>
            <a:solidFill>
              <a:srgbClr val="344893"/>
            </a:solidFill>
            <a:ln>
              <a:noFill/>
            </a:ln>
          </c:spPr>
          <c:invertIfNegative val="0"/>
          <c:cat>
            <c:numRef>
              <c:f>Sheet5!$I$5:$L$5</c:f>
              <c:numCache>
                <c:formatCode>General</c:formatCode>
                <c:ptCount val="4"/>
                <c:pt idx="0">
                  <c:v>1980</c:v>
                </c:pt>
                <c:pt idx="1">
                  <c:v>1990</c:v>
                </c:pt>
                <c:pt idx="2">
                  <c:v>2000</c:v>
                </c:pt>
                <c:pt idx="3">
                  <c:v>2011</c:v>
                </c:pt>
              </c:numCache>
            </c:numRef>
          </c:cat>
          <c:val>
            <c:numRef>
              <c:f>Sheet5!$I$16:$L$16</c:f>
              <c:numCache>
                <c:formatCode>General</c:formatCode>
                <c:ptCount val="4"/>
                <c:pt idx="0">
                  <c:v>-37.86</c:v>
                </c:pt>
                <c:pt idx="1">
                  <c:v>-61.699000000000012</c:v>
                </c:pt>
                <c:pt idx="2">
                  <c:v>-42.398000000000138</c:v>
                </c:pt>
                <c:pt idx="3">
                  <c:v>-1041.556</c:v>
                </c:pt>
              </c:numCache>
            </c:numRef>
          </c:val>
        </c:ser>
        <c:dLbls>
          <c:showLegendKey val="0"/>
          <c:showVal val="0"/>
          <c:showCatName val="0"/>
          <c:showSerName val="0"/>
          <c:showPercent val="0"/>
          <c:showBubbleSize val="0"/>
        </c:dLbls>
        <c:gapWidth val="70"/>
        <c:overlap val="100"/>
        <c:axId val="165975552"/>
        <c:axId val="165977088"/>
      </c:barChart>
      <c:catAx>
        <c:axId val="165975552"/>
        <c:scaling>
          <c:orientation val="minMax"/>
        </c:scaling>
        <c:delete val="0"/>
        <c:axPos val="b"/>
        <c:numFmt formatCode="General" sourceLinked="1"/>
        <c:majorTickMark val="none"/>
        <c:minorTickMark val="none"/>
        <c:tickLblPos val="low"/>
        <c:crossAx val="165977088"/>
        <c:crosses val="autoZero"/>
        <c:auto val="1"/>
        <c:lblAlgn val="ctr"/>
        <c:lblOffset val="100"/>
        <c:noMultiLvlLbl val="0"/>
      </c:catAx>
      <c:valAx>
        <c:axId val="165977088"/>
        <c:scaling>
          <c:orientation val="minMax"/>
          <c:max val="20000"/>
          <c:min val="-10000"/>
        </c:scaling>
        <c:delete val="0"/>
        <c:axPos val="l"/>
        <c:majorGridlines/>
        <c:numFmt formatCode="General" sourceLinked="1"/>
        <c:majorTickMark val="out"/>
        <c:minorTickMark val="none"/>
        <c:tickLblPos val="nextTo"/>
        <c:spPr>
          <a:ln>
            <a:noFill/>
          </a:ln>
        </c:spPr>
        <c:crossAx val="165975552"/>
        <c:crosses val="autoZero"/>
        <c:crossBetween val="between"/>
        <c:majorUnit val="5000"/>
        <c:dispUnits>
          <c:builtInUnit val="thousands"/>
        </c:dispUnits>
      </c:valAx>
    </c:plotArea>
    <c:plotVisOnly val="1"/>
    <c:dispBlanksAs val="gap"/>
    <c:showDLblsOverMax val="0"/>
  </c:chart>
  <c:spPr>
    <a:ln>
      <a:noFill/>
    </a:ln>
  </c:spPr>
  <c:externalData r:id="rId1">
    <c:autoUpdate val="0"/>
  </c:externalData>
</c:chartSpace>
</file>

<file path=word/charts/chart30.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1.8937723693629191E-3"/>
          <c:y val="0.1367863699118535"/>
          <c:w val="0.8209668405452909"/>
          <c:h val="0.73604600003034304"/>
        </c:manualLayout>
      </c:layout>
      <c:ofPieChart>
        <c:ofPieType val="bar"/>
        <c:varyColors val="1"/>
        <c:ser>
          <c:idx val="0"/>
          <c:order val="0"/>
          <c:explosion val="4"/>
          <c:dPt>
            <c:idx val="0"/>
            <c:bubble3D val="0"/>
            <c:spPr>
              <a:solidFill>
                <a:schemeClr val="bg2"/>
              </a:solidFill>
            </c:spPr>
          </c:dPt>
          <c:dPt>
            <c:idx val="1"/>
            <c:bubble3D val="0"/>
            <c:spPr>
              <a:solidFill>
                <a:schemeClr val="accent1"/>
              </a:solidFill>
            </c:spPr>
          </c:dPt>
          <c:dPt>
            <c:idx val="2"/>
            <c:bubble3D val="0"/>
            <c:spPr>
              <a:solidFill>
                <a:schemeClr val="tx2"/>
              </a:solidFill>
            </c:spPr>
          </c:dPt>
          <c:dPt>
            <c:idx val="3"/>
            <c:bubble3D val="0"/>
            <c:spPr>
              <a:pattFill prst="wdUpDiag">
                <a:fgClr>
                  <a:schemeClr val="tx2"/>
                </a:fgClr>
                <a:bgClr>
                  <a:schemeClr val="accent2"/>
                </a:bgClr>
              </a:pattFill>
            </c:spPr>
          </c:dPt>
          <c:dPt>
            <c:idx val="4"/>
            <c:bubble3D val="0"/>
            <c:spPr>
              <a:solidFill>
                <a:schemeClr val="tx2"/>
              </a:solidFill>
            </c:spPr>
          </c:dPt>
          <c:dLbls>
            <c:dLbl>
              <c:idx val="0"/>
              <c:layout/>
              <c:tx>
                <c:rich>
                  <a:bodyPr/>
                  <a:lstStyle/>
                  <a:p>
                    <a:r>
                      <a:rPr lang="en-US" sz="900" b="1"/>
                      <a:t>Government, higher education and non-profit</a:t>
                    </a:r>
                  </a:p>
                  <a:p>
                    <a:r>
                      <a:rPr lang="en-US" sz="1000"/>
                      <a:t>($12.7b)</a:t>
                    </a:r>
                  </a:p>
                </c:rich>
              </c:tx>
              <c:dLblPos val="ctr"/>
              <c:showLegendKey val="0"/>
              <c:showVal val="0"/>
              <c:showCatName val="1"/>
              <c:showSerName val="0"/>
              <c:showPercent val="0"/>
              <c:showBubbleSize val="0"/>
            </c:dLbl>
            <c:dLbl>
              <c:idx val="1"/>
              <c:layout>
                <c:manualLayout>
                  <c:x val="-0.45635778472035698"/>
                  <c:y val="8.8631984585741813E-2"/>
                </c:manualLayout>
              </c:layout>
              <c:tx>
                <c:rich>
                  <a:bodyPr/>
                  <a:lstStyle/>
                  <a:p>
                    <a:r>
                      <a:rPr lang="en-US" sz="900" b="1"/>
                      <a:t>Business</a:t>
                    </a:r>
                    <a:endParaRPr lang="en-US" sz="900" b="0"/>
                  </a:p>
                  <a:p>
                    <a:r>
                      <a:rPr lang="en-US" sz="1000"/>
                      <a:t>($18.3b)</a:t>
                    </a:r>
                  </a:p>
                </c:rich>
              </c:tx>
              <c:dLblPos val="bestFit"/>
              <c:showLegendKey val="0"/>
              <c:showVal val="0"/>
              <c:showCatName val="1"/>
              <c:showSerName val="0"/>
              <c:showPercent val="0"/>
              <c:showBubbleSize val="0"/>
            </c:dLbl>
            <c:dLbl>
              <c:idx val="2"/>
              <c:layout/>
              <c:tx>
                <c:rich>
                  <a:bodyPr/>
                  <a:lstStyle/>
                  <a:p>
                    <a:r>
                      <a:rPr lang="en-US" sz="900" b="1"/>
                      <a:t>All manufacturing</a:t>
                    </a:r>
                  </a:p>
                  <a:p>
                    <a:r>
                      <a:rPr lang="en-US" sz="1000" b="0"/>
                      <a:t>($4.5b)</a:t>
                    </a:r>
                  </a:p>
                </c:rich>
              </c:tx>
              <c:dLblPos val="ctr"/>
              <c:showLegendKey val="0"/>
              <c:showVal val="0"/>
              <c:showCatName val="1"/>
              <c:showSerName val="0"/>
              <c:showPercent val="0"/>
              <c:showBubbleSize val="0"/>
            </c:dLbl>
            <c:dLbl>
              <c:idx val="3"/>
              <c:layout>
                <c:manualLayout>
                  <c:x val="0"/>
                  <c:y val="7.7071290944123313E-3"/>
                </c:manualLayout>
              </c:layout>
              <c:tx>
                <c:rich>
                  <a:bodyPr/>
                  <a:lstStyle/>
                  <a:p>
                    <a:r>
                      <a:rPr lang="en-US" sz="900" b="1"/>
                      <a:t>Automotive manufacturing</a:t>
                    </a:r>
                  </a:p>
                  <a:p>
                    <a:r>
                      <a:rPr lang="en-US" sz="1000"/>
                      <a:t>($0.7b)</a:t>
                    </a:r>
                  </a:p>
                </c:rich>
              </c:tx>
              <c:dLblPos val="bestFit"/>
              <c:showLegendKey val="0"/>
              <c:showVal val="0"/>
              <c:showCatName val="1"/>
              <c:showSerName val="0"/>
              <c:showPercent val="0"/>
              <c:showBubbleSize val="0"/>
            </c:dLbl>
            <c:dLbl>
              <c:idx val="4"/>
              <c:delete val="1"/>
            </c:dLbl>
            <c:showLegendKey val="0"/>
            <c:showVal val="1"/>
            <c:showCatName val="0"/>
            <c:showSerName val="0"/>
            <c:showPercent val="0"/>
            <c:showBubbleSize val="0"/>
            <c:showLeaderLines val="1"/>
          </c:dLbls>
          <c:cat>
            <c:strRef>
              <c:f>Charts!$G$5:$G$8</c:f>
              <c:strCache>
                <c:ptCount val="4"/>
                <c:pt idx="0">
                  <c:v>Government, higher education and non-profit ($12.7bn)</c:v>
                </c:pt>
                <c:pt idx="1">
                  <c:v>Business ($18.3bn)</c:v>
                </c:pt>
                <c:pt idx="2">
                  <c:v>All manufacturing ($4.5bn)</c:v>
                </c:pt>
                <c:pt idx="3">
                  <c:v>Automotive manufacturing ($0.7bn)</c:v>
                </c:pt>
              </c:strCache>
            </c:strRef>
          </c:cat>
          <c:val>
            <c:numRef>
              <c:f>Charts!$I$5:$I$8</c:f>
              <c:numCache>
                <c:formatCode>#,##0</c:formatCode>
                <c:ptCount val="4"/>
                <c:pt idx="0">
                  <c:v>12661215</c:v>
                </c:pt>
                <c:pt idx="1">
                  <c:v>13847432</c:v>
                </c:pt>
                <c:pt idx="2">
                  <c:v>3781129</c:v>
                </c:pt>
                <c:pt idx="3">
                  <c:v>692761</c:v>
                </c:pt>
              </c:numCache>
            </c:numRef>
          </c:val>
        </c:ser>
        <c:dLbls>
          <c:showLegendKey val="0"/>
          <c:showVal val="0"/>
          <c:showCatName val="0"/>
          <c:showSerName val="0"/>
          <c:showPercent val="0"/>
          <c:showBubbleSize val="0"/>
          <c:showLeaderLines val="1"/>
        </c:dLbls>
        <c:gapWidth val="45"/>
        <c:splitType val="pos"/>
        <c:splitPos val="3"/>
        <c:secondPieSize val="100"/>
        <c:serLines>
          <c:spPr>
            <a:ln>
              <a:solidFill>
                <a:schemeClr val="accent1"/>
              </a:solidFill>
            </a:ln>
          </c:spPr>
        </c:serLines>
      </c:ofPieChart>
    </c:plotArea>
    <c:plotVisOnly val="1"/>
    <c:dispBlanksAs val="gap"/>
    <c:showDLblsOverMax val="0"/>
  </c:chart>
  <c:spPr>
    <a:noFill/>
    <a:ln>
      <a:noFill/>
    </a:ln>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a:pPr>
            <a:r>
              <a:rPr lang="en-AU" sz="1400"/>
              <a:t>United States</a:t>
            </a:r>
          </a:p>
        </c:rich>
      </c:tx>
      <c:layout>
        <c:manualLayout>
          <c:xMode val="edge"/>
          <c:yMode val="edge"/>
          <c:x val="0.15271708108206059"/>
          <c:y val="4.1685965724872626E-4"/>
        </c:manualLayout>
      </c:layout>
      <c:overlay val="0"/>
    </c:title>
    <c:autoTitleDeleted val="0"/>
    <c:plotArea>
      <c:layout>
        <c:manualLayout>
          <c:layoutTarget val="inner"/>
          <c:xMode val="edge"/>
          <c:yMode val="edge"/>
          <c:x val="0.18384249920453799"/>
          <c:y val="0.14797651982691401"/>
          <c:w val="0.789789452382894"/>
          <c:h val="0.701485540658769"/>
        </c:manualLayout>
      </c:layout>
      <c:barChart>
        <c:barDir val="col"/>
        <c:grouping val="stacked"/>
        <c:varyColors val="0"/>
        <c:ser>
          <c:idx val="0"/>
          <c:order val="0"/>
          <c:tx>
            <c:strRef>
              <c:f>Sheet5!$H$46</c:f>
              <c:strCache>
                <c:ptCount val="1"/>
                <c:pt idx="0">
                  <c:v>Domestic</c:v>
                </c:pt>
              </c:strCache>
            </c:strRef>
          </c:tx>
          <c:spPr>
            <a:solidFill>
              <a:srgbClr val="78A22F"/>
            </a:solidFill>
            <a:ln>
              <a:noFill/>
            </a:ln>
          </c:spPr>
          <c:invertIfNegative val="0"/>
          <c:cat>
            <c:numRef>
              <c:f>Sheet5!$I$5:$L$5</c:f>
              <c:numCache>
                <c:formatCode>General</c:formatCode>
                <c:ptCount val="4"/>
                <c:pt idx="0">
                  <c:v>1980</c:v>
                </c:pt>
                <c:pt idx="1">
                  <c:v>1990</c:v>
                </c:pt>
                <c:pt idx="2">
                  <c:v>2000</c:v>
                </c:pt>
                <c:pt idx="3">
                  <c:v>2011</c:v>
                </c:pt>
              </c:numCache>
            </c:numRef>
          </c:cat>
          <c:val>
            <c:numRef>
              <c:f>Sheet5!$I$46:$L$46</c:f>
              <c:numCache>
                <c:formatCode>General</c:formatCode>
                <c:ptCount val="4"/>
                <c:pt idx="0">
                  <c:v>7172.3639999999996</c:v>
                </c:pt>
                <c:pt idx="1">
                  <c:v>8569.5959999999995</c:v>
                </c:pt>
                <c:pt idx="2">
                  <c:v>10711.583000000001</c:v>
                </c:pt>
                <c:pt idx="3">
                  <c:v>5394.2839999999997</c:v>
                </c:pt>
              </c:numCache>
            </c:numRef>
          </c:val>
        </c:ser>
        <c:ser>
          <c:idx val="1"/>
          <c:order val="1"/>
          <c:tx>
            <c:strRef>
              <c:f>Sheet5!$H$47</c:f>
              <c:strCache>
                <c:ptCount val="1"/>
                <c:pt idx="0">
                  <c:v>Exports</c:v>
                </c:pt>
              </c:strCache>
            </c:strRef>
          </c:tx>
          <c:spPr>
            <a:solidFill>
              <a:srgbClr val="B4C98B"/>
            </a:solidFill>
            <a:ln>
              <a:noFill/>
            </a:ln>
          </c:spPr>
          <c:invertIfNegative val="0"/>
          <c:cat>
            <c:numRef>
              <c:f>Sheet5!$I$5:$L$5</c:f>
              <c:numCache>
                <c:formatCode>General</c:formatCode>
                <c:ptCount val="4"/>
                <c:pt idx="0">
                  <c:v>1980</c:v>
                </c:pt>
                <c:pt idx="1">
                  <c:v>1990</c:v>
                </c:pt>
                <c:pt idx="2">
                  <c:v>2000</c:v>
                </c:pt>
                <c:pt idx="3">
                  <c:v>2011</c:v>
                </c:pt>
              </c:numCache>
            </c:numRef>
          </c:cat>
          <c:val>
            <c:numRef>
              <c:f>Sheet5!$I$47:$L$47</c:f>
              <c:numCache>
                <c:formatCode>General</c:formatCode>
                <c:ptCount val="4"/>
                <c:pt idx="0">
                  <c:v>837.47700000000077</c:v>
                </c:pt>
                <c:pt idx="1">
                  <c:v>1213.4009999999998</c:v>
                </c:pt>
                <c:pt idx="2">
                  <c:v>2088.2739999999994</c:v>
                </c:pt>
                <c:pt idx="3">
                  <c:v>3267.2510000000002</c:v>
                </c:pt>
              </c:numCache>
            </c:numRef>
          </c:val>
        </c:ser>
        <c:ser>
          <c:idx val="2"/>
          <c:order val="2"/>
          <c:tx>
            <c:strRef>
              <c:f>Sheet5!$H$48</c:f>
              <c:strCache>
                <c:ptCount val="1"/>
                <c:pt idx="0">
                  <c:v>Imports</c:v>
                </c:pt>
              </c:strCache>
            </c:strRef>
          </c:tx>
          <c:spPr>
            <a:solidFill>
              <a:srgbClr val="344893"/>
            </a:solidFill>
            <a:ln>
              <a:noFill/>
            </a:ln>
          </c:spPr>
          <c:invertIfNegative val="0"/>
          <c:cat>
            <c:numRef>
              <c:f>Sheet5!$I$5:$L$5</c:f>
              <c:numCache>
                <c:formatCode>General</c:formatCode>
                <c:ptCount val="4"/>
                <c:pt idx="0">
                  <c:v>1980</c:v>
                </c:pt>
                <c:pt idx="1">
                  <c:v>1990</c:v>
                </c:pt>
                <c:pt idx="2">
                  <c:v>2000</c:v>
                </c:pt>
                <c:pt idx="3">
                  <c:v>2011</c:v>
                </c:pt>
              </c:numCache>
            </c:numRef>
          </c:cat>
          <c:val>
            <c:numRef>
              <c:f>Sheet5!$I$48:$L$48</c:f>
              <c:numCache>
                <c:formatCode>General</c:formatCode>
                <c:ptCount val="4"/>
                <c:pt idx="0">
                  <c:v>-4486.1710000000003</c:v>
                </c:pt>
                <c:pt idx="1">
                  <c:v>-4876.4279999999999</c:v>
                </c:pt>
                <c:pt idx="2">
                  <c:v>-7223.9849999999988</c:v>
                </c:pt>
                <c:pt idx="3">
                  <c:v>-6391.16</c:v>
                </c:pt>
              </c:numCache>
            </c:numRef>
          </c:val>
        </c:ser>
        <c:dLbls>
          <c:showLegendKey val="0"/>
          <c:showVal val="0"/>
          <c:showCatName val="0"/>
          <c:showSerName val="0"/>
          <c:showPercent val="0"/>
          <c:showBubbleSize val="0"/>
        </c:dLbls>
        <c:gapWidth val="70"/>
        <c:overlap val="100"/>
        <c:axId val="160580352"/>
        <c:axId val="160581888"/>
      </c:barChart>
      <c:catAx>
        <c:axId val="160580352"/>
        <c:scaling>
          <c:orientation val="minMax"/>
        </c:scaling>
        <c:delete val="0"/>
        <c:axPos val="b"/>
        <c:numFmt formatCode="General" sourceLinked="1"/>
        <c:majorTickMark val="none"/>
        <c:minorTickMark val="none"/>
        <c:tickLblPos val="low"/>
        <c:crossAx val="160581888"/>
        <c:crosses val="autoZero"/>
        <c:auto val="1"/>
        <c:lblAlgn val="ctr"/>
        <c:lblOffset val="100"/>
        <c:noMultiLvlLbl val="0"/>
      </c:catAx>
      <c:valAx>
        <c:axId val="160581888"/>
        <c:scaling>
          <c:orientation val="minMax"/>
          <c:max val="20000"/>
          <c:min val="-10000"/>
        </c:scaling>
        <c:delete val="0"/>
        <c:axPos val="l"/>
        <c:majorGridlines/>
        <c:numFmt formatCode="General" sourceLinked="1"/>
        <c:majorTickMark val="out"/>
        <c:minorTickMark val="none"/>
        <c:tickLblPos val="nextTo"/>
        <c:spPr>
          <a:ln>
            <a:noFill/>
          </a:ln>
        </c:spPr>
        <c:crossAx val="160580352"/>
        <c:crosses val="autoZero"/>
        <c:crossBetween val="between"/>
        <c:majorUnit val="5000"/>
        <c:dispUnits>
          <c:builtInUnit val="thousands"/>
        </c:dispUnits>
      </c:valAx>
    </c:plotArea>
    <c:plotVisOnly val="1"/>
    <c:dispBlanksAs val="gap"/>
    <c:showDLblsOverMax val="0"/>
  </c:chart>
  <c:spPr>
    <a:ln>
      <a:noFill/>
    </a:ln>
  </c:sp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title>
      <c:tx>
        <c:strRef>
          <c:f>Sheet5!$G$25</c:f>
          <c:strCache>
            <c:ptCount val="1"/>
            <c:pt idx="0">
              <c:v>Japan</c:v>
            </c:pt>
          </c:strCache>
        </c:strRef>
      </c:tx>
      <c:layout>
        <c:manualLayout>
          <c:xMode val="edge"/>
          <c:yMode val="edge"/>
          <c:x val="0.34167987421780799"/>
          <c:y val="0"/>
        </c:manualLayout>
      </c:layout>
      <c:overlay val="0"/>
      <c:txPr>
        <a:bodyPr/>
        <a:lstStyle/>
        <a:p>
          <a:pPr>
            <a:defRPr sz="1400"/>
          </a:pPr>
          <a:endParaRPr lang="en-US"/>
        </a:p>
      </c:txPr>
    </c:title>
    <c:autoTitleDeleted val="0"/>
    <c:plotArea>
      <c:layout>
        <c:manualLayout>
          <c:layoutTarget val="inner"/>
          <c:xMode val="edge"/>
          <c:yMode val="edge"/>
          <c:x val="0.17202630410738301"/>
          <c:y val="0.15245495127066"/>
          <c:w val="0.794903042893496"/>
          <c:h val="0.69700704641649502"/>
        </c:manualLayout>
      </c:layout>
      <c:barChart>
        <c:barDir val="col"/>
        <c:grouping val="stacked"/>
        <c:varyColors val="0"/>
        <c:ser>
          <c:idx val="0"/>
          <c:order val="0"/>
          <c:tx>
            <c:strRef>
              <c:f>Sheet5!$H$26</c:f>
              <c:strCache>
                <c:ptCount val="1"/>
                <c:pt idx="0">
                  <c:v>Domestic</c:v>
                </c:pt>
              </c:strCache>
            </c:strRef>
          </c:tx>
          <c:spPr>
            <a:solidFill>
              <a:srgbClr val="78A22F"/>
            </a:solidFill>
            <a:ln>
              <a:noFill/>
            </a:ln>
          </c:spPr>
          <c:invertIfNegative val="0"/>
          <c:cat>
            <c:numRef>
              <c:f>Sheet5!$I$5:$L$5</c:f>
              <c:numCache>
                <c:formatCode>General</c:formatCode>
                <c:ptCount val="4"/>
                <c:pt idx="0">
                  <c:v>1980</c:v>
                </c:pt>
                <c:pt idx="1">
                  <c:v>1990</c:v>
                </c:pt>
                <c:pt idx="2">
                  <c:v>2000</c:v>
                </c:pt>
                <c:pt idx="3">
                  <c:v>2011</c:v>
                </c:pt>
              </c:numCache>
            </c:numRef>
          </c:cat>
          <c:val>
            <c:numRef>
              <c:f>Sheet5!$I$26:$L$26</c:f>
              <c:numCache>
                <c:formatCode>General</c:formatCode>
                <c:ptCount val="4"/>
                <c:pt idx="0">
                  <c:v>5075.9229999999998</c:v>
                </c:pt>
                <c:pt idx="1">
                  <c:v>7655.5839999999998</c:v>
                </c:pt>
                <c:pt idx="2">
                  <c:v>5685.9110000000001</c:v>
                </c:pt>
                <c:pt idx="3">
                  <c:v>3934.2170000000001</c:v>
                </c:pt>
              </c:numCache>
            </c:numRef>
          </c:val>
        </c:ser>
        <c:ser>
          <c:idx val="1"/>
          <c:order val="1"/>
          <c:tx>
            <c:strRef>
              <c:f>Sheet5!$H$27</c:f>
              <c:strCache>
                <c:ptCount val="1"/>
                <c:pt idx="0">
                  <c:v>Exports</c:v>
                </c:pt>
              </c:strCache>
            </c:strRef>
          </c:tx>
          <c:spPr>
            <a:solidFill>
              <a:srgbClr val="B4C98B"/>
            </a:solidFill>
            <a:ln>
              <a:noFill/>
            </a:ln>
          </c:spPr>
          <c:invertIfNegative val="0"/>
          <c:cat>
            <c:numRef>
              <c:f>Sheet5!$I$5:$L$5</c:f>
              <c:numCache>
                <c:formatCode>General</c:formatCode>
                <c:ptCount val="4"/>
                <c:pt idx="0">
                  <c:v>1980</c:v>
                </c:pt>
                <c:pt idx="1">
                  <c:v>1990</c:v>
                </c:pt>
                <c:pt idx="2">
                  <c:v>2000</c:v>
                </c:pt>
                <c:pt idx="3">
                  <c:v>2011</c:v>
                </c:pt>
              </c:numCache>
            </c:numRef>
          </c:cat>
          <c:val>
            <c:numRef>
              <c:f>Sheet5!$I$27:$L$27</c:f>
              <c:numCache>
                <c:formatCode>General</c:formatCode>
                <c:ptCount val="4"/>
                <c:pt idx="0">
                  <c:v>5966.9610000000002</c:v>
                </c:pt>
                <c:pt idx="1">
                  <c:v>5831.2120000000004</c:v>
                </c:pt>
                <c:pt idx="2">
                  <c:v>4454.8850000000002</c:v>
                </c:pt>
                <c:pt idx="3">
                  <c:v>4464.4129999999986</c:v>
                </c:pt>
              </c:numCache>
            </c:numRef>
          </c:val>
        </c:ser>
        <c:ser>
          <c:idx val="2"/>
          <c:order val="2"/>
          <c:tx>
            <c:strRef>
              <c:f>Sheet5!$H$28</c:f>
              <c:strCache>
                <c:ptCount val="1"/>
                <c:pt idx="0">
                  <c:v>Imports</c:v>
                </c:pt>
              </c:strCache>
            </c:strRef>
          </c:tx>
          <c:spPr>
            <a:solidFill>
              <a:srgbClr val="344893"/>
            </a:solidFill>
            <a:ln>
              <a:noFill/>
            </a:ln>
          </c:spPr>
          <c:invertIfNegative val="0"/>
          <c:cat>
            <c:numRef>
              <c:f>Sheet5!$I$5:$L$5</c:f>
              <c:numCache>
                <c:formatCode>General</c:formatCode>
                <c:ptCount val="4"/>
                <c:pt idx="0">
                  <c:v>1980</c:v>
                </c:pt>
                <c:pt idx="1">
                  <c:v>1990</c:v>
                </c:pt>
                <c:pt idx="2">
                  <c:v>2000</c:v>
                </c:pt>
                <c:pt idx="3">
                  <c:v>2011</c:v>
                </c:pt>
              </c:numCache>
            </c:numRef>
          </c:cat>
          <c:val>
            <c:numRef>
              <c:f>Sheet5!$I$28:$L$28</c:f>
              <c:numCache>
                <c:formatCode>General</c:formatCode>
                <c:ptCount val="4"/>
                <c:pt idx="0">
                  <c:v>-65.007000000000517</c:v>
                </c:pt>
                <c:pt idx="1">
                  <c:v>-349.85599999999977</c:v>
                </c:pt>
                <c:pt idx="2">
                  <c:v>-366.0630000000001</c:v>
                </c:pt>
                <c:pt idx="3">
                  <c:v>-291.13399999999956</c:v>
                </c:pt>
              </c:numCache>
            </c:numRef>
          </c:val>
        </c:ser>
        <c:dLbls>
          <c:showLegendKey val="0"/>
          <c:showVal val="0"/>
          <c:showCatName val="0"/>
          <c:showSerName val="0"/>
          <c:showPercent val="0"/>
          <c:showBubbleSize val="0"/>
        </c:dLbls>
        <c:gapWidth val="70"/>
        <c:overlap val="100"/>
        <c:axId val="160624640"/>
        <c:axId val="160626176"/>
      </c:barChart>
      <c:catAx>
        <c:axId val="160624640"/>
        <c:scaling>
          <c:orientation val="minMax"/>
        </c:scaling>
        <c:delete val="0"/>
        <c:axPos val="b"/>
        <c:numFmt formatCode="General" sourceLinked="1"/>
        <c:majorTickMark val="none"/>
        <c:minorTickMark val="none"/>
        <c:tickLblPos val="low"/>
        <c:crossAx val="160626176"/>
        <c:crosses val="autoZero"/>
        <c:auto val="1"/>
        <c:lblAlgn val="ctr"/>
        <c:lblOffset val="100"/>
        <c:noMultiLvlLbl val="0"/>
      </c:catAx>
      <c:valAx>
        <c:axId val="160626176"/>
        <c:scaling>
          <c:orientation val="minMax"/>
          <c:max val="20000"/>
          <c:min val="-10000"/>
        </c:scaling>
        <c:delete val="0"/>
        <c:axPos val="l"/>
        <c:majorGridlines/>
        <c:numFmt formatCode="General" sourceLinked="1"/>
        <c:majorTickMark val="out"/>
        <c:minorTickMark val="none"/>
        <c:tickLblPos val="nextTo"/>
        <c:spPr>
          <a:ln>
            <a:noFill/>
          </a:ln>
        </c:spPr>
        <c:crossAx val="160624640"/>
        <c:crosses val="autoZero"/>
        <c:crossBetween val="between"/>
        <c:majorUnit val="5000"/>
        <c:dispUnits>
          <c:builtInUnit val="thousands"/>
        </c:dispUnits>
      </c:valAx>
    </c:plotArea>
    <c:plotVisOnly val="1"/>
    <c:dispBlanksAs val="gap"/>
    <c:showDLblsOverMax val="0"/>
  </c:chart>
  <c:spPr>
    <a:ln>
      <a:noFill/>
    </a:ln>
  </c:sp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lgn="ctr">
              <a:defRPr sz="1400"/>
            </a:pPr>
            <a:r>
              <a:rPr lang="en-AU" sz="1400"/>
              <a:t>Korea</a:t>
            </a:r>
          </a:p>
        </c:rich>
      </c:tx>
      <c:layout>
        <c:manualLayout>
          <c:xMode val="edge"/>
          <c:yMode val="edge"/>
          <c:x val="0.32191634778879463"/>
          <c:y val="5.8483865987339807E-4"/>
        </c:manualLayout>
      </c:layout>
      <c:overlay val="0"/>
    </c:title>
    <c:autoTitleDeleted val="0"/>
    <c:plotArea>
      <c:layout>
        <c:manualLayout>
          <c:layoutTarget val="inner"/>
          <c:xMode val="edge"/>
          <c:yMode val="edge"/>
          <c:x val="0.151269483260462"/>
          <c:y val="0.15598708945165601"/>
          <c:w val="0.81865222576344598"/>
          <c:h val="0.69347493966042095"/>
        </c:manualLayout>
      </c:layout>
      <c:barChart>
        <c:barDir val="col"/>
        <c:grouping val="stacked"/>
        <c:varyColors val="0"/>
        <c:ser>
          <c:idx val="0"/>
          <c:order val="0"/>
          <c:tx>
            <c:strRef>
              <c:f>Sheet5!$H$30</c:f>
              <c:strCache>
                <c:ptCount val="1"/>
                <c:pt idx="0">
                  <c:v>Domestic</c:v>
                </c:pt>
              </c:strCache>
            </c:strRef>
          </c:tx>
          <c:spPr>
            <a:solidFill>
              <a:srgbClr val="78A22F"/>
            </a:solidFill>
            <a:ln>
              <a:noFill/>
            </a:ln>
          </c:spPr>
          <c:invertIfNegative val="0"/>
          <c:cat>
            <c:numRef>
              <c:f>Sheet5!$I$5:$L$5</c:f>
              <c:numCache>
                <c:formatCode>General</c:formatCode>
                <c:ptCount val="4"/>
                <c:pt idx="0">
                  <c:v>1980</c:v>
                </c:pt>
                <c:pt idx="1">
                  <c:v>1990</c:v>
                </c:pt>
                <c:pt idx="2">
                  <c:v>2000</c:v>
                </c:pt>
                <c:pt idx="3">
                  <c:v>2011</c:v>
                </c:pt>
              </c:numCache>
            </c:numRef>
          </c:cat>
          <c:val>
            <c:numRef>
              <c:f>Sheet5!$I$30:$L$30</c:f>
              <c:numCache>
                <c:formatCode>General</c:formatCode>
                <c:ptCount val="4"/>
                <c:pt idx="0">
                  <c:v>100.36499999999999</c:v>
                </c:pt>
                <c:pt idx="1">
                  <c:v>1025.376</c:v>
                </c:pt>
                <c:pt idx="2">
                  <c:v>1438.5730000000001</c:v>
                </c:pt>
                <c:pt idx="3">
                  <c:v>1505.386</c:v>
                </c:pt>
              </c:numCache>
            </c:numRef>
          </c:val>
        </c:ser>
        <c:ser>
          <c:idx val="1"/>
          <c:order val="1"/>
          <c:tx>
            <c:strRef>
              <c:f>Sheet5!$H$31</c:f>
              <c:strCache>
                <c:ptCount val="1"/>
                <c:pt idx="0">
                  <c:v>Exports</c:v>
                </c:pt>
              </c:strCache>
            </c:strRef>
          </c:tx>
          <c:spPr>
            <a:solidFill>
              <a:srgbClr val="B4C98B"/>
            </a:solidFill>
            <a:ln>
              <a:noFill/>
            </a:ln>
          </c:spPr>
          <c:invertIfNegative val="0"/>
          <c:cat>
            <c:numRef>
              <c:f>Sheet5!$I$5:$L$5</c:f>
              <c:numCache>
                <c:formatCode>General</c:formatCode>
                <c:ptCount val="4"/>
                <c:pt idx="0">
                  <c:v>1980</c:v>
                </c:pt>
                <c:pt idx="1">
                  <c:v>1990</c:v>
                </c:pt>
                <c:pt idx="2">
                  <c:v>2000</c:v>
                </c:pt>
                <c:pt idx="3">
                  <c:v>2011</c:v>
                </c:pt>
              </c:numCache>
            </c:numRef>
          </c:cat>
          <c:val>
            <c:numRef>
              <c:f>Sheet5!$I$31:$L$31</c:f>
              <c:numCache>
                <c:formatCode>General</c:formatCode>
                <c:ptCount val="4"/>
                <c:pt idx="0">
                  <c:v>22.77000000000001</c:v>
                </c:pt>
                <c:pt idx="1">
                  <c:v>296.25400000000019</c:v>
                </c:pt>
                <c:pt idx="2">
                  <c:v>1676.425</c:v>
                </c:pt>
                <c:pt idx="3">
                  <c:v>3151.7080000000001</c:v>
                </c:pt>
              </c:numCache>
            </c:numRef>
          </c:val>
        </c:ser>
        <c:ser>
          <c:idx val="2"/>
          <c:order val="2"/>
          <c:tx>
            <c:strRef>
              <c:f>Sheet5!$H$32</c:f>
              <c:strCache>
                <c:ptCount val="1"/>
                <c:pt idx="0">
                  <c:v>Imports</c:v>
                </c:pt>
              </c:strCache>
            </c:strRef>
          </c:tx>
          <c:spPr>
            <a:solidFill>
              <a:srgbClr val="344893"/>
            </a:solidFill>
            <a:ln>
              <a:noFill/>
            </a:ln>
          </c:spPr>
          <c:invertIfNegative val="0"/>
          <c:cat>
            <c:numRef>
              <c:f>Sheet5!$I$5:$L$5</c:f>
              <c:numCache>
                <c:formatCode>General</c:formatCode>
                <c:ptCount val="4"/>
                <c:pt idx="0">
                  <c:v>1980</c:v>
                </c:pt>
                <c:pt idx="1">
                  <c:v>1990</c:v>
                </c:pt>
                <c:pt idx="2">
                  <c:v>2000</c:v>
                </c:pt>
                <c:pt idx="3">
                  <c:v>2011</c:v>
                </c:pt>
              </c:numCache>
            </c:numRef>
          </c:cat>
          <c:val>
            <c:numRef>
              <c:f>Sheet5!$I$32:$L$32</c:f>
              <c:numCache>
                <c:formatCode>General</c:formatCode>
                <c:ptCount val="4"/>
                <c:pt idx="0">
                  <c:v>-13.744999999999999</c:v>
                </c:pt>
                <c:pt idx="1">
                  <c:v>-40.5730000000001</c:v>
                </c:pt>
                <c:pt idx="2">
                  <c:v>-55.951999999999998</c:v>
                </c:pt>
                <c:pt idx="3">
                  <c:v>-171.7540000000001</c:v>
                </c:pt>
              </c:numCache>
            </c:numRef>
          </c:val>
        </c:ser>
        <c:dLbls>
          <c:showLegendKey val="0"/>
          <c:showVal val="0"/>
          <c:showCatName val="0"/>
          <c:showSerName val="0"/>
          <c:showPercent val="0"/>
          <c:showBubbleSize val="0"/>
        </c:dLbls>
        <c:gapWidth val="70"/>
        <c:overlap val="100"/>
        <c:axId val="160664960"/>
        <c:axId val="160674944"/>
      </c:barChart>
      <c:catAx>
        <c:axId val="160664960"/>
        <c:scaling>
          <c:orientation val="minMax"/>
        </c:scaling>
        <c:delete val="0"/>
        <c:axPos val="b"/>
        <c:numFmt formatCode="General" sourceLinked="1"/>
        <c:majorTickMark val="none"/>
        <c:minorTickMark val="none"/>
        <c:tickLblPos val="low"/>
        <c:crossAx val="160674944"/>
        <c:crosses val="autoZero"/>
        <c:auto val="1"/>
        <c:lblAlgn val="ctr"/>
        <c:lblOffset val="100"/>
        <c:noMultiLvlLbl val="0"/>
      </c:catAx>
      <c:valAx>
        <c:axId val="160674944"/>
        <c:scaling>
          <c:orientation val="minMax"/>
          <c:max val="20000"/>
          <c:min val="-10000"/>
        </c:scaling>
        <c:delete val="0"/>
        <c:axPos val="l"/>
        <c:majorGridlines/>
        <c:numFmt formatCode="General" sourceLinked="1"/>
        <c:majorTickMark val="out"/>
        <c:minorTickMark val="none"/>
        <c:tickLblPos val="nextTo"/>
        <c:spPr>
          <a:ln>
            <a:noFill/>
          </a:ln>
        </c:spPr>
        <c:crossAx val="160664960"/>
        <c:crosses val="autoZero"/>
        <c:crossBetween val="between"/>
        <c:majorUnit val="5000"/>
        <c:dispUnits>
          <c:builtInUnit val="thousands"/>
        </c:dispUnits>
      </c:valAx>
    </c:plotArea>
    <c:plotVisOnly val="1"/>
    <c:dispBlanksAs val="gap"/>
    <c:showDLblsOverMax val="0"/>
  </c:chart>
  <c:spPr>
    <a:ln>
      <a:noFill/>
    </a:ln>
  </c:sp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title>
      <c:tx>
        <c:strRef>
          <c:f>Sheet5!$G$21</c:f>
          <c:strCache>
            <c:ptCount val="1"/>
            <c:pt idx="0">
              <c:v>India</c:v>
            </c:pt>
          </c:strCache>
        </c:strRef>
      </c:tx>
      <c:layout>
        <c:manualLayout>
          <c:xMode val="edge"/>
          <c:yMode val="edge"/>
          <c:x val="0.36825578238165302"/>
          <c:y val="2.1549340902066901E-4"/>
        </c:manualLayout>
      </c:layout>
      <c:overlay val="0"/>
      <c:txPr>
        <a:bodyPr/>
        <a:lstStyle/>
        <a:p>
          <a:pPr>
            <a:defRPr sz="1400"/>
          </a:pPr>
          <a:endParaRPr lang="en-US"/>
        </a:p>
      </c:txPr>
    </c:title>
    <c:autoTitleDeleted val="0"/>
    <c:plotArea>
      <c:layout>
        <c:manualLayout>
          <c:layoutTarget val="inner"/>
          <c:xMode val="edge"/>
          <c:yMode val="edge"/>
          <c:x val="0.14975323248911199"/>
          <c:y val="0.15869274786597601"/>
          <c:w val="0.79583001096382"/>
          <c:h val="0.69076903361595199"/>
        </c:manualLayout>
      </c:layout>
      <c:barChart>
        <c:barDir val="col"/>
        <c:grouping val="stacked"/>
        <c:varyColors val="0"/>
        <c:ser>
          <c:idx val="0"/>
          <c:order val="0"/>
          <c:tx>
            <c:strRef>
              <c:f>Sheet5!$H$22</c:f>
              <c:strCache>
                <c:ptCount val="1"/>
                <c:pt idx="0">
                  <c:v>Domestic</c:v>
                </c:pt>
              </c:strCache>
            </c:strRef>
          </c:tx>
          <c:spPr>
            <a:solidFill>
              <a:srgbClr val="78A22F"/>
            </a:solidFill>
            <a:ln>
              <a:noFill/>
            </a:ln>
          </c:spPr>
          <c:invertIfNegative val="0"/>
          <c:cat>
            <c:numRef>
              <c:f>Sheet5!$I$5:$L$5</c:f>
              <c:numCache>
                <c:formatCode>General</c:formatCode>
                <c:ptCount val="4"/>
                <c:pt idx="0">
                  <c:v>1980</c:v>
                </c:pt>
                <c:pt idx="1">
                  <c:v>1990</c:v>
                </c:pt>
                <c:pt idx="2">
                  <c:v>2000</c:v>
                </c:pt>
                <c:pt idx="3">
                  <c:v>2011</c:v>
                </c:pt>
              </c:numCache>
            </c:numRef>
          </c:cat>
          <c:val>
            <c:numRef>
              <c:f>Sheet5!$I$22:$L$22</c:f>
              <c:numCache>
                <c:formatCode>General</c:formatCode>
                <c:ptCount val="4"/>
                <c:pt idx="0">
                  <c:v>110.218</c:v>
                </c:pt>
                <c:pt idx="1">
                  <c:v>354.39299999999992</c:v>
                </c:pt>
                <c:pt idx="2">
                  <c:v>761.33900000000006</c:v>
                </c:pt>
                <c:pt idx="3">
                  <c:v>3056.9569999999999</c:v>
                </c:pt>
              </c:numCache>
            </c:numRef>
          </c:val>
        </c:ser>
        <c:ser>
          <c:idx val="1"/>
          <c:order val="1"/>
          <c:tx>
            <c:strRef>
              <c:f>Sheet5!$H$23</c:f>
              <c:strCache>
                <c:ptCount val="1"/>
                <c:pt idx="0">
                  <c:v>Exports</c:v>
                </c:pt>
              </c:strCache>
            </c:strRef>
          </c:tx>
          <c:spPr>
            <a:solidFill>
              <a:srgbClr val="B4C98B"/>
            </a:solidFill>
            <a:ln>
              <a:noFill/>
            </a:ln>
          </c:spPr>
          <c:invertIfNegative val="0"/>
          <c:cat>
            <c:numRef>
              <c:f>Sheet5!$I$5:$L$5</c:f>
              <c:numCache>
                <c:formatCode>General</c:formatCode>
                <c:ptCount val="4"/>
                <c:pt idx="0">
                  <c:v>1980</c:v>
                </c:pt>
                <c:pt idx="1">
                  <c:v>1990</c:v>
                </c:pt>
                <c:pt idx="2">
                  <c:v>2000</c:v>
                </c:pt>
                <c:pt idx="3">
                  <c:v>2011</c:v>
                </c:pt>
              </c:numCache>
            </c:numRef>
          </c:cat>
          <c:val>
            <c:numRef>
              <c:f>Sheet5!$I$23:$L$23</c:f>
              <c:numCache>
                <c:formatCode>General</c:formatCode>
                <c:ptCount val="4"/>
                <c:pt idx="0">
                  <c:v>3.6989999999999981</c:v>
                </c:pt>
                <c:pt idx="1">
                  <c:v>8.2620000000000005</c:v>
                </c:pt>
                <c:pt idx="2">
                  <c:v>40.020999999999958</c:v>
                </c:pt>
                <c:pt idx="3">
                  <c:v>870.45400000000018</c:v>
                </c:pt>
              </c:numCache>
            </c:numRef>
          </c:val>
        </c:ser>
        <c:ser>
          <c:idx val="2"/>
          <c:order val="2"/>
          <c:tx>
            <c:strRef>
              <c:f>Sheet5!$H$24</c:f>
              <c:strCache>
                <c:ptCount val="1"/>
                <c:pt idx="0">
                  <c:v>Imports</c:v>
                </c:pt>
              </c:strCache>
            </c:strRef>
          </c:tx>
          <c:spPr>
            <a:solidFill>
              <a:srgbClr val="344893"/>
            </a:solidFill>
            <a:ln>
              <a:noFill/>
            </a:ln>
          </c:spPr>
          <c:invertIfNegative val="0"/>
          <c:cat>
            <c:numRef>
              <c:f>Sheet5!$I$5:$L$5</c:f>
              <c:numCache>
                <c:formatCode>General</c:formatCode>
                <c:ptCount val="4"/>
                <c:pt idx="0">
                  <c:v>1980</c:v>
                </c:pt>
                <c:pt idx="1">
                  <c:v>1990</c:v>
                </c:pt>
                <c:pt idx="2">
                  <c:v>2000</c:v>
                </c:pt>
                <c:pt idx="3">
                  <c:v>2011</c:v>
                </c:pt>
              </c:numCache>
            </c:numRef>
          </c:cat>
          <c:val>
            <c:numRef>
              <c:f>Sheet5!$I$24:$L$24</c:f>
              <c:numCache>
                <c:formatCode>General</c:formatCode>
                <c:ptCount val="4"/>
                <c:pt idx="0">
                  <c:v>-0.20900000000000299</c:v>
                </c:pt>
                <c:pt idx="1">
                  <c:v>-0.77000000000003799</c:v>
                </c:pt>
                <c:pt idx="2">
                  <c:v>-2.0240000000000009</c:v>
                </c:pt>
                <c:pt idx="3">
                  <c:v>-29.374000000000251</c:v>
                </c:pt>
              </c:numCache>
            </c:numRef>
          </c:val>
        </c:ser>
        <c:dLbls>
          <c:showLegendKey val="0"/>
          <c:showVal val="0"/>
          <c:showCatName val="0"/>
          <c:showSerName val="0"/>
          <c:showPercent val="0"/>
          <c:showBubbleSize val="0"/>
        </c:dLbls>
        <c:gapWidth val="70"/>
        <c:overlap val="100"/>
        <c:axId val="160688768"/>
        <c:axId val="166011264"/>
      </c:barChart>
      <c:catAx>
        <c:axId val="160688768"/>
        <c:scaling>
          <c:orientation val="minMax"/>
        </c:scaling>
        <c:delete val="0"/>
        <c:axPos val="b"/>
        <c:numFmt formatCode="General" sourceLinked="1"/>
        <c:majorTickMark val="none"/>
        <c:minorTickMark val="none"/>
        <c:tickLblPos val="low"/>
        <c:crossAx val="166011264"/>
        <c:crosses val="autoZero"/>
        <c:auto val="1"/>
        <c:lblAlgn val="ctr"/>
        <c:lblOffset val="100"/>
        <c:noMultiLvlLbl val="0"/>
      </c:catAx>
      <c:valAx>
        <c:axId val="166011264"/>
        <c:scaling>
          <c:orientation val="minMax"/>
          <c:max val="20000"/>
          <c:min val="-10000"/>
        </c:scaling>
        <c:delete val="0"/>
        <c:axPos val="l"/>
        <c:majorGridlines/>
        <c:numFmt formatCode="General" sourceLinked="1"/>
        <c:majorTickMark val="out"/>
        <c:minorTickMark val="none"/>
        <c:tickLblPos val="nextTo"/>
        <c:spPr>
          <a:ln>
            <a:noFill/>
          </a:ln>
        </c:spPr>
        <c:crossAx val="160688768"/>
        <c:crosses val="autoZero"/>
        <c:crossBetween val="between"/>
        <c:majorUnit val="5000"/>
        <c:dispUnits>
          <c:builtInUnit val="thousands"/>
        </c:dispUnits>
      </c:valAx>
    </c:plotArea>
    <c:plotVisOnly val="1"/>
    <c:dispBlanksAs val="gap"/>
    <c:showDLblsOverMax val="0"/>
  </c:chart>
  <c:spPr>
    <a:ln>
      <a:noFill/>
    </a:ln>
  </c:sp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title>
      <c:tx>
        <c:strRef>
          <c:f>Sheet5!$G$9</c:f>
          <c:strCache>
            <c:ptCount val="1"/>
            <c:pt idx="0">
              <c:v>Brazil</c:v>
            </c:pt>
          </c:strCache>
        </c:strRef>
      </c:tx>
      <c:layout>
        <c:manualLayout>
          <c:xMode val="edge"/>
          <c:yMode val="edge"/>
          <c:x val="0.34815525765774902"/>
          <c:y val="0"/>
        </c:manualLayout>
      </c:layout>
      <c:overlay val="0"/>
      <c:txPr>
        <a:bodyPr/>
        <a:lstStyle/>
        <a:p>
          <a:pPr>
            <a:defRPr sz="1400"/>
          </a:pPr>
          <a:endParaRPr lang="en-US"/>
        </a:p>
      </c:txPr>
    </c:title>
    <c:autoTitleDeleted val="0"/>
    <c:plotArea>
      <c:layout>
        <c:manualLayout>
          <c:layoutTarget val="inner"/>
          <c:xMode val="edge"/>
          <c:yMode val="edge"/>
          <c:x val="0.14957141433270199"/>
          <c:y val="0.153593554184105"/>
          <c:w val="0.779724567307996"/>
          <c:h val="0.69586844406859205"/>
        </c:manualLayout>
      </c:layout>
      <c:barChart>
        <c:barDir val="col"/>
        <c:grouping val="stacked"/>
        <c:varyColors val="0"/>
        <c:ser>
          <c:idx val="0"/>
          <c:order val="0"/>
          <c:tx>
            <c:strRef>
              <c:f>Sheet5!$H$10</c:f>
              <c:strCache>
                <c:ptCount val="1"/>
                <c:pt idx="0">
                  <c:v>Domestic</c:v>
                </c:pt>
              </c:strCache>
            </c:strRef>
          </c:tx>
          <c:spPr>
            <a:solidFill>
              <a:srgbClr val="78A22F"/>
            </a:solidFill>
            <a:ln>
              <a:noFill/>
            </a:ln>
          </c:spPr>
          <c:invertIfNegative val="0"/>
          <c:cat>
            <c:numRef>
              <c:f>Sheet5!$I$5:$L$5</c:f>
              <c:numCache>
                <c:formatCode>General</c:formatCode>
                <c:ptCount val="4"/>
                <c:pt idx="0">
                  <c:v>1980</c:v>
                </c:pt>
                <c:pt idx="1">
                  <c:v>1990</c:v>
                </c:pt>
                <c:pt idx="2">
                  <c:v>2000</c:v>
                </c:pt>
                <c:pt idx="3">
                  <c:v>2011</c:v>
                </c:pt>
              </c:numCache>
            </c:numRef>
          </c:cat>
          <c:val>
            <c:numRef>
              <c:f>Sheet5!$I$10:$L$10</c:f>
              <c:numCache>
                <c:formatCode>General</c:formatCode>
                <c:ptCount val="4"/>
                <c:pt idx="0">
                  <c:v>1100.461</c:v>
                </c:pt>
                <c:pt idx="1">
                  <c:v>802.13599999999997</c:v>
                </c:pt>
                <c:pt idx="2">
                  <c:v>1373.5219999999999</c:v>
                </c:pt>
                <c:pt idx="3">
                  <c:v>2842.895</c:v>
                </c:pt>
              </c:numCache>
            </c:numRef>
          </c:val>
        </c:ser>
        <c:ser>
          <c:idx val="1"/>
          <c:order val="1"/>
          <c:tx>
            <c:strRef>
              <c:f>Sheet5!$H$11</c:f>
              <c:strCache>
                <c:ptCount val="1"/>
                <c:pt idx="0">
                  <c:v>Exports</c:v>
                </c:pt>
              </c:strCache>
            </c:strRef>
          </c:tx>
          <c:spPr>
            <a:solidFill>
              <a:srgbClr val="B4C98B"/>
            </a:solidFill>
            <a:ln>
              <a:noFill/>
            </a:ln>
          </c:spPr>
          <c:invertIfNegative val="0"/>
          <c:cat>
            <c:numRef>
              <c:f>Sheet5!$I$5:$L$5</c:f>
              <c:numCache>
                <c:formatCode>General</c:formatCode>
                <c:ptCount val="4"/>
                <c:pt idx="0">
                  <c:v>1980</c:v>
                </c:pt>
                <c:pt idx="1">
                  <c:v>1990</c:v>
                </c:pt>
                <c:pt idx="2">
                  <c:v>2000</c:v>
                </c:pt>
                <c:pt idx="3">
                  <c:v>2011</c:v>
                </c:pt>
              </c:numCache>
            </c:numRef>
          </c:cat>
          <c:val>
            <c:numRef>
              <c:f>Sheet5!$I$11:$L$11</c:f>
              <c:numCache>
                <c:formatCode>General</c:formatCode>
                <c:ptCount val="4"/>
                <c:pt idx="0">
                  <c:v>64.712999999999965</c:v>
                </c:pt>
                <c:pt idx="1">
                  <c:v>112.33</c:v>
                </c:pt>
                <c:pt idx="2">
                  <c:v>307.99500000000012</c:v>
                </c:pt>
                <c:pt idx="3">
                  <c:v>564.9659999999991</c:v>
                </c:pt>
              </c:numCache>
            </c:numRef>
          </c:val>
        </c:ser>
        <c:ser>
          <c:idx val="2"/>
          <c:order val="2"/>
          <c:tx>
            <c:strRef>
              <c:f>Sheet5!$H$12</c:f>
              <c:strCache>
                <c:ptCount val="1"/>
                <c:pt idx="0">
                  <c:v>Imports</c:v>
                </c:pt>
              </c:strCache>
            </c:strRef>
          </c:tx>
          <c:spPr>
            <a:solidFill>
              <a:srgbClr val="344893"/>
            </a:solidFill>
            <a:ln>
              <a:noFill/>
            </a:ln>
          </c:spPr>
          <c:invertIfNegative val="0"/>
          <c:cat>
            <c:numRef>
              <c:f>Sheet5!$I$5:$L$5</c:f>
              <c:numCache>
                <c:formatCode>General</c:formatCode>
                <c:ptCount val="4"/>
                <c:pt idx="0">
                  <c:v>1980</c:v>
                </c:pt>
                <c:pt idx="1">
                  <c:v>1990</c:v>
                </c:pt>
                <c:pt idx="2">
                  <c:v>2000</c:v>
                </c:pt>
                <c:pt idx="3">
                  <c:v>2011</c:v>
                </c:pt>
              </c:numCache>
            </c:numRef>
          </c:cat>
          <c:val>
            <c:numRef>
              <c:f>Sheet5!$I$12:$L$12</c:f>
              <c:numCache>
                <c:formatCode>General</c:formatCode>
                <c:ptCount val="4"/>
                <c:pt idx="0">
                  <c:v>-25.1389999999999</c:v>
                </c:pt>
                <c:pt idx="1">
                  <c:v>-31.580000000000041</c:v>
                </c:pt>
                <c:pt idx="2">
                  <c:v>-186.65700000000021</c:v>
                </c:pt>
                <c:pt idx="3">
                  <c:v>-992.01499999999987</c:v>
                </c:pt>
              </c:numCache>
            </c:numRef>
          </c:val>
        </c:ser>
        <c:dLbls>
          <c:showLegendKey val="0"/>
          <c:showVal val="0"/>
          <c:showCatName val="0"/>
          <c:showSerName val="0"/>
          <c:showPercent val="0"/>
          <c:showBubbleSize val="0"/>
        </c:dLbls>
        <c:gapWidth val="70"/>
        <c:overlap val="100"/>
        <c:axId val="166037376"/>
        <c:axId val="166038912"/>
      </c:barChart>
      <c:catAx>
        <c:axId val="166037376"/>
        <c:scaling>
          <c:orientation val="minMax"/>
        </c:scaling>
        <c:delete val="0"/>
        <c:axPos val="b"/>
        <c:numFmt formatCode="General" sourceLinked="1"/>
        <c:majorTickMark val="none"/>
        <c:minorTickMark val="none"/>
        <c:tickLblPos val="low"/>
        <c:crossAx val="166038912"/>
        <c:crosses val="autoZero"/>
        <c:auto val="1"/>
        <c:lblAlgn val="ctr"/>
        <c:lblOffset val="100"/>
        <c:noMultiLvlLbl val="0"/>
      </c:catAx>
      <c:valAx>
        <c:axId val="166038912"/>
        <c:scaling>
          <c:orientation val="minMax"/>
          <c:max val="20000"/>
          <c:min val="-10000"/>
        </c:scaling>
        <c:delete val="0"/>
        <c:axPos val="l"/>
        <c:majorGridlines/>
        <c:numFmt formatCode="General" sourceLinked="1"/>
        <c:majorTickMark val="out"/>
        <c:minorTickMark val="none"/>
        <c:tickLblPos val="nextTo"/>
        <c:spPr>
          <a:ln>
            <a:noFill/>
          </a:ln>
        </c:spPr>
        <c:crossAx val="166037376"/>
        <c:crosses val="autoZero"/>
        <c:crossBetween val="between"/>
        <c:majorUnit val="5000"/>
        <c:dispUnits>
          <c:builtInUnit val="thousands"/>
        </c:dispUnits>
      </c:valAx>
    </c:plotArea>
    <c:plotVisOnly val="1"/>
    <c:dispBlanksAs val="gap"/>
    <c:showDLblsOverMax val="0"/>
  </c:chart>
  <c:spPr>
    <a:ln>
      <a:noFill/>
    </a:ln>
  </c:sp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title>
      <c:tx>
        <c:strRef>
          <c:f>Sheet5!$G$33</c:f>
          <c:strCache>
            <c:ptCount val="1"/>
            <c:pt idx="0">
              <c:v>Mexico</c:v>
            </c:pt>
          </c:strCache>
        </c:strRef>
      </c:tx>
      <c:layout>
        <c:manualLayout>
          <c:xMode val="edge"/>
          <c:yMode val="edge"/>
          <c:x val="0.30651579538925"/>
          <c:y val="0"/>
        </c:manualLayout>
      </c:layout>
      <c:overlay val="0"/>
      <c:txPr>
        <a:bodyPr/>
        <a:lstStyle/>
        <a:p>
          <a:pPr>
            <a:defRPr sz="1400"/>
          </a:pPr>
          <a:endParaRPr lang="en-US"/>
        </a:p>
      </c:txPr>
    </c:title>
    <c:autoTitleDeleted val="0"/>
    <c:plotArea>
      <c:layout>
        <c:manualLayout>
          <c:layoutTarget val="inner"/>
          <c:xMode val="edge"/>
          <c:yMode val="edge"/>
          <c:x val="0.16259800115540901"/>
          <c:y val="0.15495140810101399"/>
          <c:w val="0.82208808075291095"/>
          <c:h val="0.69451065238466803"/>
        </c:manualLayout>
      </c:layout>
      <c:barChart>
        <c:barDir val="col"/>
        <c:grouping val="stacked"/>
        <c:varyColors val="0"/>
        <c:ser>
          <c:idx val="0"/>
          <c:order val="0"/>
          <c:tx>
            <c:strRef>
              <c:f>Sheet5!$H$34</c:f>
              <c:strCache>
                <c:ptCount val="1"/>
                <c:pt idx="0">
                  <c:v>Domestic</c:v>
                </c:pt>
              </c:strCache>
            </c:strRef>
          </c:tx>
          <c:spPr>
            <a:solidFill>
              <a:srgbClr val="78A22F"/>
            </a:solidFill>
            <a:ln>
              <a:noFill/>
            </a:ln>
          </c:spPr>
          <c:invertIfNegative val="0"/>
          <c:cat>
            <c:numRef>
              <c:f>Sheet5!$I$5:$L$5</c:f>
              <c:numCache>
                <c:formatCode>General</c:formatCode>
                <c:ptCount val="4"/>
                <c:pt idx="0">
                  <c:v>1980</c:v>
                </c:pt>
                <c:pt idx="1">
                  <c:v>1990</c:v>
                </c:pt>
                <c:pt idx="2">
                  <c:v>2000</c:v>
                </c:pt>
                <c:pt idx="3">
                  <c:v>2011</c:v>
                </c:pt>
              </c:numCache>
            </c:numRef>
          </c:cat>
          <c:val>
            <c:numRef>
              <c:f>Sheet5!$I$34:$L$34</c:f>
              <c:numCache>
                <c:formatCode>General</c:formatCode>
                <c:ptCount val="4"/>
                <c:pt idx="0">
                  <c:v>471.85500000000002</c:v>
                </c:pt>
                <c:pt idx="1">
                  <c:v>337.45600000000002</c:v>
                </c:pt>
                <c:pt idx="2">
                  <c:v>533.34099999999921</c:v>
                </c:pt>
                <c:pt idx="3">
                  <c:v>562.76099999999997</c:v>
                </c:pt>
              </c:numCache>
            </c:numRef>
          </c:val>
        </c:ser>
        <c:ser>
          <c:idx val="1"/>
          <c:order val="1"/>
          <c:tx>
            <c:strRef>
              <c:f>Sheet5!$H$35</c:f>
              <c:strCache>
                <c:ptCount val="1"/>
                <c:pt idx="0">
                  <c:v>Exports</c:v>
                </c:pt>
              </c:strCache>
            </c:strRef>
          </c:tx>
          <c:spPr>
            <a:solidFill>
              <a:srgbClr val="B4C98B"/>
            </a:solidFill>
            <a:ln>
              <a:noFill/>
            </a:ln>
          </c:spPr>
          <c:invertIfNegative val="0"/>
          <c:cat>
            <c:numRef>
              <c:f>Sheet5!$I$5:$L$5</c:f>
              <c:numCache>
                <c:formatCode>General</c:formatCode>
                <c:ptCount val="4"/>
                <c:pt idx="0">
                  <c:v>1980</c:v>
                </c:pt>
                <c:pt idx="1">
                  <c:v>1990</c:v>
                </c:pt>
                <c:pt idx="2">
                  <c:v>2000</c:v>
                </c:pt>
                <c:pt idx="3">
                  <c:v>2011</c:v>
                </c:pt>
              </c:numCache>
            </c:numRef>
          </c:cat>
          <c:val>
            <c:numRef>
              <c:f>Sheet5!$I$35:$L$35</c:f>
              <c:numCache>
                <c:formatCode>General</c:formatCode>
                <c:ptCount val="4"/>
                <c:pt idx="0">
                  <c:v>18.15099999999995</c:v>
                </c:pt>
                <c:pt idx="1">
                  <c:v>483.10199999999992</c:v>
                </c:pt>
                <c:pt idx="2">
                  <c:v>1402.1859999999999</c:v>
                </c:pt>
                <c:pt idx="3">
                  <c:v>2118.2890000000002</c:v>
                </c:pt>
              </c:numCache>
            </c:numRef>
          </c:val>
        </c:ser>
        <c:ser>
          <c:idx val="2"/>
          <c:order val="2"/>
          <c:tx>
            <c:strRef>
              <c:f>Sheet5!$H$36</c:f>
              <c:strCache>
                <c:ptCount val="1"/>
                <c:pt idx="0">
                  <c:v>Imports</c:v>
                </c:pt>
              </c:strCache>
            </c:strRef>
          </c:tx>
          <c:spPr>
            <a:solidFill>
              <a:srgbClr val="344893"/>
            </a:solidFill>
            <a:ln>
              <a:noFill/>
            </a:ln>
          </c:spPr>
          <c:invertIfNegative val="0"/>
          <c:cat>
            <c:numRef>
              <c:f>Sheet5!$I$5:$L$5</c:f>
              <c:numCache>
                <c:formatCode>General</c:formatCode>
                <c:ptCount val="4"/>
                <c:pt idx="0">
                  <c:v>1980</c:v>
                </c:pt>
                <c:pt idx="1">
                  <c:v>1990</c:v>
                </c:pt>
                <c:pt idx="2">
                  <c:v>2000</c:v>
                </c:pt>
                <c:pt idx="3">
                  <c:v>2011</c:v>
                </c:pt>
              </c:numCache>
            </c:numRef>
          </c:cat>
          <c:val>
            <c:numRef>
              <c:f>Sheet5!$I$36:$L$36</c:f>
              <c:numCache>
                <c:formatCode>General</c:formatCode>
                <c:ptCount val="4"/>
                <c:pt idx="0">
                  <c:v>-116.22799999999999</c:v>
                </c:pt>
                <c:pt idx="1">
                  <c:v>-178.96199999999999</c:v>
                </c:pt>
                <c:pt idx="2">
                  <c:v>-1158.106</c:v>
                </c:pt>
                <c:pt idx="3">
                  <c:v>-1258.6369999999999</c:v>
                </c:pt>
              </c:numCache>
            </c:numRef>
          </c:val>
        </c:ser>
        <c:dLbls>
          <c:showLegendKey val="0"/>
          <c:showVal val="0"/>
          <c:showCatName val="0"/>
          <c:showSerName val="0"/>
          <c:showPercent val="0"/>
          <c:showBubbleSize val="0"/>
        </c:dLbls>
        <c:gapWidth val="70"/>
        <c:overlap val="100"/>
        <c:axId val="166065280"/>
        <c:axId val="166066816"/>
      </c:barChart>
      <c:catAx>
        <c:axId val="166065280"/>
        <c:scaling>
          <c:orientation val="minMax"/>
        </c:scaling>
        <c:delete val="0"/>
        <c:axPos val="b"/>
        <c:numFmt formatCode="General" sourceLinked="1"/>
        <c:majorTickMark val="none"/>
        <c:minorTickMark val="none"/>
        <c:tickLblPos val="low"/>
        <c:crossAx val="166066816"/>
        <c:crosses val="autoZero"/>
        <c:auto val="1"/>
        <c:lblAlgn val="ctr"/>
        <c:lblOffset val="100"/>
        <c:noMultiLvlLbl val="0"/>
      </c:catAx>
      <c:valAx>
        <c:axId val="166066816"/>
        <c:scaling>
          <c:orientation val="minMax"/>
          <c:max val="20000"/>
          <c:min val="-10000"/>
        </c:scaling>
        <c:delete val="0"/>
        <c:axPos val="l"/>
        <c:majorGridlines/>
        <c:numFmt formatCode="General" sourceLinked="1"/>
        <c:majorTickMark val="out"/>
        <c:minorTickMark val="none"/>
        <c:tickLblPos val="nextTo"/>
        <c:spPr>
          <a:ln>
            <a:noFill/>
          </a:ln>
        </c:spPr>
        <c:crossAx val="166065280"/>
        <c:crosses val="autoZero"/>
        <c:crossBetween val="between"/>
        <c:majorUnit val="5000"/>
        <c:dispUnits>
          <c:builtInUnit val="thousands"/>
        </c:dispUnits>
      </c:valAx>
    </c:plotArea>
    <c:plotVisOnly val="1"/>
    <c:dispBlanksAs val="gap"/>
    <c:showDLblsOverMax val="0"/>
  </c:chart>
  <c:spPr>
    <a:ln>
      <a:noFill/>
    </a:ln>
  </c:spPr>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0.21334</cdr:x>
      <cdr:y>0.55124</cdr:y>
    </cdr:from>
    <cdr:to>
      <cdr:x>0.97447</cdr:x>
      <cdr:y>0.65977</cdr:y>
    </cdr:to>
    <cdr:sp macro="" textlink="">
      <cdr:nvSpPr>
        <cdr:cNvPr id="2" name="Rectangle 1"/>
        <cdr:cNvSpPr/>
      </cdr:nvSpPr>
      <cdr:spPr>
        <a:xfrm xmlns:a="http://schemas.openxmlformats.org/drawingml/2006/main">
          <a:off x="353175" y="892953"/>
          <a:ext cx="1260000" cy="175806"/>
        </a:xfrm>
        <a:prstGeom xmlns:a="http://schemas.openxmlformats.org/drawingml/2006/main" prst="rect">
          <a:avLst/>
        </a:prstGeom>
        <a:solidFill xmlns:a="http://schemas.openxmlformats.org/drawingml/2006/main">
          <a:srgbClr val="A6A696">
            <a:alpha val="24706"/>
          </a:srgbClr>
        </a:solidFill>
        <a:ln xmlns:a="http://schemas.openxmlformats.org/drawingml/2006/main" w="12700">
          <a:noFill/>
          <a:prstDash val="dash"/>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en-US"/>
        </a:p>
      </cdr:txBody>
    </cdr:sp>
  </cdr:relSizeAnchor>
</c:userShapes>
</file>

<file path=word/drawings/drawing2.xml><?xml version="1.0" encoding="utf-8"?>
<c:userShapes xmlns:c="http://schemas.openxmlformats.org/drawingml/2006/chart">
  <cdr:relSizeAnchor xmlns:cdr="http://schemas.openxmlformats.org/drawingml/2006/chartDrawing">
    <cdr:from>
      <cdr:x>0.74595</cdr:x>
      <cdr:y>0.28773</cdr:y>
    </cdr:from>
    <cdr:to>
      <cdr:x>0.94909</cdr:x>
      <cdr:y>0.37042</cdr:y>
    </cdr:to>
    <cdr:sp macro="" textlink="">
      <cdr:nvSpPr>
        <cdr:cNvPr id="2" name="TextBox 1"/>
        <cdr:cNvSpPr txBox="1"/>
      </cdr:nvSpPr>
      <cdr:spPr>
        <a:xfrm xmlns:a="http://schemas.openxmlformats.org/drawingml/2006/main">
          <a:off x="4162425" y="828675"/>
          <a:ext cx="1133475" cy="23812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en-AU" sz="1100"/>
        </a:p>
      </cdr:txBody>
    </cdr:sp>
  </cdr:relSizeAnchor>
</c:userShapes>
</file>

<file path=word/drawings/drawing3.xml><?xml version="1.0" encoding="utf-8"?>
<c:userShapes xmlns:c="http://schemas.openxmlformats.org/drawingml/2006/chart">
  <cdr:relSizeAnchor xmlns:cdr="http://schemas.openxmlformats.org/drawingml/2006/chartDrawing">
    <cdr:from>
      <cdr:x>0.39074</cdr:x>
      <cdr:y>0.0593</cdr:y>
    </cdr:from>
    <cdr:to>
      <cdr:x>0.65106</cdr:x>
      <cdr:y>0.8136</cdr:y>
    </cdr:to>
    <cdr:grpSp>
      <cdr:nvGrpSpPr>
        <cdr:cNvPr id="19" name="Group 18"/>
        <cdr:cNvGrpSpPr/>
      </cdr:nvGrpSpPr>
      <cdr:grpSpPr>
        <a:xfrm xmlns:a="http://schemas.openxmlformats.org/drawingml/2006/main">
          <a:off x="2111768" y="206429"/>
          <a:ext cx="1406895" cy="2625771"/>
          <a:chOff x="2132965" y="172531"/>
          <a:chExt cx="1485902" cy="2592000"/>
        </a:xfrm>
      </cdr:grpSpPr>
      <cdr:cxnSp macro="">
        <cdr:nvCxnSpPr>
          <cdr:cNvPr id="3" name="Straight Connector 2"/>
          <cdr:cNvCxnSpPr/>
        </cdr:nvCxnSpPr>
        <cdr:spPr>
          <a:xfrm xmlns:a="http://schemas.openxmlformats.org/drawingml/2006/main">
            <a:off x="2733040" y="172531"/>
            <a:ext cx="0" cy="2592000"/>
          </a:xfrm>
          <a:prstGeom xmlns:a="http://schemas.openxmlformats.org/drawingml/2006/main" prst="line">
            <a:avLst/>
          </a:prstGeom>
          <a:ln xmlns:a="http://schemas.openxmlformats.org/drawingml/2006/main" w="9525">
            <a:solidFill>
              <a:schemeClr val="accent5"/>
            </a:solidFill>
            <a:prstDash val="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cxnSp macro="">
        <cdr:nvCxnSpPr>
          <cdr:cNvPr id="4" name="Straight Connector 3"/>
          <cdr:cNvCxnSpPr/>
        </cdr:nvCxnSpPr>
        <cdr:spPr>
          <a:xfrm xmlns:a="http://schemas.openxmlformats.org/drawingml/2006/main">
            <a:off x="2132965" y="172531"/>
            <a:ext cx="0" cy="2592000"/>
          </a:xfrm>
          <a:prstGeom xmlns:a="http://schemas.openxmlformats.org/drawingml/2006/main" prst="line">
            <a:avLst/>
          </a:prstGeom>
          <a:ln xmlns:a="http://schemas.openxmlformats.org/drawingml/2006/main" w="9525">
            <a:solidFill>
              <a:schemeClr val="accent5"/>
            </a:solidFill>
            <a:prstDash val="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cxnSp macro="">
        <cdr:nvCxnSpPr>
          <cdr:cNvPr id="6" name="Straight Connector 5"/>
          <cdr:cNvCxnSpPr/>
        </cdr:nvCxnSpPr>
        <cdr:spPr>
          <a:xfrm xmlns:a="http://schemas.openxmlformats.org/drawingml/2006/main">
            <a:off x="3618867" y="172531"/>
            <a:ext cx="0" cy="2592000"/>
          </a:xfrm>
          <a:prstGeom xmlns:a="http://schemas.openxmlformats.org/drawingml/2006/main" prst="line">
            <a:avLst/>
          </a:prstGeom>
          <a:ln xmlns:a="http://schemas.openxmlformats.org/drawingml/2006/main" w="9525">
            <a:solidFill>
              <a:schemeClr val="accent5"/>
            </a:solidFill>
            <a:prstDash val="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grpSp>
  </cdr:relSizeAnchor>
</c:userShapes>
</file>

<file path=word/theme/theme1.xml><?xml version="1.0" encoding="utf-8"?>
<a:theme xmlns:a="http://schemas.openxmlformats.org/drawingml/2006/main" name="Office Theme">
  <a:themeElements>
    <a:clrScheme name="PC Official">
      <a:dk1>
        <a:srgbClr val="000000"/>
      </a:dk1>
      <a:lt1>
        <a:sysClr val="window" lastClr="FFFFFF"/>
      </a:lt1>
      <a:dk2>
        <a:srgbClr val="78A22F"/>
      </a:dk2>
      <a:lt2>
        <a:srgbClr val="C9C9C9"/>
      </a:lt2>
      <a:accent1>
        <a:srgbClr val="B4C98B"/>
      </a:accent1>
      <a:accent2>
        <a:srgbClr val="39580D"/>
      </a:accent2>
      <a:accent3>
        <a:srgbClr val="000000"/>
      </a:accent3>
      <a:accent4>
        <a:srgbClr val="787878"/>
      </a:accent4>
      <a:accent5>
        <a:srgbClr val="344893"/>
      </a:accent5>
      <a:accent6>
        <a:srgbClr val="78A22F"/>
      </a:accent6>
      <a:hlink>
        <a:srgbClr val="344893"/>
      </a:hlink>
      <a:folHlink>
        <a:srgbClr val="B4C98B"/>
      </a:folHlink>
    </a:clrScheme>
    <a:fontScheme name="PC Report">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PC Official">
    <a:dk1>
      <a:srgbClr val="000000"/>
    </a:dk1>
    <a:lt1>
      <a:sysClr val="window" lastClr="FFFFFF"/>
    </a:lt1>
    <a:dk2>
      <a:srgbClr val="78A22F"/>
    </a:dk2>
    <a:lt2>
      <a:srgbClr val="C9C9C9"/>
    </a:lt2>
    <a:accent1>
      <a:srgbClr val="B4C98B"/>
    </a:accent1>
    <a:accent2>
      <a:srgbClr val="39580D"/>
    </a:accent2>
    <a:accent3>
      <a:srgbClr val="000000"/>
    </a:accent3>
    <a:accent4>
      <a:srgbClr val="787878"/>
    </a:accent4>
    <a:accent5>
      <a:srgbClr val="344893"/>
    </a:accent5>
    <a:accent6>
      <a:srgbClr val="78A22F"/>
    </a:accent6>
    <a:hlink>
      <a:srgbClr val="344893"/>
    </a:hlink>
    <a:folHlink>
      <a:srgbClr val="B4C98B"/>
    </a:folHlink>
  </a:clrScheme>
  <a:fontScheme name="PC Report">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PC Official">
    <a:dk1>
      <a:srgbClr val="000000"/>
    </a:dk1>
    <a:lt1>
      <a:sysClr val="window" lastClr="FFFFFF"/>
    </a:lt1>
    <a:dk2>
      <a:srgbClr val="78A22F"/>
    </a:dk2>
    <a:lt2>
      <a:srgbClr val="C9C9C9"/>
    </a:lt2>
    <a:accent1>
      <a:srgbClr val="B4C98B"/>
    </a:accent1>
    <a:accent2>
      <a:srgbClr val="39580D"/>
    </a:accent2>
    <a:accent3>
      <a:srgbClr val="000000"/>
    </a:accent3>
    <a:accent4>
      <a:srgbClr val="787878"/>
    </a:accent4>
    <a:accent5>
      <a:srgbClr val="344893"/>
    </a:accent5>
    <a:accent6>
      <a:srgbClr val="78A22F"/>
    </a:accent6>
    <a:hlink>
      <a:srgbClr val="344893"/>
    </a:hlink>
    <a:folHlink>
      <a:srgbClr val="B4C98B"/>
    </a:folHlink>
  </a:clrScheme>
  <a:fontScheme name="PC Report">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5BB69D-B104-4BB0-8E41-894A3747DF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3</TotalTime>
  <Pages>73</Pages>
  <Words>18093</Words>
  <Characters>108240</Characters>
  <Application>Microsoft Office Word</Application>
  <DocSecurity>0</DocSecurity>
  <Lines>902</Lines>
  <Paragraphs>252</Paragraphs>
  <ScaleCrop>false</ScaleCrop>
  <HeadingPairs>
    <vt:vector size="2" baseType="variant">
      <vt:variant>
        <vt:lpstr>Title</vt:lpstr>
      </vt:variant>
      <vt:variant>
        <vt:i4>1</vt:i4>
      </vt:variant>
    </vt:vector>
  </HeadingPairs>
  <TitlesOfParts>
    <vt:vector size="1" baseType="lpstr">
      <vt:lpstr>Chapter</vt:lpstr>
    </vt:vector>
  </TitlesOfParts>
  <Company>Productivity Commission</Company>
  <LinksUpToDate>false</LinksUpToDate>
  <CharactersWithSpaces>126081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dc:title>
  <dc:subject>Report</dc:subject>
  <dc:creator>Productivity Commission</dc:creator>
  <dc:description>1.</dc:description>
  <cp:lastModifiedBy>Productivity Commission</cp:lastModifiedBy>
  <cp:revision>7</cp:revision>
  <cp:lastPrinted>2012-07-19T02:05:00Z</cp:lastPrinted>
  <dcterms:created xsi:type="dcterms:W3CDTF">2013-12-19T22:38:00Z</dcterms:created>
  <dcterms:modified xsi:type="dcterms:W3CDTF">2015-05-08T00:37:00Z</dcterms:modified>
</cp:coreProperties>
</file>