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613873" w:rsidP="00CD5E6B">
      <w:pPr>
        <w:pStyle w:val="BodyText"/>
        <w:rPr>
          <w:b/>
          <w:szCs w:val="26"/>
        </w:rPr>
      </w:pPr>
      <w:r>
        <w:rPr>
          <w:noProof/>
          <w:lang w:eastAsia="en-AU"/>
        </w:rPr>
        <w:drawing>
          <wp:anchor distT="0" distB="0" distL="114300" distR="114300" simplePos="0" relativeHeight="251658240" behindDoc="1" locked="0" layoutInCell="1" allowOverlap="1">
            <wp:simplePos x="1146412" y="1050878"/>
            <wp:positionH relativeFrom="page">
              <wp:align>center</wp:align>
            </wp:positionH>
            <wp:positionV relativeFrom="page">
              <wp:align>bottom</wp:align>
            </wp:positionV>
            <wp:extent cx="7560000" cy="10126800"/>
            <wp:effectExtent l="0" t="0" r="3175" b="8255"/>
            <wp:wrapNone/>
            <wp:docPr id="1" name="Picture 1" descr="Cover image for the Australian GOvernment Productivity Commission Inquiry Report titled 'Australian's Automotive Manufacturing Industry'. Number 70, 31 March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auto-fina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101268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bookmarkStart w:id="0" w:name="_GoBack"/>
      <w:bookmarkEnd w:id="0"/>
    </w:p>
    <w:p w:rsidR="00F9689B" w:rsidRPr="007809B8" w:rsidRDefault="00F9689B" w:rsidP="00F9689B">
      <w:pPr>
        <w:pStyle w:val="BodyText"/>
        <w:tabs>
          <w:tab w:val="left" w:pos="851"/>
        </w:tabs>
        <w:spacing w:before="200" w:after="120"/>
        <w:jc w:val="left"/>
        <w:rPr>
          <w:b/>
          <w:sz w:val="24"/>
        </w:rPr>
      </w:pPr>
      <w:bookmarkStart w:id="1" w:name="ISSN"/>
      <w:bookmarkEnd w:id="1"/>
      <w:r>
        <w:rPr>
          <w:b/>
          <w:sz w:val="24"/>
        </w:rPr>
        <w:t>ISSN</w:t>
      </w:r>
      <w:r>
        <w:rPr>
          <w:b/>
          <w:sz w:val="24"/>
        </w:rPr>
        <w:tab/>
      </w:r>
      <w:r w:rsidRPr="00A150F0">
        <w:rPr>
          <w:b/>
          <w:sz w:val="24"/>
        </w:rPr>
        <w:t>978-1-74037-478-1</w:t>
      </w:r>
      <w:r>
        <w:rPr>
          <w:b/>
          <w:sz w:val="24"/>
        </w:rPr>
        <w:br/>
        <w:t>ISBN</w:t>
      </w:r>
      <w:r>
        <w:rPr>
          <w:b/>
          <w:sz w:val="24"/>
        </w:rPr>
        <w:tab/>
      </w:r>
      <w:r w:rsidRPr="00A150F0">
        <w:rPr>
          <w:b/>
          <w:sz w:val="24"/>
        </w:rPr>
        <w:t>1447-1329</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E352A6" w:rsidP="003E7802">
      <w:pPr>
        <w:pStyle w:val="BodyText"/>
        <w:spacing w:before="320"/>
        <w:rPr>
          <w:b/>
          <w:sz w:val="24"/>
        </w:rPr>
      </w:pPr>
      <w:r>
        <w:rPr>
          <w:b/>
          <w:sz w:val="24"/>
        </w:rPr>
        <w:t>Publications e</w:t>
      </w:r>
      <w:r w:rsidR="003E7802">
        <w:rPr>
          <w:b/>
          <w:sz w:val="24"/>
        </w:rPr>
        <w:t>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3E7802" w:rsidP="003E7802">
      <w:pPr>
        <w:pStyle w:val="BodyText"/>
        <w:spacing w:before="320"/>
        <w:rPr>
          <w:b/>
          <w:sz w:val="24"/>
        </w:rPr>
      </w:pPr>
      <w:r>
        <w:rPr>
          <w:b/>
          <w:sz w:val="24"/>
        </w:rPr>
        <w:t xml:space="preserve">General </w:t>
      </w:r>
      <w:r w:rsidR="00E352A6">
        <w:rPr>
          <w:b/>
          <w:sz w:val="24"/>
        </w:rPr>
        <w:t>e</w:t>
      </w:r>
      <w:r>
        <w:rPr>
          <w:b/>
          <w:sz w:val="24"/>
        </w:rPr>
        <w:t>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F9689B" w:rsidRDefault="00F9689B" w:rsidP="00F9689B">
      <w:pPr>
        <w:pStyle w:val="BodyText"/>
        <w:spacing w:before="160" w:after="120" w:line="240" w:lineRule="auto"/>
        <w:rPr>
          <w:sz w:val="24"/>
          <w:szCs w:val="24"/>
        </w:rPr>
      </w:pPr>
      <w:r w:rsidRPr="0046503B">
        <w:rPr>
          <w:sz w:val="24"/>
          <w:szCs w:val="24"/>
        </w:rPr>
        <w:t xml:space="preserve">Productivity Commission 2014, </w:t>
      </w:r>
      <w:r w:rsidRPr="0046503B">
        <w:rPr>
          <w:i/>
          <w:sz w:val="24"/>
          <w:szCs w:val="24"/>
        </w:rPr>
        <w:t xml:space="preserve">Australia’s Automotive Manufacturing Industry, </w:t>
      </w:r>
      <w:r>
        <w:rPr>
          <w:sz w:val="24"/>
          <w:szCs w:val="24"/>
        </w:rPr>
        <w:t>Inquiry Report No.</w:t>
      </w:r>
      <w:r w:rsidR="00613873">
        <w:rPr>
          <w:sz w:val="24"/>
          <w:szCs w:val="24"/>
        </w:rPr>
        <w:t xml:space="preserve"> </w:t>
      </w:r>
      <w:r>
        <w:rPr>
          <w:sz w:val="24"/>
          <w:szCs w:val="24"/>
        </w:rPr>
        <w:t>70</w:t>
      </w:r>
      <w:r w:rsidRPr="0046503B">
        <w:rPr>
          <w:sz w:val="24"/>
          <w:szCs w:val="24"/>
        </w:rPr>
        <w:t>, Canberra</w:t>
      </w:r>
      <w:r>
        <w:rPr>
          <w:sz w:val="24"/>
          <w:szCs w:val="24"/>
        </w:rPr>
        <w:t>.</w:t>
      </w:r>
    </w:p>
    <w:p w:rsidR="00F9689B" w:rsidRPr="00507F3C" w:rsidRDefault="00F9689B" w:rsidP="00F9689B">
      <w:pPr>
        <w:pStyle w:val="BodyText"/>
        <w:spacing w:before="160" w:after="120" w:line="240" w:lineRule="auto"/>
        <w:rPr>
          <w:sz w:val="20"/>
        </w:rPr>
      </w:pPr>
      <w:proofErr w:type="spellStart"/>
      <w:r w:rsidRPr="00507F3C">
        <w:rPr>
          <w:sz w:val="20"/>
        </w:rPr>
        <w:t>JEL</w:t>
      </w:r>
      <w:proofErr w:type="spellEnd"/>
      <w:r w:rsidRPr="00507F3C">
        <w:rPr>
          <w:sz w:val="20"/>
        </w:rPr>
        <w:t xml:space="preserve"> code: </w:t>
      </w:r>
      <w:proofErr w:type="spellStart"/>
      <w:r>
        <w:rPr>
          <w:sz w:val="20"/>
        </w:rPr>
        <w:t>L620</w:t>
      </w:r>
      <w:proofErr w:type="spellEnd"/>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proofErr w:type="spellEnd"/>
    </w:p>
    <w:p w:rsidR="00F9689B" w:rsidRDefault="00F9689B">
      <w:bookmarkStart w:id="2" w:name="cov"/>
      <w:bookmarkEnd w:id="2"/>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F9689B" w:rsidTr="00256853">
        <w:trPr>
          <w:cantSplit/>
          <w:trHeight w:hRule="exact" w:val="996"/>
        </w:trPr>
        <w:tc>
          <w:tcPr>
            <w:tcW w:w="2434" w:type="dxa"/>
          </w:tcPr>
          <w:p w:rsidR="00F9689B" w:rsidRPr="00205C77" w:rsidRDefault="00F9689B" w:rsidP="00256853">
            <w:pPr>
              <w:pStyle w:val="PCAddress"/>
              <w:ind w:left="709"/>
              <w:rPr>
                <w:rFonts w:ascii="Goudy Old Style" w:hAnsi="Goudy Old Style"/>
                <w:b/>
                <w:i/>
              </w:rPr>
            </w:pPr>
          </w:p>
        </w:tc>
        <w:tc>
          <w:tcPr>
            <w:tcW w:w="1824" w:type="dxa"/>
          </w:tcPr>
          <w:p w:rsidR="00F9689B" w:rsidRPr="00205C77" w:rsidRDefault="00F9689B" w:rsidP="00256853">
            <w:pPr>
              <w:pStyle w:val="PCAddress"/>
              <w:ind w:left="709"/>
              <w:rPr>
                <w:rFonts w:ascii="Goudy Old Style" w:hAnsi="Goudy Old Style"/>
                <w:b/>
                <w:i/>
              </w:rPr>
            </w:pPr>
          </w:p>
        </w:tc>
        <w:tc>
          <w:tcPr>
            <w:tcW w:w="4815" w:type="dxa"/>
            <w:gridSpan w:val="2"/>
          </w:tcPr>
          <w:p w:rsidR="00F9689B" w:rsidRPr="00205C77" w:rsidRDefault="00F9689B" w:rsidP="00256853">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73352536" wp14:editId="58E17F01">
                  <wp:extent cx="2057400" cy="600075"/>
                  <wp:effectExtent l="0" t="0" r="0" b="9525"/>
                  <wp:docPr id="89" name="Picture 89"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9"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F9689B" w:rsidTr="00256853">
        <w:trPr>
          <w:cantSplit/>
          <w:trHeight w:hRule="exact" w:val="2793"/>
        </w:trPr>
        <w:tc>
          <w:tcPr>
            <w:tcW w:w="5954" w:type="dxa"/>
            <w:gridSpan w:val="3"/>
            <w:vAlign w:val="bottom"/>
          </w:tcPr>
          <w:p w:rsidR="00F9689B" w:rsidRPr="00E61DA2" w:rsidRDefault="00F9689B" w:rsidP="00256853">
            <w:pPr>
              <w:ind w:left="34"/>
            </w:pPr>
            <w:bookmarkStart w:id="3" w:name="YourRef"/>
            <w:bookmarkStart w:id="4" w:name="OurRef"/>
            <w:bookmarkStart w:id="5" w:name="graphics" w:colFirst="1" w:colLast="1"/>
            <w:bookmarkEnd w:id="3"/>
            <w:bookmarkEnd w:id="4"/>
          </w:p>
          <w:p w:rsidR="00F9689B" w:rsidRPr="00E61DA2" w:rsidRDefault="00F9689B" w:rsidP="00256853">
            <w:pPr>
              <w:pStyle w:val="LetterAddress"/>
              <w:ind w:left="-113"/>
            </w:pPr>
            <w:r w:rsidRPr="00E61DA2">
              <w:cr/>
            </w:r>
            <w:r>
              <w:t>31 March 2014</w:t>
            </w:r>
          </w:p>
        </w:tc>
        <w:tc>
          <w:tcPr>
            <w:tcW w:w="3119" w:type="dxa"/>
            <w:vAlign w:val="center"/>
          </w:tcPr>
          <w:p w:rsidR="00F9689B" w:rsidRPr="00205C77" w:rsidRDefault="00F9689B" w:rsidP="00256853">
            <w:pPr>
              <w:pStyle w:val="PCAddress"/>
              <w:ind w:left="709"/>
              <w:rPr>
                <w:rFonts w:ascii="Goudy Old Style" w:hAnsi="Goudy Old Style"/>
                <w:b/>
                <w:i/>
              </w:rPr>
            </w:pPr>
            <w:r w:rsidRPr="00205C77">
              <w:rPr>
                <w:rFonts w:ascii="Goudy Old Style" w:hAnsi="Goudy Old Style"/>
                <w:b/>
                <w:i/>
              </w:rPr>
              <w:t>Melbourne Office</w:t>
            </w:r>
          </w:p>
          <w:p w:rsidR="00F9689B" w:rsidRPr="00205C77" w:rsidRDefault="00F9689B" w:rsidP="00256853">
            <w:pPr>
              <w:pStyle w:val="PCAddress"/>
              <w:spacing w:after="0"/>
              <w:ind w:left="709"/>
              <w:rPr>
                <w:rFonts w:ascii="Goudy Old Style" w:hAnsi="Goudy Old Style"/>
              </w:rPr>
            </w:pPr>
            <w:r w:rsidRPr="00205C77">
              <w:rPr>
                <w:rFonts w:ascii="Goudy Old Style" w:hAnsi="Goudy Old Style"/>
              </w:rPr>
              <w:t>Level 12, 530 Collins Street</w:t>
            </w:r>
          </w:p>
          <w:p w:rsidR="00F9689B" w:rsidRPr="00205C77" w:rsidRDefault="00F9689B" w:rsidP="00256853">
            <w:pPr>
              <w:pStyle w:val="PCAddress"/>
              <w:ind w:left="709"/>
              <w:rPr>
                <w:rFonts w:ascii="Goudy Old Style" w:hAnsi="Goudy Old Style"/>
              </w:rPr>
            </w:pPr>
            <w:r w:rsidRPr="00205C77">
              <w:rPr>
                <w:rFonts w:ascii="Goudy Old Style" w:hAnsi="Goudy Old Style"/>
              </w:rPr>
              <w:t>Melbourne  VIC  3000</w:t>
            </w:r>
          </w:p>
          <w:p w:rsidR="00F9689B" w:rsidRPr="00205C77" w:rsidRDefault="00F9689B" w:rsidP="00256853">
            <w:pPr>
              <w:pStyle w:val="PCAddress"/>
              <w:spacing w:after="0"/>
              <w:ind w:left="709"/>
              <w:rPr>
                <w:rFonts w:ascii="Goudy Old Style" w:hAnsi="Goudy Old Style"/>
              </w:rPr>
            </w:pPr>
            <w:r w:rsidRPr="00205C77">
              <w:rPr>
                <w:rFonts w:ascii="Goudy Old Style" w:hAnsi="Goudy Old Style"/>
              </w:rPr>
              <w:t xml:space="preserve">Locked Bag 2 Collins Street East </w:t>
            </w:r>
          </w:p>
          <w:p w:rsidR="00F9689B" w:rsidRPr="00205C77" w:rsidRDefault="00F9689B" w:rsidP="00256853">
            <w:pPr>
              <w:pStyle w:val="PCAddress"/>
              <w:ind w:left="709"/>
              <w:rPr>
                <w:rFonts w:ascii="Goudy Old Style" w:hAnsi="Goudy Old Style"/>
              </w:rPr>
            </w:pPr>
            <w:r w:rsidRPr="00205C77">
              <w:rPr>
                <w:rFonts w:ascii="Goudy Old Style" w:hAnsi="Goudy Old Style"/>
              </w:rPr>
              <w:t>Melbourne  VIC  8003</w:t>
            </w:r>
          </w:p>
          <w:p w:rsidR="00F9689B" w:rsidRPr="00205C77" w:rsidRDefault="00F9689B" w:rsidP="00256853">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t>03 9653 2100</w:t>
            </w:r>
          </w:p>
          <w:p w:rsidR="00F9689B" w:rsidRPr="00205C77" w:rsidRDefault="00F9689B" w:rsidP="00256853">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t>03 9653 2199</w:t>
            </w:r>
          </w:p>
          <w:p w:rsidR="00F9689B" w:rsidRPr="00205C77" w:rsidRDefault="00F9689B" w:rsidP="00256853">
            <w:pPr>
              <w:pStyle w:val="PCAddress"/>
              <w:ind w:left="709"/>
              <w:rPr>
                <w:rFonts w:ascii="Goudy Old Style" w:hAnsi="Goudy Old Style"/>
                <w:b/>
                <w:i/>
              </w:rPr>
            </w:pPr>
            <w:r w:rsidRPr="00205C77">
              <w:rPr>
                <w:rFonts w:ascii="Goudy Old Style" w:hAnsi="Goudy Old Style"/>
                <w:b/>
                <w:i/>
              </w:rPr>
              <w:t>Canberra Office</w:t>
            </w:r>
          </w:p>
          <w:p w:rsidR="00F9689B" w:rsidRPr="00205C77" w:rsidRDefault="00F9689B" w:rsidP="00256853">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t>02 6240 3200</w:t>
            </w:r>
          </w:p>
          <w:p w:rsidR="00F9689B" w:rsidRPr="00205C77" w:rsidRDefault="00F9689B" w:rsidP="00256853">
            <w:pPr>
              <w:pStyle w:val="PCAddress"/>
              <w:ind w:left="709"/>
              <w:rPr>
                <w:rFonts w:ascii="Goudy Old Style" w:hAnsi="Goudy Old Style"/>
              </w:rPr>
            </w:pPr>
            <w:r w:rsidRPr="00205C77">
              <w:rPr>
                <w:rFonts w:ascii="Goudy Old Style" w:hAnsi="Goudy Old Style"/>
              </w:rPr>
              <w:t>www.pc.gov.au</w:t>
            </w:r>
          </w:p>
        </w:tc>
      </w:tr>
      <w:bookmarkEnd w:id="5"/>
    </w:tbl>
    <w:p w:rsidR="00F9689B" w:rsidRPr="00C76C25" w:rsidRDefault="00F9689B" w:rsidP="00F9689B">
      <w:pPr>
        <w:pStyle w:val="LetterAddress"/>
      </w:pPr>
    </w:p>
    <w:p w:rsidR="00F9689B" w:rsidRDefault="00F9689B" w:rsidP="00F9689B">
      <w:pPr>
        <w:pStyle w:val="Salutation"/>
        <w:rPr>
          <w:noProof w:val="0"/>
        </w:rPr>
      </w:pPr>
      <w:bookmarkStart w:id="6" w:name="Salutation"/>
      <w:bookmarkEnd w:id="6"/>
    </w:p>
    <w:p w:rsidR="00F9689B" w:rsidRDefault="00F9689B" w:rsidP="00F9689B">
      <w:pPr>
        <w:pStyle w:val="Salutation"/>
        <w:rPr>
          <w:noProof w:val="0"/>
        </w:rPr>
      </w:pPr>
    </w:p>
    <w:p w:rsidR="00F9689B" w:rsidRDefault="00F9689B" w:rsidP="00F9689B">
      <w:pPr>
        <w:pStyle w:val="Salutation"/>
        <w:rPr>
          <w:noProof w:val="0"/>
        </w:rPr>
      </w:pPr>
      <w:r>
        <w:rPr>
          <w:noProof w:val="0"/>
        </w:rPr>
        <w:t>The Hon Joe Hockey MP</w:t>
      </w:r>
      <w:r>
        <w:rPr>
          <w:noProof w:val="0"/>
        </w:rPr>
        <w:br/>
        <w:t>Treasurer</w:t>
      </w:r>
    </w:p>
    <w:p w:rsidR="00F9689B" w:rsidRDefault="00F9689B" w:rsidP="00F9689B">
      <w:pPr>
        <w:pStyle w:val="Salutation"/>
        <w:rPr>
          <w:noProof w:val="0"/>
        </w:rPr>
      </w:pPr>
      <w:r>
        <w:rPr>
          <w:noProof w:val="0"/>
        </w:rPr>
        <w:t>Parliament House</w:t>
      </w:r>
    </w:p>
    <w:p w:rsidR="00F9689B" w:rsidRDefault="00F9689B" w:rsidP="00F9689B">
      <w:pPr>
        <w:pStyle w:val="Salutation"/>
        <w:rPr>
          <w:noProof w:val="0"/>
        </w:rPr>
      </w:pPr>
      <w:r>
        <w:rPr>
          <w:noProof w:val="0"/>
        </w:rPr>
        <w:t>CANBERRA ACT 2600</w:t>
      </w:r>
    </w:p>
    <w:p w:rsidR="00F9689B" w:rsidRPr="00C16E10" w:rsidRDefault="00F9689B" w:rsidP="00F9689B"/>
    <w:p w:rsidR="00F9689B" w:rsidRPr="00C76C25" w:rsidRDefault="00F9689B" w:rsidP="00F9689B">
      <w:pPr>
        <w:pStyle w:val="Salutation"/>
      </w:pPr>
      <w:r w:rsidRPr="00C76C25">
        <w:t>Dear Treasurer</w:t>
      </w:r>
    </w:p>
    <w:p w:rsidR="00F9689B" w:rsidRPr="00C76C25" w:rsidRDefault="00F9689B" w:rsidP="00F9689B">
      <w:pPr>
        <w:pStyle w:val="BodyText"/>
        <w:ind w:right="142"/>
        <w:rPr>
          <w:sz w:val="24"/>
          <w:szCs w:val="24"/>
        </w:rPr>
      </w:pPr>
      <w:bookmarkStart w:id="7" w:name="Body"/>
      <w:bookmarkEnd w:id="7"/>
      <w:r w:rsidRPr="00C76C25">
        <w:rPr>
          <w:sz w:val="24"/>
          <w:szCs w:val="24"/>
        </w:rPr>
        <w:t xml:space="preserve">In accordance with Section 11 of the </w:t>
      </w:r>
      <w:r w:rsidRPr="00C76C25">
        <w:rPr>
          <w:i/>
          <w:sz w:val="24"/>
          <w:szCs w:val="24"/>
        </w:rPr>
        <w:t>Productivity Commission Act 1998</w:t>
      </w:r>
      <w:r w:rsidRPr="00C76C25">
        <w:rPr>
          <w:sz w:val="24"/>
          <w:szCs w:val="24"/>
        </w:rPr>
        <w:t xml:space="preserve">, we have pleasure in submitting to you the Commission’s final report into </w:t>
      </w:r>
      <w:r>
        <w:rPr>
          <w:sz w:val="24"/>
          <w:szCs w:val="24"/>
        </w:rPr>
        <w:t xml:space="preserve">Australia’s Automotive Manufacturing Industry. </w:t>
      </w:r>
    </w:p>
    <w:p w:rsidR="00F9689B" w:rsidRPr="00C76C25" w:rsidRDefault="00F9689B" w:rsidP="00F9689B">
      <w:pPr>
        <w:pStyle w:val="Signoff"/>
        <w:rPr>
          <w:szCs w:val="24"/>
        </w:rPr>
      </w:pPr>
      <w:bookmarkStart w:id="8" w:name="signoff"/>
      <w:bookmarkEnd w:id="8"/>
      <w:r w:rsidRPr="00C76C25">
        <w:rPr>
          <w:szCs w:val="24"/>
        </w:rPr>
        <w:t>Yours sincerely</w:t>
      </w:r>
    </w:p>
    <w:tbl>
      <w:tblPr>
        <w:tblStyle w:val="TableGrid"/>
        <w:tblW w:w="86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4677"/>
      </w:tblGrid>
      <w:tr w:rsidR="00F9689B" w:rsidTr="00256853">
        <w:trPr>
          <w:trHeight w:val="629"/>
        </w:trPr>
        <w:tc>
          <w:tcPr>
            <w:tcW w:w="3936" w:type="dxa"/>
          </w:tcPr>
          <w:p w:rsidR="00F9689B" w:rsidRDefault="00F9689B" w:rsidP="00256853">
            <w:pPr>
              <w:pStyle w:val="BodyText"/>
              <w:rPr>
                <w:sz w:val="24"/>
                <w:szCs w:val="24"/>
              </w:rPr>
            </w:pPr>
          </w:p>
        </w:tc>
        <w:tc>
          <w:tcPr>
            <w:tcW w:w="4677" w:type="dxa"/>
          </w:tcPr>
          <w:p w:rsidR="00F9689B" w:rsidRDefault="00F9689B" w:rsidP="00256853">
            <w:pPr>
              <w:pStyle w:val="BodyText"/>
              <w:rPr>
                <w:sz w:val="24"/>
                <w:szCs w:val="24"/>
              </w:rPr>
            </w:pPr>
          </w:p>
        </w:tc>
      </w:tr>
      <w:tr w:rsidR="00F9689B" w:rsidTr="00256853">
        <w:trPr>
          <w:trHeight w:val="943"/>
        </w:trPr>
        <w:tc>
          <w:tcPr>
            <w:tcW w:w="3936" w:type="dxa"/>
          </w:tcPr>
          <w:p w:rsidR="00F9689B" w:rsidRPr="00C76C25" w:rsidRDefault="00F9689B" w:rsidP="00256853">
            <w:pPr>
              <w:pStyle w:val="BodyText"/>
              <w:rPr>
                <w:sz w:val="24"/>
                <w:szCs w:val="24"/>
              </w:rPr>
            </w:pPr>
            <w:bookmarkStart w:id="9" w:name="author"/>
            <w:bookmarkEnd w:id="9"/>
            <w:r>
              <w:rPr>
                <w:sz w:val="24"/>
                <w:szCs w:val="24"/>
              </w:rPr>
              <w:t xml:space="preserve">Michael Woods </w:t>
            </w:r>
          </w:p>
          <w:p w:rsidR="00F9689B" w:rsidRDefault="00F9689B" w:rsidP="00256853">
            <w:pPr>
              <w:pStyle w:val="LetterAddress"/>
              <w:rPr>
                <w:szCs w:val="24"/>
              </w:rPr>
            </w:pPr>
            <w:r w:rsidRPr="00C76C25">
              <w:t>Presiding Commissioner</w:t>
            </w:r>
          </w:p>
        </w:tc>
        <w:tc>
          <w:tcPr>
            <w:tcW w:w="4677" w:type="dxa"/>
          </w:tcPr>
          <w:p w:rsidR="00F9689B" w:rsidRPr="00C76C25" w:rsidRDefault="00F9689B" w:rsidP="00256853">
            <w:pPr>
              <w:pStyle w:val="BodyText"/>
              <w:rPr>
                <w:sz w:val="24"/>
                <w:szCs w:val="24"/>
              </w:rPr>
            </w:pPr>
            <w:r>
              <w:rPr>
                <w:sz w:val="24"/>
                <w:szCs w:val="24"/>
              </w:rPr>
              <w:t>Philip Weickhardt</w:t>
            </w:r>
          </w:p>
          <w:p w:rsidR="00F9689B" w:rsidRDefault="00F9689B" w:rsidP="00256853">
            <w:pPr>
              <w:pStyle w:val="LetterAddress"/>
              <w:rPr>
                <w:szCs w:val="24"/>
              </w:rPr>
            </w:pPr>
            <w:r w:rsidRPr="00C76C25">
              <w:t>Commissioner</w:t>
            </w:r>
          </w:p>
        </w:tc>
      </w:tr>
    </w:tbl>
    <w:p w:rsidR="00F9689B" w:rsidRDefault="00F9689B"/>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p>
    <w:p w:rsidR="00F9689B" w:rsidRDefault="00F9689B" w:rsidP="00537BB4">
      <w:pPr>
        <w:pStyle w:val="Heading1"/>
      </w:pPr>
      <w:r>
        <w:lastRenderedPageBreak/>
        <w:t>Terms of reference</w:t>
      </w:r>
    </w:p>
    <w:p w:rsidR="00F9689B" w:rsidRPr="00322D74" w:rsidRDefault="00F9689B" w:rsidP="00F9689B">
      <w:pPr>
        <w:pStyle w:val="BodyText"/>
        <w:jc w:val="center"/>
        <w:rPr>
          <w:caps/>
        </w:rPr>
      </w:pPr>
      <w:r w:rsidRPr="00322D74">
        <w:rPr>
          <w:caps/>
        </w:rPr>
        <w:t>Review of the Australian Automotive Manufacturing Industry</w:t>
      </w:r>
    </w:p>
    <w:p w:rsidR="00F9689B" w:rsidRDefault="00F9689B" w:rsidP="00F9689B">
      <w:pPr>
        <w:pStyle w:val="BodyText"/>
        <w:jc w:val="center"/>
      </w:pPr>
      <w:r>
        <w:rPr>
          <w:b/>
          <w:bCs/>
          <w:i/>
          <w:iCs/>
          <w:szCs w:val="24"/>
        </w:rPr>
        <w:t>Productivity Commission Act 1998</w:t>
      </w:r>
    </w:p>
    <w:p w:rsidR="00F9689B" w:rsidRPr="00322D74" w:rsidRDefault="00F9689B" w:rsidP="00F9689B">
      <w:pPr>
        <w:pStyle w:val="BodyText"/>
      </w:pPr>
      <w:r w:rsidRPr="00322D74">
        <w:t>I, Joseph Benedict Hockey, Treasurer, pursuant to Parts 2 and 3 of the Productivity Commission Act 1998, hereby request that the Productivity Commission undertake an inquiry into public support for Australia’s automotive manufacturing industry, including passenger motor vehicle and automotive component production.</w:t>
      </w:r>
    </w:p>
    <w:p w:rsidR="00F9689B" w:rsidRPr="00322D74" w:rsidRDefault="00F9689B" w:rsidP="00F9689B">
      <w:pPr>
        <w:pStyle w:val="BodyText"/>
        <w:jc w:val="left"/>
        <w:rPr>
          <w:b/>
          <w:bCs/>
          <w:iCs/>
          <w:szCs w:val="24"/>
        </w:rPr>
      </w:pPr>
      <w:r w:rsidRPr="00322D74">
        <w:rPr>
          <w:b/>
          <w:bCs/>
          <w:iCs/>
          <w:szCs w:val="24"/>
        </w:rPr>
        <w:t>Background</w:t>
      </w:r>
    </w:p>
    <w:p w:rsidR="00F9689B" w:rsidRPr="00322D74" w:rsidRDefault="00F9689B" w:rsidP="00F9689B">
      <w:pPr>
        <w:pStyle w:val="BodyText"/>
      </w:pPr>
      <w:r w:rsidRPr="00322D74">
        <w:t>Australian and State Government support for the automotive manufacturing industry is provided through the current Automotive Transformation Scheme, which provides assistance in respect of production and support for research and development and capital investment, through ad hoc grants provided to vehicle and component manufacturers, through tariffs and through relief from some state taxes.</w:t>
      </w:r>
    </w:p>
    <w:p w:rsidR="00F9689B" w:rsidRPr="00322D74" w:rsidRDefault="00F9689B" w:rsidP="00F9689B">
      <w:pPr>
        <w:pStyle w:val="BodyText"/>
      </w:pPr>
      <w:r w:rsidRPr="00322D74">
        <w:t xml:space="preserve">With the withdrawal of some manufacturers from local production in Australia, </w:t>
      </w:r>
      <w:r>
        <w:t xml:space="preserve">recent uncertainty surrounding tax policies affecting the industry, </w:t>
      </w:r>
      <w:r w:rsidRPr="00322D74">
        <w:t xml:space="preserve">variability in exchange rates and the increasing openness of Australia’s automotive retail market, the circumstances under which assistance is provided to the industry warrant review. </w:t>
      </w:r>
    </w:p>
    <w:p w:rsidR="00F9689B" w:rsidRPr="00322D74" w:rsidRDefault="00F9689B" w:rsidP="00F9689B">
      <w:pPr>
        <w:pStyle w:val="BodyText"/>
        <w:jc w:val="left"/>
        <w:rPr>
          <w:b/>
          <w:bCs/>
          <w:iCs/>
          <w:szCs w:val="24"/>
        </w:rPr>
      </w:pPr>
      <w:r w:rsidRPr="00322D74">
        <w:rPr>
          <w:b/>
          <w:bCs/>
          <w:iCs/>
          <w:szCs w:val="24"/>
        </w:rPr>
        <w:t>Scope of the Inquiry</w:t>
      </w:r>
    </w:p>
    <w:p w:rsidR="00F9689B" w:rsidRDefault="00F9689B" w:rsidP="00F9689B">
      <w:pPr>
        <w:pStyle w:val="BodyText"/>
      </w:pPr>
      <w:r>
        <w:t>The Australian Government desires an internationally competitive and globally integrated automotive manufacturing sector and wishes to ensure that any support for the local automotive manufacturing industry is accountable, transparent and targeted at the long</w:t>
      </w:r>
      <w:r>
        <w:noBreakHyphen/>
        <w:t>term sustainability of the sector. In consultation with a broad range of stakeholders, and in the context of the Australian Government’s desire to improve the overall performance of the Australian economy,</w:t>
      </w:r>
      <w:r w:rsidDel="00847F15">
        <w:t xml:space="preserve"> </w:t>
      </w:r>
      <w:r>
        <w:t>the Commission should, in its Review of the Australian Automotive Manufacturing Industry (the ‘Review’):</w:t>
      </w:r>
    </w:p>
    <w:p w:rsidR="00F9689B" w:rsidRDefault="00F9689B" w:rsidP="00F9689B">
      <w:pPr>
        <w:pStyle w:val="BodyText"/>
      </w:pPr>
    </w:p>
    <w:p w:rsidR="00F9689B" w:rsidRDefault="00F9689B" w:rsidP="00F9689B">
      <w:pPr>
        <w:pStyle w:val="ListNumber"/>
        <w:numPr>
          <w:ilvl w:val="0"/>
          <w:numId w:val="25"/>
        </w:numPr>
      </w:pPr>
      <w:r>
        <w:lastRenderedPageBreak/>
        <w:t>Examine national and international market and regulatory factors affecting:</w:t>
      </w:r>
    </w:p>
    <w:p w:rsidR="00F9689B" w:rsidRDefault="00F9689B" w:rsidP="00F9689B">
      <w:pPr>
        <w:pStyle w:val="ListBullet2"/>
        <w:tabs>
          <w:tab w:val="num" w:pos="680"/>
        </w:tabs>
      </w:pPr>
      <w:r>
        <w:t>the Australian automotive manufacturing industry’s current structure, productivity, investment, profitability, international competitiveness, exports, workforce structure and practices, skills levels and long</w:t>
      </w:r>
      <w:r>
        <w:noBreakHyphen/>
        <w:t xml:space="preserve">term sustainability; </w:t>
      </w:r>
    </w:p>
    <w:p w:rsidR="00F9689B" w:rsidRDefault="00F9689B" w:rsidP="00F9689B">
      <w:pPr>
        <w:pStyle w:val="ListBullet2"/>
        <w:tabs>
          <w:tab w:val="num" w:pos="680"/>
        </w:tabs>
      </w:pPr>
      <w:r>
        <w:t xml:space="preserve">Australia’s attractiveness as an investment location for all phases of automotive manufacturing activity, from research and development through to production of components and vehicles; </w:t>
      </w:r>
    </w:p>
    <w:p w:rsidR="00F9689B" w:rsidRDefault="00F9689B" w:rsidP="00F9689B">
      <w:pPr>
        <w:pStyle w:val="ListBullet2"/>
        <w:tabs>
          <w:tab w:val="num" w:pos="680"/>
        </w:tabs>
      </w:pPr>
      <w:r>
        <w:t>domestic and international demand for Australian design and engineering services, vehicles and automotive products; and</w:t>
      </w:r>
    </w:p>
    <w:p w:rsidR="00F9689B" w:rsidRDefault="00F9689B" w:rsidP="00F9689B">
      <w:pPr>
        <w:pStyle w:val="ListBullet2"/>
        <w:tabs>
          <w:tab w:val="num" w:pos="680"/>
        </w:tabs>
      </w:pPr>
      <w:r>
        <w:t>consumer preferences, including consumer demand for new products and technologies.</w:t>
      </w:r>
    </w:p>
    <w:p w:rsidR="00F9689B" w:rsidRDefault="00F9689B" w:rsidP="00F9689B">
      <w:pPr>
        <w:pStyle w:val="ListNumber"/>
        <w:numPr>
          <w:ilvl w:val="0"/>
          <w:numId w:val="25"/>
        </w:numPr>
      </w:pPr>
      <w:r>
        <w:t>In examining these factors, take into account the following matters:</w:t>
      </w:r>
    </w:p>
    <w:p w:rsidR="00F9689B" w:rsidRDefault="00F9689B" w:rsidP="00F9689B">
      <w:pPr>
        <w:pStyle w:val="ListBullet2"/>
        <w:tabs>
          <w:tab w:val="num" w:pos="680"/>
        </w:tabs>
      </w:pPr>
      <w:r>
        <w:t>international automotive industry assistance arrangements, including reporting on and quantifying tariff, non</w:t>
      </w:r>
      <w:r>
        <w:noBreakHyphen/>
        <w:t>tariff barriers and budgetary assistance provided by major and emerging automotive</w:t>
      </w:r>
      <w:r>
        <w:noBreakHyphen/>
        <w:t xml:space="preserve">producing countries and the barriers and opportunities for Australian manufacturers and suppliers; </w:t>
      </w:r>
    </w:p>
    <w:p w:rsidR="00F9689B" w:rsidRDefault="00F9689B" w:rsidP="00F9689B">
      <w:pPr>
        <w:pStyle w:val="ListBullet2"/>
        <w:tabs>
          <w:tab w:val="num" w:pos="680"/>
        </w:tabs>
      </w:pPr>
      <w:r>
        <w:t>the impact of current workplace arrangements in the industry, domestic industry assistance, government vehicle purchasing policies, the Government’s broader deregulation agenda and the taxation environment (noting fair work laws and taxation reform are subject to separate comprehensive review processes); and</w:t>
      </w:r>
    </w:p>
    <w:p w:rsidR="00F9689B" w:rsidRDefault="00F9689B" w:rsidP="00F9689B">
      <w:pPr>
        <w:pStyle w:val="ListBullet2"/>
        <w:tabs>
          <w:tab w:val="num" w:pos="680"/>
        </w:tabs>
      </w:pPr>
      <w:r>
        <w:t>the spill</w:t>
      </w:r>
      <w:r>
        <w:noBreakHyphen/>
        <w:t>over benefits of the automotive sector, such as technology diffusion.</w:t>
      </w:r>
    </w:p>
    <w:p w:rsidR="00F9689B" w:rsidRDefault="00F9689B" w:rsidP="00F9689B">
      <w:pPr>
        <w:pStyle w:val="ListNumber"/>
        <w:numPr>
          <w:ilvl w:val="0"/>
          <w:numId w:val="25"/>
        </w:numPr>
      </w:pPr>
      <w:r>
        <w:t xml:space="preserve">Taking into account all of the above, identify and evaluate possible alternative public support mechanisms that: </w:t>
      </w:r>
    </w:p>
    <w:p w:rsidR="00F9689B" w:rsidRDefault="00F9689B" w:rsidP="00F9689B">
      <w:pPr>
        <w:pStyle w:val="ListBullet2"/>
        <w:tabs>
          <w:tab w:val="num" w:pos="680"/>
        </w:tabs>
      </w:pPr>
      <w:r>
        <w:t>improve the long</w:t>
      </w:r>
      <w:r>
        <w:noBreakHyphen/>
        <w:t>term profitability, sustainability and productivity of the industry;</w:t>
      </w:r>
    </w:p>
    <w:p w:rsidR="00F9689B" w:rsidRDefault="00F9689B" w:rsidP="00F9689B">
      <w:pPr>
        <w:pStyle w:val="ListBullet2"/>
        <w:tabs>
          <w:tab w:val="num" w:pos="680"/>
        </w:tabs>
      </w:pPr>
      <w:r>
        <w:t xml:space="preserve">facilitate research into, and the development of, innovative alternative vehicle and component technologies by the industry; </w:t>
      </w:r>
    </w:p>
    <w:p w:rsidR="00F9689B" w:rsidRDefault="00F9689B" w:rsidP="00F9689B">
      <w:pPr>
        <w:pStyle w:val="ListBullet2"/>
        <w:tabs>
          <w:tab w:val="num" w:pos="680"/>
        </w:tabs>
      </w:pPr>
      <w:r>
        <w:t>contribute to national productivity growth;</w:t>
      </w:r>
    </w:p>
    <w:p w:rsidR="00F9689B" w:rsidRDefault="00F9689B" w:rsidP="00F9689B">
      <w:pPr>
        <w:pStyle w:val="ListBullet2"/>
        <w:tabs>
          <w:tab w:val="num" w:pos="680"/>
        </w:tabs>
      </w:pPr>
      <w:r>
        <w:t>promote mutual obligation, accountability and transparency; and</w:t>
      </w:r>
    </w:p>
    <w:p w:rsidR="00F9689B" w:rsidRDefault="00F9689B" w:rsidP="00F9689B">
      <w:pPr>
        <w:pStyle w:val="ListBullet2"/>
        <w:tabs>
          <w:tab w:val="num" w:pos="680"/>
        </w:tabs>
      </w:pPr>
      <w:r>
        <w:t xml:space="preserve">are </w:t>
      </w:r>
      <w:r w:rsidRPr="00390F5C">
        <w:t>consistent with Australia’s international trade</w:t>
      </w:r>
      <w:r>
        <w:t xml:space="preserve"> obligations.</w:t>
      </w:r>
    </w:p>
    <w:p w:rsidR="00F9689B" w:rsidRDefault="00F9689B" w:rsidP="00F9689B">
      <w:pPr>
        <w:pStyle w:val="ListNumber"/>
        <w:numPr>
          <w:ilvl w:val="0"/>
          <w:numId w:val="0"/>
        </w:numPr>
        <w:ind w:left="340"/>
      </w:pPr>
      <w:r>
        <w:t xml:space="preserve">Including: </w:t>
      </w:r>
    </w:p>
    <w:p w:rsidR="00F9689B" w:rsidRDefault="00F9689B" w:rsidP="00F9689B">
      <w:pPr>
        <w:pStyle w:val="ListBullet2"/>
        <w:tabs>
          <w:tab w:val="num" w:pos="680"/>
        </w:tabs>
      </w:pPr>
      <w:r>
        <w:t>retargeting of assistance, including within the Automotive Transformation Scheme; and</w:t>
      </w:r>
    </w:p>
    <w:p w:rsidR="00F9689B" w:rsidRDefault="00F9689B" w:rsidP="00F9689B">
      <w:pPr>
        <w:pStyle w:val="ListBullet2"/>
        <w:tabs>
          <w:tab w:val="num" w:pos="680"/>
        </w:tabs>
      </w:pPr>
      <w:r>
        <w:lastRenderedPageBreak/>
        <w:t>introducing more internationally</w:t>
      </w:r>
      <w:r>
        <w:noBreakHyphen/>
        <w:t>competitive workplace, regulatory and taxation policies; and</w:t>
      </w:r>
    </w:p>
    <w:p w:rsidR="00F9689B" w:rsidRDefault="00F9689B" w:rsidP="00F9689B">
      <w:pPr>
        <w:pStyle w:val="ListBullet2"/>
        <w:tabs>
          <w:tab w:val="num" w:pos="680"/>
        </w:tabs>
      </w:pPr>
      <w:r>
        <w:t>identifying any significant transition issues or adjustment costs that may arise from alternative support mechanisms or policy changes and how they might be best managed.</w:t>
      </w:r>
    </w:p>
    <w:p w:rsidR="00F9689B" w:rsidRDefault="00F9689B" w:rsidP="00F9689B">
      <w:pPr>
        <w:pStyle w:val="ListNumber"/>
        <w:numPr>
          <w:ilvl w:val="0"/>
          <w:numId w:val="25"/>
        </w:numPr>
      </w:pPr>
      <w:r>
        <w:t xml:space="preserve">Assess the significance of the capabilities within the industry, its direct employment and economic benefits, its secondary impacts on other sectors of the economy, and quantify the costs and benefits, including at </w:t>
      </w:r>
      <w:r w:rsidRPr="00390F5C">
        <w:t xml:space="preserve">the </w:t>
      </w:r>
      <w:proofErr w:type="spellStart"/>
      <w:r w:rsidRPr="00390F5C">
        <w:t>economy</w:t>
      </w:r>
      <w:r>
        <w:noBreakHyphen/>
      </w:r>
      <w:r w:rsidRPr="00390F5C">
        <w:t>wide</w:t>
      </w:r>
      <w:proofErr w:type="spellEnd"/>
      <w:r w:rsidRPr="00390F5C">
        <w:t xml:space="preserve"> and regional </w:t>
      </w:r>
      <w:r>
        <w:t>level,</w:t>
      </w:r>
      <w:r w:rsidRPr="00390F5C">
        <w:t xml:space="preserve"> of </w:t>
      </w:r>
      <w:r>
        <w:t xml:space="preserve">existing and </w:t>
      </w:r>
      <w:r w:rsidRPr="00390F5C">
        <w:t>alternative assistance mechanisms</w:t>
      </w:r>
      <w:r>
        <w:t xml:space="preserve">. </w:t>
      </w:r>
    </w:p>
    <w:p w:rsidR="00F9689B" w:rsidRPr="00322D74" w:rsidRDefault="00F9689B" w:rsidP="00F9689B">
      <w:pPr>
        <w:pStyle w:val="BodyText"/>
        <w:jc w:val="left"/>
        <w:rPr>
          <w:b/>
          <w:bCs/>
          <w:iCs/>
          <w:szCs w:val="24"/>
        </w:rPr>
      </w:pPr>
      <w:r w:rsidRPr="00322D74">
        <w:rPr>
          <w:b/>
          <w:bCs/>
          <w:iCs/>
          <w:szCs w:val="24"/>
        </w:rPr>
        <w:t>Process</w:t>
      </w:r>
    </w:p>
    <w:p w:rsidR="00F9689B" w:rsidRDefault="00F9689B" w:rsidP="00F9689B">
      <w:pPr>
        <w:pStyle w:val="BodyText"/>
      </w:pPr>
      <w:r w:rsidRPr="00E327C7">
        <w:t xml:space="preserve">The Commission </w:t>
      </w:r>
      <w:r>
        <w:t xml:space="preserve">is to undertake an appropriate public consultation process, inviting public submissions and releasing a preliminary findings report to the public. </w:t>
      </w:r>
    </w:p>
    <w:p w:rsidR="00F9689B" w:rsidRDefault="00F9689B" w:rsidP="00F9689B">
      <w:pPr>
        <w:pStyle w:val="BodyText"/>
      </w:pPr>
      <w:r>
        <w:t>The preliminary findings report should be released by 20 December 2013, with the Final report due to the Government by 31 March 2014.</w:t>
      </w:r>
    </w:p>
    <w:p w:rsidR="00F9689B" w:rsidRDefault="00F9689B" w:rsidP="00F9689B">
      <w:pPr>
        <w:spacing w:after="200"/>
      </w:pPr>
      <w:r>
        <w:br/>
      </w:r>
      <w:r>
        <w:br/>
      </w:r>
    </w:p>
    <w:p w:rsidR="00F9689B" w:rsidRDefault="00F9689B" w:rsidP="00F9689B">
      <w:pPr>
        <w:pStyle w:val="BodyText"/>
        <w:jc w:val="left"/>
        <w:rPr>
          <w:rStyle w:val="Strong"/>
        </w:rPr>
      </w:pPr>
      <w:r w:rsidRPr="00052F88">
        <w:rPr>
          <w:rStyle w:val="Strong"/>
        </w:rPr>
        <w:t>J. B. HOCKEY</w:t>
      </w:r>
      <w:r w:rsidRPr="00052F88">
        <w:rPr>
          <w:rStyle w:val="Strong"/>
        </w:rPr>
        <w:br/>
        <w:t>Treasurer</w:t>
      </w:r>
    </w:p>
    <w:p w:rsidR="00F9689B" w:rsidRPr="00052F88" w:rsidRDefault="00F9689B" w:rsidP="00F9689B">
      <w:pPr>
        <w:pStyle w:val="BodyText"/>
        <w:rPr>
          <w:rStyle w:val="Strong"/>
        </w:rPr>
      </w:pPr>
      <w:r w:rsidRPr="00507250">
        <w:rPr>
          <w:rStyle w:val="Strong"/>
        </w:rPr>
        <w:t>[Received</w:t>
      </w:r>
      <w:r w:rsidRPr="00052F88">
        <w:rPr>
          <w:rStyle w:val="Strong"/>
        </w:rPr>
        <w:t xml:space="preserve"> </w:t>
      </w:r>
      <w:r>
        <w:rPr>
          <w:rStyle w:val="Strong"/>
        </w:rPr>
        <w:t>30 October 2013]</w:t>
      </w:r>
    </w:p>
    <w:p w:rsidR="00F9689B" w:rsidRDefault="00F9689B" w:rsidP="00F9689B">
      <w:pPr>
        <w:pStyle w:val="BodyText"/>
      </w:pPr>
    </w:p>
    <w:p w:rsidR="00F9689B" w:rsidRDefault="00F9689B" w:rsidP="006817C9">
      <w:pPr>
        <w:pStyle w:val="BodyText"/>
      </w:pPr>
    </w:p>
    <w:p w:rsidR="00F9689B" w:rsidRDefault="00F9689B" w:rsidP="006817C9">
      <w:pPr>
        <w:pStyle w:val="BodyText"/>
        <w:sectPr w:rsidR="00F9689B" w:rsidSect="006817C9">
          <w:headerReference w:type="even" r:id="rId10"/>
          <w:headerReference w:type="default" r:id="rId11"/>
          <w:footerReference w:type="even" r:id="rId12"/>
          <w:footerReference w:type="default" r:id="rId13"/>
          <w:type w:val="oddPage"/>
          <w:pgSz w:w="11907" w:h="16840" w:code="9"/>
          <w:pgMar w:top="1985" w:right="1304" w:bottom="1418" w:left="1814" w:header="1701" w:footer="567" w:gutter="0"/>
          <w:pgNumType w:fmt="lowerRoman"/>
          <w:cols w:space="720"/>
        </w:sectPr>
      </w:pPr>
    </w:p>
    <w:p w:rsidR="001B7F1E" w:rsidRDefault="00735FEA" w:rsidP="008206EE">
      <w:pPr>
        <w:pStyle w:val="Heading1NotTOC"/>
      </w:pPr>
      <w:bookmarkStart w:id="10" w:name="Contents"/>
      <w:bookmarkEnd w:id="10"/>
      <w:r w:rsidRPr="00B153C3">
        <w:lastRenderedPageBreak/>
        <w:t>Contents</w:t>
      </w:r>
      <w:bookmarkStart w:id="11" w:name="InsertContents"/>
      <w:bookmarkEnd w:id="11"/>
    </w:p>
    <w:p w:rsidR="00F9689B" w:rsidRDefault="00F9689B" w:rsidP="00F9689B">
      <w:pPr>
        <w:pStyle w:val="TOC1"/>
        <w:rPr>
          <w:rFonts w:asciiTheme="minorHAnsi" w:eastAsiaTheme="minorEastAsia" w:hAnsiTheme="minorHAnsi" w:cstheme="minorBidi"/>
          <w:b w:val="0"/>
          <w:noProof/>
          <w:sz w:val="22"/>
          <w:szCs w:val="22"/>
        </w:rPr>
      </w:pPr>
      <w:r>
        <w:rPr>
          <w:noProof/>
        </w:rPr>
        <w:t>Terms of reference</w:t>
      </w:r>
      <w:r>
        <w:rPr>
          <w:noProof/>
        </w:rPr>
        <w:tab/>
        <w:t>v</w:t>
      </w:r>
    </w:p>
    <w:p w:rsidR="00F9689B" w:rsidRDefault="00F9689B" w:rsidP="00F9689B">
      <w:pPr>
        <w:pStyle w:val="TOC1"/>
        <w:rPr>
          <w:rFonts w:asciiTheme="minorHAnsi" w:eastAsiaTheme="minorEastAsia" w:hAnsiTheme="minorHAnsi" w:cstheme="minorBidi"/>
          <w:b w:val="0"/>
          <w:noProof/>
          <w:sz w:val="22"/>
          <w:szCs w:val="22"/>
        </w:rPr>
      </w:pPr>
      <w:r>
        <w:rPr>
          <w:noProof/>
        </w:rPr>
        <w:t>Acknowledgments</w:t>
      </w:r>
      <w:r>
        <w:rPr>
          <w:noProof/>
        </w:rPr>
        <w:tab/>
        <w:t>xi</w:t>
      </w:r>
    </w:p>
    <w:p w:rsidR="00F9689B" w:rsidRDefault="00F9689B" w:rsidP="00F9689B">
      <w:pPr>
        <w:pStyle w:val="TOC1"/>
        <w:rPr>
          <w:rFonts w:asciiTheme="minorHAnsi" w:eastAsiaTheme="minorEastAsia" w:hAnsiTheme="minorHAnsi" w:cstheme="minorBidi"/>
          <w:b w:val="0"/>
          <w:noProof/>
          <w:sz w:val="22"/>
          <w:szCs w:val="22"/>
        </w:rPr>
      </w:pPr>
      <w:r>
        <w:rPr>
          <w:noProof/>
        </w:rPr>
        <w:t>Abbreviations</w:t>
      </w:r>
      <w:r>
        <w:rPr>
          <w:noProof/>
        </w:rPr>
        <w:tab/>
        <w:t>xii</w:t>
      </w:r>
    </w:p>
    <w:p w:rsidR="00F9689B" w:rsidRDefault="00F9689B" w:rsidP="00F9689B">
      <w:pPr>
        <w:pStyle w:val="TOC1"/>
        <w:rPr>
          <w:rFonts w:asciiTheme="minorHAnsi" w:eastAsiaTheme="minorEastAsia" w:hAnsiTheme="minorHAnsi" w:cstheme="minorBidi"/>
          <w:b w:val="0"/>
          <w:noProof/>
          <w:sz w:val="22"/>
          <w:szCs w:val="22"/>
        </w:rPr>
      </w:pPr>
      <w:r>
        <w:rPr>
          <w:noProof/>
        </w:rPr>
        <w:t>Overview</w:t>
      </w:r>
      <w:r>
        <w:rPr>
          <w:noProof/>
        </w:rPr>
        <w:tab/>
        <w:t>1</w:t>
      </w:r>
    </w:p>
    <w:p w:rsidR="00F9689B" w:rsidRDefault="00F9689B" w:rsidP="00F9689B">
      <w:pPr>
        <w:pStyle w:val="TOC1"/>
        <w:rPr>
          <w:rFonts w:asciiTheme="minorHAnsi" w:eastAsiaTheme="minorEastAsia" w:hAnsiTheme="minorHAnsi" w:cstheme="minorBidi"/>
          <w:b w:val="0"/>
          <w:noProof/>
          <w:sz w:val="22"/>
          <w:szCs w:val="22"/>
        </w:rPr>
      </w:pPr>
      <w:r>
        <w:rPr>
          <w:noProof/>
        </w:rPr>
        <w:t>Recommendations and findings</w:t>
      </w:r>
      <w:r>
        <w:rPr>
          <w:noProof/>
        </w:rPr>
        <w:tab/>
        <w:t>31</w:t>
      </w:r>
    </w:p>
    <w:p w:rsidR="00F9689B" w:rsidRDefault="00F9689B" w:rsidP="00F9689B">
      <w:pPr>
        <w:pStyle w:val="TOC1"/>
        <w:rPr>
          <w:rFonts w:asciiTheme="minorHAnsi" w:eastAsiaTheme="minorEastAsia" w:hAnsiTheme="minorHAnsi" w:cstheme="minorBidi"/>
          <w:b w:val="0"/>
          <w:noProof/>
          <w:sz w:val="22"/>
          <w:szCs w:val="22"/>
        </w:rPr>
      </w:pPr>
      <w:r>
        <w:rPr>
          <w:noProof/>
        </w:rPr>
        <w:t>1</w:t>
      </w:r>
      <w:r>
        <w:rPr>
          <w:rFonts w:asciiTheme="minorHAnsi" w:eastAsiaTheme="minorEastAsia" w:hAnsiTheme="minorHAnsi" w:cstheme="minorBidi"/>
          <w:b w:val="0"/>
          <w:noProof/>
          <w:sz w:val="22"/>
          <w:szCs w:val="22"/>
        </w:rPr>
        <w:tab/>
      </w:r>
      <w:r>
        <w:rPr>
          <w:noProof/>
        </w:rPr>
        <w:t>About the inquiry</w:t>
      </w:r>
      <w:r>
        <w:rPr>
          <w:noProof/>
        </w:rPr>
        <w:tab/>
        <w:t>37</w:t>
      </w:r>
    </w:p>
    <w:p w:rsidR="00F9689B" w:rsidRDefault="00F9689B" w:rsidP="00F9689B">
      <w:pPr>
        <w:pStyle w:val="TOC2"/>
        <w:tabs>
          <w:tab w:val="left" w:pos="1190"/>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The Commission’s task</w:t>
      </w:r>
      <w:r>
        <w:rPr>
          <w:noProof/>
        </w:rPr>
        <w:tab/>
        <w:t>37</w:t>
      </w:r>
    </w:p>
    <w:p w:rsidR="00F9689B" w:rsidRDefault="00F9689B" w:rsidP="00F9689B">
      <w:pPr>
        <w:pStyle w:val="TOC2"/>
        <w:tabs>
          <w:tab w:val="left" w:pos="1190"/>
        </w:tabs>
        <w:rPr>
          <w:rFonts w:asciiTheme="minorHAnsi" w:eastAsiaTheme="minorEastAsia" w:hAnsiTheme="minorHAnsi" w:cstheme="minorBidi"/>
          <w:noProof/>
          <w:sz w:val="22"/>
          <w:szCs w:val="22"/>
        </w:rPr>
      </w:pPr>
      <w:r>
        <w:rPr>
          <w:noProof/>
        </w:rPr>
        <w:t>1.2</w:t>
      </w:r>
      <w:r>
        <w:rPr>
          <w:rFonts w:asciiTheme="minorHAnsi" w:eastAsiaTheme="minorEastAsia" w:hAnsiTheme="minorHAnsi" w:cstheme="minorBidi"/>
          <w:noProof/>
          <w:sz w:val="22"/>
          <w:szCs w:val="22"/>
        </w:rPr>
        <w:tab/>
      </w:r>
      <w:r>
        <w:rPr>
          <w:noProof/>
        </w:rPr>
        <w:t>Scope of the industry under inquiry</w:t>
      </w:r>
      <w:r>
        <w:rPr>
          <w:noProof/>
        </w:rPr>
        <w:tab/>
        <w:t>38</w:t>
      </w:r>
    </w:p>
    <w:p w:rsidR="00F9689B" w:rsidRDefault="00F9689B" w:rsidP="00F9689B">
      <w:pPr>
        <w:pStyle w:val="TOC2"/>
        <w:tabs>
          <w:tab w:val="left" w:pos="1190"/>
        </w:tabs>
        <w:rPr>
          <w:rFonts w:asciiTheme="minorHAnsi" w:eastAsiaTheme="minorEastAsia" w:hAnsiTheme="minorHAnsi" w:cstheme="minorBidi"/>
          <w:noProof/>
          <w:sz w:val="22"/>
          <w:szCs w:val="22"/>
        </w:rPr>
      </w:pPr>
      <w:r>
        <w:rPr>
          <w:noProof/>
        </w:rPr>
        <w:t>1.3</w:t>
      </w:r>
      <w:r>
        <w:rPr>
          <w:rFonts w:asciiTheme="minorHAnsi" w:eastAsiaTheme="minorEastAsia" w:hAnsiTheme="minorHAnsi" w:cstheme="minorBidi"/>
          <w:noProof/>
          <w:sz w:val="22"/>
          <w:szCs w:val="22"/>
        </w:rPr>
        <w:tab/>
      </w:r>
      <w:r>
        <w:rPr>
          <w:noProof/>
        </w:rPr>
        <w:t>The Commission’s approach</w:t>
      </w:r>
      <w:r>
        <w:rPr>
          <w:noProof/>
        </w:rPr>
        <w:tab/>
        <w:t>39</w:t>
      </w:r>
    </w:p>
    <w:p w:rsidR="00F9689B" w:rsidRDefault="00F9689B" w:rsidP="00F9689B">
      <w:pPr>
        <w:pStyle w:val="TOC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Australia’s automotive industry in a global context</w:t>
      </w:r>
      <w:r>
        <w:rPr>
          <w:noProof/>
        </w:rPr>
        <w:tab/>
        <w:t>41</w:t>
      </w:r>
    </w:p>
    <w:p w:rsidR="00F9689B" w:rsidRDefault="00F9689B" w:rsidP="00F9689B">
      <w:pPr>
        <w:pStyle w:val="TOC2"/>
        <w:tabs>
          <w:tab w:val="left" w:pos="1190"/>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Automotive manufacturing in a global context</w:t>
      </w:r>
      <w:r>
        <w:rPr>
          <w:noProof/>
        </w:rPr>
        <w:tab/>
        <w:t>43</w:t>
      </w:r>
    </w:p>
    <w:p w:rsidR="00F9689B" w:rsidRDefault="00F9689B" w:rsidP="00F9689B">
      <w:pPr>
        <w:pStyle w:val="TOC2"/>
        <w:tabs>
          <w:tab w:val="left" w:pos="1190"/>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The influence of global trends on Australia’s automotive manufacturing industry</w:t>
      </w:r>
      <w:r>
        <w:rPr>
          <w:noProof/>
        </w:rPr>
        <w:tab/>
        <w:t>55</w:t>
      </w:r>
    </w:p>
    <w:p w:rsidR="00F9689B" w:rsidRDefault="00F9689B" w:rsidP="00F9689B">
      <w:pPr>
        <w:pStyle w:val="TOC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The role of government</w:t>
      </w:r>
      <w:r>
        <w:rPr>
          <w:noProof/>
        </w:rPr>
        <w:tab/>
        <w:t>77</w:t>
      </w:r>
    </w:p>
    <w:p w:rsidR="00F9689B" w:rsidRDefault="00F9689B" w:rsidP="00F9689B">
      <w:pPr>
        <w:pStyle w:val="TOC2"/>
        <w:tabs>
          <w:tab w:val="left" w:pos="1190"/>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The rationale for industry</w:t>
      </w:r>
      <w:r>
        <w:rPr>
          <w:noProof/>
        </w:rPr>
        <w:noBreakHyphen/>
        <w:t>specific assistance</w:t>
      </w:r>
      <w:r>
        <w:rPr>
          <w:noProof/>
        </w:rPr>
        <w:tab/>
        <w:t>78</w:t>
      </w:r>
    </w:p>
    <w:p w:rsidR="00F9689B" w:rsidRDefault="00F9689B" w:rsidP="00F9689B">
      <w:pPr>
        <w:pStyle w:val="TOC2"/>
        <w:tabs>
          <w:tab w:val="left" w:pos="1190"/>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Is there an ‘in principle’ case for assisting the automotive manufacturing industry?</w:t>
      </w:r>
      <w:r>
        <w:rPr>
          <w:noProof/>
        </w:rPr>
        <w:tab/>
        <w:t>84</w:t>
      </w:r>
    </w:p>
    <w:p w:rsidR="00F9689B" w:rsidRDefault="00F9689B" w:rsidP="00F9689B">
      <w:pPr>
        <w:pStyle w:val="TOC1"/>
        <w:rPr>
          <w:rFonts w:asciiTheme="minorHAnsi" w:eastAsiaTheme="minorEastAsia" w:hAnsiTheme="minorHAnsi" w:cstheme="minorBidi"/>
          <w:b w:val="0"/>
          <w:noProof/>
          <w:sz w:val="22"/>
          <w:szCs w:val="22"/>
        </w:rPr>
      </w:pPr>
      <w:r>
        <w:rPr>
          <w:noProof/>
        </w:rPr>
        <w:t>4</w:t>
      </w:r>
      <w:r>
        <w:rPr>
          <w:rFonts w:asciiTheme="minorHAnsi" w:eastAsiaTheme="minorEastAsia" w:hAnsiTheme="minorHAnsi" w:cstheme="minorBidi"/>
          <w:b w:val="0"/>
          <w:noProof/>
          <w:sz w:val="22"/>
          <w:szCs w:val="22"/>
        </w:rPr>
        <w:tab/>
      </w:r>
      <w:r>
        <w:rPr>
          <w:noProof/>
        </w:rPr>
        <w:t>Policies affecting the automotive manufacturing industry</w:t>
      </w:r>
      <w:r>
        <w:rPr>
          <w:noProof/>
        </w:rPr>
        <w:tab/>
        <w:t>107</w:t>
      </w:r>
    </w:p>
    <w:p w:rsidR="00F9689B" w:rsidRDefault="00F9689B" w:rsidP="00F9689B">
      <w:pPr>
        <w:pStyle w:val="TOC2"/>
        <w:tabs>
          <w:tab w:val="left" w:pos="1190"/>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Pr>
          <w:noProof/>
        </w:rPr>
        <w:t>Past and present automotive manufacturing assistance arrangements</w:t>
      </w:r>
      <w:r>
        <w:rPr>
          <w:noProof/>
        </w:rPr>
        <w:tab/>
        <w:t>108</w:t>
      </w:r>
    </w:p>
    <w:p w:rsidR="00F9689B" w:rsidRDefault="00F9689B" w:rsidP="00F9689B">
      <w:pPr>
        <w:pStyle w:val="TOC2"/>
        <w:tabs>
          <w:tab w:val="left" w:pos="1190"/>
        </w:tabs>
        <w:rPr>
          <w:rFonts w:asciiTheme="minorHAnsi" w:eastAsiaTheme="minorEastAsia" w:hAnsiTheme="minorHAnsi" w:cstheme="minorBidi"/>
          <w:noProof/>
          <w:sz w:val="22"/>
          <w:szCs w:val="22"/>
        </w:rPr>
      </w:pPr>
      <w:r>
        <w:rPr>
          <w:noProof/>
        </w:rPr>
        <w:t>4.2</w:t>
      </w:r>
      <w:r>
        <w:rPr>
          <w:rFonts w:asciiTheme="minorHAnsi" w:eastAsiaTheme="minorEastAsia" w:hAnsiTheme="minorHAnsi" w:cstheme="minorBidi"/>
          <w:noProof/>
          <w:sz w:val="22"/>
          <w:szCs w:val="22"/>
        </w:rPr>
        <w:tab/>
      </w:r>
      <w:r>
        <w:rPr>
          <w:noProof/>
        </w:rPr>
        <w:t>How do other government policies affect the automotive manufacturing industry?</w:t>
      </w:r>
      <w:r>
        <w:rPr>
          <w:noProof/>
        </w:rPr>
        <w:tab/>
        <w:t>112</w:t>
      </w:r>
    </w:p>
    <w:p w:rsidR="00F9689B" w:rsidRDefault="00F9689B" w:rsidP="00F9689B">
      <w:pPr>
        <w:pStyle w:val="TOC1"/>
        <w:rPr>
          <w:rFonts w:asciiTheme="minorHAnsi" w:eastAsiaTheme="minorEastAsia" w:hAnsiTheme="minorHAnsi" w:cstheme="minorBidi"/>
          <w:b w:val="0"/>
          <w:noProof/>
          <w:sz w:val="22"/>
          <w:szCs w:val="22"/>
        </w:rPr>
      </w:pPr>
      <w:r>
        <w:rPr>
          <w:noProof/>
        </w:rPr>
        <w:t>5</w:t>
      </w:r>
      <w:r>
        <w:rPr>
          <w:rFonts w:asciiTheme="minorHAnsi" w:eastAsiaTheme="minorEastAsia" w:hAnsiTheme="minorHAnsi" w:cstheme="minorBidi"/>
          <w:b w:val="0"/>
          <w:noProof/>
          <w:sz w:val="22"/>
          <w:szCs w:val="22"/>
        </w:rPr>
        <w:tab/>
      </w:r>
      <w:r>
        <w:rPr>
          <w:noProof/>
        </w:rPr>
        <w:t>Industry-specific assistance schemes</w:t>
      </w:r>
      <w:r>
        <w:rPr>
          <w:noProof/>
        </w:rPr>
        <w:tab/>
        <w:t>129</w:t>
      </w:r>
    </w:p>
    <w:p w:rsidR="00F9689B" w:rsidRDefault="00F9689B" w:rsidP="00F9689B">
      <w:pPr>
        <w:pStyle w:val="TOC2"/>
        <w:tabs>
          <w:tab w:val="left" w:pos="1190"/>
        </w:tabs>
        <w:rPr>
          <w:rFonts w:asciiTheme="minorHAnsi" w:eastAsiaTheme="minorEastAsia" w:hAnsiTheme="minorHAnsi" w:cstheme="minorBidi"/>
          <w:noProof/>
          <w:sz w:val="22"/>
          <w:szCs w:val="22"/>
        </w:rPr>
      </w:pPr>
      <w:r>
        <w:rPr>
          <w:noProof/>
        </w:rPr>
        <w:t>5.1</w:t>
      </w:r>
      <w:r>
        <w:rPr>
          <w:rFonts w:asciiTheme="minorHAnsi" w:eastAsiaTheme="minorEastAsia" w:hAnsiTheme="minorHAnsi" w:cstheme="minorBidi"/>
          <w:noProof/>
          <w:sz w:val="22"/>
          <w:szCs w:val="22"/>
        </w:rPr>
        <w:tab/>
      </w:r>
      <w:r>
        <w:rPr>
          <w:noProof/>
        </w:rPr>
        <w:t>The Automotive Transformation Scheme</w:t>
      </w:r>
      <w:r>
        <w:rPr>
          <w:noProof/>
        </w:rPr>
        <w:tab/>
        <w:t>130</w:t>
      </w:r>
    </w:p>
    <w:p w:rsidR="00F9689B" w:rsidRDefault="00F9689B" w:rsidP="00F9689B">
      <w:pPr>
        <w:pStyle w:val="TOC2"/>
        <w:tabs>
          <w:tab w:val="left" w:pos="1190"/>
        </w:tabs>
        <w:rPr>
          <w:rFonts w:asciiTheme="minorHAnsi" w:eastAsiaTheme="minorEastAsia" w:hAnsiTheme="minorHAnsi" w:cstheme="minorBidi"/>
          <w:noProof/>
          <w:sz w:val="22"/>
          <w:szCs w:val="22"/>
        </w:rPr>
      </w:pPr>
      <w:r>
        <w:rPr>
          <w:noProof/>
        </w:rPr>
        <w:t>5.2</w:t>
      </w:r>
      <w:r>
        <w:rPr>
          <w:rFonts w:asciiTheme="minorHAnsi" w:eastAsiaTheme="minorEastAsia" w:hAnsiTheme="minorHAnsi" w:cstheme="minorBidi"/>
          <w:noProof/>
          <w:sz w:val="22"/>
          <w:szCs w:val="22"/>
        </w:rPr>
        <w:tab/>
      </w:r>
      <w:r>
        <w:rPr>
          <w:noProof/>
        </w:rPr>
        <w:t>Non</w:t>
      </w:r>
      <w:r>
        <w:rPr>
          <w:noProof/>
        </w:rPr>
        <w:noBreakHyphen/>
        <w:t>ATS assistance to the automotive component manufacturing segment</w:t>
      </w:r>
      <w:r>
        <w:rPr>
          <w:noProof/>
        </w:rPr>
        <w:tab/>
        <w:t>144</w:t>
      </w:r>
    </w:p>
    <w:p w:rsidR="00F9689B" w:rsidRDefault="00F9689B" w:rsidP="00F9689B">
      <w:pPr>
        <w:pStyle w:val="TOC2"/>
        <w:tabs>
          <w:tab w:val="left" w:pos="1190"/>
        </w:tabs>
        <w:rPr>
          <w:rFonts w:asciiTheme="minorHAnsi" w:eastAsiaTheme="minorEastAsia" w:hAnsiTheme="minorHAnsi" w:cstheme="minorBidi"/>
          <w:noProof/>
          <w:sz w:val="22"/>
          <w:szCs w:val="22"/>
        </w:rPr>
      </w:pPr>
      <w:r>
        <w:rPr>
          <w:noProof/>
        </w:rPr>
        <w:t>5.3</w:t>
      </w:r>
      <w:r>
        <w:rPr>
          <w:rFonts w:asciiTheme="minorHAnsi" w:eastAsiaTheme="minorEastAsia" w:hAnsiTheme="minorHAnsi" w:cstheme="minorBidi"/>
          <w:noProof/>
          <w:sz w:val="22"/>
          <w:szCs w:val="22"/>
        </w:rPr>
        <w:tab/>
      </w:r>
      <w:r>
        <w:rPr>
          <w:noProof/>
        </w:rPr>
        <w:t>Other relevant policy arrangements</w:t>
      </w:r>
      <w:r>
        <w:rPr>
          <w:noProof/>
        </w:rPr>
        <w:tab/>
        <w:t>152</w:t>
      </w:r>
    </w:p>
    <w:p w:rsidR="00F9689B" w:rsidRDefault="00F9689B" w:rsidP="00F9689B">
      <w:pPr>
        <w:pStyle w:val="TOC1"/>
        <w:rPr>
          <w:rFonts w:asciiTheme="minorHAnsi" w:eastAsiaTheme="minorEastAsia" w:hAnsiTheme="minorHAnsi" w:cstheme="minorBidi"/>
          <w:b w:val="0"/>
          <w:noProof/>
          <w:sz w:val="22"/>
          <w:szCs w:val="22"/>
        </w:rPr>
      </w:pPr>
      <w:r>
        <w:rPr>
          <w:noProof/>
        </w:rPr>
        <w:lastRenderedPageBreak/>
        <w:t>6</w:t>
      </w:r>
      <w:r>
        <w:rPr>
          <w:rFonts w:asciiTheme="minorHAnsi" w:eastAsiaTheme="minorEastAsia" w:hAnsiTheme="minorHAnsi" w:cstheme="minorBidi"/>
          <w:b w:val="0"/>
          <w:noProof/>
          <w:sz w:val="22"/>
          <w:szCs w:val="22"/>
        </w:rPr>
        <w:tab/>
      </w:r>
      <w:r>
        <w:rPr>
          <w:noProof/>
        </w:rPr>
        <w:t>Adjustment costs for automotive manufacturing employees</w:t>
      </w:r>
      <w:r>
        <w:rPr>
          <w:noProof/>
        </w:rPr>
        <w:tab/>
        <w:t>175</w:t>
      </w:r>
    </w:p>
    <w:p w:rsidR="00F9689B" w:rsidRDefault="00F9689B" w:rsidP="00F9689B">
      <w:pPr>
        <w:pStyle w:val="TOC2"/>
        <w:tabs>
          <w:tab w:val="left" w:pos="1190"/>
        </w:tabs>
        <w:rPr>
          <w:rFonts w:asciiTheme="minorHAnsi" w:eastAsiaTheme="minorEastAsia" w:hAnsiTheme="minorHAnsi" w:cstheme="minorBidi"/>
          <w:noProof/>
          <w:sz w:val="22"/>
          <w:szCs w:val="22"/>
        </w:rPr>
      </w:pPr>
      <w:r>
        <w:rPr>
          <w:noProof/>
        </w:rPr>
        <w:t>6.1</w:t>
      </w:r>
      <w:r>
        <w:rPr>
          <w:rFonts w:asciiTheme="minorHAnsi" w:eastAsiaTheme="minorEastAsia" w:hAnsiTheme="minorHAnsi" w:cstheme="minorBidi"/>
          <w:noProof/>
          <w:sz w:val="22"/>
          <w:szCs w:val="22"/>
        </w:rPr>
        <w:tab/>
      </w:r>
      <w:r>
        <w:rPr>
          <w:noProof/>
        </w:rPr>
        <w:t>An industry in transition</w:t>
      </w:r>
      <w:r>
        <w:rPr>
          <w:noProof/>
        </w:rPr>
        <w:tab/>
        <w:t>176</w:t>
      </w:r>
    </w:p>
    <w:p w:rsidR="00F9689B" w:rsidRDefault="00F9689B" w:rsidP="00F9689B">
      <w:pPr>
        <w:pStyle w:val="TOC2"/>
        <w:tabs>
          <w:tab w:val="left" w:pos="1190"/>
        </w:tabs>
        <w:rPr>
          <w:rFonts w:asciiTheme="minorHAnsi" w:eastAsiaTheme="minorEastAsia" w:hAnsiTheme="minorHAnsi" w:cstheme="minorBidi"/>
          <w:noProof/>
          <w:sz w:val="22"/>
          <w:szCs w:val="22"/>
        </w:rPr>
      </w:pPr>
      <w:r>
        <w:rPr>
          <w:noProof/>
        </w:rPr>
        <w:t>6.2</w:t>
      </w:r>
      <w:r>
        <w:rPr>
          <w:rFonts w:asciiTheme="minorHAnsi" w:eastAsiaTheme="minorEastAsia" w:hAnsiTheme="minorHAnsi" w:cstheme="minorBidi"/>
          <w:noProof/>
          <w:sz w:val="22"/>
          <w:szCs w:val="22"/>
        </w:rPr>
        <w:tab/>
      </w:r>
      <w:r>
        <w:rPr>
          <w:noProof/>
        </w:rPr>
        <w:t>Costs of industry adjustment for employees</w:t>
      </w:r>
      <w:r>
        <w:rPr>
          <w:noProof/>
        </w:rPr>
        <w:tab/>
        <w:t>183</w:t>
      </w:r>
    </w:p>
    <w:p w:rsidR="00F9689B" w:rsidRDefault="00F9689B" w:rsidP="00F9689B">
      <w:pPr>
        <w:pStyle w:val="TOC2"/>
        <w:tabs>
          <w:tab w:val="left" w:pos="1190"/>
        </w:tabs>
        <w:rPr>
          <w:rFonts w:asciiTheme="minorHAnsi" w:eastAsiaTheme="minorEastAsia" w:hAnsiTheme="minorHAnsi" w:cstheme="minorBidi"/>
          <w:noProof/>
          <w:sz w:val="22"/>
          <w:szCs w:val="22"/>
        </w:rPr>
      </w:pPr>
      <w:r>
        <w:rPr>
          <w:noProof/>
        </w:rPr>
        <w:t>6.3</w:t>
      </w:r>
      <w:r>
        <w:rPr>
          <w:rFonts w:asciiTheme="minorHAnsi" w:eastAsiaTheme="minorEastAsia" w:hAnsiTheme="minorHAnsi" w:cstheme="minorBidi"/>
          <w:noProof/>
          <w:sz w:val="22"/>
          <w:szCs w:val="22"/>
        </w:rPr>
        <w:tab/>
      </w:r>
      <w:r>
        <w:rPr>
          <w:noProof/>
        </w:rPr>
        <w:t>Adjustment costs in the automotive manufacturing industry</w:t>
      </w:r>
      <w:r>
        <w:rPr>
          <w:noProof/>
        </w:rPr>
        <w:tab/>
        <w:t>188</w:t>
      </w:r>
    </w:p>
    <w:p w:rsidR="00F9689B" w:rsidRDefault="00F9689B" w:rsidP="00F9689B">
      <w:pPr>
        <w:pStyle w:val="TOC1"/>
        <w:rPr>
          <w:rFonts w:asciiTheme="minorHAnsi" w:eastAsiaTheme="minorEastAsia" w:hAnsiTheme="minorHAnsi" w:cstheme="minorBidi"/>
          <w:b w:val="0"/>
          <w:noProof/>
          <w:sz w:val="22"/>
          <w:szCs w:val="22"/>
        </w:rPr>
      </w:pPr>
      <w:r>
        <w:rPr>
          <w:noProof/>
        </w:rPr>
        <w:t>7</w:t>
      </w:r>
      <w:r>
        <w:rPr>
          <w:rFonts w:asciiTheme="minorHAnsi" w:eastAsiaTheme="minorEastAsia" w:hAnsiTheme="minorHAnsi" w:cstheme="minorBidi"/>
          <w:b w:val="0"/>
          <w:noProof/>
          <w:sz w:val="22"/>
          <w:szCs w:val="22"/>
        </w:rPr>
        <w:tab/>
      </w:r>
      <w:r>
        <w:rPr>
          <w:noProof/>
        </w:rPr>
        <w:t>Adjustment assistance for automotive manufacturing employees and affected regions</w:t>
      </w:r>
      <w:r>
        <w:rPr>
          <w:noProof/>
        </w:rPr>
        <w:tab/>
        <w:t>205</w:t>
      </w:r>
    </w:p>
    <w:p w:rsidR="00F9689B" w:rsidRDefault="00F9689B" w:rsidP="00F9689B">
      <w:pPr>
        <w:pStyle w:val="TOC2"/>
        <w:tabs>
          <w:tab w:val="left" w:pos="1190"/>
        </w:tabs>
        <w:rPr>
          <w:rFonts w:asciiTheme="minorHAnsi" w:eastAsiaTheme="minorEastAsia" w:hAnsiTheme="minorHAnsi" w:cstheme="minorBidi"/>
          <w:noProof/>
          <w:sz w:val="22"/>
          <w:szCs w:val="22"/>
        </w:rPr>
      </w:pPr>
      <w:r>
        <w:rPr>
          <w:noProof/>
        </w:rPr>
        <w:t>7.1</w:t>
      </w:r>
      <w:r>
        <w:rPr>
          <w:rFonts w:asciiTheme="minorHAnsi" w:eastAsiaTheme="minorEastAsia" w:hAnsiTheme="minorHAnsi" w:cstheme="minorBidi"/>
          <w:noProof/>
          <w:sz w:val="22"/>
          <w:szCs w:val="22"/>
        </w:rPr>
        <w:tab/>
      </w:r>
      <w:r>
        <w:rPr>
          <w:noProof/>
        </w:rPr>
        <w:t>The role of generally available measures</w:t>
      </w:r>
      <w:r>
        <w:rPr>
          <w:noProof/>
        </w:rPr>
        <w:tab/>
        <w:t>207</w:t>
      </w:r>
    </w:p>
    <w:p w:rsidR="00F9689B" w:rsidRDefault="00F9689B" w:rsidP="00F9689B">
      <w:pPr>
        <w:pStyle w:val="TOC2"/>
        <w:tabs>
          <w:tab w:val="left" w:pos="1190"/>
        </w:tabs>
        <w:rPr>
          <w:rFonts w:asciiTheme="minorHAnsi" w:eastAsiaTheme="minorEastAsia" w:hAnsiTheme="minorHAnsi" w:cstheme="minorBidi"/>
          <w:noProof/>
          <w:sz w:val="22"/>
          <w:szCs w:val="22"/>
        </w:rPr>
      </w:pPr>
      <w:r>
        <w:rPr>
          <w:noProof/>
        </w:rPr>
        <w:t>7.2</w:t>
      </w:r>
      <w:r>
        <w:rPr>
          <w:rFonts w:asciiTheme="minorHAnsi" w:eastAsiaTheme="minorEastAsia" w:hAnsiTheme="minorHAnsi" w:cstheme="minorBidi"/>
          <w:noProof/>
          <w:sz w:val="22"/>
          <w:szCs w:val="22"/>
        </w:rPr>
        <w:tab/>
      </w:r>
      <w:r>
        <w:rPr>
          <w:noProof/>
        </w:rPr>
        <w:t>Is there a role for special adjustment assistance?</w:t>
      </w:r>
      <w:r>
        <w:rPr>
          <w:noProof/>
        </w:rPr>
        <w:tab/>
        <w:t>211</w:t>
      </w:r>
    </w:p>
    <w:p w:rsidR="00F9689B" w:rsidRDefault="00F9689B" w:rsidP="00F9689B">
      <w:pPr>
        <w:pStyle w:val="TOC2"/>
        <w:tabs>
          <w:tab w:val="left" w:pos="1190"/>
        </w:tabs>
        <w:rPr>
          <w:rFonts w:asciiTheme="minorHAnsi" w:eastAsiaTheme="minorEastAsia" w:hAnsiTheme="minorHAnsi" w:cstheme="minorBidi"/>
          <w:noProof/>
          <w:sz w:val="22"/>
          <w:szCs w:val="22"/>
        </w:rPr>
      </w:pPr>
      <w:r>
        <w:rPr>
          <w:noProof/>
        </w:rPr>
        <w:t>7.3</w:t>
      </w:r>
      <w:r>
        <w:rPr>
          <w:rFonts w:asciiTheme="minorHAnsi" w:eastAsiaTheme="minorEastAsia" w:hAnsiTheme="minorHAnsi" w:cstheme="minorBidi"/>
          <w:noProof/>
          <w:sz w:val="22"/>
          <w:szCs w:val="22"/>
        </w:rPr>
        <w:tab/>
      </w:r>
      <w:r>
        <w:rPr>
          <w:noProof/>
        </w:rPr>
        <w:t>Existing and announced special assistance packages</w:t>
      </w:r>
      <w:r>
        <w:rPr>
          <w:noProof/>
        </w:rPr>
        <w:tab/>
        <w:t>214</w:t>
      </w:r>
    </w:p>
    <w:p w:rsidR="00F9689B" w:rsidRDefault="00F9689B" w:rsidP="00F9689B">
      <w:pPr>
        <w:pStyle w:val="TOC2"/>
        <w:tabs>
          <w:tab w:val="left" w:pos="1190"/>
        </w:tabs>
        <w:rPr>
          <w:rFonts w:asciiTheme="minorHAnsi" w:eastAsiaTheme="minorEastAsia" w:hAnsiTheme="minorHAnsi" w:cstheme="minorBidi"/>
          <w:noProof/>
          <w:sz w:val="22"/>
          <w:szCs w:val="22"/>
        </w:rPr>
      </w:pPr>
      <w:r>
        <w:rPr>
          <w:noProof/>
        </w:rPr>
        <w:t>7.4</w:t>
      </w:r>
      <w:r>
        <w:rPr>
          <w:rFonts w:asciiTheme="minorHAnsi" w:eastAsiaTheme="minorEastAsia" w:hAnsiTheme="minorHAnsi" w:cstheme="minorBidi"/>
          <w:noProof/>
          <w:sz w:val="22"/>
          <w:szCs w:val="22"/>
        </w:rPr>
        <w:tab/>
      </w:r>
      <w:r>
        <w:rPr>
          <w:noProof/>
        </w:rPr>
        <w:t>Is special adjustment assistance likely to achieve better overall outcomes?</w:t>
      </w:r>
      <w:r>
        <w:rPr>
          <w:noProof/>
        </w:rPr>
        <w:tab/>
        <w:t>220</w:t>
      </w:r>
    </w:p>
    <w:p w:rsidR="00F9689B" w:rsidRDefault="00F9689B" w:rsidP="00F9689B">
      <w:pPr>
        <w:pStyle w:val="TOC1"/>
        <w:rPr>
          <w:rFonts w:asciiTheme="minorHAnsi" w:eastAsiaTheme="minorEastAsia" w:hAnsiTheme="minorHAnsi" w:cstheme="minorBidi"/>
          <w:b w:val="0"/>
          <w:noProof/>
          <w:sz w:val="22"/>
          <w:szCs w:val="22"/>
        </w:rPr>
      </w:pPr>
      <w:r>
        <w:rPr>
          <w:noProof/>
        </w:rPr>
        <w:t>A</w:t>
      </w:r>
      <w:r>
        <w:rPr>
          <w:rFonts w:asciiTheme="minorHAnsi" w:eastAsiaTheme="minorEastAsia" w:hAnsiTheme="minorHAnsi" w:cstheme="minorBidi"/>
          <w:b w:val="0"/>
          <w:noProof/>
          <w:sz w:val="22"/>
          <w:szCs w:val="22"/>
        </w:rPr>
        <w:tab/>
      </w:r>
      <w:r>
        <w:rPr>
          <w:noProof/>
        </w:rPr>
        <w:t>Conduct of the inquiry</w:t>
      </w:r>
      <w:r>
        <w:rPr>
          <w:noProof/>
        </w:rPr>
        <w:tab/>
        <w:t>241</w:t>
      </w:r>
    </w:p>
    <w:p w:rsidR="00F9689B" w:rsidRDefault="00F9689B" w:rsidP="00F9689B">
      <w:pPr>
        <w:pStyle w:val="TOC1"/>
        <w:rPr>
          <w:rFonts w:asciiTheme="minorHAnsi" w:eastAsiaTheme="minorEastAsia" w:hAnsiTheme="minorHAnsi" w:cstheme="minorBidi"/>
          <w:b w:val="0"/>
          <w:noProof/>
          <w:sz w:val="22"/>
          <w:szCs w:val="22"/>
        </w:rPr>
      </w:pPr>
      <w:r>
        <w:rPr>
          <w:noProof/>
        </w:rPr>
        <w:t>References</w:t>
      </w:r>
      <w:r>
        <w:rPr>
          <w:noProof/>
        </w:rPr>
        <w:tab/>
        <w:t>253</w:t>
      </w:r>
    </w:p>
    <w:p w:rsidR="00F9689B" w:rsidRPr="007338B3" w:rsidRDefault="00F9689B" w:rsidP="00F9689B">
      <w:pPr>
        <w:pStyle w:val="BodyText"/>
        <w:rPr>
          <w:b/>
        </w:rPr>
      </w:pPr>
      <w:r w:rsidRPr="007338B3">
        <w:rPr>
          <w:b/>
        </w:rPr>
        <w:t>Online appendixes</w:t>
      </w:r>
    </w:p>
    <w:p w:rsidR="00F9689B" w:rsidRDefault="00F9689B" w:rsidP="00F9689B">
      <w:pPr>
        <w:pStyle w:val="BodyText"/>
        <w:spacing w:before="120"/>
        <w:rPr>
          <w:b/>
        </w:rPr>
      </w:pPr>
      <w:r w:rsidRPr="007338B3">
        <w:rPr>
          <w:b/>
        </w:rPr>
        <w:t xml:space="preserve">B </w:t>
      </w:r>
      <w:r>
        <w:rPr>
          <w:b/>
        </w:rPr>
        <w:tab/>
      </w:r>
      <w:r w:rsidRPr="007338B3">
        <w:rPr>
          <w:b/>
        </w:rPr>
        <w:t>International assistance arrangements</w:t>
      </w:r>
    </w:p>
    <w:p w:rsidR="00F9689B" w:rsidRPr="00F9689B" w:rsidRDefault="00F9689B" w:rsidP="00F9689B">
      <w:pPr>
        <w:pStyle w:val="BodyText"/>
      </w:pPr>
      <w:r>
        <w:rPr>
          <w:b/>
        </w:rPr>
        <w:t xml:space="preserve">C </w:t>
      </w:r>
      <w:r>
        <w:rPr>
          <w:b/>
        </w:rPr>
        <w:tab/>
        <w:t>Unemployment duration analysis</w:t>
      </w:r>
    </w:p>
    <w:p w:rsidR="00735FEA" w:rsidRDefault="00735FEA">
      <w:pPr>
        <w:pStyle w:val="BodyText"/>
        <w:sectPr w:rsidR="00735FEA" w:rsidSect="005537F6">
          <w:headerReference w:type="even" r:id="rId14"/>
          <w:headerReference w:type="default" r:id="rId15"/>
          <w:footerReference w:type="even" r:id="rId16"/>
          <w:footerReference w:type="default" r:id="rId17"/>
          <w:type w:val="oddPage"/>
          <w:pgSz w:w="11907" w:h="16840" w:code="9"/>
          <w:pgMar w:top="1985" w:right="1304" w:bottom="1418" w:left="1814" w:header="1701" w:footer="567" w:gutter="0"/>
          <w:pgNumType w:fmt="lowerRoman"/>
          <w:cols w:space="720"/>
        </w:sectPr>
      </w:pPr>
    </w:p>
    <w:p w:rsidR="00F9689B" w:rsidRDefault="00F9689B">
      <w:pPr>
        <w:pStyle w:val="Heading1"/>
      </w:pPr>
      <w:bookmarkStart w:id="12" w:name="Abbreviations"/>
      <w:bookmarkStart w:id="13" w:name="RDnote"/>
      <w:bookmarkEnd w:id="12"/>
      <w:bookmarkEnd w:id="13"/>
      <w:r>
        <w:lastRenderedPageBreak/>
        <w:t>Acknowledgments</w:t>
      </w:r>
    </w:p>
    <w:p w:rsidR="00F9689B" w:rsidRDefault="00F9689B" w:rsidP="00F9689B">
      <w:pPr>
        <w:pStyle w:val="BodyText"/>
      </w:pPr>
      <w:r w:rsidRPr="00CC5EE7">
        <w:t>This report uses unit record data from the Household, Income and Labour Dynamics in Australia (HILDA) survey. The HILDA survey was initiated and is funded by the Australian Government Department of Social Services (</w:t>
      </w:r>
      <w:proofErr w:type="spellStart"/>
      <w:r w:rsidRPr="00CC5EE7">
        <w:t>DSS</w:t>
      </w:r>
      <w:proofErr w:type="spellEnd"/>
      <w:r w:rsidRPr="00CC5EE7">
        <w:t xml:space="preserve">) and is managed by the Melbourne Institute of Applied Economic and Social Research (Melbourne Institute). The findings and views in this report are those of the Productivity Commission and should not be attributed to </w:t>
      </w:r>
      <w:proofErr w:type="spellStart"/>
      <w:r w:rsidRPr="00CC5EE7">
        <w:t>DSS</w:t>
      </w:r>
      <w:proofErr w:type="spellEnd"/>
      <w:r w:rsidRPr="00CC5EE7">
        <w:t xml:space="preserve"> or the Melbourne Institute.</w:t>
      </w:r>
    </w:p>
    <w:p w:rsidR="00F9689B" w:rsidRDefault="00F9689B" w:rsidP="00F9689B">
      <w:pPr>
        <w:pStyle w:val="BodyText"/>
      </w:pPr>
      <w:r w:rsidRPr="005B0EAC">
        <w:t>The Commission would like to thank all those who contributed to the inquiry.</w:t>
      </w:r>
    </w:p>
    <w:p w:rsidR="00F9689B" w:rsidRPr="00F9689B" w:rsidRDefault="00F9689B" w:rsidP="00F9689B">
      <w:pPr>
        <w:pStyle w:val="BodyText"/>
      </w:pPr>
    </w:p>
    <w:p w:rsidR="00F9689B" w:rsidRDefault="00F9689B">
      <w:pPr>
        <w:pStyle w:val="BodyText"/>
        <w:sectPr w:rsidR="00F9689B" w:rsidSect="00537BB4">
          <w:headerReference w:type="even" r:id="rId18"/>
          <w:headerReference w:type="default" r:id="rId19"/>
          <w:footerReference w:type="even" r:id="rId20"/>
          <w:footerReference w:type="default" r:id="rId21"/>
          <w:pgSz w:w="11906" w:h="16838" w:code="9"/>
          <w:pgMar w:top="1985" w:right="1304" w:bottom="1418" w:left="1814" w:header="1701" w:footer="567" w:gutter="0"/>
          <w:pgNumType w:fmt="lowerRoman"/>
          <w:cols w:space="708"/>
          <w:docGrid w:linePitch="360"/>
        </w:sectPr>
      </w:pPr>
    </w:p>
    <w:p w:rsidR="00735FEA" w:rsidRDefault="00F16B77" w:rsidP="00F7477E">
      <w:pPr>
        <w:pStyle w:val="Heading1"/>
      </w:pPr>
      <w:bookmarkStart w:id="14" w:name="EndContents"/>
      <w:bookmarkEnd w:id="14"/>
      <w:r>
        <w:lastRenderedPageBreak/>
        <w:t>Abbreviations</w:t>
      </w:r>
    </w:p>
    <w:p w:rsidR="00F9689B" w:rsidRDefault="00F9689B" w:rsidP="00F9689B">
      <w:pPr>
        <w:pStyle w:val="Abbreviation"/>
      </w:pPr>
      <w:bookmarkStart w:id="15" w:name="Glossary"/>
      <w:bookmarkEnd w:id="15"/>
      <w:proofErr w:type="spellStart"/>
      <w:r>
        <w:t>ACCC</w:t>
      </w:r>
      <w:proofErr w:type="spellEnd"/>
      <w:r>
        <w:tab/>
        <w:t>Australian Competition and Consumer Commission</w:t>
      </w:r>
    </w:p>
    <w:p w:rsidR="00F9689B" w:rsidRDefault="00F9689B" w:rsidP="00F9689B">
      <w:pPr>
        <w:pStyle w:val="Abbreviation"/>
      </w:pPr>
      <w:proofErr w:type="spellStart"/>
      <w:r>
        <w:t>ACCI</w:t>
      </w:r>
      <w:proofErr w:type="spellEnd"/>
      <w:r>
        <w:tab/>
      </w:r>
      <w:r w:rsidRPr="00614C75">
        <w:t>Australian Chamber of Commerce and Industry</w:t>
      </w:r>
    </w:p>
    <w:p w:rsidR="00F9689B" w:rsidRDefault="00F9689B" w:rsidP="00F9689B">
      <w:pPr>
        <w:pStyle w:val="Abbreviation"/>
      </w:pPr>
      <w:proofErr w:type="spellStart"/>
      <w:r>
        <w:t>ACIS</w:t>
      </w:r>
      <w:proofErr w:type="spellEnd"/>
      <w:r>
        <w:tab/>
      </w:r>
      <w:r w:rsidRPr="004E11A0">
        <w:t>Automotive Competitiveness and Investment Scheme</w:t>
      </w:r>
    </w:p>
    <w:p w:rsidR="00F9689B" w:rsidRDefault="00F9689B" w:rsidP="00F9689B">
      <w:pPr>
        <w:pStyle w:val="Abbreviation"/>
      </w:pPr>
      <w:r>
        <w:t>Ai Group</w:t>
      </w:r>
      <w:r>
        <w:tab/>
        <w:t>Australian Industry Group</w:t>
      </w:r>
    </w:p>
    <w:p w:rsidR="00F9689B" w:rsidRDefault="00F9689B" w:rsidP="00F9689B">
      <w:pPr>
        <w:pStyle w:val="Abbreviation"/>
        <w:tabs>
          <w:tab w:val="left" w:pos="2980"/>
        </w:tabs>
      </w:pPr>
      <w:proofErr w:type="spellStart"/>
      <w:r>
        <w:t>AISAP</w:t>
      </w:r>
      <w:proofErr w:type="spellEnd"/>
      <w:r>
        <w:tab/>
        <w:t>Automotive Industry Structural Adjustment Program</w:t>
      </w:r>
      <w:r>
        <w:tab/>
      </w:r>
    </w:p>
    <w:p w:rsidR="00F9689B" w:rsidRDefault="00F9689B" w:rsidP="00F9689B">
      <w:pPr>
        <w:pStyle w:val="Abbreviation"/>
      </w:pPr>
      <w:proofErr w:type="spellStart"/>
      <w:r>
        <w:t>AMWU</w:t>
      </w:r>
      <w:proofErr w:type="spellEnd"/>
      <w:r>
        <w:tab/>
      </w:r>
      <w:r w:rsidRPr="004E11A0">
        <w:t>Australian Manufacturing Workers</w:t>
      </w:r>
      <w:r>
        <w:t>’</w:t>
      </w:r>
      <w:r w:rsidRPr="004E11A0">
        <w:t xml:space="preserve"> Union</w:t>
      </w:r>
    </w:p>
    <w:p w:rsidR="00F9689B" w:rsidRDefault="00F9689B" w:rsidP="00F9689B">
      <w:pPr>
        <w:pStyle w:val="Abbreviation"/>
      </w:pPr>
      <w:proofErr w:type="spellStart"/>
      <w:r>
        <w:t>ANCAP</w:t>
      </w:r>
      <w:proofErr w:type="spellEnd"/>
      <w:r>
        <w:tab/>
        <w:t>Australasian New Car Assessment Program</w:t>
      </w:r>
    </w:p>
    <w:p w:rsidR="00F9689B" w:rsidRDefault="00F9689B" w:rsidP="00F9689B">
      <w:pPr>
        <w:pStyle w:val="Abbreviation"/>
      </w:pPr>
      <w:proofErr w:type="spellStart"/>
      <w:r>
        <w:t>ANMI</w:t>
      </w:r>
      <w:proofErr w:type="spellEnd"/>
      <w:r>
        <w:tab/>
        <w:t>Automotive New Markets Initiative</w:t>
      </w:r>
    </w:p>
    <w:p w:rsidR="00F9689B" w:rsidRDefault="00F9689B" w:rsidP="00F9689B">
      <w:pPr>
        <w:pStyle w:val="Abbreviation"/>
      </w:pPr>
      <w:proofErr w:type="spellStart"/>
      <w:r>
        <w:t>ATS</w:t>
      </w:r>
      <w:proofErr w:type="spellEnd"/>
      <w:r>
        <w:tab/>
        <w:t>Automotive Transformation Scheme</w:t>
      </w:r>
    </w:p>
    <w:p w:rsidR="00F9689B" w:rsidRDefault="00F9689B" w:rsidP="00F9689B">
      <w:pPr>
        <w:pStyle w:val="Abbreviation"/>
      </w:pPr>
      <w:proofErr w:type="spellStart"/>
      <w:r>
        <w:t>BRTA</w:t>
      </w:r>
      <w:proofErr w:type="spellEnd"/>
      <w:r>
        <w:tab/>
        <w:t>Bilateral and Regional Trade Agreement</w:t>
      </w:r>
    </w:p>
    <w:p w:rsidR="00F9689B" w:rsidRDefault="00F9689B" w:rsidP="00F9689B">
      <w:pPr>
        <w:pStyle w:val="Abbreviation"/>
      </w:pPr>
      <w:proofErr w:type="spellStart"/>
      <w:r>
        <w:t>DFAT</w:t>
      </w:r>
      <w:proofErr w:type="spellEnd"/>
      <w:r>
        <w:tab/>
        <w:t>Department of Foreign Affairs and Trade</w:t>
      </w:r>
    </w:p>
    <w:p w:rsidR="00F9689B" w:rsidRDefault="00F9689B" w:rsidP="00F9689B">
      <w:pPr>
        <w:pStyle w:val="Abbreviation"/>
      </w:pPr>
      <w:proofErr w:type="spellStart"/>
      <w:r>
        <w:t>EPF</w:t>
      </w:r>
      <w:proofErr w:type="spellEnd"/>
      <w:r>
        <w:tab/>
        <w:t xml:space="preserve">Employment Pathway Fund </w:t>
      </w:r>
    </w:p>
    <w:p w:rsidR="00F9689B" w:rsidRDefault="00F9689B" w:rsidP="00F9689B">
      <w:pPr>
        <w:pStyle w:val="Abbreviation"/>
      </w:pPr>
      <w:proofErr w:type="spellStart"/>
      <w:r>
        <w:t>FAPM</w:t>
      </w:r>
      <w:proofErr w:type="spellEnd"/>
      <w:r>
        <w:tab/>
        <w:t>Federation of Automotive Products Manufacturers</w:t>
      </w:r>
    </w:p>
    <w:p w:rsidR="00F9689B" w:rsidRDefault="00F9689B" w:rsidP="00F9689B">
      <w:pPr>
        <w:pStyle w:val="Abbreviation"/>
      </w:pPr>
      <w:proofErr w:type="spellStart"/>
      <w:r>
        <w:t>FBT</w:t>
      </w:r>
      <w:proofErr w:type="spellEnd"/>
      <w:r>
        <w:tab/>
        <w:t>Fringe Benefits Tax</w:t>
      </w:r>
    </w:p>
    <w:p w:rsidR="00F9689B" w:rsidRDefault="00F9689B" w:rsidP="00F9689B">
      <w:pPr>
        <w:pStyle w:val="Abbreviation"/>
      </w:pPr>
      <w:proofErr w:type="spellStart"/>
      <w:r>
        <w:t>FCAI</w:t>
      </w:r>
      <w:proofErr w:type="spellEnd"/>
      <w:r>
        <w:tab/>
        <w:t>Federal Chamber of Automotive Industries</w:t>
      </w:r>
    </w:p>
    <w:p w:rsidR="00F9689B" w:rsidRDefault="00F9689B" w:rsidP="00F9689B">
      <w:pPr>
        <w:pStyle w:val="Abbreviation"/>
      </w:pPr>
      <w:proofErr w:type="spellStart"/>
      <w:r>
        <w:t>FEG</w:t>
      </w:r>
      <w:proofErr w:type="spellEnd"/>
      <w:r>
        <w:tab/>
        <w:t>Fair Entitlements Guarantee</w:t>
      </w:r>
    </w:p>
    <w:p w:rsidR="00F9689B" w:rsidRDefault="00F9689B" w:rsidP="00F9689B">
      <w:pPr>
        <w:pStyle w:val="Abbreviation"/>
      </w:pPr>
      <w:proofErr w:type="spellStart"/>
      <w:r>
        <w:t>FWC</w:t>
      </w:r>
      <w:proofErr w:type="spellEnd"/>
      <w:r>
        <w:tab/>
        <w:t xml:space="preserve">Fair Work Commission </w:t>
      </w:r>
    </w:p>
    <w:p w:rsidR="00F9689B" w:rsidRDefault="00F9689B" w:rsidP="00F9689B">
      <w:pPr>
        <w:pStyle w:val="Abbreviation"/>
      </w:pPr>
      <w:proofErr w:type="spellStart"/>
      <w:r>
        <w:t>GEERS</w:t>
      </w:r>
      <w:proofErr w:type="spellEnd"/>
      <w:r>
        <w:tab/>
      </w:r>
      <w:r w:rsidRPr="00ED513F">
        <w:t>General Employee Entitlements and Redundancy Scheme</w:t>
      </w:r>
    </w:p>
    <w:p w:rsidR="00F9689B" w:rsidRDefault="00F9689B" w:rsidP="00F9689B">
      <w:pPr>
        <w:pStyle w:val="Abbreviation"/>
      </w:pPr>
      <w:r>
        <w:t>GM</w:t>
      </w:r>
      <w:r>
        <w:tab/>
        <w:t>General Motors</w:t>
      </w:r>
    </w:p>
    <w:p w:rsidR="00F9689B" w:rsidRDefault="00F9689B" w:rsidP="00F9689B">
      <w:pPr>
        <w:pStyle w:val="Abbreviation"/>
      </w:pPr>
      <w:proofErr w:type="spellStart"/>
      <w:r>
        <w:t>GRIIF</w:t>
      </w:r>
      <w:proofErr w:type="spellEnd"/>
      <w:r>
        <w:t xml:space="preserve"> </w:t>
      </w:r>
      <w:r>
        <w:tab/>
        <w:t xml:space="preserve">Geelong Region Innovation and Investment Fund </w:t>
      </w:r>
    </w:p>
    <w:p w:rsidR="00F9689B" w:rsidRDefault="00F9689B" w:rsidP="00F9689B">
      <w:pPr>
        <w:pStyle w:val="Abbreviation"/>
      </w:pPr>
      <w:r>
        <w:t>HILDA</w:t>
      </w:r>
      <w:r>
        <w:tab/>
      </w:r>
      <w:r w:rsidRPr="00CC5EE7">
        <w:t>Household, Income and Lab</w:t>
      </w:r>
      <w:r>
        <w:t xml:space="preserve">our Dynamics in Australia </w:t>
      </w:r>
    </w:p>
    <w:p w:rsidR="00F9689B" w:rsidRDefault="00F9689B" w:rsidP="00F9689B">
      <w:pPr>
        <w:pStyle w:val="Abbreviation"/>
      </w:pPr>
      <w:proofErr w:type="spellStart"/>
      <w:r>
        <w:t>JSA</w:t>
      </w:r>
      <w:proofErr w:type="spellEnd"/>
      <w:r>
        <w:tab/>
        <w:t xml:space="preserve">Job Services Australia </w:t>
      </w:r>
    </w:p>
    <w:p w:rsidR="00F9689B" w:rsidRDefault="00F9689B" w:rsidP="00F9689B">
      <w:pPr>
        <w:pStyle w:val="Abbreviation"/>
      </w:pPr>
      <w:r>
        <w:t>LAP</w:t>
      </w:r>
      <w:r>
        <w:tab/>
        <w:t>Labour Adjustment Program</w:t>
      </w:r>
    </w:p>
    <w:p w:rsidR="00F9689B" w:rsidRDefault="00F9689B" w:rsidP="00F9689B">
      <w:pPr>
        <w:pStyle w:val="Abbreviation"/>
      </w:pPr>
      <w:proofErr w:type="spellStart"/>
      <w:r>
        <w:t>LCT</w:t>
      </w:r>
      <w:proofErr w:type="spellEnd"/>
      <w:r>
        <w:tab/>
        <w:t>Luxury Car Tax</w:t>
      </w:r>
    </w:p>
    <w:p w:rsidR="00F9689B" w:rsidRDefault="00F9689B" w:rsidP="00F9689B">
      <w:pPr>
        <w:pStyle w:val="Abbreviation"/>
      </w:pPr>
      <w:proofErr w:type="spellStart"/>
      <w:r>
        <w:t>LEC</w:t>
      </w:r>
      <w:proofErr w:type="spellEnd"/>
      <w:r>
        <w:tab/>
        <w:t>Local Employment Coordinators</w:t>
      </w:r>
    </w:p>
    <w:p w:rsidR="00F9689B" w:rsidRDefault="00F9689B" w:rsidP="00F9689B">
      <w:pPr>
        <w:pStyle w:val="Abbreviation"/>
      </w:pPr>
      <w:r>
        <w:lastRenderedPageBreak/>
        <w:t>LPG</w:t>
      </w:r>
      <w:r>
        <w:tab/>
        <w:t>Liquefied petroleum gas</w:t>
      </w:r>
    </w:p>
    <w:p w:rsidR="00F9689B" w:rsidRDefault="00F9689B" w:rsidP="00F9689B">
      <w:pPr>
        <w:pStyle w:val="Abbreviation"/>
      </w:pPr>
      <w:proofErr w:type="spellStart"/>
      <w:r>
        <w:t>MNRIIF</w:t>
      </w:r>
      <w:proofErr w:type="spellEnd"/>
      <w:r>
        <w:t xml:space="preserve"> </w:t>
      </w:r>
      <w:r>
        <w:tab/>
      </w:r>
      <w:r w:rsidRPr="004434A0">
        <w:t>Melbourne’s North Region Innovation and Investment Fund</w:t>
      </w:r>
    </w:p>
    <w:p w:rsidR="00F9689B" w:rsidRDefault="00F9689B" w:rsidP="00F9689B">
      <w:pPr>
        <w:pStyle w:val="Abbreviation"/>
      </w:pPr>
      <w:proofErr w:type="spellStart"/>
      <w:r>
        <w:t>MYEFO</w:t>
      </w:r>
      <w:proofErr w:type="spellEnd"/>
      <w:r>
        <w:tab/>
        <w:t>Mid</w:t>
      </w:r>
      <w:r>
        <w:noBreakHyphen/>
        <w:t>Year Economic and Fiscal Outlook</w:t>
      </w:r>
    </w:p>
    <w:p w:rsidR="00F9689B" w:rsidRDefault="00F9689B" w:rsidP="00F9689B">
      <w:pPr>
        <w:pStyle w:val="Abbreviation"/>
      </w:pPr>
      <w:r>
        <w:t>OECD</w:t>
      </w:r>
      <w:r>
        <w:tab/>
        <w:t>Organisation for Economic Co</w:t>
      </w:r>
      <w:r>
        <w:noBreakHyphen/>
        <w:t>operation and Development</w:t>
      </w:r>
    </w:p>
    <w:p w:rsidR="00F9689B" w:rsidRDefault="00F9689B" w:rsidP="00F9689B">
      <w:pPr>
        <w:pStyle w:val="Abbreviation"/>
      </w:pPr>
      <w:r>
        <w:t>PC</w:t>
      </w:r>
      <w:r>
        <w:tab/>
        <w:t>Productivity Commission</w:t>
      </w:r>
    </w:p>
    <w:p w:rsidR="00F9689B" w:rsidRDefault="00F9689B" w:rsidP="00F9689B">
      <w:pPr>
        <w:pStyle w:val="Abbreviation"/>
      </w:pPr>
      <w:r>
        <w:t>R&amp;D</w:t>
      </w:r>
      <w:r>
        <w:tab/>
        <w:t>Research and development</w:t>
      </w:r>
    </w:p>
    <w:p w:rsidR="00F9689B" w:rsidRDefault="00F9689B" w:rsidP="00F9689B">
      <w:pPr>
        <w:pStyle w:val="Abbreviation"/>
      </w:pPr>
      <w:r>
        <w:t>SUV</w:t>
      </w:r>
      <w:r>
        <w:tab/>
        <w:t>Sports utility vehicle</w:t>
      </w:r>
    </w:p>
    <w:p w:rsidR="00F9689B" w:rsidRDefault="00F9689B" w:rsidP="00F9689B">
      <w:pPr>
        <w:pStyle w:val="Abbreviation"/>
      </w:pPr>
      <w:proofErr w:type="spellStart"/>
      <w:r>
        <w:t>TEQSA</w:t>
      </w:r>
      <w:proofErr w:type="spellEnd"/>
      <w:r>
        <w:tab/>
      </w:r>
      <w:r w:rsidRPr="00F40CAF">
        <w:t>Tertiary Education Quality and Standards Agency</w:t>
      </w:r>
    </w:p>
    <w:p w:rsidR="00F9689B" w:rsidRDefault="00F9689B" w:rsidP="00F9689B">
      <w:pPr>
        <w:pStyle w:val="Abbreviation"/>
      </w:pPr>
      <w:r>
        <w:t>VET</w:t>
      </w:r>
      <w:r>
        <w:tab/>
        <w:t>Vocational education and training</w:t>
      </w:r>
    </w:p>
    <w:p w:rsidR="00F9689B" w:rsidRDefault="00F9689B" w:rsidP="00F9689B">
      <w:pPr>
        <w:pStyle w:val="Abbreviation"/>
      </w:pPr>
      <w:r>
        <w:t>WTO</w:t>
      </w:r>
      <w:r>
        <w:tab/>
        <w:t>World Trade Organization</w:t>
      </w:r>
    </w:p>
    <w:p w:rsidR="000F2F5F" w:rsidRDefault="000F2F5F" w:rsidP="00F9689B">
      <w:pPr>
        <w:pStyle w:val="Heading2NotTOC"/>
      </w:pPr>
    </w:p>
    <w:sectPr w:rsidR="000F2F5F" w:rsidSect="00C55A45">
      <w:headerReference w:type="even" r:id="rId22"/>
      <w:headerReference w:type="default" r:id="rId23"/>
      <w:footerReference w:type="even" r:id="rId24"/>
      <w:footerReference w:type="default" r:id="rId25"/>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89B" w:rsidRDefault="00F9689B">
      <w:r>
        <w:separator/>
      </w:r>
    </w:p>
    <w:p w:rsidR="00F9689B" w:rsidRDefault="00F9689B"/>
    <w:p w:rsidR="00F9689B" w:rsidRDefault="00F9689B"/>
  </w:endnote>
  <w:endnote w:type="continuationSeparator" w:id="0">
    <w:p w:rsidR="00F9689B" w:rsidRDefault="00F9689B">
      <w:r>
        <w:continuationSeparator/>
      </w:r>
    </w:p>
    <w:p w:rsidR="00F9689B" w:rsidRDefault="00F9689B"/>
    <w:p w:rsidR="00F9689B" w:rsidRDefault="00F968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F9689B">
      <w:trPr>
        <w:trHeight w:hRule="exact" w:val="740"/>
      </w:trPr>
      <w:tc>
        <w:tcPr>
          <w:tcW w:w="510" w:type="dxa"/>
          <w:tcBorders>
            <w:top w:val="single" w:sz="6" w:space="0" w:color="auto"/>
          </w:tcBorders>
        </w:tcPr>
        <w:p w:rsidR="00F9689B" w:rsidRPr="008206EE" w:rsidRDefault="00F9689B">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3A0BF5">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F9689B" w:rsidRPr="00603344" w:rsidRDefault="00E352A6" w:rsidP="006817C9">
          <w:pPr>
            <w:pStyle w:val="Footer"/>
          </w:pPr>
          <w:fldSimple w:instr=" STYLEREF &quot;Heading 1&quot; \* MERGEFORMAT ">
            <w:r w:rsidR="003A0BF5" w:rsidRPr="003A0BF5">
              <w:rPr>
                <w:bCs/>
                <w:noProof/>
                <w:lang w:val="en-US"/>
              </w:rPr>
              <w:t>Terms of reference</w:t>
            </w:r>
          </w:fldSimple>
        </w:p>
      </w:tc>
      <w:tc>
        <w:tcPr>
          <w:tcW w:w="6634" w:type="dxa"/>
        </w:tcPr>
        <w:p w:rsidR="00F9689B" w:rsidRPr="00603344" w:rsidRDefault="00F9689B">
          <w:pPr>
            <w:pStyle w:val="Footer"/>
            <w:rPr>
              <w:caps w:val="0"/>
            </w:rPr>
          </w:pPr>
        </w:p>
      </w:tc>
    </w:tr>
  </w:tbl>
  <w:p w:rsidR="00F9689B" w:rsidRDefault="00F9689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F9689B" w:rsidTr="006817C9">
      <w:trPr>
        <w:trHeight w:hRule="exact" w:val="740"/>
      </w:trPr>
      <w:tc>
        <w:tcPr>
          <w:tcW w:w="6634" w:type="dxa"/>
        </w:tcPr>
        <w:p w:rsidR="00F9689B" w:rsidRPr="00B3203C" w:rsidRDefault="00F9689B">
          <w:pPr>
            <w:pStyle w:val="Footer"/>
          </w:pPr>
        </w:p>
      </w:tc>
      <w:tc>
        <w:tcPr>
          <w:tcW w:w="1644" w:type="dxa"/>
          <w:tcBorders>
            <w:top w:val="single" w:sz="6" w:space="0" w:color="auto"/>
          </w:tcBorders>
        </w:tcPr>
        <w:p w:rsidR="00F9689B" w:rsidRPr="00B3203C" w:rsidRDefault="00F9689B" w:rsidP="006817C9">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3A0BF5" w:rsidRPr="003A0BF5">
            <w:rPr>
              <w:bCs/>
              <w:noProof/>
              <w:lang w:val="en-US"/>
            </w:rPr>
            <w:t>Terms of reference</w:t>
          </w:r>
          <w:r w:rsidRPr="00B3203C">
            <w:rPr>
              <w:noProof/>
            </w:rPr>
            <w:fldChar w:fldCharType="end"/>
          </w:r>
        </w:p>
      </w:tc>
      <w:tc>
        <w:tcPr>
          <w:tcW w:w="510" w:type="dxa"/>
          <w:tcBorders>
            <w:top w:val="single" w:sz="6" w:space="0" w:color="auto"/>
          </w:tcBorders>
        </w:tcPr>
        <w:p w:rsidR="00F9689B" w:rsidRPr="00C55A45" w:rsidRDefault="00F9689B">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3A0BF5">
            <w:rPr>
              <w:rStyle w:val="PageNumber"/>
              <w:caps w:val="0"/>
              <w:noProof/>
            </w:rPr>
            <w:t>v</w:t>
          </w:r>
          <w:r w:rsidRPr="00C55A45">
            <w:rPr>
              <w:rStyle w:val="PageNumber"/>
              <w:caps w:val="0"/>
              <w:noProof/>
            </w:rPr>
            <w:fldChar w:fldCharType="end"/>
          </w:r>
        </w:p>
      </w:tc>
    </w:tr>
  </w:tbl>
  <w:p w:rsidR="00F9689B" w:rsidRDefault="00F9689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37AC2">
      <w:trPr>
        <w:trHeight w:hRule="exact" w:val="740"/>
      </w:trPr>
      <w:tc>
        <w:tcPr>
          <w:tcW w:w="510" w:type="dxa"/>
          <w:tcBorders>
            <w:top w:val="single" w:sz="6" w:space="0" w:color="auto"/>
          </w:tcBorders>
        </w:tcPr>
        <w:p w:rsidR="00D37AC2" w:rsidRPr="008206EE" w:rsidRDefault="00D37AC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3A0BF5">
            <w:rPr>
              <w:rStyle w:val="PageNumber"/>
              <w:caps w:val="0"/>
              <w:noProof/>
            </w:rPr>
            <w:t>x</w:t>
          </w:r>
          <w:r w:rsidRPr="008206EE">
            <w:rPr>
              <w:rStyle w:val="PageNumber"/>
              <w:caps w:val="0"/>
              <w:noProof/>
            </w:rPr>
            <w:fldChar w:fldCharType="end"/>
          </w:r>
        </w:p>
      </w:tc>
      <w:tc>
        <w:tcPr>
          <w:tcW w:w="1644" w:type="dxa"/>
          <w:tcBorders>
            <w:top w:val="single" w:sz="6" w:space="0" w:color="auto"/>
          </w:tcBorders>
        </w:tcPr>
        <w:p w:rsidR="00D37AC2" w:rsidRDefault="00610CE8">
          <w:pPr>
            <w:pStyle w:val="Footer"/>
          </w:pPr>
          <w:r>
            <w:fldChar w:fldCharType="begin"/>
          </w:r>
          <w:r>
            <w:instrText xml:space="preserve"> STYLEREF "Heading 1 Not TOC" \* MERGEFORMAT </w:instrText>
          </w:r>
          <w:r>
            <w:fldChar w:fldCharType="separate"/>
          </w:r>
          <w:r w:rsidR="003A0BF5">
            <w:rPr>
              <w:noProof/>
            </w:rPr>
            <w:t>Contents</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37AC2" w:rsidTr="008F7DB7">
      <w:trPr>
        <w:trHeight w:hRule="exact" w:val="740"/>
      </w:trPr>
      <w:tc>
        <w:tcPr>
          <w:tcW w:w="6634" w:type="dxa"/>
        </w:tcPr>
        <w:p w:rsidR="00D37AC2" w:rsidRDefault="00D37AC2">
          <w:pPr>
            <w:pStyle w:val="Footer"/>
          </w:pPr>
        </w:p>
      </w:tc>
      <w:tc>
        <w:tcPr>
          <w:tcW w:w="1644" w:type="dxa"/>
          <w:tcBorders>
            <w:top w:val="single" w:sz="6" w:space="0" w:color="auto"/>
          </w:tcBorders>
        </w:tcPr>
        <w:p w:rsidR="00D37AC2" w:rsidRPr="008F7DB7" w:rsidRDefault="00D37AC2">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A44CF8" w:rsidRPr="00A44CF8">
            <w:rPr>
              <w:bCs/>
              <w:noProof/>
            </w:rPr>
            <w:t>Contents</w:t>
          </w:r>
          <w:r w:rsidRPr="008F7DB7">
            <w:rPr>
              <w:noProof/>
            </w:rPr>
            <w:fldChar w:fldCharType="end"/>
          </w:r>
        </w:p>
      </w:tc>
      <w:tc>
        <w:tcPr>
          <w:tcW w:w="510" w:type="dxa"/>
          <w:tcBorders>
            <w:top w:val="single" w:sz="6" w:space="0" w:color="auto"/>
          </w:tcBorders>
        </w:tcPr>
        <w:p w:rsidR="00D37AC2" w:rsidRPr="00C55A45" w:rsidRDefault="00D37AC2">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A44CF8">
            <w:rPr>
              <w:rStyle w:val="PageNumber"/>
              <w:caps w:val="0"/>
              <w:noProof/>
            </w:rPr>
            <w:t>ix</w:t>
          </w:r>
          <w:r w:rsidRPr="00C55A45">
            <w:rPr>
              <w:rStyle w:val="PageNumber"/>
              <w:caps w:val="0"/>
              <w:noProof/>
            </w:rPr>
            <w:fldChar w:fldCharType="end"/>
          </w:r>
        </w:p>
      </w:tc>
    </w:tr>
  </w:tbl>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F9689B">
      <w:trPr>
        <w:trHeight w:hRule="exact" w:val="740"/>
      </w:trPr>
      <w:tc>
        <w:tcPr>
          <w:tcW w:w="510" w:type="dxa"/>
          <w:tcBorders>
            <w:top w:val="single" w:sz="4" w:space="0" w:color="auto"/>
          </w:tcBorders>
        </w:tcPr>
        <w:p w:rsidR="00F9689B" w:rsidRDefault="00F9689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x</w:t>
          </w:r>
          <w:r>
            <w:rPr>
              <w:rStyle w:val="PageNumber"/>
            </w:rPr>
            <w:fldChar w:fldCharType="end"/>
          </w:r>
        </w:p>
      </w:tc>
      <w:tc>
        <w:tcPr>
          <w:tcW w:w="1830" w:type="dxa"/>
          <w:tcBorders>
            <w:top w:val="single" w:sz="6" w:space="0" w:color="auto"/>
          </w:tcBorders>
        </w:tcPr>
        <w:p w:rsidR="00F9689B" w:rsidRDefault="00E352A6">
          <w:pPr>
            <w:pStyle w:val="Footer"/>
          </w:pPr>
          <w:fldSimple w:instr=" STYLEREF &quot;Heading 1&quot; \* MERGEFORMAT ">
            <w:r w:rsidR="004F7C1C">
              <w:rPr>
                <w:noProof/>
              </w:rPr>
              <w:t>Terms of reference</w:t>
            </w:r>
          </w:fldSimple>
        </w:p>
      </w:tc>
      <w:tc>
        <w:tcPr>
          <w:tcW w:w="6448" w:type="dxa"/>
        </w:tcPr>
        <w:p w:rsidR="00F9689B" w:rsidRDefault="00F9689B">
          <w:pPr>
            <w:pStyle w:val="Footer"/>
          </w:pPr>
        </w:p>
      </w:tc>
    </w:tr>
  </w:tbl>
  <w:p w:rsidR="00F9689B" w:rsidRDefault="00F9689B">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F9689B">
      <w:trPr>
        <w:trHeight w:hRule="exact" w:val="740"/>
      </w:trPr>
      <w:tc>
        <w:tcPr>
          <w:tcW w:w="6480" w:type="dxa"/>
        </w:tcPr>
        <w:p w:rsidR="00F9689B" w:rsidRDefault="00F9689B">
          <w:pPr>
            <w:pStyle w:val="Footer"/>
          </w:pPr>
        </w:p>
      </w:tc>
      <w:tc>
        <w:tcPr>
          <w:tcW w:w="1798" w:type="dxa"/>
          <w:tcBorders>
            <w:top w:val="single" w:sz="6" w:space="0" w:color="auto"/>
          </w:tcBorders>
        </w:tcPr>
        <w:p w:rsidR="00F9689B" w:rsidRDefault="00E352A6">
          <w:pPr>
            <w:pStyle w:val="Footer"/>
            <w:rPr>
              <w:rStyle w:val="PageNumber"/>
              <w:b w:val="0"/>
            </w:rPr>
          </w:pPr>
          <w:fldSimple w:instr=" STYLEREF &quot;Heading 1&quot; \* MERGEFORMAT ">
            <w:r w:rsidR="003A0BF5">
              <w:rPr>
                <w:noProof/>
              </w:rPr>
              <w:t>Acknowledgments</w:t>
            </w:r>
          </w:fldSimple>
        </w:p>
      </w:tc>
      <w:tc>
        <w:tcPr>
          <w:tcW w:w="510" w:type="dxa"/>
          <w:tcBorders>
            <w:top w:val="single" w:sz="6" w:space="0" w:color="auto"/>
          </w:tcBorders>
        </w:tcPr>
        <w:p w:rsidR="00F9689B" w:rsidRPr="00A10FFE" w:rsidRDefault="00F9689B" w:rsidP="00537BB4">
          <w:pPr>
            <w:pStyle w:val="PartTitle"/>
            <w:spacing w:before="80" w:after="0" w:line="200" w:lineRule="exact"/>
            <w:ind w:right="6"/>
            <w:rPr>
              <w:rStyle w:val="PageNumber"/>
              <w:smallCaps w:val="0"/>
            </w:rPr>
          </w:pPr>
          <w:r w:rsidRPr="00A10FFE">
            <w:rPr>
              <w:rStyle w:val="PageNumber"/>
              <w:smallCaps w:val="0"/>
            </w:rPr>
            <w:fldChar w:fldCharType="begin"/>
          </w:r>
          <w:r w:rsidRPr="00A10FFE">
            <w:rPr>
              <w:rStyle w:val="PageNumber"/>
              <w:smallCaps w:val="0"/>
            </w:rPr>
            <w:instrText xml:space="preserve">PAGE  </w:instrText>
          </w:r>
          <w:r w:rsidRPr="00A10FFE">
            <w:rPr>
              <w:rStyle w:val="PageNumber"/>
              <w:smallCaps w:val="0"/>
            </w:rPr>
            <w:fldChar w:fldCharType="separate"/>
          </w:r>
          <w:r w:rsidR="003A0BF5">
            <w:rPr>
              <w:rStyle w:val="PageNumber"/>
              <w:smallCaps w:val="0"/>
              <w:noProof/>
            </w:rPr>
            <w:t>xi</w:t>
          </w:r>
          <w:r w:rsidRPr="00A10FFE">
            <w:rPr>
              <w:rStyle w:val="PageNumber"/>
              <w:smallCaps w:val="0"/>
            </w:rPr>
            <w:fldChar w:fldCharType="end"/>
          </w:r>
        </w:p>
      </w:tc>
    </w:tr>
  </w:tbl>
  <w:p w:rsidR="00F9689B" w:rsidRDefault="00F9689B">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3A0BF5">
            <w:rPr>
              <w:rStyle w:val="PageNumber"/>
              <w:caps w:val="0"/>
              <w:noProof/>
            </w:rPr>
            <w:t>xii</w:t>
          </w:r>
          <w:r w:rsidRPr="00C55A45">
            <w:rPr>
              <w:rStyle w:val="PageNumber"/>
              <w:caps w:val="0"/>
              <w:noProof/>
            </w:rPr>
            <w:fldChar w:fldCharType="end"/>
          </w:r>
        </w:p>
      </w:tc>
      <w:tc>
        <w:tcPr>
          <w:tcW w:w="1758" w:type="dxa"/>
          <w:tcBorders>
            <w:top w:val="single" w:sz="6" w:space="0" w:color="auto"/>
          </w:tcBorders>
        </w:tcPr>
        <w:p w:rsidR="00D37AC2" w:rsidRDefault="00D37AC2">
          <w:pPr>
            <w:pStyle w:val="Footer"/>
            <w:rPr>
              <w:noProof/>
            </w:rPr>
          </w:pPr>
          <w:r>
            <w:rPr>
              <w:noProof/>
            </w:rPr>
            <w:fldChar w:fldCharType="begin"/>
          </w:r>
          <w:r>
            <w:rPr>
              <w:noProof/>
            </w:rPr>
            <w:instrText xml:space="preserve"> STYLEREF "Heading 1" \* MERGEFORMAT </w:instrText>
          </w:r>
          <w:r>
            <w:rPr>
              <w:noProof/>
            </w:rPr>
            <w:fldChar w:fldCharType="separate"/>
          </w:r>
          <w:r w:rsidR="003A0BF5">
            <w:rPr>
              <w:noProof/>
            </w:rPr>
            <w:t>Abbreviations</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E352A6">
          <w:pPr>
            <w:pStyle w:val="Footer"/>
            <w:rPr>
              <w:rStyle w:val="PageNumber"/>
              <w:b w:val="0"/>
            </w:rPr>
          </w:pPr>
          <w:fldSimple w:instr=" STYLEREF &quot;Heading 1&quot; \* MERGEFORMAT ">
            <w:r w:rsidR="00A44CF8">
              <w:rPr>
                <w:noProof/>
              </w:rPr>
              <w:t>Abbreviations</w:t>
            </w:r>
          </w:fldSimple>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A44CF8">
            <w:rPr>
              <w:rStyle w:val="PageNumber"/>
              <w:caps w:val="0"/>
              <w:noProof/>
            </w:rPr>
            <w:t>xiii</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89B" w:rsidRDefault="00F9689B">
      <w:r>
        <w:separator/>
      </w:r>
    </w:p>
    <w:p w:rsidR="00F9689B" w:rsidRDefault="00F9689B"/>
    <w:p w:rsidR="00F9689B" w:rsidRDefault="00F9689B"/>
  </w:footnote>
  <w:footnote w:type="continuationSeparator" w:id="0">
    <w:p w:rsidR="00F9689B" w:rsidRDefault="00F9689B">
      <w:r>
        <w:continuationSeparator/>
      </w:r>
    </w:p>
    <w:p w:rsidR="00F9689B" w:rsidRDefault="00F9689B"/>
    <w:p w:rsidR="00F9689B" w:rsidRDefault="00F9689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F9689B">
      <w:tc>
        <w:tcPr>
          <w:tcW w:w="2155" w:type="dxa"/>
          <w:tcBorders>
            <w:top w:val="single" w:sz="24" w:space="0" w:color="auto"/>
          </w:tcBorders>
        </w:tcPr>
        <w:p w:rsidR="00F9689B" w:rsidRDefault="00F9689B">
          <w:pPr>
            <w:pStyle w:val="Header"/>
          </w:pPr>
        </w:p>
      </w:tc>
      <w:tc>
        <w:tcPr>
          <w:tcW w:w="6634" w:type="dxa"/>
          <w:tcBorders>
            <w:top w:val="single" w:sz="6" w:space="0" w:color="auto"/>
          </w:tcBorders>
        </w:tcPr>
        <w:p w:rsidR="00F9689B" w:rsidRDefault="00F9689B">
          <w:pPr>
            <w:pStyle w:val="Header"/>
          </w:pPr>
        </w:p>
      </w:tc>
    </w:tr>
  </w:tbl>
  <w:p w:rsidR="00F9689B" w:rsidRDefault="00F9689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9689B" w:rsidTr="006817C9">
      <w:tc>
        <w:tcPr>
          <w:tcW w:w="6634" w:type="dxa"/>
          <w:tcBorders>
            <w:top w:val="single" w:sz="6" w:space="0" w:color="auto"/>
          </w:tcBorders>
        </w:tcPr>
        <w:p w:rsidR="00F9689B" w:rsidRDefault="00F9689B" w:rsidP="006817C9">
          <w:pPr>
            <w:pStyle w:val="HeaderOdd"/>
          </w:pPr>
        </w:p>
      </w:tc>
      <w:tc>
        <w:tcPr>
          <w:tcW w:w="2155" w:type="dxa"/>
          <w:tcBorders>
            <w:top w:val="single" w:sz="24" w:space="0" w:color="auto"/>
          </w:tcBorders>
        </w:tcPr>
        <w:p w:rsidR="00F9689B" w:rsidRDefault="00F9689B" w:rsidP="006817C9">
          <w:pPr>
            <w:pStyle w:val="HeaderOdd"/>
          </w:pPr>
        </w:p>
      </w:tc>
    </w:tr>
  </w:tbl>
  <w:p w:rsidR="00F9689B" w:rsidRPr="005C68FE" w:rsidRDefault="00F9689B" w:rsidP="006817C9">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9689B">
      <w:tc>
        <w:tcPr>
          <w:tcW w:w="2155" w:type="dxa"/>
          <w:tcBorders>
            <w:top w:val="single" w:sz="24" w:space="0" w:color="auto"/>
          </w:tcBorders>
        </w:tcPr>
        <w:p w:rsidR="00F9689B" w:rsidRDefault="00F9689B">
          <w:pPr>
            <w:pStyle w:val="HeaderEven"/>
          </w:pPr>
        </w:p>
      </w:tc>
      <w:tc>
        <w:tcPr>
          <w:tcW w:w="6634" w:type="dxa"/>
          <w:tcBorders>
            <w:top w:val="single" w:sz="6" w:space="0" w:color="auto"/>
          </w:tcBorders>
        </w:tcPr>
        <w:p w:rsidR="00F9689B" w:rsidRDefault="00F9689B">
          <w:pPr>
            <w:pStyle w:val="HeaderEven"/>
          </w:pPr>
        </w:p>
      </w:tc>
    </w:tr>
  </w:tbl>
  <w:p w:rsidR="00F9689B" w:rsidRDefault="00F9689B">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9689B">
      <w:tc>
        <w:tcPr>
          <w:tcW w:w="6634" w:type="dxa"/>
          <w:tcBorders>
            <w:top w:val="single" w:sz="6" w:space="0" w:color="auto"/>
          </w:tcBorders>
        </w:tcPr>
        <w:p w:rsidR="00F9689B" w:rsidRDefault="00F9689B">
          <w:pPr>
            <w:pStyle w:val="HeaderOdd"/>
          </w:pPr>
        </w:p>
      </w:tc>
      <w:tc>
        <w:tcPr>
          <w:tcW w:w="2155" w:type="dxa"/>
          <w:tcBorders>
            <w:top w:val="single" w:sz="24" w:space="0" w:color="auto"/>
            <w:bottom w:val="nil"/>
          </w:tcBorders>
        </w:tcPr>
        <w:p w:rsidR="00F9689B" w:rsidRDefault="00F9689B">
          <w:pPr>
            <w:pStyle w:val="HeaderOdd"/>
          </w:pPr>
        </w:p>
      </w:tc>
    </w:tr>
  </w:tbl>
  <w:p w:rsidR="00F9689B" w:rsidRDefault="00F9689B">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44E258FA"/>
    <w:multiLevelType w:val="hybridMultilevel"/>
    <w:tmpl w:val="71F4FE16"/>
    <w:lvl w:ilvl="0" w:tplc="4EB0499E">
      <w:start w:val="1"/>
      <w:numFmt w:val="bullet"/>
      <w:lvlText w:val=""/>
      <w:lvlJc w:val="left"/>
      <w:pPr>
        <w:ind w:left="1400" w:hanging="360"/>
      </w:pPr>
      <w:rPr>
        <w:rFonts w:ascii="Symbol" w:hAnsi="Symbol" w:hint="default"/>
      </w:rPr>
    </w:lvl>
    <w:lvl w:ilvl="1" w:tplc="08090003" w:tentative="1">
      <w:start w:val="1"/>
      <w:numFmt w:val="bullet"/>
      <w:lvlText w:val="o"/>
      <w:lvlJc w:val="left"/>
      <w:pPr>
        <w:ind w:left="2120" w:hanging="360"/>
      </w:pPr>
      <w:rPr>
        <w:rFonts w:ascii="Courier New" w:hAnsi="Courier New" w:cs="Courier New" w:hint="default"/>
      </w:rPr>
    </w:lvl>
    <w:lvl w:ilvl="2" w:tplc="08090005" w:tentative="1">
      <w:start w:val="1"/>
      <w:numFmt w:val="bullet"/>
      <w:lvlText w:val=""/>
      <w:lvlJc w:val="left"/>
      <w:pPr>
        <w:ind w:left="2840" w:hanging="360"/>
      </w:pPr>
      <w:rPr>
        <w:rFonts w:ascii="Wingdings" w:hAnsi="Wingdings" w:hint="default"/>
      </w:rPr>
    </w:lvl>
    <w:lvl w:ilvl="3" w:tplc="08090001" w:tentative="1">
      <w:start w:val="1"/>
      <w:numFmt w:val="bullet"/>
      <w:lvlText w:val=""/>
      <w:lvlJc w:val="left"/>
      <w:pPr>
        <w:ind w:left="3560" w:hanging="360"/>
      </w:pPr>
      <w:rPr>
        <w:rFonts w:ascii="Symbol" w:hAnsi="Symbol" w:hint="default"/>
      </w:rPr>
    </w:lvl>
    <w:lvl w:ilvl="4" w:tplc="08090003" w:tentative="1">
      <w:start w:val="1"/>
      <w:numFmt w:val="bullet"/>
      <w:lvlText w:val="o"/>
      <w:lvlJc w:val="left"/>
      <w:pPr>
        <w:ind w:left="4280" w:hanging="360"/>
      </w:pPr>
      <w:rPr>
        <w:rFonts w:ascii="Courier New" w:hAnsi="Courier New" w:cs="Courier New" w:hint="default"/>
      </w:rPr>
    </w:lvl>
    <w:lvl w:ilvl="5" w:tplc="08090005" w:tentative="1">
      <w:start w:val="1"/>
      <w:numFmt w:val="bullet"/>
      <w:lvlText w:val=""/>
      <w:lvlJc w:val="left"/>
      <w:pPr>
        <w:ind w:left="5000" w:hanging="360"/>
      </w:pPr>
      <w:rPr>
        <w:rFonts w:ascii="Wingdings" w:hAnsi="Wingdings" w:hint="default"/>
      </w:rPr>
    </w:lvl>
    <w:lvl w:ilvl="6" w:tplc="08090001" w:tentative="1">
      <w:start w:val="1"/>
      <w:numFmt w:val="bullet"/>
      <w:lvlText w:val=""/>
      <w:lvlJc w:val="left"/>
      <w:pPr>
        <w:ind w:left="5720" w:hanging="360"/>
      </w:pPr>
      <w:rPr>
        <w:rFonts w:ascii="Symbol" w:hAnsi="Symbol" w:hint="default"/>
      </w:rPr>
    </w:lvl>
    <w:lvl w:ilvl="7" w:tplc="08090003" w:tentative="1">
      <w:start w:val="1"/>
      <w:numFmt w:val="bullet"/>
      <w:lvlText w:val="o"/>
      <w:lvlJc w:val="left"/>
      <w:pPr>
        <w:ind w:left="6440" w:hanging="360"/>
      </w:pPr>
      <w:rPr>
        <w:rFonts w:ascii="Courier New" w:hAnsi="Courier New" w:cs="Courier New" w:hint="default"/>
      </w:rPr>
    </w:lvl>
    <w:lvl w:ilvl="8" w:tplc="08090005" w:tentative="1">
      <w:start w:val="1"/>
      <w:numFmt w:val="bullet"/>
      <w:lvlText w:val=""/>
      <w:lvlJc w:val="left"/>
      <w:pPr>
        <w:ind w:left="7160" w:hanging="360"/>
      </w:pPr>
      <w:rPr>
        <w:rFonts w:ascii="Wingdings" w:hAnsi="Wingdings" w:hint="default"/>
      </w:rPr>
    </w:lvl>
  </w:abstractNum>
  <w:abstractNum w:abstractNumId="17">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8">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9">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20">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1">
    <w:nsid w:val="6B740744"/>
    <w:multiLevelType w:val="singleLevel"/>
    <w:tmpl w:val="B4744B66"/>
    <w:lvl w:ilvl="0">
      <w:start w:val="1"/>
      <w:numFmt w:val="decimal"/>
      <w:lvlText w:val="%1."/>
      <w:legacy w:legacy="1" w:legacySpace="0" w:legacyIndent="340"/>
      <w:lvlJc w:val="left"/>
      <w:pPr>
        <w:ind w:left="340" w:hanging="340"/>
      </w:pPr>
    </w:lvl>
  </w:abstractNum>
  <w:abstractNum w:abstractNumId="22">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3">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1"/>
  </w:num>
  <w:num w:numId="13">
    <w:abstractNumId w:val="15"/>
  </w:num>
  <w:num w:numId="14">
    <w:abstractNumId w:val="8"/>
  </w:num>
  <w:num w:numId="15">
    <w:abstractNumId w:val="22"/>
  </w:num>
  <w:num w:numId="16">
    <w:abstractNumId w:val="17"/>
  </w:num>
  <w:num w:numId="17">
    <w:abstractNumId w:val="7"/>
  </w:num>
  <w:num w:numId="18">
    <w:abstractNumId w:val="20"/>
  </w:num>
  <w:num w:numId="19">
    <w:abstractNumId w:val="19"/>
  </w:num>
  <w:num w:numId="20">
    <w:abstractNumId w:val="23"/>
  </w:num>
  <w:num w:numId="21">
    <w:abstractNumId w:val="13"/>
  </w:num>
  <w:num w:numId="22">
    <w:abstractNumId w:val="11"/>
  </w:num>
  <w:num w:numId="23">
    <w:abstractNumId w:val="18"/>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7"/>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89B"/>
    <w:rsid w:val="00017AFC"/>
    <w:rsid w:val="00025878"/>
    <w:rsid w:val="00026B38"/>
    <w:rsid w:val="000502D3"/>
    <w:rsid w:val="000623BF"/>
    <w:rsid w:val="00095EEA"/>
    <w:rsid w:val="00097C15"/>
    <w:rsid w:val="000B416E"/>
    <w:rsid w:val="000F185F"/>
    <w:rsid w:val="000F2F5F"/>
    <w:rsid w:val="00106041"/>
    <w:rsid w:val="0013399B"/>
    <w:rsid w:val="00181F4B"/>
    <w:rsid w:val="00196FB3"/>
    <w:rsid w:val="001A5071"/>
    <w:rsid w:val="001B4E73"/>
    <w:rsid w:val="001B7F1E"/>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B636E"/>
    <w:rsid w:val="002B64D6"/>
    <w:rsid w:val="002C12F5"/>
    <w:rsid w:val="002D6FCE"/>
    <w:rsid w:val="003A0BF5"/>
    <w:rsid w:val="003B41E0"/>
    <w:rsid w:val="003D624D"/>
    <w:rsid w:val="003E7802"/>
    <w:rsid w:val="00433C81"/>
    <w:rsid w:val="00446D6B"/>
    <w:rsid w:val="00457B3F"/>
    <w:rsid w:val="00463022"/>
    <w:rsid w:val="00481CF0"/>
    <w:rsid w:val="004B492A"/>
    <w:rsid w:val="004C0B0C"/>
    <w:rsid w:val="004E52E2"/>
    <w:rsid w:val="004E6BB4"/>
    <w:rsid w:val="004F7C1C"/>
    <w:rsid w:val="00515D43"/>
    <w:rsid w:val="0052544D"/>
    <w:rsid w:val="00551FB8"/>
    <w:rsid w:val="005537F6"/>
    <w:rsid w:val="00560F43"/>
    <w:rsid w:val="005654D0"/>
    <w:rsid w:val="005B17AB"/>
    <w:rsid w:val="005C68FE"/>
    <w:rsid w:val="00602523"/>
    <w:rsid w:val="00604351"/>
    <w:rsid w:val="00607D8A"/>
    <w:rsid w:val="00613873"/>
    <w:rsid w:val="0061590F"/>
    <w:rsid w:val="00636497"/>
    <w:rsid w:val="00641AE2"/>
    <w:rsid w:val="0064456A"/>
    <w:rsid w:val="00650DDA"/>
    <w:rsid w:val="0065126A"/>
    <w:rsid w:val="006802D4"/>
    <w:rsid w:val="00683849"/>
    <w:rsid w:val="00691AB5"/>
    <w:rsid w:val="006E1E6B"/>
    <w:rsid w:val="006F0EAC"/>
    <w:rsid w:val="006F6A85"/>
    <w:rsid w:val="0070328D"/>
    <w:rsid w:val="00731F96"/>
    <w:rsid w:val="00734127"/>
    <w:rsid w:val="00735FEA"/>
    <w:rsid w:val="00743460"/>
    <w:rsid w:val="00743A27"/>
    <w:rsid w:val="00753DC6"/>
    <w:rsid w:val="0075578C"/>
    <w:rsid w:val="00766DFB"/>
    <w:rsid w:val="007734B5"/>
    <w:rsid w:val="007809B8"/>
    <w:rsid w:val="00806E54"/>
    <w:rsid w:val="008206EE"/>
    <w:rsid w:val="008214B1"/>
    <w:rsid w:val="00836ED7"/>
    <w:rsid w:val="008453AC"/>
    <w:rsid w:val="00860D09"/>
    <w:rsid w:val="00862044"/>
    <w:rsid w:val="008C305F"/>
    <w:rsid w:val="008C3AD2"/>
    <w:rsid w:val="008C7C3D"/>
    <w:rsid w:val="008D6F66"/>
    <w:rsid w:val="008E1BEA"/>
    <w:rsid w:val="008E43D2"/>
    <w:rsid w:val="008F04C9"/>
    <w:rsid w:val="008F7C50"/>
    <w:rsid w:val="008F7DB7"/>
    <w:rsid w:val="009064D3"/>
    <w:rsid w:val="00915300"/>
    <w:rsid w:val="00933B0C"/>
    <w:rsid w:val="00935676"/>
    <w:rsid w:val="009368E4"/>
    <w:rsid w:val="0098401D"/>
    <w:rsid w:val="009A789F"/>
    <w:rsid w:val="009B12EF"/>
    <w:rsid w:val="009B6185"/>
    <w:rsid w:val="009E1E78"/>
    <w:rsid w:val="00A1597D"/>
    <w:rsid w:val="00A44CF8"/>
    <w:rsid w:val="00A46989"/>
    <w:rsid w:val="00A71CE9"/>
    <w:rsid w:val="00A72A19"/>
    <w:rsid w:val="00A75A30"/>
    <w:rsid w:val="00A93C82"/>
    <w:rsid w:val="00AB2A48"/>
    <w:rsid w:val="00AC3236"/>
    <w:rsid w:val="00AD4874"/>
    <w:rsid w:val="00AE1F8A"/>
    <w:rsid w:val="00B036B2"/>
    <w:rsid w:val="00B04D19"/>
    <w:rsid w:val="00B153C3"/>
    <w:rsid w:val="00B22087"/>
    <w:rsid w:val="00B722F2"/>
    <w:rsid w:val="00B95339"/>
    <w:rsid w:val="00BB334E"/>
    <w:rsid w:val="00BB5DCF"/>
    <w:rsid w:val="00BF59EA"/>
    <w:rsid w:val="00BF79CD"/>
    <w:rsid w:val="00C0721B"/>
    <w:rsid w:val="00C34C8C"/>
    <w:rsid w:val="00C50792"/>
    <w:rsid w:val="00C55A45"/>
    <w:rsid w:val="00C904D9"/>
    <w:rsid w:val="00C94C06"/>
    <w:rsid w:val="00CA48BF"/>
    <w:rsid w:val="00CB3ACC"/>
    <w:rsid w:val="00CB4745"/>
    <w:rsid w:val="00CD2163"/>
    <w:rsid w:val="00CD4FE7"/>
    <w:rsid w:val="00CD5E6B"/>
    <w:rsid w:val="00CE5D96"/>
    <w:rsid w:val="00CE7344"/>
    <w:rsid w:val="00CF26EE"/>
    <w:rsid w:val="00D310F0"/>
    <w:rsid w:val="00D37AC2"/>
    <w:rsid w:val="00D500A9"/>
    <w:rsid w:val="00D57392"/>
    <w:rsid w:val="00D64121"/>
    <w:rsid w:val="00D732FE"/>
    <w:rsid w:val="00D74E25"/>
    <w:rsid w:val="00D772E9"/>
    <w:rsid w:val="00DA31AB"/>
    <w:rsid w:val="00DA3281"/>
    <w:rsid w:val="00DA6D3E"/>
    <w:rsid w:val="00DC02E8"/>
    <w:rsid w:val="00DC75C7"/>
    <w:rsid w:val="00DC78D3"/>
    <w:rsid w:val="00DF4592"/>
    <w:rsid w:val="00E1363A"/>
    <w:rsid w:val="00E15FDC"/>
    <w:rsid w:val="00E2651B"/>
    <w:rsid w:val="00E352A6"/>
    <w:rsid w:val="00E6632E"/>
    <w:rsid w:val="00E90CF2"/>
    <w:rsid w:val="00ED0F61"/>
    <w:rsid w:val="00EE73E1"/>
    <w:rsid w:val="00F12107"/>
    <w:rsid w:val="00F13165"/>
    <w:rsid w:val="00F16B77"/>
    <w:rsid w:val="00F4234E"/>
    <w:rsid w:val="00F7477E"/>
    <w:rsid w:val="00F85393"/>
    <w:rsid w:val="00F9689B"/>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uiPriority="99"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link w:val="ListNumberChar"/>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F968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F9689B"/>
    <w:rPr>
      <w:caps/>
      <w:spacing w:val="-4"/>
      <w:sz w:val="16"/>
      <w:lang w:eastAsia="en-US"/>
    </w:rPr>
  </w:style>
  <w:style w:type="character" w:customStyle="1" w:styleId="Heading1Char">
    <w:name w:val="Heading 1 Char"/>
    <w:basedOn w:val="DefaultParagraphFont"/>
    <w:link w:val="Heading1"/>
    <w:rsid w:val="00F9689B"/>
    <w:rPr>
      <w:kern w:val="28"/>
      <w:sz w:val="52"/>
      <w:lang w:eastAsia="en-US"/>
    </w:rPr>
  </w:style>
  <w:style w:type="character" w:customStyle="1" w:styleId="ListNumberChar">
    <w:name w:val="List Number Char"/>
    <w:basedOn w:val="DefaultParagraphFont"/>
    <w:link w:val="ListNumber"/>
    <w:rsid w:val="00F9689B"/>
    <w:rPr>
      <w:sz w:val="26"/>
    </w:rPr>
  </w:style>
  <w:style w:type="character" w:styleId="Strong">
    <w:name w:val="Strong"/>
    <w:basedOn w:val="DefaultParagraphFont"/>
    <w:uiPriority w:val="22"/>
    <w:qFormat/>
    <w:rsid w:val="00F9689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Body Text" w:uiPriority="99"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link w:val="ListNumberChar"/>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F968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F9689B"/>
    <w:rPr>
      <w:caps/>
      <w:spacing w:val="-4"/>
      <w:sz w:val="16"/>
      <w:lang w:eastAsia="en-US"/>
    </w:rPr>
  </w:style>
  <w:style w:type="character" w:customStyle="1" w:styleId="Heading1Char">
    <w:name w:val="Heading 1 Char"/>
    <w:basedOn w:val="DefaultParagraphFont"/>
    <w:link w:val="Heading1"/>
    <w:rsid w:val="00F9689B"/>
    <w:rPr>
      <w:kern w:val="28"/>
      <w:sz w:val="52"/>
      <w:lang w:eastAsia="en-US"/>
    </w:rPr>
  </w:style>
  <w:style w:type="character" w:customStyle="1" w:styleId="ListNumberChar">
    <w:name w:val="List Number Char"/>
    <w:basedOn w:val="DefaultParagraphFont"/>
    <w:link w:val="ListNumber"/>
    <w:rsid w:val="00F9689B"/>
    <w:rPr>
      <w:sz w:val="26"/>
    </w:rPr>
  </w:style>
  <w:style w:type="character" w:styleId="Strong">
    <w:name w:val="Strong"/>
    <w:basedOn w:val="DefaultParagraphFont"/>
    <w:uiPriority w:val="22"/>
    <w:qFormat/>
    <w:rsid w:val="00F968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0</TotalTime>
  <Pages>13</Pages>
  <Words>1499</Words>
  <Characters>9473</Characters>
  <Application>Microsoft Office Word</Application>
  <DocSecurity>0</DocSecurity>
  <Lines>256</Lines>
  <Paragraphs>174</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10798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Productivity Commission</cp:lastModifiedBy>
  <cp:revision>2</cp:revision>
  <cp:lastPrinted>2014-03-30T05:45:00Z</cp:lastPrinted>
  <dcterms:created xsi:type="dcterms:W3CDTF">2014-04-03T01:21:00Z</dcterms:created>
  <dcterms:modified xsi:type="dcterms:W3CDTF">2014-04-03T01:21:00Z</dcterms:modified>
</cp:coreProperties>
</file>