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C99" w:rsidRDefault="00944C99" w:rsidP="00944C99">
      <w:pPr>
        <w:tabs>
          <w:tab w:val="left" w:pos="426"/>
          <w:tab w:val="left" w:pos="4537"/>
          <w:tab w:val="left" w:pos="4962"/>
        </w:tabs>
        <w:spacing w:line="120" w:lineRule="exact"/>
        <w:ind w:right="-249"/>
        <w:rPr>
          <w:rFonts w:ascii="Goudy Old Style" w:hAnsi="Goudy Old Style"/>
          <w:b/>
          <w:i/>
          <w:sz w:val="24"/>
          <w:szCs w:val="24"/>
        </w:rPr>
      </w:pPr>
      <w:bookmarkStart w:id="0" w:name="_GoBack"/>
      <w:bookmarkEnd w:id="0"/>
    </w:p>
    <w:p w:rsidR="00A31DC8" w:rsidRDefault="00A31DC8" w:rsidP="00A31DC8">
      <w:pPr>
        <w:jc w:val="center"/>
        <w:rPr>
          <w:rFonts w:ascii="Times New Roman" w:hAnsi="Times New Roman" w:cs="Times New Roman"/>
          <w:sz w:val="24"/>
          <w:szCs w:val="24"/>
        </w:rPr>
      </w:pPr>
      <w:r w:rsidRPr="00A31DC8">
        <w:rPr>
          <w:rFonts w:ascii="Times New Roman" w:hAnsi="Times New Roman" w:cs="Times New Roman"/>
          <w:sz w:val="24"/>
          <w:szCs w:val="24"/>
        </w:rPr>
        <w:t>Personal Submission</w:t>
      </w:r>
      <w:r>
        <w:rPr>
          <w:rFonts w:ascii="Times New Roman" w:hAnsi="Times New Roman" w:cs="Times New Roman"/>
          <w:sz w:val="24"/>
          <w:szCs w:val="24"/>
        </w:rPr>
        <w:t>*</w:t>
      </w:r>
      <w:r w:rsidR="009E694C">
        <w:rPr>
          <w:rFonts w:ascii="Times New Roman" w:hAnsi="Times New Roman" w:cs="Times New Roman"/>
          <w:sz w:val="24"/>
          <w:szCs w:val="24"/>
        </w:rPr>
        <w:t xml:space="preserve"> </w:t>
      </w:r>
      <w:r>
        <w:rPr>
          <w:rFonts w:ascii="Times New Roman" w:hAnsi="Times New Roman" w:cs="Times New Roman"/>
          <w:sz w:val="24"/>
          <w:szCs w:val="24"/>
        </w:rPr>
        <w:t>Dr Phillip Toner</w:t>
      </w:r>
    </w:p>
    <w:p w:rsidR="00A31DC8" w:rsidRDefault="009E694C" w:rsidP="00A31DC8">
      <w:pPr>
        <w:jc w:val="center"/>
        <w:rPr>
          <w:rFonts w:ascii="Times New Roman" w:hAnsi="Times New Roman" w:cs="Times New Roman"/>
          <w:sz w:val="24"/>
          <w:szCs w:val="24"/>
        </w:rPr>
      </w:pPr>
      <w:r>
        <w:rPr>
          <w:rFonts w:ascii="Times New Roman" w:hAnsi="Times New Roman" w:cs="Times New Roman"/>
          <w:sz w:val="24"/>
          <w:szCs w:val="24"/>
        </w:rPr>
        <w:t>Honorary</w:t>
      </w:r>
      <w:r w:rsidR="00A31DC8">
        <w:rPr>
          <w:rFonts w:ascii="Times New Roman" w:hAnsi="Times New Roman" w:cs="Times New Roman"/>
          <w:sz w:val="24"/>
          <w:szCs w:val="24"/>
        </w:rPr>
        <w:t xml:space="preserve"> </w:t>
      </w:r>
      <w:r>
        <w:rPr>
          <w:rFonts w:ascii="Times New Roman" w:hAnsi="Times New Roman" w:cs="Times New Roman"/>
          <w:sz w:val="24"/>
          <w:szCs w:val="24"/>
        </w:rPr>
        <w:t>Associate</w:t>
      </w:r>
      <w:r w:rsidR="00A31DC8">
        <w:rPr>
          <w:rFonts w:ascii="Times New Roman" w:hAnsi="Times New Roman" w:cs="Times New Roman"/>
          <w:sz w:val="24"/>
          <w:szCs w:val="24"/>
        </w:rPr>
        <w:t xml:space="preserve"> Department of </w:t>
      </w:r>
      <w:r>
        <w:rPr>
          <w:rFonts w:ascii="Times New Roman" w:hAnsi="Times New Roman" w:cs="Times New Roman"/>
          <w:sz w:val="24"/>
          <w:szCs w:val="24"/>
        </w:rPr>
        <w:t>Political</w:t>
      </w:r>
      <w:r w:rsidR="00A31DC8">
        <w:rPr>
          <w:rFonts w:ascii="Times New Roman" w:hAnsi="Times New Roman" w:cs="Times New Roman"/>
          <w:sz w:val="24"/>
          <w:szCs w:val="24"/>
        </w:rPr>
        <w:t xml:space="preserve"> Economy, University of Sydney  </w:t>
      </w:r>
    </w:p>
    <w:p w:rsidR="00BF76F7" w:rsidRDefault="00BF76F7" w:rsidP="00A31DC8">
      <w:pPr>
        <w:jc w:val="center"/>
        <w:rPr>
          <w:rFonts w:ascii="Times New Roman" w:hAnsi="Times New Roman" w:cs="Times New Roman"/>
          <w:sz w:val="24"/>
          <w:szCs w:val="24"/>
        </w:rPr>
      </w:pPr>
    </w:p>
    <w:p w:rsidR="00A31DC8" w:rsidRDefault="00BF76F7" w:rsidP="00A31DC8">
      <w:pPr>
        <w:jc w:val="center"/>
        <w:rPr>
          <w:rFonts w:ascii="Times New Roman" w:hAnsi="Times New Roman" w:cs="Times New Roman"/>
          <w:sz w:val="24"/>
          <w:szCs w:val="24"/>
        </w:rPr>
      </w:pPr>
      <w:r>
        <w:rPr>
          <w:rFonts w:ascii="Times New Roman" w:hAnsi="Times New Roman" w:cs="Times New Roman"/>
          <w:sz w:val="24"/>
          <w:szCs w:val="24"/>
        </w:rPr>
        <w:t xml:space="preserve">to the </w:t>
      </w:r>
    </w:p>
    <w:p w:rsidR="00BF76F7" w:rsidRDefault="00BF76F7"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r w:rsidRPr="00A31DC8">
        <w:rPr>
          <w:rFonts w:ascii="Times New Roman" w:hAnsi="Times New Roman" w:cs="Times New Roman"/>
          <w:sz w:val="24"/>
          <w:szCs w:val="24"/>
        </w:rPr>
        <w:t xml:space="preserve">Productivity Commission Inquiry into </w:t>
      </w:r>
      <w:r w:rsidR="009E694C" w:rsidRPr="00A31DC8">
        <w:rPr>
          <w:rFonts w:ascii="Times New Roman" w:hAnsi="Times New Roman" w:cs="Times New Roman"/>
          <w:sz w:val="24"/>
          <w:szCs w:val="24"/>
        </w:rPr>
        <w:t>Assistance</w:t>
      </w:r>
      <w:r w:rsidRPr="00A31DC8">
        <w:rPr>
          <w:rFonts w:ascii="Times New Roman" w:hAnsi="Times New Roman" w:cs="Times New Roman"/>
          <w:sz w:val="24"/>
          <w:szCs w:val="24"/>
        </w:rPr>
        <w:t xml:space="preserve"> to the Australian Automotive Manufacturing Industry</w:t>
      </w: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r>
        <w:rPr>
          <w:rFonts w:ascii="Times New Roman" w:hAnsi="Times New Roman" w:cs="Times New Roman"/>
          <w:sz w:val="24"/>
          <w:szCs w:val="24"/>
        </w:rPr>
        <w:t>27</w:t>
      </w:r>
      <w:r w:rsidRPr="00A31DC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w:t>
      </w: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jc w:val="center"/>
        <w:rPr>
          <w:rFonts w:ascii="Times New Roman" w:hAnsi="Times New Roman" w:cs="Times New Roman"/>
          <w:sz w:val="24"/>
          <w:szCs w:val="24"/>
        </w:rPr>
      </w:pPr>
    </w:p>
    <w:p w:rsidR="00A31DC8" w:rsidRDefault="00A31DC8" w:rsidP="00A31DC8">
      <w:pPr>
        <w:rPr>
          <w:rFonts w:ascii="Times New Roman" w:hAnsi="Times New Roman" w:cs="Times New Roman"/>
          <w:sz w:val="24"/>
          <w:szCs w:val="24"/>
        </w:rPr>
      </w:pPr>
      <w:r>
        <w:rPr>
          <w:rFonts w:ascii="Times New Roman" w:hAnsi="Times New Roman" w:cs="Times New Roman"/>
          <w:sz w:val="24"/>
          <w:szCs w:val="24"/>
        </w:rPr>
        <w:t xml:space="preserve">*This </w:t>
      </w:r>
      <w:r w:rsidR="009E694C">
        <w:rPr>
          <w:rFonts w:ascii="Times New Roman" w:hAnsi="Times New Roman" w:cs="Times New Roman"/>
          <w:sz w:val="24"/>
          <w:szCs w:val="24"/>
        </w:rPr>
        <w:t>submission</w:t>
      </w:r>
      <w:r>
        <w:rPr>
          <w:rFonts w:ascii="Times New Roman" w:hAnsi="Times New Roman" w:cs="Times New Roman"/>
          <w:sz w:val="24"/>
          <w:szCs w:val="24"/>
        </w:rPr>
        <w:t xml:space="preserve"> is </w:t>
      </w:r>
      <w:r w:rsidR="009E694C">
        <w:rPr>
          <w:rFonts w:ascii="Times New Roman" w:hAnsi="Times New Roman" w:cs="Times New Roman"/>
          <w:sz w:val="24"/>
          <w:szCs w:val="24"/>
        </w:rPr>
        <w:t>of purely</w:t>
      </w:r>
      <w:r>
        <w:rPr>
          <w:rFonts w:ascii="Times New Roman" w:hAnsi="Times New Roman" w:cs="Times New Roman"/>
          <w:sz w:val="24"/>
          <w:szCs w:val="24"/>
        </w:rPr>
        <w:t xml:space="preserve"> </w:t>
      </w:r>
      <w:r w:rsidR="009E694C">
        <w:rPr>
          <w:rFonts w:ascii="Times New Roman" w:hAnsi="Times New Roman" w:cs="Times New Roman"/>
          <w:sz w:val="24"/>
          <w:szCs w:val="24"/>
        </w:rPr>
        <w:t>personal</w:t>
      </w:r>
      <w:r>
        <w:rPr>
          <w:rFonts w:ascii="Times New Roman" w:hAnsi="Times New Roman" w:cs="Times New Roman"/>
          <w:sz w:val="24"/>
          <w:szCs w:val="24"/>
        </w:rPr>
        <w:t xml:space="preserve"> nature and does not </w:t>
      </w:r>
      <w:r w:rsidR="009E694C">
        <w:rPr>
          <w:rFonts w:ascii="Times New Roman" w:hAnsi="Times New Roman" w:cs="Times New Roman"/>
          <w:sz w:val="24"/>
          <w:szCs w:val="24"/>
        </w:rPr>
        <w:t>reflect</w:t>
      </w:r>
      <w:r>
        <w:rPr>
          <w:rFonts w:ascii="Times New Roman" w:hAnsi="Times New Roman" w:cs="Times New Roman"/>
          <w:sz w:val="24"/>
          <w:szCs w:val="24"/>
        </w:rPr>
        <w:t xml:space="preserve"> the views of the Department </w:t>
      </w:r>
    </w:p>
    <w:p w:rsidR="0080588A" w:rsidRDefault="00C92194" w:rsidP="00B570D5">
      <w:pPr>
        <w:jc w:val="both"/>
        <w:rPr>
          <w:rFonts w:ascii="Times New Roman" w:hAnsi="Times New Roman" w:cs="Times New Roman"/>
          <w:b/>
          <w:sz w:val="24"/>
          <w:szCs w:val="24"/>
        </w:rPr>
      </w:pPr>
      <w:r w:rsidRPr="00ED00B7">
        <w:rPr>
          <w:rFonts w:ascii="Times New Roman" w:hAnsi="Times New Roman" w:cs="Times New Roman"/>
          <w:b/>
          <w:sz w:val="24"/>
          <w:szCs w:val="24"/>
        </w:rPr>
        <w:lastRenderedPageBreak/>
        <w:t xml:space="preserve">1. </w:t>
      </w:r>
      <w:r w:rsidR="002D6750" w:rsidRPr="00ED00B7">
        <w:rPr>
          <w:rFonts w:ascii="Times New Roman" w:hAnsi="Times New Roman" w:cs="Times New Roman"/>
          <w:b/>
          <w:sz w:val="24"/>
          <w:szCs w:val="24"/>
        </w:rPr>
        <w:t>T</w:t>
      </w:r>
      <w:r w:rsidR="0080588A">
        <w:rPr>
          <w:rFonts w:ascii="Times New Roman" w:hAnsi="Times New Roman" w:cs="Times New Roman"/>
          <w:b/>
          <w:sz w:val="24"/>
          <w:szCs w:val="24"/>
        </w:rPr>
        <w:t>he</w:t>
      </w:r>
      <w:r w:rsidR="0080588A" w:rsidRPr="00ED00B7">
        <w:rPr>
          <w:rFonts w:ascii="Times New Roman" w:hAnsi="Times New Roman" w:cs="Times New Roman"/>
          <w:b/>
          <w:sz w:val="24"/>
          <w:szCs w:val="24"/>
        </w:rPr>
        <w:t xml:space="preserve"> net cost of assistance</w:t>
      </w:r>
      <w:r w:rsidR="0080588A">
        <w:rPr>
          <w:rFonts w:ascii="Times New Roman" w:hAnsi="Times New Roman" w:cs="Times New Roman"/>
          <w:b/>
          <w:sz w:val="24"/>
          <w:szCs w:val="24"/>
        </w:rPr>
        <w:t xml:space="preserve"> to</w:t>
      </w:r>
      <w:r w:rsidR="00F249B9" w:rsidRPr="00ED00B7">
        <w:rPr>
          <w:rFonts w:ascii="Times New Roman" w:hAnsi="Times New Roman" w:cs="Times New Roman"/>
          <w:b/>
          <w:sz w:val="24"/>
          <w:szCs w:val="24"/>
        </w:rPr>
        <w:t xml:space="preserve"> the </w:t>
      </w:r>
      <w:r w:rsidR="002D6750" w:rsidRPr="00ED00B7">
        <w:rPr>
          <w:rFonts w:ascii="Times New Roman" w:hAnsi="Times New Roman" w:cs="Times New Roman"/>
          <w:b/>
          <w:sz w:val="24"/>
          <w:szCs w:val="24"/>
        </w:rPr>
        <w:t xml:space="preserve">Australian auto industry </w:t>
      </w:r>
      <w:r w:rsidR="0080588A">
        <w:rPr>
          <w:rFonts w:ascii="Times New Roman" w:hAnsi="Times New Roman" w:cs="Times New Roman"/>
          <w:b/>
          <w:sz w:val="24"/>
          <w:szCs w:val="24"/>
        </w:rPr>
        <w:t>are over-estimated by the Commission</w:t>
      </w:r>
    </w:p>
    <w:p w:rsidR="003D2B2E" w:rsidRDefault="0080588A" w:rsidP="00B570D5">
      <w:pPr>
        <w:jc w:val="both"/>
        <w:rPr>
          <w:rFonts w:ascii="Times New Roman" w:hAnsi="Times New Roman" w:cs="Times New Roman"/>
          <w:iCs/>
          <w:sz w:val="24"/>
          <w:szCs w:val="24"/>
        </w:rPr>
      </w:pPr>
      <w:r w:rsidRPr="0080588A">
        <w:rPr>
          <w:rFonts w:ascii="Times New Roman" w:hAnsi="Times New Roman" w:cs="Times New Roman"/>
          <w:color w:val="000000"/>
          <w:sz w:val="24"/>
          <w:szCs w:val="24"/>
        </w:rPr>
        <w:t>In 2011-12 the Commission estimated the value of net assistance to the Australian auto making industry was $1.1bn</w:t>
      </w:r>
      <w:r w:rsidR="003D2B2E">
        <w:rPr>
          <w:rFonts w:ascii="Times New Roman" w:hAnsi="Times New Roman" w:cs="Times New Roman"/>
          <w:color w:val="000000"/>
          <w:sz w:val="24"/>
          <w:szCs w:val="24"/>
        </w:rPr>
        <w:t xml:space="preserve"> (p.20)</w:t>
      </w:r>
      <w:r w:rsidRPr="0080588A">
        <w:rPr>
          <w:rFonts w:ascii="Times New Roman" w:hAnsi="Times New Roman" w:cs="Times New Roman"/>
          <w:color w:val="000000"/>
          <w:sz w:val="24"/>
          <w:szCs w:val="24"/>
        </w:rPr>
        <w:t xml:space="preserve">. This is comprised of </w:t>
      </w:r>
      <w:r w:rsidRPr="0080588A">
        <w:rPr>
          <w:rFonts w:ascii="Times New Roman" w:hAnsi="Times New Roman" w:cs="Times New Roman"/>
          <w:sz w:val="24"/>
          <w:szCs w:val="24"/>
        </w:rPr>
        <w:t>n</w:t>
      </w:r>
      <w:r w:rsidRPr="0080588A">
        <w:rPr>
          <w:rFonts w:ascii="Times New Roman" w:hAnsi="Times New Roman" w:cs="Times New Roman"/>
          <w:iCs/>
          <w:sz w:val="24"/>
          <w:szCs w:val="24"/>
        </w:rPr>
        <w:t>et tariff assistance ($</w:t>
      </w:r>
      <w:r w:rsidRPr="0080588A">
        <w:rPr>
          <w:rFonts w:ascii="Times New Roman" w:hAnsi="Times New Roman" w:cs="Times New Roman"/>
          <w:sz w:val="24"/>
          <w:szCs w:val="24"/>
        </w:rPr>
        <w:t>496.1m) and t</w:t>
      </w:r>
      <w:r w:rsidRPr="0080588A">
        <w:rPr>
          <w:rFonts w:ascii="Times New Roman" w:hAnsi="Times New Roman" w:cs="Times New Roman"/>
          <w:iCs/>
          <w:sz w:val="24"/>
          <w:szCs w:val="24"/>
        </w:rPr>
        <w:t xml:space="preserve">otal budgetary assistance ($620.7m.). </w:t>
      </w:r>
    </w:p>
    <w:p w:rsidR="008C07A8" w:rsidRDefault="008D5BA9" w:rsidP="00B570D5">
      <w:pPr>
        <w:jc w:val="both"/>
        <w:rPr>
          <w:rFonts w:ascii="Times New Roman" w:hAnsi="Times New Roman" w:cs="Times New Roman"/>
          <w:color w:val="000000"/>
          <w:sz w:val="24"/>
          <w:szCs w:val="24"/>
        </w:rPr>
      </w:pPr>
      <w:r>
        <w:rPr>
          <w:rFonts w:ascii="Times New Roman" w:hAnsi="Times New Roman" w:cs="Times New Roman"/>
          <w:iCs/>
          <w:sz w:val="24"/>
          <w:szCs w:val="24"/>
        </w:rPr>
        <w:t>The</w:t>
      </w:r>
      <w:r w:rsidR="00522A22">
        <w:rPr>
          <w:rFonts w:ascii="Times New Roman" w:hAnsi="Times New Roman" w:cs="Times New Roman"/>
          <w:iCs/>
          <w:sz w:val="24"/>
          <w:szCs w:val="24"/>
        </w:rPr>
        <w:t xml:space="preserve"> Commission assumes </w:t>
      </w:r>
      <w:r w:rsidR="00C433B7">
        <w:rPr>
          <w:rFonts w:ascii="Times New Roman" w:hAnsi="Times New Roman" w:cs="Times New Roman"/>
          <w:iCs/>
          <w:sz w:val="24"/>
          <w:szCs w:val="24"/>
        </w:rPr>
        <w:t>assis</w:t>
      </w:r>
      <w:r>
        <w:rPr>
          <w:rFonts w:ascii="Times New Roman" w:hAnsi="Times New Roman" w:cs="Times New Roman"/>
          <w:iCs/>
          <w:sz w:val="24"/>
          <w:szCs w:val="24"/>
        </w:rPr>
        <w:t xml:space="preserve">tance is a dead-weight cost, </w:t>
      </w:r>
      <w:r w:rsidR="008F09C3">
        <w:rPr>
          <w:rFonts w:ascii="Times New Roman" w:hAnsi="Times New Roman" w:cs="Times New Roman"/>
          <w:iCs/>
          <w:sz w:val="24"/>
          <w:szCs w:val="24"/>
        </w:rPr>
        <w:t xml:space="preserve">it imposes higher input costs on user industries and higher burden on taxpayers and </w:t>
      </w:r>
      <w:r>
        <w:rPr>
          <w:rFonts w:ascii="Times New Roman" w:hAnsi="Times New Roman" w:cs="Times New Roman"/>
          <w:iCs/>
          <w:sz w:val="24"/>
          <w:szCs w:val="24"/>
        </w:rPr>
        <w:t xml:space="preserve">its effect is to increase margins to value added inputs to the industry whilst leaving the level of output unaffected. </w:t>
      </w:r>
      <w:r w:rsidR="008F09C3">
        <w:rPr>
          <w:rFonts w:ascii="Times New Roman" w:hAnsi="Times New Roman" w:cs="Times New Roman"/>
          <w:iCs/>
          <w:sz w:val="24"/>
          <w:szCs w:val="24"/>
        </w:rPr>
        <w:t>A</w:t>
      </w:r>
      <w:r w:rsidR="003D7696">
        <w:rPr>
          <w:rFonts w:ascii="Times New Roman" w:hAnsi="Times New Roman" w:cs="Times New Roman"/>
          <w:iCs/>
          <w:sz w:val="24"/>
          <w:szCs w:val="24"/>
        </w:rPr>
        <w:t xml:space="preserve">n </w:t>
      </w:r>
      <w:r w:rsidR="008F09C3">
        <w:rPr>
          <w:rFonts w:ascii="Times New Roman" w:hAnsi="Times New Roman" w:cs="Times New Roman"/>
          <w:iCs/>
          <w:sz w:val="24"/>
          <w:szCs w:val="24"/>
        </w:rPr>
        <w:t xml:space="preserve">alternative assumption is </w:t>
      </w:r>
      <w:r w:rsidR="003D7696">
        <w:rPr>
          <w:rFonts w:ascii="Times New Roman" w:hAnsi="Times New Roman" w:cs="Times New Roman"/>
          <w:iCs/>
          <w:sz w:val="24"/>
          <w:szCs w:val="24"/>
        </w:rPr>
        <w:t xml:space="preserve">that </w:t>
      </w:r>
      <w:r w:rsidR="003D7696" w:rsidRPr="0080588A">
        <w:rPr>
          <w:rFonts w:ascii="Times New Roman" w:hAnsi="Times New Roman" w:cs="Times New Roman"/>
          <w:color w:val="000000"/>
          <w:sz w:val="24"/>
          <w:szCs w:val="24"/>
        </w:rPr>
        <w:t xml:space="preserve">the </w:t>
      </w:r>
      <w:r w:rsidR="009E694C" w:rsidRPr="0080588A">
        <w:rPr>
          <w:rFonts w:ascii="Times New Roman" w:hAnsi="Times New Roman" w:cs="Times New Roman"/>
          <w:color w:val="000000"/>
          <w:sz w:val="24"/>
          <w:szCs w:val="24"/>
        </w:rPr>
        <w:t>effect</w:t>
      </w:r>
      <w:r w:rsidR="003D7696" w:rsidRPr="0080588A">
        <w:rPr>
          <w:rFonts w:ascii="Times New Roman" w:hAnsi="Times New Roman" w:cs="Times New Roman"/>
          <w:color w:val="000000"/>
          <w:sz w:val="24"/>
          <w:szCs w:val="24"/>
        </w:rPr>
        <w:t xml:space="preserve"> </w:t>
      </w:r>
      <w:r w:rsidR="009E694C" w:rsidRPr="0080588A">
        <w:rPr>
          <w:rFonts w:ascii="Times New Roman" w:hAnsi="Times New Roman" w:cs="Times New Roman"/>
          <w:color w:val="000000"/>
          <w:sz w:val="24"/>
          <w:szCs w:val="24"/>
        </w:rPr>
        <w:t>of</w:t>
      </w:r>
      <w:r w:rsidR="003D7696" w:rsidRPr="0080588A">
        <w:rPr>
          <w:rFonts w:ascii="Times New Roman" w:hAnsi="Times New Roman" w:cs="Times New Roman"/>
          <w:color w:val="000000"/>
          <w:sz w:val="24"/>
          <w:szCs w:val="24"/>
        </w:rPr>
        <w:t xml:space="preserve"> </w:t>
      </w:r>
      <w:r w:rsidR="009E694C" w:rsidRPr="0080588A">
        <w:rPr>
          <w:rFonts w:ascii="Times New Roman" w:hAnsi="Times New Roman" w:cs="Times New Roman"/>
          <w:color w:val="000000"/>
          <w:sz w:val="24"/>
          <w:szCs w:val="24"/>
        </w:rPr>
        <w:t>assistance</w:t>
      </w:r>
      <w:r w:rsidR="003D7696" w:rsidRPr="0080588A">
        <w:rPr>
          <w:rFonts w:ascii="Times New Roman" w:hAnsi="Times New Roman" w:cs="Times New Roman"/>
          <w:color w:val="000000"/>
          <w:sz w:val="24"/>
          <w:szCs w:val="24"/>
        </w:rPr>
        <w:t xml:space="preserve"> would be to increase the level of total output</w:t>
      </w:r>
      <w:r w:rsidR="00522A22">
        <w:rPr>
          <w:rFonts w:ascii="Times New Roman" w:hAnsi="Times New Roman" w:cs="Times New Roman"/>
          <w:color w:val="000000"/>
          <w:sz w:val="24"/>
          <w:szCs w:val="24"/>
        </w:rPr>
        <w:t xml:space="preserve"> in the </w:t>
      </w:r>
      <w:r w:rsidR="009E694C">
        <w:rPr>
          <w:rFonts w:ascii="Times New Roman" w:hAnsi="Times New Roman" w:cs="Times New Roman"/>
          <w:color w:val="000000"/>
          <w:sz w:val="24"/>
          <w:szCs w:val="24"/>
        </w:rPr>
        <w:t>assisted</w:t>
      </w:r>
      <w:r w:rsidR="00522A22">
        <w:rPr>
          <w:rFonts w:ascii="Times New Roman" w:hAnsi="Times New Roman" w:cs="Times New Roman"/>
          <w:color w:val="000000"/>
          <w:sz w:val="24"/>
          <w:szCs w:val="24"/>
        </w:rPr>
        <w:t xml:space="preserve"> industries</w:t>
      </w:r>
      <w:r w:rsidR="003D7696" w:rsidRPr="0080588A">
        <w:rPr>
          <w:rFonts w:ascii="Times New Roman" w:hAnsi="Times New Roman" w:cs="Times New Roman"/>
          <w:color w:val="000000"/>
          <w:sz w:val="24"/>
          <w:szCs w:val="24"/>
        </w:rPr>
        <w:t>, above that which wou</w:t>
      </w:r>
      <w:r w:rsidR="003D7696">
        <w:rPr>
          <w:rFonts w:ascii="Times New Roman" w:hAnsi="Times New Roman" w:cs="Times New Roman"/>
          <w:color w:val="000000"/>
          <w:sz w:val="24"/>
          <w:szCs w:val="24"/>
        </w:rPr>
        <w:t>ld apply in the absence of assis</w:t>
      </w:r>
      <w:r w:rsidR="003D7696" w:rsidRPr="0080588A">
        <w:rPr>
          <w:rFonts w:ascii="Times New Roman" w:hAnsi="Times New Roman" w:cs="Times New Roman"/>
          <w:color w:val="000000"/>
          <w:sz w:val="24"/>
          <w:szCs w:val="24"/>
        </w:rPr>
        <w:t>tance</w:t>
      </w:r>
      <w:r w:rsidR="00522A22">
        <w:rPr>
          <w:rFonts w:ascii="Times New Roman" w:hAnsi="Times New Roman" w:cs="Times New Roman"/>
          <w:color w:val="000000"/>
          <w:sz w:val="24"/>
          <w:szCs w:val="24"/>
        </w:rPr>
        <w:t xml:space="preserve">. In effect </w:t>
      </w:r>
      <w:r w:rsidR="003D7696" w:rsidRPr="0080588A">
        <w:rPr>
          <w:rFonts w:ascii="Times New Roman" w:hAnsi="Times New Roman" w:cs="Times New Roman"/>
          <w:color w:val="000000"/>
          <w:sz w:val="24"/>
          <w:szCs w:val="24"/>
        </w:rPr>
        <w:t xml:space="preserve">the </w:t>
      </w:r>
      <w:r w:rsidR="009E694C" w:rsidRPr="0080588A">
        <w:rPr>
          <w:rFonts w:ascii="Times New Roman" w:hAnsi="Times New Roman" w:cs="Times New Roman"/>
          <w:color w:val="000000"/>
          <w:sz w:val="24"/>
          <w:szCs w:val="24"/>
        </w:rPr>
        <w:t>a</w:t>
      </w:r>
      <w:r w:rsidR="009E694C">
        <w:rPr>
          <w:rFonts w:ascii="Times New Roman" w:hAnsi="Times New Roman" w:cs="Times New Roman"/>
          <w:color w:val="000000"/>
          <w:sz w:val="24"/>
          <w:szCs w:val="24"/>
        </w:rPr>
        <w:t>ssisted</w:t>
      </w:r>
      <w:r w:rsidR="00522A22">
        <w:rPr>
          <w:rFonts w:ascii="Times New Roman" w:hAnsi="Times New Roman" w:cs="Times New Roman"/>
          <w:color w:val="000000"/>
          <w:sz w:val="24"/>
          <w:szCs w:val="24"/>
        </w:rPr>
        <w:t xml:space="preserve"> </w:t>
      </w:r>
      <w:r w:rsidR="009E694C">
        <w:rPr>
          <w:rFonts w:ascii="Times New Roman" w:hAnsi="Times New Roman" w:cs="Times New Roman"/>
          <w:color w:val="000000"/>
          <w:sz w:val="24"/>
          <w:szCs w:val="24"/>
        </w:rPr>
        <w:t>firms</w:t>
      </w:r>
      <w:r w:rsidR="00522A22">
        <w:rPr>
          <w:rFonts w:ascii="Times New Roman" w:hAnsi="Times New Roman" w:cs="Times New Roman"/>
          <w:color w:val="000000"/>
          <w:sz w:val="24"/>
          <w:szCs w:val="24"/>
        </w:rPr>
        <w:t xml:space="preserve"> </w:t>
      </w:r>
      <w:r w:rsidR="003D7696" w:rsidRPr="0080588A">
        <w:rPr>
          <w:rFonts w:ascii="Times New Roman" w:hAnsi="Times New Roman" w:cs="Times New Roman"/>
          <w:color w:val="000000"/>
          <w:sz w:val="24"/>
          <w:szCs w:val="24"/>
        </w:rPr>
        <w:t xml:space="preserve">apply </w:t>
      </w:r>
      <w:r w:rsidR="00FB15F0">
        <w:rPr>
          <w:rFonts w:ascii="Times New Roman" w:hAnsi="Times New Roman" w:cs="Times New Roman"/>
          <w:color w:val="000000"/>
          <w:sz w:val="24"/>
          <w:szCs w:val="24"/>
        </w:rPr>
        <w:t>the assis</w:t>
      </w:r>
      <w:r w:rsidR="003D7696" w:rsidRPr="0080588A">
        <w:rPr>
          <w:rFonts w:ascii="Times New Roman" w:hAnsi="Times New Roman" w:cs="Times New Roman"/>
          <w:color w:val="000000"/>
          <w:sz w:val="24"/>
          <w:szCs w:val="24"/>
        </w:rPr>
        <w:t>tance in the form of a production subsidy.</w:t>
      </w:r>
      <w:r w:rsidR="003D7696">
        <w:rPr>
          <w:rFonts w:ascii="Times New Roman" w:hAnsi="Times New Roman" w:cs="Times New Roman"/>
          <w:color w:val="000000"/>
          <w:sz w:val="24"/>
          <w:szCs w:val="24"/>
        </w:rPr>
        <w:t xml:space="preserve"> </w:t>
      </w:r>
      <w:r w:rsidR="00B20CCF">
        <w:rPr>
          <w:rFonts w:ascii="Times New Roman" w:hAnsi="Times New Roman" w:cs="Times New Roman"/>
          <w:color w:val="000000"/>
          <w:sz w:val="24"/>
          <w:szCs w:val="24"/>
        </w:rPr>
        <w:t>Th</w:t>
      </w:r>
      <w:r w:rsidR="00522A22">
        <w:rPr>
          <w:rFonts w:ascii="Times New Roman" w:hAnsi="Times New Roman" w:cs="Times New Roman"/>
          <w:color w:val="000000"/>
          <w:sz w:val="24"/>
          <w:szCs w:val="24"/>
        </w:rPr>
        <w:t xml:space="preserve">e </w:t>
      </w:r>
      <w:r w:rsidR="00B20CCF">
        <w:rPr>
          <w:rFonts w:ascii="Times New Roman" w:hAnsi="Times New Roman" w:cs="Times New Roman"/>
          <w:color w:val="000000"/>
          <w:sz w:val="24"/>
          <w:szCs w:val="24"/>
        </w:rPr>
        <w:t>strong form</w:t>
      </w:r>
      <w:r w:rsidR="00522A22">
        <w:rPr>
          <w:rFonts w:ascii="Times New Roman" w:hAnsi="Times New Roman" w:cs="Times New Roman"/>
          <w:color w:val="000000"/>
          <w:sz w:val="24"/>
          <w:szCs w:val="24"/>
        </w:rPr>
        <w:t xml:space="preserve"> of this assumption is that </w:t>
      </w:r>
      <w:r w:rsidR="00B20CCF">
        <w:rPr>
          <w:rFonts w:ascii="Times New Roman" w:hAnsi="Times New Roman" w:cs="Times New Roman"/>
          <w:color w:val="000000"/>
          <w:sz w:val="24"/>
          <w:szCs w:val="24"/>
        </w:rPr>
        <w:t>in the absence of assistance industry output ceases.</w:t>
      </w:r>
      <w:r w:rsidR="007154E6">
        <w:rPr>
          <w:rFonts w:ascii="Times New Roman" w:hAnsi="Times New Roman" w:cs="Times New Roman"/>
          <w:color w:val="000000"/>
          <w:sz w:val="24"/>
          <w:szCs w:val="24"/>
        </w:rPr>
        <w:t xml:space="preserve"> It is </w:t>
      </w:r>
      <w:r w:rsidR="00522A22">
        <w:rPr>
          <w:rFonts w:ascii="Times New Roman" w:hAnsi="Times New Roman" w:cs="Times New Roman"/>
          <w:color w:val="000000"/>
          <w:sz w:val="24"/>
          <w:szCs w:val="24"/>
        </w:rPr>
        <w:t xml:space="preserve">certainly </w:t>
      </w:r>
      <w:r w:rsidR="007154E6">
        <w:rPr>
          <w:rFonts w:ascii="Times New Roman" w:hAnsi="Times New Roman" w:cs="Times New Roman"/>
          <w:color w:val="000000"/>
          <w:sz w:val="24"/>
          <w:szCs w:val="24"/>
        </w:rPr>
        <w:t xml:space="preserve">illicit to assume that capital and labour from the car industry will be </w:t>
      </w:r>
      <w:r w:rsidR="009E694C">
        <w:rPr>
          <w:rFonts w:ascii="Times New Roman" w:hAnsi="Times New Roman" w:cs="Times New Roman"/>
          <w:color w:val="000000"/>
          <w:sz w:val="24"/>
          <w:szCs w:val="24"/>
        </w:rPr>
        <w:t>instantaneously</w:t>
      </w:r>
      <w:r w:rsidR="007154E6">
        <w:rPr>
          <w:rFonts w:ascii="Times New Roman" w:hAnsi="Times New Roman" w:cs="Times New Roman"/>
          <w:color w:val="000000"/>
          <w:sz w:val="24"/>
          <w:szCs w:val="24"/>
        </w:rPr>
        <w:t xml:space="preserve"> re-allocated to other industries </w:t>
      </w:r>
      <w:r w:rsidR="009E694C">
        <w:rPr>
          <w:rFonts w:ascii="Times New Roman" w:hAnsi="Times New Roman" w:cs="Times New Roman"/>
          <w:color w:val="000000"/>
          <w:sz w:val="24"/>
          <w:szCs w:val="24"/>
        </w:rPr>
        <w:t>generating equivalent</w:t>
      </w:r>
      <w:r w:rsidR="007154E6">
        <w:rPr>
          <w:rFonts w:ascii="Times New Roman" w:hAnsi="Times New Roman" w:cs="Times New Roman"/>
          <w:color w:val="000000"/>
          <w:sz w:val="24"/>
          <w:szCs w:val="24"/>
        </w:rPr>
        <w:t xml:space="preserve"> or higher value added to t</w:t>
      </w:r>
      <w:r w:rsidR="00AC77A9">
        <w:rPr>
          <w:rFonts w:ascii="Times New Roman" w:hAnsi="Times New Roman" w:cs="Times New Roman"/>
          <w:color w:val="000000"/>
          <w:sz w:val="24"/>
          <w:szCs w:val="24"/>
        </w:rPr>
        <w:t>hat of the auto industry.  (Thi</w:t>
      </w:r>
      <w:r w:rsidR="007154E6">
        <w:rPr>
          <w:rFonts w:ascii="Times New Roman" w:hAnsi="Times New Roman" w:cs="Times New Roman"/>
          <w:color w:val="000000"/>
          <w:sz w:val="24"/>
          <w:szCs w:val="24"/>
        </w:rPr>
        <w:t>s</w:t>
      </w:r>
      <w:r w:rsidR="00AC77A9">
        <w:rPr>
          <w:rFonts w:ascii="Times New Roman" w:hAnsi="Times New Roman" w:cs="Times New Roman"/>
          <w:color w:val="000000"/>
          <w:sz w:val="24"/>
          <w:szCs w:val="24"/>
        </w:rPr>
        <w:t xml:space="preserve"> </w:t>
      </w:r>
      <w:r w:rsidR="007154E6">
        <w:rPr>
          <w:rFonts w:ascii="Times New Roman" w:hAnsi="Times New Roman" w:cs="Times New Roman"/>
          <w:color w:val="000000"/>
          <w:sz w:val="24"/>
          <w:szCs w:val="24"/>
        </w:rPr>
        <w:t xml:space="preserve">will be </w:t>
      </w:r>
      <w:r w:rsidR="009E694C">
        <w:rPr>
          <w:rFonts w:ascii="Times New Roman" w:hAnsi="Times New Roman" w:cs="Times New Roman"/>
          <w:color w:val="000000"/>
          <w:sz w:val="24"/>
          <w:szCs w:val="24"/>
        </w:rPr>
        <w:t>briefly</w:t>
      </w:r>
      <w:r w:rsidR="007154E6">
        <w:rPr>
          <w:rFonts w:ascii="Times New Roman" w:hAnsi="Times New Roman" w:cs="Times New Roman"/>
          <w:color w:val="000000"/>
          <w:sz w:val="24"/>
          <w:szCs w:val="24"/>
        </w:rPr>
        <w:t xml:space="preserve"> taken up in </w:t>
      </w:r>
      <w:r w:rsidR="009E694C">
        <w:rPr>
          <w:rFonts w:ascii="Times New Roman" w:hAnsi="Times New Roman" w:cs="Times New Roman"/>
          <w:color w:val="000000"/>
          <w:sz w:val="24"/>
          <w:szCs w:val="24"/>
        </w:rPr>
        <w:t>discussions</w:t>
      </w:r>
      <w:r w:rsidR="007154E6">
        <w:rPr>
          <w:rFonts w:ascii="Times New Roman" w:hAnsi="Times New Roman" w:cs="Times New Roman"/>
          <w:color w:val="000000"/>
          <w:sz w:val="24"/>
          <w:szCs w:val="24"/>
        </w:rPr>
        <w:t xml:space="preserve"> of </w:t>
      </w:r>
      <w:r w:rsidR="00FF5FBC">
        <w:rPr>
          <w:rFonts w:ascii="Times New Roman" w:hAnsi="Times New Roman" w:cs="Times New Roman"/>
          <w:color w:val="000000"/>
          <w:sz w:val="24"/>
          <w:szCs w:val="24"/>
        </w:rPr>
        <w:t xml:space="preserve">trends in labour productivity and </w:t>
      </w:r>
      <w:r w:rsidR="007154E6">
        <w:rPr>
          <w:rFonts w:ascii="Times New Roman" w:hAnsi="Times New Roman" w:cs="Times New Roman"/>
          <w:color w:val="000000"/>
          <w:sz w:val="24"/>
          <w:szCs w:val="24"/>
        </w:rPr>
        <w:t xml:space="preserve">empirical results of studies of labour redundancy). </w:t>
      </w:r>
    </w:p>
    <w:p w:rsidR="00383712" w:rsidRPr="00383712" w:rsidRDefault="008C07A8" w:rsidP="00B570D5">
      <w:pPr>
        <w:jc w:val="both"/>
        <w:rPr>
          <w:rFonts w:ascii="Arial" w:eastAsia="Times New Roman" w:hAnsi="Arial" w:cs="Arial"/>
          <w:b/>
          <w:bCs/>
          <w:color w:val="000000"/>
          <w:sz w:val="20"/>
          <w:szCs w:val="20"/>
        </w:rPr>
      </w:pPr>
      <w:r>
        <w:rPr>
          <w:rFonts w:ascii="Times New Roman" w:hAnsi="Times New Roman" w:cs="Times New Roman"/>
          <w:color w:val="000000"/>
          <w:sz w:val="24"/>
          <w:szCs w:val="24"/>
        </w:rPr>
        <w:t>T</w:t>
      </w:r>
      <w:r w:rsidR="00172A74">
        <w:rPr>
          <w:rFonts w:ascii="Times New Roman" w:hAnsi="Times New Roman" w:cs="Times New Roman"/>
          <w:color w:val="000000"/>
          <w:sz w:val="24"/>
          <w:szCs w:val="24"/>
        </w:rPr>
        <w:t>he Commission</w:t>
      </w:r>
      <w:r w:rsidR="00B1136A">
        <w:rPr>
          <w:rFonts w:ascii="Times New Roman" w:hAnsi="Times New Roman" w:cs="Times New Roman"/>
          <w:color w:val="000000"/>
          <w:sz w:val="24"/>
          <w:szCs w:val="24"/>
        </w:rPr>
        <w:t>’</w:t>
      </w:r>
      <w:r w:rsidR="00172A74">
        <w:rPr>
          <w:rFonts w:ascii="Times New Roman" w:hAnsi="Times New Roman" w:cs="Times New Roman"/>
          <w:color w:val="000000"/>
          <w:sz w:val="24"/>
          <w:szCs w:val="24"/>
        </w:rPr>
        <w:t xml:space="preserve">s own calculations imply the effects (benefits) of assistance flow onto many other industries outside of autos reflecting the </w:t>
      </w:r>
      <w:r w:rsidR="00172A74" w:rsidRPr="0080588A">
        <w:rPr>
          <w:rFonts w:ascii="Times New Roman" w:hAnsi="Times New Roman" w:cs="Times New Roman"/>
          <w:color w:val="000000"/>
          <w:sz w:val="24"/>
          <w:szCs w:val="24"/>
        </w:rPr>
        <w:t>extensive input-output linkages of the auto industry</w:t>
      </w:r>
      <w:r w:rsidR="00172A74">
        <w:rPr>
          <w:rFonts w:ascii="Times New Roman" w:hAnsi="Times New Roman" w:cs="Times New Roman"/>
          <w:color w:val="000000"/>
          <w:sz w:val="24"/>
          <w:szCs w:val="24"/>
        </w:rPr>
        <w:t xml:space="preserve">, especially with </w:t>
      </w:r>
      <w:r w:rsidR="00172A74" w:rsidRPr="0080588A">
        <w:rPr>
          <w:rFonts w:ascii="Times New Roman" w:hAnsi="Times New Roman" w:cs="Times New Roman"/>
          <w:color w:val="000000"/>
          <w:sz w:val="24"/>
          <w:szCs w:val="24"/>
        </w:rPr>
        <w:t>services</w:t>
      </w:r>
      <w:r w:rsidR="00172A74">
        <w:rPr>
          <w:rFonts w:ascii="Times New Roman" w:hAnsi="Times New Roman" w:cs="Times New Roman"/>
          <w:color w:val="000000"/>
          <w:sz w:val="24"/>
          <w:szCs w:val="24"/>
        </w:rPr>
        <w:t xml:space="preserve">. </w:t>
      </w:r>
      <w:r w:rsidR="009E694C">
        <w:rPr>
          <w:rFonts w:ascii="Times New Roman" w:hAnsi="Times New Roman" w:cs="Times New Roman"/>
          <w:color w:val="000000"/>
          <w:sz w:val="24"/>
          <w:szCs w:val="24"/>
        </w:rPr>
        <w:t xml:space="preserve">The Commission adopts the Corden method as opposed to the Balassa method to the calculation of effective rates of assistance where the numerator is given as the value of net assistance to the auto industry and the denominator is net value of assisted industries (gross value added minus the value of net assistance) including all those with significant input linkages to the auto industry. </w:t>
      </w:r>
      <w:r w:rsidR="00DC6007">
        <w:rPr>
          <w:rFonts w:ascii="Times New Roman" w:hAnsi="Times New Roman" w:cs="Times New Roman"/>
          <w:color w:val="000000"/>
          <w:sz w:val="24"/>
          <w:szCs w:val="24"/>
        </w:rPr>
        <w:t xml:space="preserve">In 2011-12 total value added of the auto industry (ANZSIC </w:t>
      </w:r>
      <w:r w:rsidR="00DC6007" w:rsidRPr="00172A74">
        <w:rPr>
          <w:rFonts w:ascii="Times New Roman" w:hAnsi="Times New Roman" w:cs="Times New Roman"/>
          <w:color w:val="000000"/>
          <w:sz w:val="24"/>
          <w:szCs w:val="24"/>
        </w:rPr>
        <w:t>231 Motor vehicle and motor vehicle part manufacturing</w:t>
      </w:r>
      <w:r w:rsidR="00DC6007">
        <w:rPr>
          <w:rFonts w:ascii="Times New Roman" w:hAnsi="Times New Roman" w:cs="Times New Roman"/>
          <w:color w:val="000000"/>
          <w:sz w:val="24"/>
          <w:szCs w:val="24"/>
        </w:rPr>
        <w:t>) was $5.4bn, with the non-</w:t>
      </w:r>
      <w:r w:rsidR="009E694C">
        <w:rPr>
          <w:rFonts w:ascii="Times New Roman" w:hAnsi="Times New Roman" w:cs="Times New Roman"/>
          <w:color w:val="000000"/>
          <w:sz w:val="24"/>
          <w:szCs w:val="24"/>
        </w:rPr>
        <w:t>assisted component</w:t>
      </w:r>
      <w:r w:rsidR="00DC6007">
        <w:rPr>
          <w:rFonts w:ascii="Times New Roman" w:hAnsi="Times New Roman" w:cs="Times New Roman"/>
          <w:color w:val="000000"/>
          <w:sz w:val="24"/>
          <w:szCs w:val="24"/>
        </w:rPr>
        <w:t xml:space="preserve"> being $4.3bn (ABS 2013</w:t>
      </w:r>
      <w:r w:rsidR="00566870">
        <w:rPr>
          <w:rFonts w:ascii="Times New Roman" w:hAnsi="Times New Roman" w:cs="Times New Roman"/>
          <w:color w:val="000000"/>
          <w:sz w:val="24"/>
          <w:szCs w:val="24"/>
        </w:rPr>
        <w:t>a</w:t>
      </w:r>
      <w:r w:rsidR="00DC6007">
        <w:rPr>
          <w:rFonts w:ascii="Times New Roman" w:hAnsi="Times New Roman" w:cs="Times New Roman"/>
          <w:color w:val="000000"/>
          <w:sz w:val="24"/>
          <w:szCs w:val="24"/>
        </w:rPr>
        <w:t xml:space="preserve">). </w:t>
      </w:r>
      <w:r w:rsidR="00172A74">
        <w:rPr>
          <w:rFonts w:ascii="Times New Roman" w:hAnsi="Times New Roman" w:cs="Times New Roman"/>
          <w:color w:val="000000"/>
          <w:sz w:val="24"/>
          <w:szCs w:val="24"/>
        </w:rPr>
        <w:t xml:space="preserve"> The Commission estimates that the effective rate of </w:t>
      </w:r>
      <w:r w:rsidR="009E694C">
        <w:rPr>
          <w:rFonts w:ascii="Times New Roman" w:hAnsi="Times New Roman" w:cs="Times New Roman"/>
          <w:color w:val="000000"/>
          <w:sz w:val="24"/>
          <w:szCs w:val="24"/>
        </w:rPr>
        <w:t>assistance</w:t>
      </w:r>
      <w:r w:rsidR="00172A74">
        <w:rPr>
          <w:rFonts w:ascii="Times New Roman" w:hAnsi="Times New Roman" w:cs="Times New Roman"/>
          <w:color w:val="000000"/>
          <w:sz w:val="24"/>
          <w:szCs w:val="24"/>
        </w:rPr>
        <w:t xml:space="preserve"> to the sector is 9% (PC 2013: 2). (The Balassa method would </w:t>
      </w:r>
      <w:r w:rsidR="009E694C">
        <w:rPr>
          <w:rFonts w:ascii="Times New Roman" w:hAnsi="Times New Roman" w:cs="Times New Roman"/>
          <w:color w:val="000000"/>
          <w:sz w:val="24"/>
          <w:szCs w:val="24"/>
        </w:rPr>
        <w:t>yield</w:t>
      </w:r>
      <w:r w:rsidR="00172A74">
        <w:rPr>
          <w:rFonts w:ascii="Times New Roman" w:hAnsi="Times New Roman" w:cs="Times New Roman"/>
          <w:color w:val="000000"/>
          <w:sz w:val="24"/>
          <w:szCs w:val="24"/>
        </w:rPr>
        <w:t xml:space="preserve"> an effective rate of </w:t>
      </w:r>
      <w:r w:rsidR="009E694C">
        <w:rPr>
          <w:rFonts w:ascii="Times New Roman" w:hAnsi="Times New Roman" w:cs="Times New Roman"/>
          <w:color w:val="000000"/>
          <w:sz w:val="24"/>
          <w:szCs w:val="24"/>
        </w:rPr>
        <w:t>assistance</w:t>
      </w:r>
      <w:r w:rsidR="00172A74">
        <w:rPr>
          <w:rFonts w:ascii="Times New Roman" w:hAnsi="Times New Roman" w:cs="Times New Roman"/>
          <w:color w:val="000000"/>
          <w:sz w:val="24"/>
          <w:szCs w:val="24"/>
        </w:rPr>
        <w:t xml:space="preserve"> to the sector of around 26%).  </w:t>
      </w:r>
      <w:r w:rsidR="00B1136A">
        <w:rPr>
          <w:rFonts w:ascii="Times New Roman" w:hAnsi="Times New Roman" w:cs="Times New Roman"/>
          <w:color w:val="000000"/>
          <w:sz w:val="24"/>
          <w:szCs w:val="24"/>
        </w:rPr>
        <w:t>T</w:t>
      </w:r>
      <w:r w:rsidR="00172A74">
        <w:rPr>
          <w:rFonts w:ascii="Times New Roman" w:hAnsi="Times New Roman" w:cs="Times New Roman"/>
          <w:color w:val="000000"/>
          <w:sz w:val="24"/>
          <w:szCs w:val="24"/>
        </w:rPr>
        <w:t xml:space="preserve">his implies that net value added of the </w:t>
      </w:r>
      <w:r w:rsidR="00023E25">
        <w:rPr>
          <w:rFonts w:ascii="Times New Roman" w:hAnsi="Times New Roman" w:cs="Times New Roman"/>
          <w:color w:val="000000"/>
          <w:sz w:val="24"/>
          <w:szCs w:val="24"/>
        </w:rPr>
        <w:t xml:space="preserve">total </w:t>
      </w:r>
      <w:r w:rsidR="00172A74">
        <w:rPr>
          <w:rFonts w:ascii="Times New Roman" w:hAnsi="Times New Roman" w:cs="Times New Roman"/>
          <w:color w:val="000000"/>
          <w:sz w:val="24"/>
          <w:szCs w:val="24"/>
        </w:rPr>
        <w:t>sector is around $1</w:t>
      </w:r>
      <w:r w:rsidR="00644E38">
        <w:rPr>
          <w:rFonts w:ascii="Times New Roman" w:hAnsi="Times New Roman" w:cs="Times New Roman"/>
          <w:color w:val="000000"/>
          <w:sz w:val="24"/>
          <w:szCs w:val="24"/>
        </w:rPr>
        <w:t>2.4</w:t>
      </w:r>
      <w:r w:rsidR="00172A74">
        <w:rPr>
          <w:rFonts w:ascii="Times New Roman" w:hAnsi="Times New Roman" w:cs="Times New Roman"/>
          <w:color w:val="000000"/>
          <w:sz w:val="24"/>
          <w:szCs w:val="24"/>
        </w:rPr>
        <w:t>bn.</w:t>
      </w:r>
      <w:r w:rsidR="00644E38">
        <w:rPr>
          <w:rStyle w:val="FootnoteReference"/>
          <w:rFonts w:ascii="Times New Roman" w:hAnsi="Times New Roman" w:cs="Times New Roman"/>
          <w:color w:val="000000"/>
          <w:sz w:val="24"/>
          <w:szCs w:val="24"/>
        </w:rPr>
        <w:footnoteReference w:id="1"/>
      </w:r>
      <w:r w:rsidR="00383712">
        <w:rPr>
          <w:rFonts w:ascii="Times New Roman" w:hAnsi="Times New Roman" w:cs="Times New Roman"/>
          <w:color w:val="000000"/>
          <w:sz w:val="24"/>
          <w:szCs w:val="24"/>
        </w:rPr>
        <w:t xml:space="preserve"> </w:t>
      </w:r>
    </w:p>
    <w:p w:rsidR="00B1136A" w:rsidRDefault="00172A74" w:rsidP="00B570D5">
      <w:pPr>
        <w:jc w:val="both"/>
        <w:rPr>
          <w:rFonts w:ascii="Times New Roman" w:hAnsi="Times New Roman" w:cs="Times New Roman"/>
          <w:color w:val="000000"/>
          <w:sz w:val="24"/>
          <w:szCs w:val="24"/>
        </w:rPr>
      </w:pPr>
      <w:r>
        <w:rPr>
          <w:rFonts w:ascii="Times New Roman" w:hAnsi="Times New Roman" w:cs="Times New Roman"/>
          <w:color w:val="000000"/>
          <w:sz w:val="24"/>
          <w:szCs w:val="24"/>
        </w:rPr>
        <w:t>Production taxes on value added of around $1</w:t>
      </w:r>
      <w:r w:rsidR="00644E38">
        <w:rPr>
          <w:rFonts w:ascii="Times New Roman" w:hAnsi="Times New Roman" w:cs="Times New Roman"/>
          <w:color w:val="000000"/>
          <w:sz w:val="24"/>
          <w:szCs w:val="24"/>
        </w:rPr>
        <w:t>2.4</w:t>
      </w:r>
      <w:r>
        <w:rPr>
          <w:rFonts w:ascii="Times New Roman" w:hAnsi="Times New Roman" w:cs="Times New Roman"/>
          <w:color w:val="000000"/>
          <w:sz w:val="24"/>
          <w:szCs w:val="24"/>
        </w:rPr>
        <w:t xml:space="preserve">bn exceed the value of </w:t>
      </w:r>
      <w:r w:rsidR="009E694C">
        <w:rPr>
          <w:rFonts w:ascii="Times New Roman" w:hAnsi="Times New Roman" w:cs="Times New Roman"/>
          <w:color w:val="000000"/>
          <w:sz w:val="24"/>
          <w:szCs w:val="24"/>
        </w:rPr>
        <w:t>assistance</w:t>
      </w:r>
      <w:r>
        <w:rPr>
          <w:rFonts w:ascii="Times New Roman" w:hAnsi="Times New Roman" w:cs="Times New Roman"/>
          <w:color w:val="000000"/>
          <w:sz w:val="24"/>
          <w:szCs w:val="24"/>
        </w:rPr>
        <w:t xml:space="preserve"> by a large margin. GST </w:t>
      </w:r>
      <w:r w:rsidR="008C07A8">
        <w:rPr>
          <w:rFonts w:ascii="Times New Roman" w:hAnsi="Times New Roman" w:cs="Times New Roman"/>
          <w:color w:val="000000"/>
          <w:sz w:val="24"/>
          <w:szCs w:val="24"/>
        </w:rPr>
        <w:t xml:space="preserve">on production </w:t>
      </w:r>
      <w:r>
        <w:rPr>
          <w:rFonts w:ascii="Times New Roman" w:hAnsi="Times New Roman" w:cs="Times New Roman"/>
          <w:color w:val="000000"/>
          <w:sz w:val="24"/>
          <w:szCs w:val="24"/>
        </w:rPr>
        <w:t>a</w:t>
      </w:r>
      <w:r w:rsidR="00644E38">
        <w:rPr>
          <w:rFonts w:ascii="Times New Roman" w:hAnsi="Times New Roman" w:cs="Times New Roman"/>
          <w:color w:val="000000"/>
          <w:sz w:val="24"/>
          <w:szCs w:val="24"/>
        </w:rPr>
        <w:t>lone would amount to around $1.</w:t>
      </w:r>
      <w:r w:rsidR="00DC6007">
        <w:rPr>
          <w:rFonts w:ascii="Times New Roman" w:hAnsi="Times New Roman" w:cs="Times New Roman"/>
          <w:color w:val="000000"/>
          <w:sz w:val="24"/>
          <w:szCs w:val="24"/>
        </w:rPr>
        <w:t>4</w:t>
      </w:r>
      <w:r>
        <w:rPr>
          <w:rFonts w:ascii="Times New Roman" w:hAnsi="Times New Roman" w:cs="Times New Roman"/>
          <w:color w:val="000000"/>
          <w:sz w:val="24"/>
          <w:szCs w:val="24"/>
        </w:rPr>
        <w:t xml:space="preserve">bn. If other production related taxes are included such as payroll tax, land tax </w:t>
      </w:r>
      <w:r w:rsidR="008C07A8">
        <w:rPr>
          <w:rFonts w:ascii="Times New Roman" w:hAnsi="Times New Roman" w:cs="Times New Roman"/>
          <w:color w:val="000000"/>
          <w:sz w:val="24"/>
          <w:szCs w:val="24"/>
        </w:rPr>
        <w:t xml:space="preserve">and stamp duties </w:t>
      </w:r>
      <w:r w:rsidR="00B1136A">
        <w:rPr>
          <w:rFonts w:ascii="Times New Roman" w:hAnsi="Times New Roman" w:cs="Times New Roman"/>
          <w:color w:val="000000"/>
          <w:sz w:val="24"/>
          <w:szCs w:val="24"/>
        </w:rPr>
        <w:t xml:space="preserve">and income tax for the 50,000 employees, </w:t>
      </w:r>
      <w:r w:rsidR="008C07A8">
        <w:rPr>
          <w:rFonts w:ascii="Times New Roman" w:hAnsi="Times New Roman" w:cs="Times New Roman"/>
          <w:color w:val="000000"/>
          <w:sz w:val="24"/>
          <w:szCs w:val="24"/>
        </w:rPr>
        <w:t xml:space="preserve">the value of tax paid by the sector is </w:t>
      </w:r>
      <w:r w:rsidR="00B1136A">
        <w:rPr>
          <w:rFonts w:ascii="Times New Roman" w:hAnsi="Times New Roman" w:cs="Times New Roman"/>
          <w:color w:val="000000"/>
          <w:sz w:val="24"/>
          <w:szCs w:val="24"/>
        </w:rPr>
        <w:t xml:space="preserve">likely to be some orders of magnitude greater than the value of </w:t>
      </w:r>
      <w:r w:rsidR="009E694C">
        <w:rPr>
          <w:rFonts w:ascii="Times New Roman" w:hAnsi="Times New Roman" w:cs="Times New Roman"/>
          <w:color w:val="000000"/>
          <w:sz w:val="24"/>
          <w:szCs w:val="24"/>
        </w:rPr>
        <w:t>assistance</w:t>
      </w:r>
      <w:r w:rsidR="008C07A8">
        <w:rPr>
          <w:rFonts w:ascii="Times New Roman" w:hAnsi="Times New Roman" w:cs="Times New Roman"/>
          <w:color w:val="000000"/>
          <w:sz w:val="24"/>
          <w:szCs w:val="24"/>
        </w:rPr>
        <w:t xml:space="preserve">. (Production taxes are used since consumption taxes apply to </w:t>
      </w:r>
      <w:r w:rsidR="009E694C">
        <w:rPr>
          <w:rFonts w:ascii="Times New Roman" w:hAnsi="Times New Roman" w:cs="Times New Roman"/>
          <w:color w:val="000000"/>
          <w:sz w:val="24"/>
          <w:szCs w:val="24"/>
        </w:rPr>
        <w:t>imported</w:t>
      </w:r>
      <w:r w:rsidR="008C07A8">
        <w:rPr>
          <w:rFonts w:ascii="Times New Roman" w:hAnsi="Times New Roman" w:cs="Times New Roman"/>
          <w:color w:val="000000"/>
          <w:sz w:val="24"/>
          <w:szCs w:val="24"/>
        </w:rPr>
        <w:t xml:space="preserve"> autos and parts).  </w:t>
      </w:r>
    </w:p>
    <w:p w:rsidR="00172A74" w:rsidRPr="00172A74" w:rsidRDefault="00172A74" w:rsidP="00B570D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Applying the strong assumption that the </w:t>
      </w:r>
      <w:r w:rsidR="00644E38">
        <w:rPr>
          <w:rFonts w:ascii="Times New Roman" w:hAnsi="Times New Roman" w:cs="Times New Roman"/>
          <w:color w:val="000000"/>
          <w:sz w:val="24"/>
          <w:szCs w:val="24"/>
        </w:rPr>
        <w:t xml:space="preserve">industry and the wider sector supplying inputs to the autos industry </w:t>
      </w:r>
      <w:r>
        <w:rPr>
          <w:rFonts w:ascii="Times New Roman" w:hAnsi="Times New Roman" w:cs="Times New Roman"/>
          <w:color w:val="000000"/>
          <w:sz w:val="24"/>
          <w:szCs w:val="24"/>
        </w:rPr>
        <w:t xml:space="preserve">shuts down </w:t>
      </w:r>
      <w:r w:rsidR="00B1136A">
        <w:rPr>
          <w:rFonts w:ascii="Times New Roman" w:hAnsi="Times New Roman" w:cs="Times New Roman"/>
          <w:color w:val="000000"/>
          <w:sz w:val="24"/>
          <w:szCs w:val="24"/>
        </w:rPr>
        <w:t xml:space="preserve">with the withdrawal of assistance implies a large net loss of output and taxes. Even a weak assumption of a partial shutdown of the sector will have </w:t>
      </w:r>
      <w:r w:rsidR="00786861">
        <w:rPr>
          <w:rFonts w:ascii="Times New Roman" w:hAnsi="Times New Roman" w:cs="Times New Roman"/>
          <w:color w:val="000000"/>
          <w:sz w:val="24"/>
          <w:szCs w:val="24"/>
        </w:rPr>
        <w:t xml:space="preserve">significant </w:t>
      </w:r>
      <w:r w:rsidR="00B1136A">
        <w:rPr>
          <w:rFonts w:ascii="Times New Roman" w:hAnsi="Times New Roman" w:cs="Times New Roman"/>
          <w:color w:val="000000"/>
          <w:sz w:val="24"/>
          <w:szCs w:val="24"/>
        </w:rPr>
        <w:lastRenderedPageBreak/>
        <w:t>adverse effects</w:t>
      </w:r>
      <w:r w:rsidR="00786861">
        <w:rPr>
          <w:rFonts w:ascii="Times New Roman" w:hAnsi="Times New Roman" w:cs="Times New Roman"/>
          <w:color w:val="000000"/>
          <w:sz w:val="24"/>
          <w:szCs w:val="24"/>
        </w:rPr>
        <w:t xml:space="preserve"> on tax revenue as a result of both lost production and a </w:t>
      </w:r>
      <w:r w:rsidR="009E694C">
        <w:rPr>
          <w:rFonts w:ascii="Times New Roman" w:hAnsi="Times New Roman" w:cs="Times New Roman"/>
          <w:color w:val="000000"/>
          <w:sz w:val="24"/>
          <w:szCs w:val="24"/>
        </w:rPr>
        <w:t>variety</w:t>
      </w:r>
      <w:r w:rsidR="00786861">
        <w:rPr>
          <w:rFonts w:ascii="Times New Roman" w:hAnsi="Times New Roman" w:cs="Times New Roman"/>
          <w:color w:val="000000"/>
          <w:sz w:val="24"/>
          <w:szCs w:val="24"/>
        </w:rPr>
        <w:t xml:space="preserve"> of tax </w:t>
      </w:r>
      <w:r w:rsidR="009E694C">
        <w:rPr>
          <w:rFonts w:ascii="Times New Roman" w:hAnsi="Times New Roman" w:cs="Times New Roman"/>
          <w:color w:val="000000"/>
          <w:sz w:val="24"/>
          <w:szCs w:val="24"/>
        </w:rPr>
        <w:t>expenditures</w:t>
      </w:r>
      <w:r w:rsidR="00786861">
        <w:rPr>
          <w:rFonts w:ascii="Times New Roman" w:hAnsi="Times New Roman" w:cs="Times New Roman"/>
          <w:color w:val="000000"/>
          <w:sz w:val="24"/>
          <w:szCs w:val="24"/>
        </w:rPr>
        <w:t xml:space="preserve"> such as those associated with labour </w:t>
      </w:r>
      <w:r w:rsidR="009E694C">
        <w:rPr>
          <w:rFonts w:ascii="Times New Roman" w:hAnsi="Times New Roman" w:cs="Times New Roman"/>
          <w:color w:val="000000"/>
          <w:sz w:val="24"/>
          <w:szCs w:val="24"/>
        </w:rPr>
        <w:t>redundancies</w:t>
      </w:r>
      <w:r w:rsidR="00B1136A">
        <w:rPr>
          <w:rFonts w:ascii="Times New Roman" w:hAnsi="Times New Roman" w:cs="Times New Roman"/>
          <w:color w:val="000000"/>
          <w:sz w:val="24"/>
          <w:szCs w:val="24"/>
        </w:rPr>
        <w:t xml:space="preserve">. </w:t>
      </w:r>
    </w:p>
    <w:p w:rsidR="00A46058" w:rsidRPr="00A46058" w:rsidRDefault="00A46058" w:rsidP="00B570D5">
      <w:pPr>
        <w:jc w:val="both"/>
        <w:rPr>
          <w:rFonts w:ascii="Times New Roman" w:hAnsi="Times New Roman" w:cs="Times New Roman"/>
          <w:b/>
          <w:sz w:val="24"/>
          <w:szCs w:val="24"/>
        </w:rPr>
      </w:pPr>
      <w:r w:rsidRPr="00A46058">
        <w:rPr>
          <w:rFonts w:ascii="Times New Roman" w:hAnsi="Times New Roman" w:cs="Times New Roman"/>
          <w:b/>
          <w:sz w:val="24"/>
          <w:szCs w:val="24"/>
        </w:rPr>
        <w:t xml:space="preserve">2. Distortionary effects of assistance to the Australian auto </w:t>
      </w:r>
      <w:r>
        <w:rPr>
          <w:rFonts w:ascii="Times New Roman" w:hAnsi="Times New Roman" w:cs="Times New Roman"/>
          <w:b/>
          <w:sz w:val="24"/>
          <w:szCs w:val="24"/>
        </w:rPr>
        <w:t xml:space="preserve">sector </w:t>
      </w:r>
      <w:r w:rsidRPr="00A46058">
        <w:rPr>
          <w:rFonts w:ascii="Times New Roman" w:hAnsi="Times New Roman" w:cs="Times New Roman"/>
          <w:b/>
          <w:sz w:val="24"/>
          <w:szCs w:val="24"/>
        </w:rPr>
        <w:t>are vanishingly small</w:t>
      </w:r>
    </w:p>
    <w:p w:rsidR="00A46058" w:rsidRDefault="00A46058" w:rsidP="00B570D5">
      <w:pPr>
        <w:jc w:val="both"/>
        <w:rPr>
          <w:rFonts w:ascii="Times New Roman" w:hAnsi="Times New Roman" w:cs="Times New Roman"/>
          <w:sz w:val="24"/>
          <w:szCs w:val="24"/>
        </w:rPr>
      </w:pPr>
      <w:r w:rsidRPr="00ED00B7">
        <w:rPr>
          <w:rFonts w:ascii="Times New Roman" w:hAnsi="Times New Roman" w:cs="Times New Roman"/>
          <w:sz w:val="24"/>
          <w:szCs w:val="24"/>
        </w:rPr>
        <w:t xml:space="preserve">One of key objections raised by the Productivity Commission (PC) to assistance to Australian auto </w:t>
      </w:r>
      <w:r w:rsidR="009E694C" w:rsidRPr="00ED00B7">
        <w:rPr>
          <w:rFonts w:ascii="Times New Roman" w:hAnsi="Times New Roman" w:cs="Times New Roman"/>
          <w:sz w:val="24"/>
          <w:szCs w:val="24"/>
        </w:rPr>
        <w:t>manufacturers</w:t>
      </w:r>
      <w:r w:rsidRPr="00ED00B7">
        <w:rPr>
          <w:rFonts w:ascii="Times New Roman" w:hAnsi="Times New Roman" w:cs="Times New Roman"/>
          <w:sz w:val="24"/>
          <w:szCs w:val="24"/>
        </w:rPr>
        <w:t xml:space="preserve"> is that such </w:t>
      </w:r>
      <w:r w:rsidR="009E694C" w:rsidRPr="00ED00B7">
        <w:rPr>
          <w:rFonts w:ascii="Times New Roman" w:hAnsi="Times New Roman" w:cs="Times New Roman"/>
          <w:sz w:val="24"/>
          <w:szCs w:val="24"/>
        </w:rPr>
        <w:t>assistance</w:t>
      </w:r>
      <w:r w:rsidRPr="00ED00B7">
        <w:rPr>
          <w:rFonts w:ascii="Times New Roman" w:hAnsi="Times New Roman" w:cs="Times New Roman"/>
          <w:sz w:val="24"/>
          <w:szCs w:val="24"/>
        </w:rPr>
        <w:t xml:space="preserve"> represents a transfer of income to </w:t>
      </w:r>
      <w:r>
        <w:rPr>
          <w:rFonts w:ascii="Times New Roman" w:hAnsi="Times New Roman" w:cs="Times New Roman"/>
          <w:sz w:val="24"/>
          <w:szCs w:val="24"/>
        </w:rPr>
        <w:t>‘</w:t>
      </w:r>
      <w:r w:rsidRPr="00914FBC">
        <w:rPr>
          <w:rFonts w:ascii="Times New Roman" w:hAnsi="Times New Roman" w:cs="Times New Roman"/>
          <w:color w:val="000000"/>
          <w:sz w:val="24"/>
          <w:szCs w:val="24"/>
        </w:rPr>
        <w:t>producers from consumers, taxpayers and other firms</w:t>
      </w:r>
      <w:r>
        <w:rPr>
          <w:rFonts w:ascii="Times New Roman" w:hAnsi="Times New Roman" w:cs="Times New Roman"/>
          <w:color w:val="000000"/>
          <w:sz w:val="24"/>
          <w:szCs w:val="24"/>
        </w:rPr>
        <w:t>’</w:t>
      </w:r>
      <w:r w:rsidRPr="00ED00B7">
        <w:rPr>
          <w:rFonts w:ascii="Times New Roman" w:hAnsi="Times New Roman" w:cs="Times New Roman"/>
          <w:color w:val="000000"/>
          <w:sz w:val="24"/>
          <w:szCs w:val="24"/>
        </w:rPr>
        <w:t xml:space="preserve"> </w:t>
      </w:r>
      <w:r w:rsidR="00786861">
        <w:rPr>
          <w:rFonts w:ascii="Times New Roman" w:hAnsi="Times New Roman" w:cs="Times New Roman"/>
          <w:color w:val="000000"/>
          <w:sz w:val="24"/>
          <w:szCs w:val="24"/>
        </w:rPr>
        <w:t>resulting in higher margins to f</w:t>
      </w:r>
      <w:r w:rsidR="00DC6007">
        <w:rPr>
          <w:rFonts w:ascii="Times New Roman" w:hAnsi="Times New Roman" w:cs="Times New Roman"/>
          <w:color w:val="000000"/>
          <w:sz w:val="24"/>
          <w:szCs w:val="24"/>
        </w:rPr>
        <w:t>a</w:t>
      </w:r>
      <w:r w:rsidR="00786861">
        <w:rPr>
          <w:rFonts w:ascii="Times New Roman" w:hAnsi="Times New Roman" w:cs="Times New Roman"/>
          <w:color w:val="000000"/>
          <w:sz w:val="24"/>
          <w:szCs w:val="24"/>
        </w:rPr>
        <w:t>cto</w:t>
      </w:r>
      <w:r w:rsidR="00DC6007">
        <w:rPr>
          <w:rFonts w:ascii="Times New Roman" w:hAnsi="Times New Roman" w:cs="Times New Roman"/>
          <w:color w:val="000000"/>
          <w:sz w:val="24"/>
          <w:szCs w:val="24"/>
        </w:rPr>
        <w:t>r</w:t>
      </w:r>
      <w:r w:rsidR="00786861">
        <w:rPr>
          <w:rFonts w:ascii="Times New Roman" w:hAnsi="Times New Roman" w:cs="Times New Roman"/>
          <w:color w:val="000000"/>
          <w:sz w:val="24"/>
          <w:szCs w:val="24"/>
        </w:rPr>
        <w:t>s of pr</w:t>
      </w:r>
      <w:r w:rsidR="00DC6007">
        <w:rPr>
          <w:rFonts w:ascii="Times New Roman" w:hAnsi="Times New Roman" w:cs="Times New Roman"/>
          <w:color w:val="000000"/>
          <w:sz w:val="24"/>
          <w:szCs w:val="24"/>
        </w:rPr>
        <w:t>o</w:t>
      </w:r>
      <w:r w:rsidR="00786861">
        <w:rPr>
          <w:rFonts w:ascii="Times New Roman" w:hAnsi="Times New Roman" w:cs="Times New Roman"/>
          <w:color w:val="000000"/>
          <w:sz w:val="24"/>
          <w:szCs w:val="24"/>
        </w:rPr>
        <w:t xml:space="preserve">duction employed in the sector, which in turn, distorts </w:t>
      </w:r>
      <w:r w:rsidR="009E694C">
        <w:rPr>
          <w:rFonts w:ascii="Times New Roman" w:hAnsi="Times New Roman" w:cs="Times New Roman"/>
          <w:color w:val="000000"/>
          <w:sz w:val="24"/>
          <w:szCs w:val="24"/>
        </w:rPr>
        <w:t>efficient</w:t>
      </w:r>
      <w:r w:rsidR="00285379">
        <w:rPr>
          <w:rFonts w:ascii="Times New Roman" w:hAnsi="Times New Roman" w:cs="Times New Roman"/>
          <w:color w:val="000000"/>
          <w:sz w:val="24"/>
          <w:szCs w:val="24"/>
        </w:rPr>
        <w:t xml:space="preserve"> allocation of </w:t>
      </w:r>
      <w:r w:rsidR="009E694C">
        <w:rPr>
          <w:rFonts w:ascii="Times New Roman" w:hAnsi="Times New Roman" w:cs="Times New Roman"/>
          <w:color w:val="000000"/>
          <w:sz w:val="24"/>
          <w:szCs w:val="24"/>
        </w:rPr>
        <w:t>resources</w:t>
      </w:r>
      <w:r w:rsidR="00786861">
        <w:rPr>
          <w:rFonts w:ascii="Times New Roman" w:hAnsi="Times New Roman" w:cs="Times New Roman"/>
          <w:color w:val="000000"/>
          <w:sz w:val="24"/>
          <w:szCs w:val="24"/>
        </w:rPr>
        <w:t xml:space="preserve"> </w:t>
      </w:r>
      <w:r w:rsidRPr="00ED00B7">
        <w:rPr>
          <w:rFonts w:ascii="Times New Roman" w:hAnsi="Times New Roman" w:cs="Times New Roman"/>
          <w:color w:val="000000"/>
          <w:sz w:val="24"/>
          <w:szCs w:val="24"/>
        </w:rPr>
        <w:t xml:space="preserve">(PC 2013: 30). </w:t>
      </w:r>
    </w:p>
    <w:p w:rsidR="00A46058" w:rsidRPr="003571AE" w:rsidRDefault="00DC6007" w:rsidP="00B570D5">
      <w:pPr>
        <w:jc w:val="both"/>
        <w:rPr>
          <w:rFonts w:ascii="Times New Roman" w:hAnsi="Times New Roman" w:cs="Times New Roman"/>
          <w:sz w:val="24"/>
          <w:szCs w:val="24"/>
        </w:rPr>
      </w:pPr>
      <w:r>
        <w:rPr>
          <w:rFonts w:ascii="Times New Roman" w:hAnsi="Times New Roman" w:cs="Times New Roman"/>
          <w:sz w:val="24"/>
          <w:szCs w:val="24"/>
        </w:rPr>
        <w:t>Assis</w:t>
      </w:r>
      <w:r w:rsidR="00862B0A">
        <w:rPr>
          <w:rFonts w:ascii="Times New Roman" w:hAnsi="Times New Roman" w:cs="Times New Roman"/>
          <w:sz w:val="24"/>
          <w:szCs w:val="24"/>
        </w:rPr>
        <w:t xml:space="preserve">tance to the autos sector is important in attracting and retaining the sector in Australia however, any </w:t>
      </w:r>
      <w:r w:rsidR="00A46058">
        <w:rPr>
          <w:rFonts w:ascii="Times New Roman" w:hAnsi="Times New Roman" w:cs="Times New Roman"/>
          <w:sz w:val="24"/>
          <w:szCs w:val="24"/>
        </w:rPr>
        <w:t>dist</w:t>
      </w:r>
      <w:r w:rsidR="00862B0A">
        <w:rPr>
          <w:rFonts w:ascii="Times New Roman" w:hAnsi="Times New Roman" w:cs="Times New Roman"/>
          <w:sz w:val="24"/>
          <w:szCs w:val="24"/>
        </w:rPr>
        <w:t>ortionary resource pull-effects ar</w:t>
      </w:r>
      <w:r w:rsidR="00A45EA9">
        <w:rPr>
          <w:rFonts w:ascii="Times New Roman" w:hAnsi="Times New Roman" w:cs="Times New Roman"/>
          <w:sz w:val="24"/>
          <w:szCs w:val="24"/>
        </w:rPr>
        <w:t>i</w:t>
      </w:r>
      <w:r w:rsidR="00862B0A">
        <w:rPr>
          <w:rFonts w:ascii="Times New Roman" w:hAnsi="Times New Roman" w:cs="Times New Roman"/>
          <w:sz w:val="24"/>
          <w:szCs w:val="24"/>
        </w:rPr>
        <w:t xml:space="preserve">sing from </w:t>
      </w:r>
      <w:r w:rsidR="009E694C">
        <w:rPr>
          <w:rFonts w:ascii="Times New Roman" w:hAnsi="Times New Roman" w:cs="Times New Roman"/>
          <w:sz w:val="24"/>
          <w:szCs w:val="24"/>
        </w:rPr>
        <w:t>assistance</w:t>
      </w:r>
      <w:r w:rsidR="00862B0A">
        <w:rPr>
          <w:rFonts w:ascii="Times New Roman" w:hAnsi="Times New Roman" w:cs="Times New Roman"/>
          <w:sz w:val="24"/>
          <w:szCs w:val="24"/>
        </w:rPr>
        <w:t xml:space="preserve"> to the sector will be infinitesimally small considered agai</w:t>
      </w:r>
      <w:r>
        <w:rPr>
          <w:rFonts w:ascii="Times New Roman" w:hAnsi="Times New Roman" w:cs="Times New Roman"/>
          <w:sz w:val="24"/>
          <w:szCs w:val="24"/>
        </w:rPr>
        <w:t>nst the total economy. Net assis</w:t>
      </w:r>
      <w:r w:rsidR="00862B0A">
        <w:rPr>
          <w:rFonts w:ascii="Times New Roman" w:hAnsi="Times New Roman" w:cs="Times New Roman"/>
          <w:sz w:val="24"/>
          <w:szCs w:val="24"/>
        </w:rPr>
        <w:t xml:space="preserve">tance </w:t>
      </w:r>
      <w:r w:rsidR="009B54D6">
        <w:rPr>
          <w:rFonts w:ascii="Times New Roman" w:hAnsi="Times New Roman" w:cs="Times New Roman"/>
          <w:sz w:val="24"/>
          <w:szCs w:val="24"/>
        </w:rPr>
        <w:t xml:space="preserve">to </w:t>
      </w:r>
      <w:r w:rsidR="00862B0A">
        <w:rPr>
          <w:rFonts w:ascii="Times New Roman" w:hAnsi="Times New Roman" w:cs="Times New Roman"/>
          <w:sz w:val="24"/>
          <w:szCs w:val="24"/>
        </w:rPr>
        <w:t xml:space="preserve">value adding factors in the </w:t>
      </w:r>
      <w:r w:rsidR="009E694C">
        <w:rPr>
          <w:rFonts w:ascii="Times New Roman" w:hAnsi="Times New Roman" w:cs="Times New Roman"/>
          <w:sz w:val="24"/>
          <w:szCs w:val="24"/>
        </w:rPr>
        <w:t>sector represents</w:t>
      </w:r>
      <w:r w:rsidR="00862B0A">
        <w:rPr>
          <w:rFonts w:ascii="Times New Roman" w:hAnsi="Times New Roman" w:cs="Times New Roman"/>
          <w:sz w:val="24"/>
          <w:szCs w:val="24"/>
        </w:rPr>
        <w:t xml:space="preserve"> just .07% </w:t>
      </w:r>
      <w:r w:rsidR="009E694C">
        <w:rPr>
          <w:rFonts w:ascii="Times New Roman" w:hAnsi="Times New Roman" w:cs="Times New Roman"/>
          <w:sz w:val="24"/>
          <w:szCs w:val="24"/>
        </w:rPr>
        <w:t>of GDP</w:t>
      </w:r>
      <w:r w:rsidR="00862B0A">
        <w:rPr>
          <w:rFonts w:ascii="Times New Roman" w:hAnsi="Times New Roman" w:cs="Times New Roman"/>
          <w:sz w:val="24"/>
          <w:szCs w:val="24"/>
        </w:rPr>
        <w:t>. (</w:t>
      </w:r>
      <w:r>
        <w:rPr>
          <w:rFonts w:ascii="Times New Roman" w:hAnsi="Times New Roman" w:cs="Times New Roman"/>
          <w:sz w:val="24"/>
          <w:szCs w:val="24"/>
        </w:rPr>
        <w:t>Given t</w:t>
      </w:r>
      <w:r w:rsidR="00A46058">
        <w:rPr>
          <w:rFonts w:ascii="Times New Roman" w:hAnsi="Times New Roman" w:cs="Times New Roman"/>
          <w:sz w:val="24"/>
          <w:szCs w:val="24"/>
        </w:rPr>
        <w:t xml:space="preserve">otal value added in the economy </w:t>
      </w:r>
      <w:r w:rsidR="00862B0A">
        <w:rPr>
          <w:rFonts w:ascii="Times New Roman" w:hAnsi="Times New Roman" w:cs="Times New Roman"/>
          <w:sz w:val="24"/>
          <w:szCs w:val="24"/>
        </w:rPr>
        <w:t xml:space="preserve">or GDP </w:t>
      </w:r>
      <w:r w:rsidR="00A46058">
        <w:rPr>
          <w:rFonts w:ascii="Times New Roman" w:hAnsi="Times New Roman" w:cs="Times New Roman"/>
          <w:sz w:val="24"/>
          <w:szCs w:val="24"/>
        </w:rPr>
        <w:t xml:space="preserve">is </w:t>
      </w:r>
      <w:r w:rsidR="00862B0A">
        <w:rPr>
          <w:rFonts w:ascii="Times New Roman" w:hAnsi="Times New Roman" w:cs="Times New Roman"/>
          <w:sz w:val="24"/>
          <w:szCs w:val="24"/>
        </w:rPr>
        <w:t xml:space="preserve">around </w:t>
      </w:r>
      <w:r w:rsidR="00A46058">
        <w:rPr>
          <w:rFonts w:ascii="Times New Roman" w:hAnsi="Times New Roman" w:cs="Times New Roman"/>
          <w:sz w:val="24"/>
          <w:szCs w:val="24"/>
        </w:rPr>
        <w:t>$1.5 trillion)</w:t>
      </w:r>
      <w:r w:rsidR="00862B0A">
        <w:rPr>
          <w:rFonts w:ascii="Times New Roman" w:hAnsi="Times New Roman" w:cs="Times New Roman"/>
          <w:sz w:val="24"/>
          <w:szCs w:val="24"/>
        </w:rPr>
        <w:t xml:space="preserve">. </w:t>
      </w:r>
      <w:r w:rsidR="00A46058">
        <w:rPr>
          <w:rFonts w:ascii="Times New Roman" w:hAnsi="Times New Roman" w:cs="Times New Roman"/>
          <w:sz w:val="24"/>
          <w:szCs w:val="24"/>
        </w:rPr>
        <w:t xml:space="preserve">    </w:t>
      </w:r>
    </w:p>
    <w:p w:rsidR="003A73A7" w:rsidRPr="00B71F94" w:rsidRDefault="00A46058" w:rsidP="00B570D5">
      <w:pPr>
        <w:jc w:val="both"/>
        <w:rPr>
          <w:rFonts w:ascii="Times New Roman" w:hAnsi="Times New Roman" w:cs="Times New Roman"/>
          <w:sz w:val="24"/>
          <w:szCs w:val="24"/>
        </w:rPr>
      </w:pPr>
      <w:r>
        <w:rPr>
          <w:rFonts w:ascii="Times New Roman" w:hAnsi="Times New Roman" w:cs="Times New Roman"/>
          <w:sz w:val="24"/>
          <w:szCs w:val="24"/>
        </w:rPr>
        <w:t>Presumably</w:t>
      </w:r>
      <w:r w:rsidR="00614830">
        <w:rPr>
          <w:rFonts w:ascii="Times New Roman" w:hAnsi="Times New Roman" w:cs="Times New Roman"/>
          <w:sz w:val="24"/>
          <w:szCs w:val="24"/>
        </w:rPr>
        <w:t>,</w:t>
      </w:r>
      <w:r>
        <w:rPr>
          <w:rFonts w:ascii="Times New Roman" w:hAnsi="Times New Roman" w:cs="Times New Roman"/>
          <w:sz w:val="24"/>
          <w:szCs w:val="24"/>
        </w:rPr>
        <w:t xml:space="preserve"> disto</w:t>
      </w:r>
      <w:r w:rsidR="00614830">
        <w:rPr>
          <w:rFonts w:ascii="Times New Roman" w:hAnsi="Times New Roman" w:cs="Times New Roman"/>
          <w:sz w:val="24"/>
          <w:szCs w:val="24"/>
        </w:rPr>
        <w:t>rtio</w:t>
      </w:r>
      <w:r>
        <w:rPr>
          <w:rFonts w:ascii="Times New Roman" w:hAnsi="Times New Roman" w:cs="Times New Roman"/>
          <w:sz w:val="24"/>
          <w:szCs w:val="24"/>
        </w:rPr>
        <w:t xml:space="preserve">nary effects are proportional to the size of net </w:t>
      </w:r>
      <w:r w:rsidR="009E694C">
        <w:rPr>
          <w:rFonts w:ascii="Times New Roman" w:hAnsi="Times New Roman" w:cs="Times New Roman"/>
          <w:sz w:val="24"/>
          <w:szCs w:val="24"/>
        </w:rPr>
        <w:t>assistance</w:t>
      </w:r>
      <w:r>
        <w:rPr>
          <w:rFonts w:ascii="Times New Roman" w:hAnsi="Times New Roman" w:cs="Times New Roman"/>
          <w:sz w:val="24"/>
          <w:szCs w:val="24"/>
        </w:rPr>
        <w:t xml:space="preserve"> provided by government. There are other industries </w:t>
      </w:r>
      <w:r w:rsidR="001145A1">
        <w:rPr>
          <w:rFonts w:ascii="Times New Roman" w:hAnsi="Times New Roman" w:cs="Times New Roman"/>
          <w:sz w:val="24"/>
          <w:szCs w:val="24"/>
        </w:rPr>
        <w:t xml:space="preserve">which attract significantly larger </w:t>
      </w:r>
      <w:r w:rsidR="003A73A7">
        <w:rPr>
          <w:rFonts w:ascii="Times New Roman" w:hAnsi="Times New Roman" w:cs="Times New Roman"/>
          <w:sz w:val="24"/>
          <w:szCs w:val="24"/>
        </w:rPr>
        <w:t xml:space="preserve">levels of </w:t>
      </w:r>
      <w:r w:rsidR="009E694C">
        <w:rPr>
          <w:rFonts w:ascii="Times New Roman" w:hAnsi="Times New Roman" w:cs="Times New Roman"/>
          <w:sz w:val="24"/>
          <w:szCs w:val="24"/>
        </w:rPr>
        <w:t>assistance</w:t>
      </w:r>
      <w:r w:rsidR="003A73A7">
        <w:rPr>
          <w:rFonts w:ascii="Times New Roman" w:hAnsi="Times New Roman" w:cs="Times New Roman"/>
          <w:sz w:val="24"/>
          <w:szCs w:val="24"/>
        </w:rPr>
        <w:t>. In 2012-13 Treasury (2013: 4) estimated t</w:t>
      </w:r>
      <w:r w:rsidR="009B54D6">
        <w:rPr>
          <w:rFonts w:ascii="Times New Roman" w:hAnsi="Times New Roman" w:cs="Times New Roman"/>
          <w:sz w:val="24"/>
          <w:szCs w:val="24"/>
        </w:rPr>
        <w:t xml:space="preserve">he </w:t>
      </w:r>
      <w:r w:rsidR="009E694C">
        <w:rPr>
          <w:rFonts w:ascii="Times New Roman" w:hAnsi="Times New Roman" w:cs="Times New Roman"/>
          <w:sz w:val="24"/>
          <w:szCs w:val="24"/>
        </w:rPr>
        <w:t>Australian</w:t>
      </w:r>
      <w:r w:rsidR="003A73A7">
        <w:rPr>
          <w:rFonts w:ascii="Times New Roman" w:hAnsi="Times New Roman" w:cs="Times New Roman"/>
          <w:sz w:val="24"/>
          <w:szCs w:val="24"/>
        </w:rPr>
        <w:t xml:space="preserve"> superannuation industry received </w:t>
      </w:r>
      <w:r w:rsidR="003A73A7" w:rsidRPr="003571AE">
        <w:rPr>
          <w:rFonts w:ascii="Times New Roman" w:hAnsi="Times New Roman" w:cs="Times New Roman"/>
          <w:sz w:val="24"/>
          <w:szCs w:val="24"/>
        </w:rPr>
        <w:t xml:space="preserve">$32bn </w:t>
      </w:r>
      <w:r w:rsidR="00D71688">
        <w:rPr>
          <w:rFonts w:ascii="Times New Roman" w:hAnsi="Times New Roman" w:cs="Times New Roman"/>
          <w:sz w:val="24"/>
          <w:szCs w:val="24"/>
        </w:rPr>
        <w:t>in assis</w:t>
      </w:r>
      <w:r w:rsidR="003A73A7">
        <w:rPr>
          <w:rFonts w:ascii="Times New Roman" w:hAnsi="Times New Roman" w:cs="Times New Roman"/>
          <w:sz w:val="24"/>
          <w:szCs w:val="24"/>
        </w:rPr>
        <w:t xml:space="preserve">tance </w:t>
      </w:r>
      <w:r w:rsidR="009B54D6">
        <w:rPr>
          <w:rFonts w:ascii="Times New Roman" w:hAnsi="Times New Roman" w:cs="Times New Roman"/>
          <w:sz w:val="24"/>
          <w:szCs w:val="24"/>
        </w:rPr>
        <w:t xml:space="preserve">in the form of </w:t>
      </w:r>
      <w:r w:rsidR="009B54D6" w:rsidRPr="003571AE">
        <w:rPr>
          <w:rFonts w:ascii="Times New Roman" w:hAnsi="Times New Roman" w:cs="Times New Roman"/>
          <w:sz w:val="24"/>
          <w:szCs w:val="24"/>
        </w:rPr>
        <w:t xml:space="preserve">forgone commonwealth tax revenue </w:t>
      </w:r>
      <w:r w:rsidR="003A73A7">
        <w:rPr>
          <w:rFonts w:ascii="Times New Roman" w:hAnsi="Times New Roman" w:cs="Times New Roman"/>
          <w:sz w:val="24"/>
          <w:szCs w:val="24"/>
        </w:rPr>
        <w:t xml:space="preserve">comprised of </w:t>
      </w:r>
      <w:r w:rsidR="003A73A7" w:rsidRPr="003571AE">
        <w:rPr>
          <w:rFonts w:ascii="Times New Roman" w:hAnsi="Times New Roman" w:cs="Times New Roman"/>
          <w:sz w:val="24"/>
          <w:szCs w:val="24"/>
        </w:rPr>
        <w:t xml:space="preserve">capital </w:t>
      </w:r>
      <w:r w:rsidR="003A73A7" w:rsidRPr="00B71F94">
        <w:rPr>
          <w:rFonts w:ascii="Times New Roman" w:hAnsi="Times New Roman" w:cs="Times New Roman"/>
          <w:sz w:val="24"/>
          <w:szCs w:val="24"/>
        </w:rPr>
        <w:t>gains concession on</w:t>
      </w:r>
      <w:r w:rsidR="009B54D6" w:rsidRPr="00B71F94">
        <w:rPr>
          <w:rFonts w:ascii="Times New Roman" w:hAnsi="Times New Roman" w:cs="Times New Roman"/>
          <w:sz w:val="24"/>
          <w:szCs w:val="24"/>
        </w:rPr>
        <w:t xml:space="preserve"> earnings of super funds and tax</w:t>
      </w:r>
      <w:r w:rsidR="003A73A7" w:rsidRPr="00B71F94">
        <w:rPr>
          <w:rFonts w:ascii="Times New Roman" w:hAnsi="Times New Roman" w:cs="Times New Roman"/>
          <w:sz w:val="24"/>
          <w:szCs w:val="24"/>
        </w:rPr>
        <w:t xml:space="preserve"> concession on contributions</w:t>
      </w:r>
      <w:r w:rsidR="009B54D6" w:rsidRPr="00B71F94">
        <w:rPr>
          <w:rFonts w:ascii="Times New Roman" w:hAnsi="Times New Roman" w:cs="Times New Roman"/>
          <w:sz w:val="24"/>
          <w:szCs w:val="24"/>
        </w:rPr>
        <w:t xml:space="preserve">. To this must be added </w:t>
      </w:r>
      <w:r w:rsidR="00D71688" w:rsidRPr="00B71F94">
        <w:rPr>
          <w:rFonts w:ascii="Times New Roman" w:hAnsi="Times New Roman" w:cs="Times New Roman"/>
          <w:sz w:val="24"/>
          <w:szCs w:val="24"/>
        </w:rPr>
        <w:t xml:space="preserve">the </w:t>
      </w:r>
      <w:r w:rsidR="009D2F12">
        <w:rPr>
          <w:rFonts w:ascii="Times New Roman" w:hAnsi="Times New Roman" w:cs="Times New Roman"/>
          <w:sz w:val="24"/>
          <w:szCs w:val="24"/>
        </w:rPr>
        <w:t xml:space="preserve">even larger, though difficult to quantify, </w:t>
      </w:r>
      <w:r w:rsidR="00D71688" w:rsidRPr="00B71F94">
        <w:rPr>
          <w:rFonts w:ascii="Times New Roman" w:hAnsi="Times New Roman" w:cs="Times New Roman"/>
          <w:sz w:val="24"/>
          <w:szCs w:val="24"/>
        </w:rPr>
        <w:t>dist</w:t>
      </w:r>
      <w:r w:rsidR="00573548" w:rsidRPr="00B71F94">
        <w:rPr>
          <w:rFonts w:ascii="Times New Roman" w:hAnsi="Times New Roman" w:cs="Times New Roman"/>
          <w:sz w:val="24"/>
          <w:szCs w:val="24"/>
        </w:rPr>
        <w:t>o</w:t>
      </w:r>
      <w:r w:rsidR="00D71688" w:rsidRPr="00B71F94">
        <w:rPr>
          <w:rFonts w:ascii="Times New Roman" w:hAnsi="Times New Roman" w:cs="Times New Roman"/>
          <w:sz w:val="24"/>
          <w:szCs w:val="24"/>
        </w:rPr>
        <w:t>r</w:t>
      </w:r>
      <w:r w:rsidR="00573548" w:rsidRPr="00B71F94">
        <w:rPr>
          <w:rFonts w:ascii="Times New Roman" w:hAnsi="Times New Roman" w:cs="Times New Roman"/>
          <w:sz w:val="24"/>
          <w:szCs w:val="24"/>
        </w:rPr>
        <w:t xml:space="preserve">tionary </w:t>
      </w:r>
      <w:r w:rsidR="00D71688" w:rsidRPr="00B71F94">
        <w:rPr>
          <w:rFonts w:ascii="Times New Roman" w:hAnsi="Times New Roman" w:cs="Times New Roman"/>
          <w:sz w:val="24"/>
          <w:szCs w:val="24"/>
        </w:rPr>
        <w:t>effect of the compulsory nature of employee contr</w:t>
      </w:r>
      <w:r w:rsidR="00573548" w:rsidRPr="00B71F94">
        <w:rPr>
          <w:rFonts w:ascii="Times New Roman" w:hAnsi="Times New Roman" w:cs="Times New Roman"/>
          <w:sz w:val="24"/>
          <w:szCs w:val="24"/>
        </w:rPr>
        <w:t>i</w:t>
      </w:r>
      <w:r w:rsidR="00D71688" w:rsidRPr="00B71F94">
        <w:rPr>
          <w:rFonts w:ascii="Times New Roman" w:hAnsi="Times New Roman" w:cs="Times New Roman"/>
          <w:sz w:val="24"/>
          <w:szCs w:val="24"/>
        </w:rPr>
        <w:t>b</w:t>
      </w:r>
      <w:r w:rsidR="00573548" w:rsidRPr="00B71F94">
        <w:rPr>
          <w:rFonts w:ascii="Times New Roman" w:hAnsi="Times New Roman" w:cs="Times New Roman"/>
          <w:sz w:val="24"/>
          <w:szCs w:val="24"/>
        </w:rPr>
        <w:t>u</w:t>
      </w:r>
      <w:r w:rsidR="00D71688" w:rsidRPr="00B71F94">
        <w:rPr>
          <w:rFonts w:ascii="Times New Roman" w:hAnsi="Times New Roman" w:cs="Times New Roman"/>
          <w:sz w:val="24"/>
          <w:szCs w:val="24"/>
        </w:rPr>
        <w:t>tions</w:t>
      </w:r>
      <w:r w:rsidR="00573548" w:rsidRPr="00B71F94">
        <w:rPr>
          <w:rFonts w:ascii="Times New Roman" w:hAnsi="Times New Roman" w:cs="Times New Roman"/>
          <w:sz w:val="24"/>
          <w:szCs w:val="24"/>
        </w:rPr>
        <w:t xml:space="preserve"> which</w:t>
      </w:r>
      <w:r w:rsidR="009D2F12">
        <w:rPr>
          <w:rFonts w:ascii="Times New Roman" w:hAnsi="Times New Roman" w:cs="Times New Roman"/>
          <w:sz w:val="24"/>
          <w:szCs w:val="24"/>
        </w:rPr>
        <w:t>,</w:t>
      </w:r>
      <w:r w:rsidR="00573548" w:rsidRPr="00B71F94">
        <w:rPr>
          <w:rFonts w:ascii="Times New Roman" w:hAnsi="Times New Roman" w:cs="Times New Roman"/>
          <w:sz w:val="24"/>
          <w:szCs w:val="24"/>
        </w:rPr>
        <w:t xml:space="preserve"> in 2012-13</w:t>
      </w:r>
      <w:r w:rsidR="009D2F12">
        <w:rPr>
          <w:rFonts w:ascii="Times New Roman" w:hAnsi="Times New Roman" w:cs="Times New Roman"/>
          <w:sz w:val="24"/>
          <w:szCs w:val="24"/>
        </w:rPr>
        <w:t>,</w:t>
      </w:r>
      <w:r w:rsidR="00573548" w:rsidRPr="00B71F94">
        <w:rPr>
          <w:rFonts w:ascii="Times New Roman" w:hAnsi="Times New Roman" w:cs="Times New Roman"/>
          <w:sz w:val="24"/>
          <w:szCs w:val="24"/>
        </w:rPr>
        <w:t xml:space="preserve"> are estimated at around $93bn. (Concessional taxation of employer and personal contributions of around </w:t>
      </w:r>
      <w:r w:rsidR="009D2F12">
        <w:rPr>
          <w:rFonts w:ascii="Times New Roman" w:hAnsi="Times New Roman" w:cs="Times New Roman"/>
          <w:sz w:val="24"/>
          <w:szCs w:val="24"/>
        </w:rPr>
        <w:t>$</w:t>
      </w:r>
      <w:r w:rsidR="00573548" w:rsidRPr="00B71F94">
        <w:rPr>
          <w:rFonts w:ascii="Times New Roman" w:hAnsi="Times New Roman" w:cs="Times New Roman"/>
          <w:sz w:val="24"/>
          <w:szCs w:val="24"/>
        </w:rPr>
        <w:t xml:space="preserve">14bn grossed up by </w:t>
      </w:r>
      <w:r w:rsidR="009E694C" w:rsidRPr="00B71F94">
        <w:rPr>
          <w:rFonts w:ascii="Times New Roman" w:hAnsi="Times New Roman" w:cs="Times New Roman"/>
          <w:sz w:val="24"/>
          <w:szCs w:val="24"/>
        </w:rPr>
        <w:t>concessional</w:t>
      </w:r>
      <w:r w:rsidR="00573548" w:rsidRPr="00B71F94">
        <w:rPr>
          <w:rFonts w:ascii="Times New Roman" w:hAnsi="Times New Roman" w:cs="Times New Roman"/>
          <w:sz w:val="24"/>
          <w:szCs w:val="24"/>
        </w:rPr>
        <w:t xml:space="preserve"> tax rate of 15%).  </w:t>
      </w:r>
      <w:r w:rsidR="009E694C" w:rsidRPr="00B71F94">
        <w:rPr>
          <w:rFonts w:ascii="Times New Roman" w:hAnsi="Times New Roman" w:cs="Times New Roman"/>
          <w:sz w:val="24"/>
          <w:szCs w:val="24"/>
        </w:rPr>
        <w:t>Similarly</w:t>
      </w:r>
      <w:r w:rsidR="00573548" w:rsidRPr="00B71F94">
        <w:rPr>
          <w:rFonts w:ascii="Times New Roman" w:hAnsi="Times New Roman" w:cs="Times New Roman"/>
          <w:sz w:val="24"/>
          <w:szCs w:val="24"/>
        </w:rPr>
        <w:t xml:space="preserve">, the </w:t>
      </w:r>
      <w:r w:rsidR="00B71F94" w:rsidRPr="00B71F94">
        <w:rPr>
          <w:rFonts w:ascii="Times New Roman" w:hAnsi="Times New Roman" w:cs="Times New Roman"/>
          <w:sz w:val="24"/>
          <w:szCs w:val="24"/>
        </w:rPr>
        <w:t>e</w:t>
      </w:r>
      <w:r w:rsidR="003A73A7" w:rsidRPr="00B71F94">
        <w:rPr>
          <w:rFonts w:ascii="Times New Roman" w:hAnsi="Times New Roman" w:cs="Times New Roman"/>
          <w:sz w:val="24"/>
          <w:szCs w:val="24"/>
        </w:rPr>
        <w:t>xemption of 30 per cent private health insurance rebate</w:t>
      </w:r>
      <w:r w:rsidR="00B71F94">
        <w:rPr>
          <w:rFonts w:ascii="Times New Roman" w:hAnsi="Times New Roman" w:cs="Times New Roman"/>
          <w:sz w:val="24"/>
          <w:szCs w:val="24"/>
        </w:rPr>
        <w:t xml:space="preserve"> is the </w:t>
      </w:r>
      <w:r w:rsidR="003A73A7" w:rsidRPr="00B71F94">
        <w:rPr>
          <w:rFonts w:ascii="Times New Roman" w:hAnsi="Times New Roman" w:cs="Times New Roman"/>
          <w:sz w:val="24"/>
          <w:szCs w:val="24"/>
        </w:rPr>
        <w:t>expense</w:t>
      </w:r>
      <w:r w:rsidR="00B71F94">
        <w:rPr>
          <w:rFonts w:ascii="Times New Roman" w:hAnsi="Times New Roman" w:cs="Times New Roman"/>
          <w:sz w:val="24"/>
          <w:szCs w:val="24"/>
        </w:rPr>
        <w:t xml:space="preserve"> </w:t>
      </w:r>
      <w:r w:rsidR="003A73A7" w:rsidRPr="00B71F94">
        <w:rPr>
          <w:rFonts w:ascii="Times New Roman" w:hAnsi="Times New Roman" w:cs="Times New Roman"/>
          <w:sz w:val="24"/>
          <w:szCs w:val="24"/>
        </w:rPr>
        <w:t xml:space="preserve">equivalent </w:t>
      </w:r>
      <w:r w:rsidR="00B71F94">
        <w:rPr>
          <w:rFonts w:ascii="Times New Roman" w:hAnsi="Times New Roman" w:cs="Times New Roman"/>
          <w:sz w:val="24"/>
          <w:szCs w:val="24"/>
        </w:rPr>
        <w:t>of $</w:t>
      </w:r>
      <w:r w:rsidR="003A73A7" w:rsidRPr="00B71F94">
        <w:rPr>
          <w:rFonts w:ascii="Times New Roman" w:hAnsi="Times New Roman" w:cs="Times New Roman"/>
          <w:sz w:val="24"/>
          <w:szCs w:val="24"/>
        </w:rPr>
        <w:t xml:space="preserve">1.6bn </w:t>
      </w:r>
      <w:r w:rsidR="00B71F94">
        <w:rPr>
          <w:rFonts w:ascii="Times New Roman" w:hAnsi="Times New Roman" w:cs="Times New Roman"/>
          <w:sz w:val="24"/>
          <w:szCs w:val="24"/>
        </w:rPr>
        <w:t xml:space="preserve">(Treasury 2013: 7). </w:t>
      </w:r>
      <w:r w:rsidR="003A73A7" w:rsidRPr="00B71F94">
        <w:rPr>
          <w:rFonts w:ascii="Times New Roman" w:hAnsi="Times New Roman" w:cs="Times New Roman"/>
          <w:sz w:val="24"/>
          <w:szCs w:val="24"/>
        </w:rPr>
        <w:t xml:space="preserve"> </w:t>
      </w:r>
    </w:p>
    <w:p w:rsidR="000533EB" w:rsidRPr="000533EB" w:rsidRDefault="00B71F94" w:rsidP="00B570D5">
      <w:pPr>
        <w:jc w:val="both"/>
        <w:rPr>
          <w:rFonts w:ascii="Times New Roman" w:hAnsi="Times New Roman" w:cs="Times New Roman"/>
          <w:sz w:val="24"/>
          <w:szCs w:val="24"/>
        </w:rPr>
      </w:pPr>
      <w:r>
        <w:rPr>
          <w:rFonts w:ascii="Times New Roman" w:hAnsi="Times New Roman" w:cs="Times New Roman"/>
          <w:sz w:val="24"/>
          <w:szCs w:val="24"/>
        </w:rPr>
        <w:t xml:space="preserve">These examples of very large </w:t>
      </w:r>
      <w:r w:rsidR="009E694C">
        <w:rPr>
          <w:rFonts w:ascii="Times New Roman" w:hAnsi="Times New Roman" w:cs="Times New Roman"/>
          <w:sz w:val="24"/>
          <w:szCs w:val="24"/>
        </w:rPr>
        <w:t>assistance</w:t>
      </w:r>
      <w:r>
        <w:rPr>
          <w:rFonts w:ascii="Times New Roman" w:hAnsi="Times New Roman" w:cs="Times New Roman"/>
          <w:sz w:val="24"/>
          <w:szCs w:val="24"/>
        </w:rPr>
        <w:t xml:space="preserve"> are specifically excluded from the Commission’s </w:t>
      </w:r>
      <w:r w:rsidR="007F0E57">
        <w:rPr>
          <w:rFonts w:ascii="Times New Roman" w:hAnsi="Times New Roman" w:cs="Times New Roman"/>
          <w:sz w:val="24"/>
          <w:szCs w:val="24"/>
        </w:rPr>
        <w:t xml:space="preserve">(2013: 14) </w:t>
      </w:r>
      <w:r>
        <w:rPr>
          <w:rFonts w:ascii="Times New Roman" w:hAnsi="Times New Roman" w:cs="Times New Roman"/>
          <w:sz w:val="24"/>
          <w:szCs w:val="24"/>
        </w:rPr>
        <w:t xml:space="preserve">annual assessment of government </w:t>
      </w:r>
      <w:r w:rsidR="009E694C">
        <w:rPr>
          <w:rFonts w:ascii="Times New Roman" w:hAnsi="Times New Roman" w:cs="Times New Roman"/>
          <w:sz w:val="24"/>
          <w:szCs w:val="24"/>
        </w:rPr>
        <w:t>assistance</w:t>
      </w:r>
      <w:r>
        <w:rPr>
          <w:rFonts w:ascii="Times New Roman" w:hAnsi="Times New Roman" w:cs="Times New Roman"/>
          <w:sz w:val="24"/>
          <w:szCs w:val="24"/>
        </w:rPr>
        <w:t xml:space="preserve"> to industries, despite them clearly coming within the purview of the </w:t>
      </w:r>
      <w:r w:rsidR="009E694C">
        <w:rPr>
          <w:rFonts w:ascii="Times New Roman" w:hAnsi="Times New Roman" w:cs="Times New Roman"/>
          <w:sz w:val="24"/>
          <w:szCs w:val="24"/>
        </w:rPr>
        <w:t>legislative</w:t>
      </w:r>
      <w:r>
        <w:rPr>
          <w:rFonts w:ascii="Times New Roman" w:hAnsi="Times New Roman" w:cs="Times New Roman"/>
          <w:sz w:val="24"/>
          <w:szCs w:val="24"/>
        </w:rPr>
        <w:t xml:space="preserve"> </w:t>
      </w:r>
      <w:r w:rsidR="009E694C">
        <w:rPr>
          <w:rFonts w:ascii="Times New Roman" w:hAnsi="Times New Roman" w:cs="Times New Roman"/>
          <w:sz w:val="24"/>
          <w:szCs w:val="24"/>
        </w:rPr>
        <w:t>definition</w:t>
      </w:r>
      <w:r>
        <w:rPr>
          <w:rFonts w:ascii="Times New Roman" w:hAnsi="Times New Roman" w:cs="Times New Roman"/>
          <w:sz w:val="24"/>
          <w:szCs w:val="24"/>
        </w:rPr>
        <w:t xml:space="preserve"> of </w:t>
      </w:r>
      <w:r w:rsidR="009E694C">
        <w:rPr>
          <w:rFonts w:ascii="Times New Roman" w:hAnsi="Times New Roman" w:cs="Times New Roman"/>
          <w:sz w:val="24"/>
          <w:szCs w:val="24"/>
        </w:rPr>
        <w:t>assistance</w:t>
      </w:r>
      <w:r>
        <w:rPr>
          <w:rFonts w:ascii="Times New Roman" w:hAnsi="Times New Roman" w:cs="Times New Roman"/>
          <w:sz w:val="24"/>
          <w:szCs w:val="24"/>
        </w:rPr>
        <w:t xml:space="preserve"> governing the work of the </w:t>
      </w:r>
      <w:r w:rsidR="009E694C">
        <w:rPr>
          <w:rFonts w:ascii="Times New Roman" w:hAnsi="Times New Roman" w:cs="Times New Roman"/>
          <w:sz w:val="24"/>
          <w:szCs w:val="24"/>
        </w:rPr>
        <w:t>Commission</w:t>
      </w:r>
      <w:r>
        <w:rPr>
          <w:rFonts w:ascii="Times New Roman" w:hAnsi="Times New Roman" w:cs="Times New Roman"/>
          <w:sz w:val="24"/>
          <w:szCs w:val="24"/>
        </w:rPr>
        <w:t xml:space="preserve">. </w:t>
      </w:r>
      <w:r w:rsidR="009E694C">
        <w:rPr>
          <w:rFonts w:ascii="Times New Roman" w:hAnsi="Times New Roman" w:cs="Times New Roman"/>
          <w:sz w:val="24"/>
          <w:szCs w:val="24"/>
        </w:rPr>
        <w:t>Assistance</w:t>
      </w:r>
      <w:r w:rsidR="00B83C4E">
        <w:rPr>
          <w:rFonts w:ascii="Times New Roman" w:hAnsi="Times New Roman" w:cs="Times New Roman"/>
          <w:sz w:val="24"/>
          <w:szCs w:val="24"/>
        </w:rPr>
        <w:t xml:space="preserve"> (2013: 11) </w:t>
      </w:r>
      <w:r>
        <w:rPr>
          <w:rFonts w:ascii="Times New Roman" w:hAnsi="Times New Roman" w:cs="Times New Roman"/>
          <w:sz w:val="24"/>
          <w:szCs w:val="24"/>
        </w:rPr>
        <w:t>is defined as ‘</w:t>
      </w:r>
      <w:r w:rsidR="00A46058" w:rsidRPr="003571AE">
        <w:rPr>
          <w:rFonts w:ascii="Times New Roman" w:hAnsi="Times New Roman" w:cs="Times New Roman"/>
          <w:sz w:val="24"/>
          <w:szCs w:val="24"/>
        </w:rPr>
        <w:t xml:space="preserve">those government measures that selectively benefit particular firms, industries or activities, and which can be quantified, given </w:t>
      </w:r>
      <w:r w:rsidR="00A46058" w:rsidRPr="000533EB">
        <w:rPr>
          <w:rFonts w:ascii="Times New Roman" w:hAnsi="Times New Roman" w:cs="Times New Roman"/>
          <w:sz w:val="24"/>
          <w:szCs w:val="24"/>
        </w:rPr>
        <w:t>practical constraints in measurement and data availability</w:t>
      </w:r>
      <w:r w:rsidRPr="000533EB">
        <w:rPr>
          <w:rFonts w:ascii="Times New Roman" w:hAnsi="Times New Roman" w:cs="Times New Roman"/>
          <w:sz w:val="24"/>
          <w:szCs w:val="24"/>
        </w:rPr>
        <w:t>’</w:t>
      </w:r>
      <w:r w:rsidR="00A46058" w:rsidRPr="000533EB">
        <w:rPr>
          <w:rFonts w:ascii="Times New Roman" w:hAnsi="Times New Roman" w:cs="Times New Roman"/>
          <w:sz w:val="24"/>
          <w:szCs w:val="24"/>
        </w:rPr>
        <w:t>.</w:t>
      </w:r>
    </w:p>
    <w:p w:rsidR="00A46058" w:rsidRPr="000533EB" w:rsidRDefault="009D2F12" w:rsidP="00B570D5">
      <w:pPr>
        <w:jc w:val="both"/>
        <w:rPr>
          <w:rFonts w:ascii="Times New Roman" w:hAnsi="Times New Roman" w:cs="Times New Roman"/>
          <w:sz w:val="24"/>
          <w:szCs w:val="24"/>
        </w:rPr>
      </w:pPr>
      <w:r w:rsidRPr="000533EB">
        <w:rPr>
          <w:rFonts w:ascii="Times New Roman" w:hAnsi="Times New Roman" w:cs="Times New Roman"/>
          <w:sz w:val="24"/>
          <w:szCs w:val="24"/>
        </w:rPr>
        <w:t>The implication of the above is that first, government intervention in the economy is pervasive, so that any idealised model of a market economy used to assess the effects of assistance is illusory and second, that even if one accepts such a model the Commission should be examining other sectors with distortions many o</w:t>
      </w:r>
      <w:r w:rsidR="008174B4" w:rsidRPr="000533EB">
        <w:rPr>
          <w:rFonts w:ascii="Times New Roman" w:hAnsi="Times New Roman" w:cs="Times New Roman"/>
          <w:sz w:val="24"/>
          <w:szCs w:val="24"/>
        </w:rPr>
        <w:t>r</w:t>
      </w:r>
      <w:r w:rsidRPr="000533EB">
        <w:rPr>
          <w:rFonts w:ascii="Times New Roman" w:hAnsi="Times New Roman" w:cs="Times New Roman"/>
          <w:sz w:val="24"/>
          <w:szCs w:val="24"/>
        </w:rPr>
        <w:t xml:space="preserve">ders of magnitude larger than that afforded the autos sector.    </w:t>
      </w:r>
    </w:p>
    <w:p w:rsidR="00A46058" w:rsidRPr="00FD7167" w:rsidRDefault="00614830" w:rsidP="00B570D5">
      <w:pPr>
        <w:pStyle w:val="Default"/>
        <w:jc w:val="both"/>
        <w:rPr>
          <w:b/>
        </w:rPr>
      </w:pPr>
      <w:r w:rsidRPr="00FD7167">
        <w:rPr>
          <w:b/>
        </w:rPr>
        <w:t>3.</w:t>
      </w:r>
      <w:r w:rsidR="007F0E57" w:rsidRPr="00FD7167">
        <w:rPr>
          <w:b/>
        </w:rPr>
        <w:t xml:space="preserve"> R&amp;D and externalit</w:t>
      </w:r>
      <w:r w:rsidR="008174B4" w:rsidRPr="00FD7167">
        <w:rPr>
          <w:b/>
        </w:rPr>
        <w:t>i</w:t>
      </w:r>
      <w:r w:rsidR="007F0E57" w:rsidRPr="00FD7167">
        <w:rPr>
          <w:b/>
        </w:rPr>
        <w:t xml:space="preserve">es </w:t>
      </w:r>
      <w:r w:rsidRPr="00FD7167">
        <w:rPr>
          <w:b/>
        </w:rPr>
        <w:t xml:space="preserve"> </w:t>
      </w:r>
    </w:p>
    <w:p w:rsidR="00566870" w:rsidRDefault="00590F0B" w:rsidP="00B570D5">
      <w:pPr>
        <w:spacing w:before="240"/>
        <w:jc w:val="both"/>
        <w:rPr>
          <w:rFonts w:ascii="Times New Roman" w:hAnsi="Times New Roman" w:cs="Times New Roman"/>
          <w:sz w:val="24"/>
          <w:szCs w:val="24"/>
        </w:rPr>
      </w:pPr>
      <w:r w:rsidRPr="008174B4">
        <w:rPr>
          <w:rFonts w:ascii="Times New Roman" w:hAnsi="Times New Roman" w:cs="Times New Roman"/>
          <w:sz w:val="24"/>
          <w:szCs w:val="24"/>
        </w:rPr>
        <w:t xml:space="preserve">The auto industry </w:t>
      </w:r>
      <w:r w:rsidR="008174B4" w:rsidRPr="008174B4">
        <w:rPr>
          <w:rFonts w:ascii="Times New Roman" w:hAnsi="Times New Roman" w:cs="Times New Roman"/>
          <w:sz w:val="24"/>
          <w:szCs w:val="24"/>
        </w:rPr>
        <w:t xml:space="preserve">each year invests </w:t>
      </w:r>
      <w:r w:rsidR="00566870">
        <w:rPr>
          <w:rFonts w:ascii="Times New Roman" w:hAnsi="Times New Roman" w:cs="Times New Roman"/>
          <w:sz w:val="24"/>
          <w:szCs w:val="24"/>
        </w:rPr>
        <w:t>around $62</w:t>
      </w:r>
      <w:r w:rsidR="008174B4" w:rsidRPr="008174B4">
        <w:rPr>
          <w:rFonts w:ascii="Times New Roman" w:hAnsi="Times New Roman" w:cs="Times New Roman"/>
          <w:sz w:val="24"/>
          <w:szCs w:val="24"/>
        </w:rPr>
        <w:t>0m in R&amp;D (Department of Industry,</w:t>
      </w:r>
      <w:r w:rsidR="008174B4">
        <w:rPr>
          <w:rFonts w:ascii="Times New Roman" w:hAnsi="Times New Roman" w:cs="Times New Roman"/>
          <w:sz w:val="24"/>
          <w:szCs w:val="24"/>
        </w:rPr>
        <w:t xml:space="preserve"> </w:t>
      </w:r>
      <w:r w:rsidR="008174B4" w:rsidRPr="008174B4">
        <w:rPr>
          <w:rFonts w:ascii="Times New Roman" w:hAnsi="Times New Roman" w:cs="Times New Roman"/>
          <w:sz w:val="24"/>
          <w:szCs w:val="24"/>
        </w:rPr>
        <w:t>Innovation, Science, Research and Tertiary Education 2012: 15)</w:t>
      </w:r>
      <w:r w:rsidR="008174B4">
        <w:rPr>
          <w:rFonts w:ascii="Times New Roman" w:hAnsi="Times New Roman" w:cs="Times New Roman"/>
          <w:sz w:val="24"/>
          <w:szCs w:val="24"/>
        </w:rPr>
        <w:t xml:space="preserve">. </w:t>
      </w:r>
      <w:r w:rsidR="0084349F">
        <w:rPr>
          <w:rFonts w:ascii="Times New Roman" w:hAnsi="Times New Roman" w:cs="Times New Roman"/>
          <w:sz w:val="24"/>
          <w:szCs w:val="24"/>
        </w:rPr>
        <w:t>The auto industry has a high R&amp;D intensity</w:t>
      </w:r>
      <w:r w:rsidR="00566870">
        <w:rPr>
          <w:rFonts w:ascii="Times New Roman" w:hAnsi="Times New Roman" w:cs="Times New Roman"/>
          <w:sz w:val="24"/>
          <w:szCs w:val="24"/>
        </w:rPr>
        <w:t>,</w:t>
      </w:r>
      <w:r w:rsidR="0084349F">
        <w:rPr>
          <w:rFonts w:ascii="Times New Roman" w:hAnsi="Times New Roman" w:cs="Times New Roman"/>
          <w:sz w:val="24"/>
          <w:szCs w:val="24"/>
        </w:rPr>
        <w:t xml:space="preserve"> </w:t>
      </w:r>
      <w:r w:rsidR="003A0A37">
        <w:rPr>
          <w:rFonts w:ascii="Times New Roman" w:hAnsi="Times New Roman" w:cs="Times New Roman"/>
          <w:sz w:val="24"/>
          <w:szCs w:val="24"/>
        </w:rPr>
        <w:t>or R&amp;D as a proportion of value added.</w:t>
      </w:r>
      <w:r w:rsidR="00566870">
        <w:rPr>
          <w:rFonts w:ascii="Times New Roman" w:hAnsi="Times New Roman" w:cs="Times New Roman"/>
          <w:sz w:val="24"/>
          <w:szCs w:val="24"/>
        </w:rPr>
        <w:t xml:space="preserve"> In 2011-12 the R&amp;D intensity of the auto industry was 11% (Derived from ABS 2013a and 2013b). By contrast the R&amp;D intensity </w:t>
      </w:r>
      <w:r w:rsidR="00566870">
        <w:rPr>
          <w:rFonts w:ascii="Times New Roman" w:hAnsi="Times New Roman" w:cs="Times New Roman"/>
          <w:sz w:val="24"/>
          <w:szCs w:val="24"/>
        </w:rPr>
        <w:lastRenderedPageBreak/>
        <w:t>of total manufacturing was 4.4%</w:t>
      </w:r>
      <w:r w:rsidR="009E694C">
        <w:rPr>
          <w:rFonts w:ascii="Times New Roman" w:hAnsi="Times New Roman" w:cs="Times New Roman"/>
          <w:sz w:val="24"/>
          <w:szCs w:val="24"/>
        </w:rPr>
        <w:t>;</w:t>
      </w:r>
      <w:r w:rsidR="00566870">
        <w:rPr>
          <w:rFonts w:ascii="Times New Roman" w:hAnsi="Times New Roman" w:cs="Times New Roman"/>
          <w:sz w:val="24"/>
          <w:szCs w:val="24"/>
        </w:rPr>
        <w:t xml:space="preserve"> mining was 3.1%, agriculture .8 and </w:t>
      </w:r>
      <w:r w:rsidR="009E694C">
        <w:rPr>
          <w:rFonts w:ascii="Times New Roman" w:hAnsi="Times New Roman" w:cs="Times New Roman"/>
          <w:sz w:val="24"/>
          <w:szCs w:val="24"/>
        </w:rPr>
        <w:t>electricity</w:t>
      </w:r>
      <w:r w:rsidR="00566870">
        <w:rPr>
          <w:rFonts w:ascii="Times New Roman" w:hAnsi="Times New Roman" w:cs="Times New Roman"/>
          <w:sz w:val="24"/>
          <w:szCs w:val="24"/>
        </w:rPr>
        <w:t xml:space="preserve">, gas, water and waste services .98%   </w:t>
      </w:r>
    </w:p>
    <w:p w:rsidR="00421E6F" w:rsidRDefault="003A0A37" w:rsidP="00B570D5">
      <w:pPr>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008174B4">
        <w:rPr>
          <w:rFonts w:ascii="Times New Roman" w:hAnsi="Times New Roman" w:cs="Times New Roman"/>
          <w:sz w:val="24"/>
          <w:szCs w:val="24"/>
        </w:rPr>
        <w:t xml:space="preserve">In addition to the private returns to this </w:t>
      </w:r>
      <w:r w:rsidR="006A34A3">
        <w:rPr>
          <w:rFonts w:ascii="Times New Roman" w:hAnsi="Times New Roman" w:cs="Times New Roman"/>
          <w:sz w:val="24"/>
          <w:szCs w:val="24"/>
        </w:rPr>
        <w:t>i</w:t>
      </w:r>
      <w:r w:rsidR="008174B4">
        <w:rPr>
          <w:rFonts w:ascii="Times New Roman" w:hAnsi="Times New Roman" w:cs="Times New Roman"/>
          <w:sz w:val="24"/>
          <w:szCs w:val="24"/>
        </w:rPr>
        <w:t>nvestment it is gen</w:t>
      </w:r>
      <w:r w:rsidR="006A34A3">
        <w:rPr>
          <w:rFonts w:ascii="Times New Roman" w:hAnsi="Times New Roman" w:cs="Times New Roman"/>
          <w:sz w:val="24"/>
          <w:szCs w:val="24"/>
        </w:rPr>
        <w:t>e</w:t>
      </w:r>
      <w:r w:rsidR="008174B4">
        <w:rPr>
          <w:rFonts w:ascii="Times New Roman" w:hAnsi="Times New Roman" w:cs="Times New Roman"/>
          <w:sz w:val="24"/>
          <w:szCs w:val="24"/>
        </w:rPr>
        <w:t xml:space="preserve">rally accepted there are </w:t>
      </w:r>
      <w:r w:rsidR="006A34A3">
        <w:rPr>
          <w:rFonts w:ascii="Times New Roman" w:hAnsi="Times New Roman" w:cs="Times New Roman"/>
          <w:sz w:val="24"/>
          <w:szCs w:val="24"/>
        </w:rPr>
        <w:t>significant externalit</w:t>
      </w:r>
      <w:r w:rsidR="00F41D27">
        <w:rPr>
          <w:rFonts w:ascii="Times New Roman" w:hAnsi="Times New Roman" w:cs="Times New Roman"/>
          <w:sz w:val="24"/>
          <w:szCs w:val="24"/>
        </w:rPr>
        <w:t>i</w:t>
      </w:r>
      <w:r w:rsidR="006A34A3">
        <w:rPr>
          <w:rFonts w:ascii="Times New Roman" w:hAnsi="Times New Roman" w:cs="Times New Roman"/>
          <w:sz w:val="24"/>
          <w:szCs w:val="24"/>
        </w:rPr>
        <w:t xml:space="preserve">es in the region of 15-30% to private R&amp;D (Jaffe 1996). </w:t>
      </w:r>
      <w:r w:rsidR="00FD7167">
        <w:rPr>
          <w:rFonts w:ascii="Times New Roman" w:hAnsi="Times New Roman" w:cs="Times New Roman"/>
          <w:sz w:val="24"/>
          <w:szCs w:val="24"/>
        </w:rPr>
        <w:t xml:space="preserve">These positive </w:t>
      </w:r>
      <w:r w:rsidR="009E694C">
        <w:rPr>
          <w:rFonts w:ascii="Times New Roman" w:hAnsi="Times New Roman" w:cs="Times New Roman"/>
          <w:sz w:val="24"/>
          <w:szCs w:val="24"/>
        </w:rPr>
        <w:t>externalities</w:t>
      </w:r>
      <w:r w:rsidR="00FD7167">
        <w:rPr>
          <w:rFonts w:ascii="Times New Roman" w:hAnsi="Times New Roman" w:cs="Times New Roman"/>
          <w:sz w:val="24"/>
          <w:szCs w:val="24"/>
        </w:rPr>
        <w:t xml:space="preserve"> arise from sources such as the n</w:t>
      </w:r>
      <w:r w:rsidR="002F7452">
        <w:rPr>
          <w:rFonts w:ascii="Times New Roman" w:hAnsi="Times New Roman" w:cs="Times New Roman"/>
          <w:sz w:val="24"/>
          <w:szCs w:val="24"/>
        </w:rPr>
        <w:t xml:space="preserve">on-excludable </w:t>
      </w:r>
      <w:r w:rsidR="00FD7167">
        <w:rPr>
          <w:rFonts w:ascii="Times New Roman" w:hAnsi="Times New Roman" w:cs="Times New Roman"/>
          <w:sz w:val="24"/>
          <w:szCs w:val="24"/>
        </w:rPr>
        <w:t>and non-rivalrous nature of knowle</w:t>
      </w:r>
      <w:r w:rsidR="002F7452">
        <w:rPr>
          <w:rFonts w:ascii="Times New Roman" w:hAnsi="Times New Roman" w:cs="Times New Roman"/>
          <w:sz w:val="24"/>
          <w:szCs w:val="24"/>
        </w:rPr>
        <w:t xml:space="preserve">dge </w:t>
      </w:r>
      <w:r w:rsidR="00FD7167">
        <w:rPr>
          <w:rFonts w:ascii="Times New Roman" w:hAnsi="Times New Roman" w:cs="Times New Roman"/>
          <w:sz w:val="24"/>
          <w:szCs w:val="24"/>
        </w:rPr>
        <w:t>produced by R&amp;D</w:t>
      </w:r>
      <w:r w:rsidR="00421E6F">
        <w:rPr>
          <w:rFonts w:ascii="Times New Roman" w:hAnsi="Times New Roman" w:cs="Times New Roman"/>
          <w:sz w:val="24"/>
          <w:szCs w:val="24"/>
        </w:rPr>
        <w:t>;</w:t>
      </w:r>
      <w:r w:rsidR="002F7452">
        <w:rPr>
          <w:rFonts w:ascii="Times New Roman" w:hAnsi="Times New Roman" w:cs="Times New Roman"/>
          <w:sz w:val="24"/>
          <w:szCs w:val="24"/>
        </w:rPr>
        <w:t xml:space="preserve"> </w:t>
      </w:r>
      <w:r w:rsidR="00E7433C">
        <w:rPr>
          <w:rFonts w:ascii="Times New Roman" w:hAnsi="Times New Roman" w:cs="Times New Roman"/>
          <w:sz w:val="24"/>
          <w:szCs w:val="24"/>
        </w:rPr>
        <w:t xml:space="preserve">related </w:t>
      </w:r>
      <w:r w:rsidR="00FD7167">
        <w:rPr>
          <w:rFonts w:ascii="Times New Roman" w:hAnsi="Times New Roman" w:cs="Times New Roman"/>
          <w:sz w:val="24"/>
          <w:szCs w:val="24"/>
        </w:rPr>
        <w:t xml:space="preserve">to but different from this non-exclusion is </w:t>
      </w:r>
      <w:r w:rsidR="00E7433C">
        <w:rPr>
          <w:rFonts w:ascii="Times New Roman" w:hAnsi="Times New Roman" w:cs="Times New Roman"/>
          <w:sz w:val="24"/>
          <w:szCs w:val="24"/>
        </w:rPr>
        <w:t>the stimulus given to comple</w:t>
      </w:r>
      <w:r w:rsidR="00FD7167">
        <w:rPr>
          <w:rFonts w:ascii="Times New Roman" w:hAnsi="Times New Roman" w:cs="Times New Roman"/>
          <w:sz w:val="24"/>
          <w:szCs w:val="24"/>
        </w:rPr>
        <w:t xml:space="preserve">mentary </w:t>
      </w:r>
      <w:r w:rsidR="00E7433C">
        <w:rPr>
          <w:rFonts w:ascii="Times New Roman" w:hAnsi="Times New Roman" w:cs="Times New Roman"/>
          <w:sz w:val="24"/>
          <w:szCs w:val="24"/>
        </w:rPr>
        <w:t>i</w:t>
      </w:r>
      <w:r w:rsidR="00FD7167">
        <w:rPr>
          <w:rFonts w:ascii="Times New Roman" w:hAnsi="Times New Roman" w:cs="Times New Roman"/>
          <w:sz w:val="24"/>
          <w:szCs w:val="24"/>
        </w:rPr>
        <w:t>nnovations whose creation relies</w:t>
      </w:r>
      <w:r w:rsidR="00E7433C">
        <w:rPr>
          <w:rFonts w:ascii="Times New Roman" w:hAnsi="Times New Roman" w:cs="Times New Roman"/>
          <w:sz w:val="24"/>
          <w:szCs w:val="24"/>
        </w:rPr>
        <w:t xml:space="preserve"> on </w:t>
      </w:r>
      <w:r w:rsidR="009E694C">
        <w:rPr>
          <w:rFonts w:ascii="Times New Roman" w:hAnsi="Times New Roman" w:cs="Times New Roman"/>
          <w:sz w:val="24"/>
          <w:szCs w:val="24"/>
        </w:rPr>
        <w:t>knowledge</w:t>
      </w:r>
      <w:r w:rsidR="00E7433C">
        <w:rPr>
          <w:rFonts w:ascii="Times New Roman" w:hAnsi="Times New Roman" w:cs="Times New Roman"/>
          <w:sz w:val="24"/>
          <w:szCs w:val="24"/>
        </w:rPr>
        <w:t xml:space="preserve"> and technologies ge</w:t>
      </w:r>
      <w:r w:rsidR="00FD7167">
        <w:rPr>
          <w:rFonts w:ascii="Times New Roman" w:hAnsi="Times New Roman" w:cs="Times New Roman"/>
          <w:sz w:val="24"/>
          <w:szCs w:val="24"/>
        </w:rPr>
        <w:t xml:space="preserve">nerated </w:t>
      </w:r>
      <w:r w:rsidR="00E7433C">
        <w:rPr>
          <w:rFonts w:ascii="Times New Roman" w:hAnsi="Times New Roman" w:cs="Times New Roman"/>
          <w:sz w:val="24"/>
          <w:szCs w:val="24"/>
        </w:rPr>
        <w:t xml:space="preserve">by </w:t>
      </w:r>
      <w:r w:rsidR="00FD7167">
        <w:rPr>
          <w:rFonts w:ascii="Times New Roman" w:hAnsi="Times New Roman" w:cs="Times New Roman"/>
          <w:sz w:val="24"/>
          <w:szCs w:val="24"/>
        </w:rPr>
        <w:t xml:space="preserve">previous </w:t>
      </w:r>
      <w:r w:rsidR="00E7433C">
        <w:rPr>
          <w:rFonts w:ascii="Times New Roman" w:hAnsi="Times New Roman" w:cs="Times New Roman"/>
          <w:sz w:val="24"/>
          <w:szCs w:val="24"/>
        </w:rPr>
        <w:t xml:space="preserve">R&amp;D; </w:t>
      </w:r>
      <w:r w:rsidR="00FD7167">
        <w:rPr>
          <w:rFonts w:ascii="Times New Roman" w:hAnsi="Times New Roman" w:cs="Times New Roman"/>
          <w:sz w:val="24"/>
          <w:szCs w:val="24"/>
        </w:rPr>
        <w:t xml:space="preserve">a by-product of investment in </w:t>
      </w:r>
      <w:r w:rsidR="00E7433C">
        <w:rPr>
          <w:rFonts w:ascii="Times New Roman" w:hAnsi="Times New Roman" w:cs="Times New Roman"/>
          <w:sz w:val="24"/>
          <w:szCs w:val="24"/>
        </w:rPr>
        <w:t xml:space="preserve">R&amp;D </w:t>
      </w:r>
      <w:r w:rsidR="00FD7167">
        <w:rPr>
          <w:rFonts w:ascii="Times New Roman" w:hAnsi="Times New Roman" w:cs="Times New Roman"/>
          <w:sz w:val="24"/>
          <w:szCs w:val="24"/>
        </w:rPr>
        <w:t xml:space="preserve">is the creation of skilled </w:t>
      </w:r>
      <w:r w:rsidR="002F7452">
        <w:rPr>
          <w:rFonts w:ascii="Times New Roman" w:hAnsi="Times New Roman" w:cs="Times New Roman"/>
          <w:sz w:val="24"/>
          <w:szCs w:val="24"/>
        </w:rPr>
        <w:t>labour pool</w:t>
      </w:r>
      <w:r w:rsidR="00E7433C">
        <w:rPr>
          <w:rFonts w:ascii="Times New Roman" w:hAnsi="Times New Roman" w:cs="Times New Roman"/>
          <w:sz w:val="24"/>
          <w:szCs w:val="24"/>
        </w:rPr>
        <w:t>s</w:t>
      </w:r>
      <w:r w:rsidR="00421E6F">
        <w:rPr>
          <w:rFonts w:ascii="Times New Roman" w:hAnsi="Times New Roman" w:cs="Times New Roman"/>
          <w:sz w:val="24"/>
          <w:szCs w:val="24"/>
        </w:rPr>
        <w:t xml:space="preserve">, the </w:t>
      </w:r>
      <w:r w:rsidR="009E694C">
        <w:rPr>
          <w:rFonts w:ascii="Times New Roman" w:hAnsi="Times New Roman" w:cs="Times New Roman"/>
          <w:sz w:val="24"/>
          <w:szCs w:val="24"/>
        </w:rPr>
        <w:t>benefits</w:t>
      </w:r>
      <w:r w:rsidR="00421E6F">
        <w:rPr>
          <w:rFonts w:ascii="Times New Roman" w:hAnsi="Times New Roman" w:cs="Times New Roman"/>
          <w:sz w:val="24"/>
          <w:szCs w:val="24"/>
        </w:rPr>
        <w:t xml:space="preserve"> of which, like knowledge, cannot be fully appropriated by the firm creating them</w:t>
      </w:r>
      <w:r w:rsidR="002F7452">
        <w:rPr>
          <w:rFonts w:ascii="Times New Roman" w:hAnsi="Times New Roman" w:cs="Times New Roman"/>
          <w:sz w:val="24"/>
          <w:szCs w:val="24"/>
        </w:rPr>
        <w:t xml:space="preserve">; </w:t>
      </w:r>
      <w:r w:rsidR="00421E6F">
        <w:rPr>
          <w:rFonts w:ascii="Times New Roman" w:hAnsi="Times New Roman" w:cs="Times New Roman"/>
          <w:sz w:val="24"/>
          <w:szCs w:val="24"/>
        </w:rPr>
        <w:t xml:space="preserve">and </w:t>
      </w:r>
      <w:r w:rsidR="002F7452">
        <w:rPr>
          <w:rFonts w:ascii="Times New Roman" w:hAnsi="Times New Roman" w:cs="Times New Roman"/>
          <w:sz w:val="24"/>
          <w:szCs w:val="24"/>
        </w:rPr>
        <w:t>consumer and producer surpluses generated by quality and productivity</w:t>
      </w:r>
      <w:r w:rsidR="00E7433C">
        <w:rPr>
          <w:rFonts w:ascii="Times New Roman" w:hAnsi="Times New Roman" w:cs="Times New Roman"/>
          <w:sz w:val="24"/>
          <w:szCs w:val="24"/>
        </w:rPr>
        <w:t xml:space="preserve"> </w:t>
      </w:r>
      <w:r w:rsidR="009E694C">
        <w:rPr>
          <w:rFonts w:ascii="Times New Roman" w:hAnsi="Times New Roman" w:cs="Times New Roman"/>
          <w:sz w:val="24"/>
          <w:szCs w:val="24"/>
        </w:rPr>
        <w:t>improvements</w:t>
      </w:r>
      <w:r w:rsidR="002F7452">
        <w:rPr>
          <w:rFonts w:ascii="Times New Roman" w:hAnsi="Times New Roman" w:cs="Times New Roman"/>
          <w:sz w:val="24"/>
          <w:szCs w:val="24"/>
        </w:rPr>
        <w:t xml:space="preserve"> embodied in goods and services arising from R&amp;D that are not fully reflected in the price of the new go</w:t>
      </w:r>
      <w:r w:rsidR="00421E6F">
        <w:rPr>
          <w:rFonts w:ascii="Times New Roman" w:hAnsi="Times New Roman" w:cs="Times New Roman"/>
          <w:sz w:val="24"/>
          <w:szCs w:val="24"/>
        </w:rPr>
        <w:t>o</w:t>
      </w:r>
      <w:r w:rsidR="002F7452">
        <w:rPr>
          <w:rFonts w:ascii="Times New Roman" w:hAnsi="Times New Roman" w:cs="Times New Roman"/>
          <w:sz w:val="24"/>
          <w:szCs w:val="24"/>
        </w:rPr>
        <w:t xml:space="preserve">d or service.  </w:t>
      </w:r>
    </w:p>
    <w:p w:rsidR="002D6750" w:rsidRPr="008174B4" w:rsidRDefault="001E6602" w:rsidP="00B570D5">
      <w:pPr>
        <w:spacing w:before="240"/>
        <w:jc w:val="both"/>
        <w:rPr>
          <w:rFonts w:ascii="Times New Roman" w:hAnsi="Times New Roman" w:cs="Times New Roman"/>
          <w:sz w:val="24"/>
          <w:szCs w:val="24"/>
        </w:rPr>
      </w:pPr>
      <w:r>
        <w:rPr>
          <w:rFonts w:ascii="Times New Roman" w:hAnsi="Times New Roman" w:cs="Times New Roman"/>
          <w:sz w:val="24"/>
          <w:szCs w:val="24"/>
        </w:rPr>
        <w:t xml:space="preserve">Assuming shut down of the industry and </w:t>
      </w:r>
      <w:r w:rsidR="009E694C">
        <w:rPr>
          <w:rFonts w:ascii="Times New Roman" w:hAnsi="Times New Roman" w:cs="Times New Roman"/>
          <w:sz w:val="24"/>
          <w:szCs w:val="24"/>
        </w:rPr>
        <w:t>cessation</w:t>
      </w:r>
      <w:r>
        <w:rPr>
          <w:rFonts w:ascii="Times New Roman" w:hAnsi="Times New Roman" w:cs="Times New Roman"/>
          <w:sz w:val="24"/>
          <w:szCs w:val="24"/>
        </w:rPr>
        <w:t xml:space="preserve"> of its R&amp;D </w:t>
      </w:r>
      <w:r w:rsidR="0084349F">
        <w:rPr>
          <w:rFonts w:ascii="Times New Roman" w:hAnsi="Times New Roman" w:cs="Times New Roman"/>
          <w:sz w:val="24"/>
          <w:szCs w:val="24"/>
        </w:rPr>
        <w:t>g</w:t>
      </w:r>
      <w:r w:rsidR="00396417" w:rsidRPr="008174B4">
        <w:rPr>
          <w:rFonts w:ascii="Times New Roman" w:hAnsi="Times New Roman" w:cs="Times New Roman"/>
          <w:sz w:val="24"/>
          <w:szCs w:val="24"/>
        </w:rPr>
        <w:t>ov</w:t>
      </w:r>
      <w:r w:rsidR="0084349F">
        <w:rPr>
          <w:rFonts w:ascii="Times New Roman" w:hAnsi="Times New Roman" w:cs="Times New Roman"/>
          <w:sz w:val="24"/>
          <w:szCs w:val="24"/>
        </w:rPr>
        <w:t xml:space="preserve">ernment </w:t>
      </w:r>
      <w:r w:rsidR="00396417" w:rsidRPr="008174B4">
        <w:rPr>
          <w:rFonts w:ascii="Times New Roman" w:hAnsi="Times New Roman" w:cs="Times New Roman"/>
          <w:sz w:val="24"/>
          <w:szCs w:val="24"/>
        </w:rPr>
        <w:t xml:space="preserve">will have to compensate for </w:t>
      </w:r>
      <w:r w:rsidR="00DA6443">
        <w:rPr>
          <w:rFonts w:ascii="Times New Roman" w:hAnsi="Times New Roman" w:cs="Times New Roman"/>
          <w:sz w:val="24"/>
          <w:szCs w:val="24"/>
        </w:rPr>
        <w:t xml:space="preserve">the </w:t>
      </w:r>
      <w:r w:rsidR="00396417" w:rsidRPr="008174B4">
        <w:rPr>
          <w:rFonts w:ascii="Times New Roman" w:hAnsi="Times New Roman" w:cs="Times New Roman"/>
          <w:sz w:val="24"/>
          <w:szCs w:val="24"/>
        </w:rPr>
        <w:t xml:space="preserve">loss of </w:t>
      </w:r>
      <w:r w:rsidR="0084349F">
        <w:rPr>
          <w:rFonts w:ascii="Times New Roman" w:hAnsi="Times New Roman" w:cs="Times New Roman"/>
          <w:sz w:val="24"/>
          <w:szCs w:val="24"/>
        </w:rPr>
        <w:t xml:space="preserve">over </w:t>
      </w:r>
      <w:r w:rsidR="00396417" w:rsidRPr="008174B4">
        <w:rPr>
          <w:rFonts w:ascii="Times New Roman" w:hAnsi="Times New Roman" w:cs="Times New Roman"/>
          <w:sz w:val="24"/>
          <w:szCs w:val="24"/>
        </w:rPr>
        <w:t>$600</w:t>
      </w:r>
      <w:r w:rsidR="00383712">
        <w:rPr>
          <w:rFonts w:ascii="Times New Roman" w:hAnsi="Times New Roman" w:cs="Times New Roman"/>
          <w:sz w:val="24"/>
          <w:szCs w:val="24"/>
        </w:rPr>
        <w:t>m</w:t>
      </w:r>
      <w:r w:rsidR="00396417" w:rsidRPr="008174B4">
        <w:rPr>
          <w:rFonts w:ascii="Times New Roman" w:hAnsi="Times New Roman" w:cs="Times New Roman"/>
          <w:sz w:val="24"/>
          <w:szCs w:val="24"/>
        </w:rPr>
        <w:t xml:space="preserve"> in private R&amp;D </w:t>
      </w:r>
      <w:r w:rsidR="0084349F">
        <w:rPr>
          <w:rFonts w:ascii="Times New Roman" w:hAnsi="Times New Roman" w:cs="Times New Roman"/>
          <w:sz w:val="24"/>
          <w:szCs w:val="24"/>
        </w:rPr>
        <w:t xml:space="preserve">by either increasing its own public R&amp;D by an </w:t>
      </w:r>
      <w:r w:rsidR="009E694C">
        <w:rPr>
          <w:rFonts w:ascii="Times New Roman" w:hAnsi="Times New Roman" w:cs="Times New Roman"/>
          <w:sz w:val="24"/>
          <w:szCs w:val="24"/>
        </w:rPr>
        <w:t>equivalent</w:t>
      </w:r>
      <w:r w:rsidR="0084349F">
        <w:rPr>
          <w:rFonts w:ascii="Times New Roman" w:hAnsi="Times New Roman" w:cs="Times New Roman"/>
          <w:sz w:val="24"/>
          <w:szCs w:val="24"/>
        </w:rPr>
        <w:t xml:space="preserve"> amount or </w:t>
      </w:r>
      <w:r w:rsidR="009E694C">
        <w:rPr>
          <w:rFonts w:ascii="Times New Roman" w:hAnsi="Times New Roman" w:cs="Times New Roman"/>
          <w:sz w:val="24"/>
          <w:szCs w:val="24"/>
        </w:rPr>
        <w:t>providing</w:t>
      </w:r>
      <w:r w:rsidR="0084349F">
        <w:rPr>
          <w:rFonts w:ascii="Times New Roman" w:hAnsi="Times New Roman" w:cs="Times New Roman"/>
          <w:sz w:val="24"/>
          <w:szCs w:val="24"/>
        </w:rPr>
        <w:t xml:space="preserve"> incentives to private entities to increase their R&amp;D by an equivalent amount. It is highly </w:t>
      </w:r>
      <w:r w:rsidR="009E694C">
        <w:rPr>
          <w:rFonts w:ascii="Times New Roman" w:hAnsi="Times New Roman" w:cs="Times New Roman"/>
          <w:sz w:val="24"/>
          <w:szCs w:val="24"/>
        </w:rPr>
        <w:t>unlikely</w:t>
      </w:r>
      <w:r w:rsidR="0084349F">
        <w:rPr>
          <w:rFonts w:ascii="Times New Roman" w:hAnsi="Times New Roman" w:cs="Times New Roman"/>
          <w:sz w:val="24"/>
          <w:szCs w:val="24"/>
        </w:rPr>
        <w:t xml:space="preserve"> that a si</w:t>
      </w:r>
      <w:r w:rsidR="00DA6443">
        <w:rPr>
          <w:rFonts w:ascii="Times New Roman" w:hAnsi="Times New Roman" w:cs="Times New Roman"/>
          <w:sz w:val="24"/>
          <w:szCs w:val="24"/>
        </w:rPr>
        <w:t>g</w:t>
      </w:r>
      <w:r w:rsidR="0084349F">
        <w:rPr>
          <w:rFonts w:ascii="Times New Roman" w:hAnsi="Times New Roman" w:cs="Times New Roman"/>
          <w:sz w:val="24"/>
          <w:szCs w:val="24"/>
        </w:rPr>
        <w:t>ni</w:t>
      </w:r>
      <w:r w:rsidR="00DA6443">
        <w:rPr>
          <w:rFonts w:ascii="Times New Roman" w:hAnsi="Times New Roman" w:cs="Times New Roman"/>
          <w:sz w:val="24"/>
          <w:szCs w:val="24"/>
        </w:rPr>
        <w:t>f</w:t>
      </w:r>
      <w:r w:rsidR="0084349F">
        <w:rPr>
          <w:rFonts w:ascii="Times New Roman" w:hAnsi="Times New Roman" w:cs="Times New Roman"/>
          <w:sz w:val="24"/>
          <w:szCs w:val="24"/>
        </w:rPr>
        <w:t>icant</w:t>
      </w:r>
      <w:r w:rsidR="00DA6443">
        <w:rPr>
          <w:rFonts w:ascii="Times New Roman" w:hAnsi="Times New Roman" w:cs="Times New Roman"/>
          <w:sz w:val="24"/>
          <w:szCs w:val="24"/>
        </w:rPr>
        <w:t xml:space="preserve"> R&amp;D facility will be sustained in the longer term given the distinct advantages to co-locating production and R&amp;D. I</w:t>
      </w:r>
      <w:r w:rsidR="00023E25">
        <w:rPr>
          <w:rFonts w:ascii="Times New Roman" w:hAnsi="Times New Roman" w:cs="Times New Roman"/>
          <w:sz w:val="24"/>
          <w:szCs w:val="24"/>
        </w:rPr>
        <w:t xml:space="preserve">f </w:t>
      </w:r>
      <w:r w:rsidR="00DA6443">
        <w:rPr>
          <w:rFonts w:ascii="Times New Roman" w:hAnsi="Times New Roman" w:cs="Times New Roman"/>
          <w:sz w:val="24"/>
          <w:szCs w:val="24"/>
        </w:rPr>
        <w:t xml:space="preserve">the broader </w:t>
      </w:r>
      <w:r w:rsidR="00023E25">
        <w:rPr>
          <w:rFonts w:ascii="Times New Roman" w:hAnsi="Times New Roman" w:cs="Times New Roman"/>
          <w:sz w:val="24"/>
          <w:szCs w:val="24"/>
        </w:rPr>
        <w:t>auto sector</w:t>
      </w:r>
      <w:r w:rsidR="00AD6DD5">
        <w:rPr>
          <w:rFonts w:ascii="Times New Roman" w:hAnsi="Times New Roman" w:cs="Times New Roman"/>
          <w:sz w:val="24"/>
          <w:szCs w:val="24"/>
        </w:rPr>
        <w:t xml:space="preserve"> is brought </w:t>
      </w:r>
      <w:r w:rsidR="0084349F">
        <w:rPr>
          <w:rFonts w:ascii="Times New Roman" w:hAnsi="Times New Roman" w:cs="Times New Roman"/>
          <w:sz w:val="24"/>
          <w:szCs w:val="24"/>
        </w:rPr>
        <w:t>into</w:t>
      </w:r>
      <w:r w:rsidR="00AD6DD5">
        <w:rPr>
          <w:rFonts w:ascii="Times New Roman" w:hAnsi="Times New Roman" w:cs="Times New Roman"/>
          <w:sz w:val="24"/>
          <w:szCs w:val="24"/>
        </w:rPr>
        <w:t xml:space="preserve"> the </w:t>
      </w:r>
      <w:r w:rsidR="0084349F">
        <w:rPr>
          <w:rFonts w:ascii="Times New Roman" w:hAnsi="Times New Roman" w:cs="Times New Roman"/>
          <w:sz w:val="24"/>
          <w:szCs w:val="24"/>
        </w:rPr>
        <w:t>a</w:t>
      </w:r>
      <w:r w:rsidR="00AD6DD5">
        <w:rPr>
          <w:rFonts w:ascii="Times New Roman" w:hAnsi="Times New Roman" w:cs="Times New Roman"/>
          <w:sz w:val="24"/>
          <w:szCs w:val="24"/>
        </w:rPr>
        <w:t xml:space="preserve">nalysis with value added </w:t>
      </w:r>
      <w:r w:rsidR="0084349F">
        <w:rPr>
          <w:rFonts w:ascii="Times New Roman" w:hAnsi="Times New Roman" w:cs="Times New Roman"/>
          <w:sz w:val="24"/>
          <w:szCs w:val="24"/>
        </w:rPr>
        <w:t xml:space="preserve">roughly equivalent to that of the </w:t>
      </w:r>
      <w:r w:rsidR="00AD6DD5">
        <w:rPr>
          <w:rFonts w:ascii="Times New Roman" w:hAnsi="Times New Roman" w:cs="Times New Roman"/>
          <w:sz w:val="24"/>
          <w:szCs w:val="24"/>
        </w:rPr>
        <w:t>aut</w:t>
      </w:r>
      <w:r w:rsidR="0084349F">
        <w:rPr>
          <w:rFonts w:ascii="Times New Roman" w:hAnsi="Times New Roman" w:cs="Times New Roman"/>
          <w:sz w:val="24"/>
          <w:szCs w:val="24"/>
        </w:rPr>
        <w:t>o</w:t>
      </w:r>
      <w:r w:rsidR="00AD6DD5">
        <w:rPr>
          <w:rFonts w:ascii="Times New Roman" w:hAnsi="Times New Roman" w:cs="Times New Roman"/>
          <w:sz w:val="24"/>
          <w:szCs w:val="24"/>
        </w:rPr>
        <w:t xml:space="preserve"> industry and assuming </w:t>
      </w:r>
      <w:r w:rsidR="00023E25">
        <w:rPr>
          <w:rFonts w:ascii="Times New Roman" w:hAnsi="Times New Roman" w:cs="Times New Roman"/>
          <w:sz w:val="24"/>
          <w:szCs w:val="24"/>
        </w:rPr>
        <w:t xml:space="preserve">R&amp;D intensity </w:t>
      </w:r>
      <w:r w:rsidR="00AD6DD5">
        <w:rPr>
          <w:rFonts w:ascii="Times New Roman" w:hAnsi="Times New Roman" w:cs="Times New Roman"/>
          <w:sz w:val="24"/>
          <w:szCs w:val="24"/>
        </w:rPr>
        <w:t xml:space="preserve">less than half that of the auto industry </w:t>
      </w:r>
      <w:r w:rsidR="00023E25">
        <w:rPr>
          <w:rFonts w:ascii="Times New Roman" w:hAnsi="Times New Roman" w:cs="Times New Roman"/>
          <w:sz w:val="24"/>
          <w:szCs w:val="24"/>
        </w:rPr>
        <w:t xml:space="preserve">(5%) </w:t>
      </w:r>
      <w:r w:rsidR="00AD6DD5">
        <w:rPr>
          <w:rFonts w:ascii="Times New Roman" w:hAnsi="Times New Roman" w:cs="Times New Roman"/>
          <w:sz w:val="24"/>
          <w:szCs w:val="24"/>
        </w:rPr>
        <w:t xml:space="preserve">then </w:t>
      </w:r>
      <w:r w:rsidR="00023E25">
        <w:rPr>
          <w:rFonts w:ascii="Times New Roman" w:hAnsi="Times New Roman" w:cs="Times New Roman"/>
          <w:sz w:val="24"/>
          <w:szCs w:val="24"/>
        </w:rPr>
        <w:t xml:space="preserve">R&amp;D </w:t>
      </w:r>
      <w:r w:rsidR="009E694C">
        <w:rPr>
          <w:rFonts w:ascii="Times New Roman" w:hAnsi="Times New Roman" w:cs="Times New Roman"/>
          <w:sz w:val="24"/>
          <w:szCs w:val="24"/>
        </w:rPr>
        <w:t>equivalent</w:t>
      </w:r>
      <w:r w:rsidR="00023E25">
        <w:rPr>
          <w:rFonts w:ascii="Times New Roman" w:hAnsi="Times New Roman" w:cs="Times New Roman"/>
          <w:sz w:val="24"/>
          <w:szCs w:val="24"/>
        </w:rPr>
        <w:t xml:space="preserve"> to </w:t>
      </w:r>
      <w:r w:rsidR="00ED673B">
        <w:rPr>
          <w:rFonts w:ascii="Times New Roman" w:hAnsi="Times New Roman" w:cs="Times New Roman"/>
          <w:sz w:val="24"/>
          <w:szCs w:val="24"/>
        </w:rPr>
        <w:t xml:space="preserve">around </w:t>
      </w:r>
      <w:r w:rsidR="00AD6DD5">
        <w:rPr>
          <w:rFonts w:ascii="Times New Roman" w:hAnsi="Times New Roman" w:cs="Times New Roman"/>
          <w:sz w:val="24"/>
          <w:szCs w:val="24"/>
        </w:rPr>
        <w:t>$</w:t>
      </w:r>
      <w:r w:rsidR="00ED673B">
        <w:rPr>
          <w:rFonts w:ascii="Times New Roman" w:hAnsi="Times New Roman" w:cs="Times New Roman"/>
          <w:sz w:val="24"/>
          <w:szCs w:val="24"/>
        </w:rPr>
        <w:t>3</w:t>
      </w:r>
      <w:r w:rsidR="00AD6DD5">
        <w:rPr>
          <w:rFonts w:ascii="Times New Roman" w:hAnsi="Times New Roman" w:cs="Times New Roman"/>
          <w:sz w:val="24"/>
          <w:szCs w:val="24"/>
        </w:rPr>
        <w:t xml:space="preserve">00m will </w:t>
      </w:r>
      <w:r w:rsidR="00ED673B">
        <w:rPr>
          <w:rFonts w:ascii="Times New Roman" w:hAnsi="Times New Roman" w:cs="Times New Roman"/>
          <w:sz w:val="24"/>
          <w:szCs w:val="24"/>
        </w:rPr>
        <w:t xml:space="preserve">also </w:t>
      </w:r>
      <w:r w:rsidR="00AD6DD5">
        <w:rPr>
          <w:rFonts w:ascii="Times New Roman" w:hAnsi="Times New Roman" w:cs="Times New Roman"/>
          <w:sz w:val="24"/>
          <w:szCs w:val="24"/>
        </w:rPr>
        <w:t xml:space="preserve">be lost. These estimates rely on the </w:t>
      </w:r>
      <w:r w:rsidR="009E694C">
        <w:rPr>
          <w:rFonts w:ascii="Times New Roman" w:hAnsi="Times New Roman" w:cs="Times New Roman"/>
          <w:sz w:val="24"/>
          <w:szCs w:val="24"/>
        </w:rPr>
        <w:t>strong</w:t>
      </w:r>
      <w:r w:rsidR="00AD6DD5">
        <w:rPr>
          <w:rFonts w:ascii="Times New Roman" w:hAnsi="Times New Roman" w:cs="Times New Roman"/>
          <w:sz w:val="24"/>
          <w:szCs w:val="24"/>
        </w:rPr>
        <w:t xml:space="preserve"> assumption that auto production </w:t>
      </w:r>
      <w:r w:rsidR="00ED673B">
        <w:rPr>
          <w:rFonts w:ascii="Times New Roman" w:hAnsi="Times New Roman" w:cs="Times New Roman"/>
          <w:sz w:val="24"/>
          <w:szCs w:val="24"/>
        </w:rPr>
        <w:t xml:space="preserve">and associated inputs </w:t>
      </w:r>
      <w:r w:rsidR="00AD6DD5">
        <w:rPr>
          <w:rFonts w:ascii="Times New Roman" w:hAnsi="Times New Roman" w:cs="Times New Roman"/>
          <w:sz w:val="24"/>
          <w:szCs w:val="24"/>
        </w:rPr>
        <w:t xml:space="preserve">ceases when </w:t>
      </w:r>
      <w:r w:rsidR="009E694C">
        <w:rPr>
          <w:rFonts w:ascii="Times New Roman" w:hAnsi="Times New Roman" w:cs="Times New Roman"/>
          <w:sz w:val="24"/>
          <w:szCs w:val="24"/>
        </w:rPr>
        <w:t>assistance</w:t>
      </w:r>
      <w:r w:rsidR="00AD6DD5">
        <w:rPr>
          <w:rFonts w:ascii="Times New Roman" w:hAnsi="Times New Roman" w:cs="Times New Roman"/>
          <w:sz w:val="24"/>
          <w:szCs w:val="24"/>
        </w:rPr>
        <w:t xml:space="preserve"> is withdrawn.  </w:t>
      </w:r>
      <w:r w:rsidR="00023E25">
        <w:rPr>
          <w:rFonts w:ascii="Times New Roman" w:hAnsi="Times New Roman" w:cs="Times New Roman"/>
          <w:sz w:val="24"/>
          <w:szCs w:val="24"/>
        </w:rPr>
        <w:t xml:space="preserve"> </w:t>
      </w:r>
    </w:p>
    <w:p w:rsidR="007661FF" w:rsidRDefault="009E694C" w:rsidP="00B570D5">
      <w:pPr>
        <w:jc w:val="both"/>
        <w:rPr>
          <w:rFonts w:ascii="Times New Roman" w:hAnsi="Times New Roman" w:cs="Times New Roman"/>
          <w:sz w:val="24"/>
          <w:szCs w:val="24"/>
        </w:rPr>
      </w:pPr>
      <w:r>
        <w:rPr>
          <w:rFonts w:ascii="Times New Roman" w:hAnsi="Times New Roman" w:cs="Times New Roman"/>
          <w:sz w:val="24"/>
          <w:szCs w:val="24"/>
        </w:rPr>
        <w:t xml:space="preserve">The cost of substituting this lost private R&amp;D with public R&amp;D is more than the budgetary assistance to the auto industry and if the wider auto sector is included, substituting public funds for this is close to the total value of net assistance to the auto sector.  </w:t>
      </w:r>
    </w:p>
    <w:p w:rsidR="00396417" w:rsidRDefault="007661FF" w:rsidP="00B570D5">
      <w:pPr>
        <w:jc w:val="both"/>
        <w:rPr>
          <w:rFonts w:ascii="Times New Roman" w:hAnsi="Times New Roman" w:cs="Times New Roman"/>
          <w:sz w:val="24"/>
          <w:szCs w:val="24"/>
        </w:rPr>
      </w:pPr>
      <w:r>
        <w:rPr>
          <w:rFonts w:ascii="Times New Roman" w:hAnsi="Times New Roman" w:cs="Times New Roman"/>
          <w:sz w:val="24"/>
          <w:szCs w:val="24"/>
        </w:rPr>
        <w:t xml:space="preserve">It is illicit to assume that in the </w:t>
      </w:r>
      <w:r w:rsidR="009E694C">
        <w:rPr>
          <w:rFonts w:ascii="Times New Roman" w:hAnsi="Times New Roman" w:cs="Times New Roman"/>
          <w:sz w:val="24"/>
          <w:szCs w:val="24"/>
        </w:rPr>
        <w:t>absence</w:t>
      </w:r>
      <w:r>
        <w:rPr>
          <w:rFonts w:ascii="Times New Roman" w:hAnsi="Times New Roman" w:cs="Times New Roman"/>
          <w:sz w:val="24"/>
          <w:szCs w:val="24"/>
        </w:rPr>
        <w:t xml:space="preserve"> of </w:t>
      </w:r>
      <w:r w:rsidR="009E694C">
        <w:rPr>
          <w:rFonts w:ascii="Times New Roman" w:hAnsi="Times New Roman" w:cs="Times New Roman"/>
          <w:sz w:val="24"/>
          <w:szCs w:val="24"/>
        </w:rPr>
        <w:t>assistance</w:t>
      </w:r>
      <w:r>
        <w:rPr>
          <w:rFonts w:ascii="Times New Roman" w:hAnsi="Times New Roman" w:cs="Times New Roman"/>
          <w:sz w:val="24"/>
          <w:szCs w:val="24"/>
        </w:rPr>
        <w:t xml:space="preserve"> </w:t>
      </w:r>
      <w:r w:rsidR="009E694C">
        <w:rPr>
          <w:rFonts w:ascii="Times New Roman" w:hAnsi="Times New Roman" w:cs="Times New Roman"/>
          <w:sz w:val="24"/>
          <w:szCs w:val="24"/>
        </w:rPr>
        <w:t>to</w:t>
      </w:r>
      <w:r>
        <w:rPr>
          <w:rFonts w:ascii="Times New Roman" w:hAnsi="Times New Roman" w:cs="Times New Roman"/>
          <w:sz w:val="24"/>
          <w:szCs w:val="24"/>
        </w:rPr>
        <w:t xml:space="preserve"> the sector these R&amp;D </w:t>
      </w:r>
      <w:r w:rsidR="009E694C">
        <w:rPr>
          <w:rFonts w:ascii="Times New Roman" w:hAnsi="Times New Roman" w:cs="Times New Roman"/>
          <w:sz w:val="24"/>
          <w:szCs w:val="24"/>
        </w:rPr>
        <w:t>resources</w:t>
      </w:r>
      <w:r>
        <w:rPr>
          <w:rFonts w:ascii="Times New Roman" w:hAnsi="Times New Roman" w:cs="Times New Roman"/>
          <w:sz w:val="24"/>
          <w:szCs w:val="24"/>
        </w:rPr>
        <w:t xml:space="preserve"> will be </w:t>
      </w:r>
      <w:r w:rsidR="00396417">
        <w:rPr>
          <w:rFonts w:ascii="Times New Roman" w:hAnsi="Times New Roman" w:cs="Times New Roman"/>
          <w:sz w:val="24"/>
          <w:szCs w:val="24"/>
        </w:rPr>
        <w:t xml:space="preserve">fully employed </w:t>
      </w:r>
      <w:r>
        <w:rPr>
          <w:rFonts w:ascii="Times New Roman" w:hAnsi="Times New Roman" w:cs="Times New Roman"/>
          <w:sz w:val="24"/>
          <w:szCs w:val="24"/>
        </w:rPr>
        <w:t xml:space="preserve">elsewhere. There is </w:t>
      </w:r>
      <w:r w:rsidR="00D76871">
        <w:rPr>
          <w:rFonts w:ascii="Times New Roman" w:hAnsi="Times New Roman" w:cs="Times New Roman"/>
          <w:sz w:val="24"/>
          <w:szCs w:val="24"/>
        </w:rPr>
        <w:t>no sense in which gov</w:t>
      </w:r>
      <w:r>
        <w:rPr>
          <w:rFonts w:ascii="Times New Roman" w:hAnsi="Times New Roman" w:cs="Times New Roman"/>
          <w:sz w:val="24"/>
          <w:szCs w:val="24"/>
        </w:rPr>
        <w:t xml:space="preserve">ernment </w:t>
      </w:r>
      <w:r w:rsidR="00F41D27">
        <w:rPr>
          <w:rFonts w:ascii="Times New Roman" w:hAnsi="Times New Roman" w:cs="Times New Roman"/>
          <w:sz w:val="24"/>
          <w:szCs w:val="24"/>
        </w:rPr>
        <w:t>assis</w:t>
      </w:r>
      <w:r w:rsidR="00D76871">
        <w:rPr>
          <w:rFonts w:ascii="Times New Roman" w:hAnsi="Times New Roman" w:cs="Times New Roman"/>
          <w:sz w:val="24"/>
          <w:szCs w:val="24"/>
        </w:rPr>
        <w:t>tance to autos ‘crowds out’</w:t>
      </w:r>
      <w:r w:rsidR="00243E62">
        <w:rPr>
          <w:rFonts w:ascii="Times New Roman" w:hAnsi="Times New Roman" w:cs="Times New Roman"/>
          <w:sz w:val="24"/>
          <w:szCs w:val="24"/>
        </w:rPr>
        <w:t xml:space="preserve"> </w:t>
      </w:r>
      <w:r w:rsidR="00D76871">
        <w:rPr>
          <w:rFonts w:ascii="Times New Roman" w:hAnsi="Times New Roman" w:cs="Times New Roman"/>
          <w:sz w:val="24"/>
          <w:szCs w:val="24"/>
        </w:rPr>
        <w:t>or prevents other i</w:t>
      </w:r>
      <w:r w:rsidR="00F41D27">
        <w:rPr>
          <w:rFonts w:ascii="Times New Roman" w:hAnsi="Times New Roman" w:cs="Times New Roman"/>
          <w:sz w:val="24"/>
          <w:szCs w:val="24"/>
        </w:rPr>
        <w:t>n</w:t>
      </w:r>
      <w:r w:rsidR="00D76871">
        <w:rPr>
          <w:rFonts w:ascii="Times New Roman" w:hAnsi="Times New Roman" w:cs="Times New Roman"/>
          <w:sz w:val="24"/>
          <w:szCs w:val="24"/>
        </w:rPr>
        <w:t>dustri</w:t>
      </w:r>
      <w:r w:rsidR="00F41D27">
        <w:rPr>
          <w:rFonts w:ascii="Times New Roman" w:hAnsi="Times New Roman" w:cs="Times New Roman"/>
          <w:sz w:val="24"/>
          <w:szCs w:val="24"/>
        </w:rPr>
        <w:t>e</w:t>
      </w:r>
      <w:r w:rsidR="00D76871">
        <w:rPr>
          <w:rFonts w:ascii="Times New Roman" w:hAnsi="Times New Roman" w:cs="Times New Roman"/>
          <w:sz w:val="24"/>
          <w:szCs w:val="24"/>
        </w:rPr>
        <w:t>s from undertaking R&amp;D</w:t>
      </w:r>
      <w:r>
        <w:rPr>
          <w:rFonts w:ascii="Times New Roman" w:hAnsi="Times New Roman" w:cs="Times New Roman"/>
          <w:sz w:val="24"/>
          <w:szCs w:val="24"/>
        </w:rPr>
        <w:t xml:space="preserve">. </w:t>
      </w:r>
      <w:r w:rsidR="00F41D27">
        <w:rPr>
          <w:rFonts w:ascii="Times New Roman" w:hAnsi="Times New Roman" w:cs="Times New Roman"/>
          <w:sz w:val="24"/>
          <w:szCs w:val="24"/>
        </w:rPr>
        <w:t xml:space="preserve">Resources employed in R&amp;D such as capital equipment, </w:t>
      </w:r>
      <w:r w:rsidR="009E694C">
        <w:rPr>
          <w:rFonts w:ascii="Times New Roman" w:hAnsi="Times New Roman" w:cs="Times New Roman"/>
          <w:sz w:val="24"/>
          <w:szCs w:val="24"/>
        </w:rPr>
        <w:t>consumables</w:t>
      </w:r>
      <w:r w:rsidR="00F41D27">
        <w:rPr>
          <w:rFonts w:ascii="Times New Roman" w:hAnsi="Times New Roman" w:cs="Times New Roman"/>
          <w:sz w:val="24"/>
          <w:szCs w:val="24"/>
        </w:rPr>
        <w:t xml:space="preserve"> and skilled labour are produced factors of production with elastic supply schedules.</w:t>
      </w:r>
      <w:r w:rsidR="00243E62">
        <w:rPr>
          <w:rFonts w:ascii="Times New Roman" w:hAnsi="Times New Roman" w:cs="Times New Roman"/>
          <w:sz w:val="24"/>
          <w:szCs w:val="24"/>
        </w:rPr>
        <w:t xml:space="preserve"> </w:t>
      </w:r>
      <w:r w:rsidR="00F41D27">
        <w:rPr>
          <w:rFonts w:ascii="Times New Roman" w:hAnsi="Times New Roman" w:cs="Times New Roman"/>
          <w:sz w:val="24"/>
          <w:szCs w:val="24"/>
        </w:rPr>
        <w:t xml:space="preserve">  </w:t>
      </w:r>
    </w:p>
    <w:p w:rsidR="00243E62" w:rsidRDefault="007661FF" w:rsidP="00B570D5">
      <w:pPr>
        <w:jc w:val="both"/>
        <w:rPr>
          <w:rFonts w:ascii="Times New Roman" w:hAnsi="Times New Roman" w:cs="Times New Roman"/>
          <w:sz w:val="24"/>
          <w:szCs w:val="24"/>
        </w:rPr>
      </w:pPr>
      <w:r>
        <w:rPr>
          <w:rFonts w:ascii="Times New Roman" w:hAnsi="Times New Roman" w:cs="Times New Roman"/>
          <w:sz w:val="24"/>
          <w:szCs w:val="24"/>
        </w:rPr>
        <w:t xml:space="preserve">The </w:t>
      </w:r>
      <w:r w:rsidR="00F41D27">
        <w:rPr>
          <w:rFonts w:ascii="Times New Roman" w:hAnsi="Times New Roman" w:cs="Times New Roman"/>
          <w:sz w:val="24"/>
          <w:szCs w:val="24"/>
        </w:rPr>
        <w:t>loss of auto R&amp;D</w:t>
      </w:r>
      <w:r w:rsidR="00C81921">
        <w:rPr>
          <w:rFonts w:ascii="Times New Roman" w:hAnsi="Times New Roman" w:cs="Times New Roman"/>
          <w:sz w:val="24"/>
          <w:szCs w:val="24"/>
        </w:rPr>
        <w:t>, representing 14% of total manufacturing industry R&amp;D</w:t>
      </w:r>
      <w:r w:rsidR="00973338">
        <w:rPr>
          <w:rFonts w:ascii="Times New Roman" w:hAnsi="Times New Roman" w:cs="Times New Roman"/>
          <w:sz w:val="24"/>
          <w:szCs w:val="24"/>
        </w:rPr>
        <w:t>,</w:t>
      </w:r>
      <w:r w:rsidR="00C81921">
        <w:rPr>
          <w:rFonts w:ascii="Times New Roman" w:hAnsi="Times New Roman" w:cs="Times New Roman"/>
          <w:sz w:val="24"/>
          <w:szCs w:val="24"/>
        </w:rPr>
        <w:t xml:space="preserve"> </w:t>
      </w:r>
      <w:r w:rsidR="00F41D27">
        <w:rPr>
          <w:rFonts w:ascii="Times New Roman" w:hAnsi="Times New Roman" w:cs="Times New Roman"/>
          <w:sz w:val="24"/>
          <w:szCs w:val="24"/>
        </w:rPr>
        <w:t xml:space="preserve">will be a significant blow </w:t>
      </w:r>
      <w:r w:rsidR="009E694C">
        <w:rPr>
          <w:rFonts w:ascii="Times New Roman" w:hAnsi="Times New Roman" w:cs="Times New Roman"/>
          <w:sz w:val="24"/>
          <w:szCs w:val="24"/>
        </w:rPr>
        <w:t>to</w:t>
      </w:r>
      <w:r>
        <w:rPr>
          <w:rFonts w:ascii="Times New Roman" w:hAnsi="Times New Roman" w:cs="Times New Roman"/>
          <w:sz w:val="24"/>
          <w:szCs w:val="24"/>
        </w:rPr>
        <w:t xml:space="preserve"> Australian </w:t>
      </w:r>
      <w:r w:rsidR="00F41D27">
        <w:rPr>
          <w:rFonts w:ascii="Times New Roman" w:hAnsi="Times New Roman" w:cs="Times New Roman"/>
          <w:sz w:val="24"/>
          <w:szCs w:val="24"/>
        </w:rPr>
        <w:t>technological and innovation capacity</w:t>
      </w:r>
      <w:r w:rsidR="00C81921">
        <w:rPr>
          <w:rFonts w:ascii="Times New Roman" w:hAnsi="Times New Roman" w:cs="Times New Roman"/>
          <w:sz w:val="24"/>
          <w:szCs w:val="24"/>
        </w:rPr>
        <w:t xml:space="preserve"> (ABS 2013 </w:t>
      </w:r>
      <w:r w:rsidR="009E694C">
        <w:rPr>
          <w:rFonts w:ascii="Times New Roman" w:hAnsi="Times New Roman" w:cs="Times New Roman"/>
          <w:sz w:val="24"/>
          <w:szCs w:val="24"/>
        </w:rPr>
        <w:t>a, b</w:t>
      </w:r>
      <w:r w:rsidR="00C81921">
        <w:rPr>
          <w:rFonts w:ascii="Times New Roman" w:hAnsi="Times New Roman" w:cs="Times New Roman"/>
          <w:sz w:val="24"/>
          <w:szCs w:val="24"/>
        </w:rPr>
        <w:t xml:space="preserve">). </w:t>
      </w:r>
      <w:r w:rsidR="00545140">
        <w:rPr>
          <w:rFonts w:ascii="Times New Roman" w:hAnsi="Times New Roman" w:cs="Times New Roman"/>
          <w:sz w:val="24"/>
          <w:szCs w:val="24"/>
        </w:rPr>
        <w:t xml:space="preserve">A loss that </w:t>
      </w:r>
      <w:r w:rsidR="009E694C">
        <w:rPr>
          <w:rFonts w:ascii="Times New Roman" w:hAnsi="Times New Roman" w:cs="Times New Roman"/>
          <w:sz w:val="24"/>
          <w:szCs w:val="24"/>
        </w:rPr>
        <w:t>Australia</w:t>
      </w:r>
      <w:r w:rsidR="00545140">
        <w:rPr>
          <w:rFonts w:ascii="Times New Roman" w:hAnsi="Times New Roman" w:cs="Times New Roman"/>
          <w:sz w:val="24"/>
          <w:szCs w:val="24"/>
        </w:rPr>
        <w:t xml:space="preserve"> can ill-afford. </w:t>
      </w:r>
      <w:r w:rsidR="00F41D27">
        <w:rPr>
          <w:rFonts w:ascii="Times New Roman" w:hAnsi="Times New Roman" w:cs="Times New Roman"/>
          <w:sz w:val="24"/>
          <w:szCs w:val="24"/>
        </w:rPr>
        <w:t xml:space="preserve"> </w:t>
      </w:r>
      <w:r w:rsidR="009E694C">
        <w:rPr>
          <w:rFonts w:ascii="Times New Roman" w:hAnsi="Times New Roman" w:cs="Times New Roman"/>
          <w:sz w:val="24"/>
          <w:szCs w:val="24"/>
        </w:rPr>
        <w:t xml:space="preserve">On almost all indicators of inputs into and outputs from innovation Australia lags substantially behind the top 5 OECD nations and on most scores is middling to lower half in national comparisons. </w:t>
      </w:r>
      <w:r w:rsidR="00243E62">
        <w:rPr>
          <w:rFonts w:ascii="Times New Roman" w:hAnsi="Times New Roman" w:cs="Times New Roman"/>
          <w:sz w:val="24"/>
          <w:szCs w:val="24"/>
        </w:rPr>
        <w:t xml:space="preserve">Out of 34 nations in the OECD </w:t>
      </w:r>
      <w:r w:rsidR="009E694C">
        <w:rPr>
          <w:rFonts w:ascii="Times New Roman" w:hAnsi="Times New Roman" w:cs="Times New Roman"/>
          <w:sz w:val="24"/>
          <w:szCs w:val="24"/>
        </w:rPr>
        <w:t>Australia’s</w:t>
      </w:r>
      <w:r w:rsidR="00243E62">
        <w:rPr>
          <w:rFonts w:ascii="Times New Roman" w:hAnsi="Times New Roman" w:cs="Times New Roman"/>
          <w:sz w:val="24"/>
          <w:szCs w:val="24"/>
        </w:rPr>
        <w:t xml:space="preserve"> position on business R&amp;D as a % of GDP is 13</w:t>
      </w:r>
      <w:r w:rsidR="00243E62" w:rsidRPr="00243E62">
        <w:rPr>
          <w:rFonts w:ascii="Times New Roman" w:hAnsi="Times New Roman" w:cs="Times New Roman"/>
          <w:sz w:val="24"/>
          <w:szCs w:val="24"/>
          <w:vertAlign w:val="superscript"/>
        </w:rPr>
        <w:t>th</w:t>
      </w:r>
      <w:r w:rsidR="00243E62">
        <w:rPr>
          <w:rFonts w:ascii="Times New Roman" w:hAnsi="Times New Roman" w:cs="Times New Roman"/>
          <w:sz w:val="24"/>
          <w:szCs w:val="24"/>
        </w:rPr>
        <w:t>; proportion of innovation active small and large businesses 16</w:t>
      </w:r>
      <w:r w:rsidR="00243E62" w:rsidRPr="00243E62">
        <w:rPr>
          <w:rFonts w:ascii="Times New Roman" w:hAnsi="Times New Roman" w:cs="Times New Roman"/>
          <w:sz w:val="24"/>
          <w:szCs w:val="24"/>
          <w:vertAlign w:val="superscript"/>
        </w:rPr>
        <w:t>th</w:t>
      </w:r>
      <w:r w:rsidR="00243E62">
        <w:rPr>
          <w:rFonts w:ascii="Times New Roman" w:hAnsi="Times New Roman" w:cs="Times New Roman"/>
          <w:sz w:val="24"/>
          <w:szCs w:val="24"/>
        </w:rPr>
        <w:t xml:space="preserve"> and 26th </w:t>
      </w:r>
      <w:r w:rsidR="009E694C">
        <w:rPr>
          <w:rFonts w:ascii="Times New Roman" w:hAnsi="Times New Roman" w:cs="Times New Roman"/>
          <w:sz w:val="24"/>
          <w:szCs w:val="24"/>
        </w:rPr>
        <w:t>respectively</w:t>
      </w:r>
      <w:r w:rsidR="00243E62">
        <w:rPr>
          <w:rFonts w:ascii="Times New Roman" w:hAnsi="Times New Roman" w:cs="Times New Roman"/>
          <w:sz w:val="24"/>
          <w:szCs w:val="24"/>
        </w:rPr>
        <w:t xml:space="preserve"> and triadic patents </w:t>
      </w:r>
      <w:r w:rsidR="009E694C">
        <w:rPr>
          <w:rFonts w:ascii="Times New Roman" w:hAnsi="Times New Roman" w:cs="Times New Roman"/>
          <w:sz w:val="24"/>
          <w:szCs w:val="24"/>
        </w:rPr>
        <w:t>issued</w:t>
      </w:r>
      <w:r w:rsidR="00243E62">
        <w:rPr>
          <w:rFonts w:ascii="Times New Roman" w:hAnsi="Times New Roman" w:cs="Times New Roman"/>
          <w:sz w:val="24"/>
          <w:szCs w:val="24"/>
        </w:rPr>
        <w:t xml:space="preserve"> per million population 20</w:t>
      </w:r>
      <w:r w:rsidR="00243E62" w:rsidRPr="00243E62">
        <w:rPr>
          <w:rFonts w:ascii="Times New Roman" w:hAnsi="Times New Roman" w:cs="Times New Roman"/>
          <w:sz w:val="24"/>
          <w:szCs w:val="24"/>
          <w:vertAlign w:val="superscript"/>
        </w:rPr>
        <w:t>th</w:t>
      </w:r>
      <w:r w:rsidR="00243E62">
        <w:rPr>
          <w:rFonts w:ascii="Times New Roman" w:hAnsi="Times New Roman" w:cs="Times New Roman"/>
          <w:sz w:val="24"/>
          <w:szCs w:val="24"/>
          <w:vertAlign w:val="superscript"/>
        </w:rPr>
        <w:t xml:space="preserve">  </w:t>
      </w:r>
      <w:r w:rsidR="00243E62" w:rsidRPr="00243E62">
        <w:rPr>
          <w:rFonts w:ascii="Times New Roman" w:hAnsi="Times New Roman" w:cs="Times New Roman"/>
          <w:sz w:val="24"/>
          <w:szCs w:val="24"/>
        </w:rPr>
        <w:t xml:space="preserve">(Department of </w:t>
      </w:r>
      <w:r w:rsidR="009E694C" w:rsidRPr="00243E62">
        <w:rPr>
          <w:rFonts w:ascii="Times New Roman" w:hAnsi="Times New Roman" w:cs="Times New Roman"/>
          <w:sz w:val="24"/>
          <w:szCs w:val="24"/>
        </w:rPr>
        <w:t>Industry</w:t>
      </w:r>
      <w:r w:rsidR="00243E62">
        <w:rPr>
          <w:rFonts w:ascii="Times New Roman" w:hAnsi="Times New Roman" w:cs="Times New Roman"/>
          <w:sz w:val="24"/>
          <w:szCs w:val="24"/>
          <w:vertAlign w:val="superscript"/>
        </w:rPr>
        <w:t xml:space="preserve"> </w:t>
      </w:r>
      <w:r w:rsidR="00243E62">
        <w:rPr>
          <w:rFonts w:ascii="Times New Roman" w:hAnsi="Times New Roman" w:cs="Times New Roman"/>
          <w:sz w:val="24"/>
          <w:szCs w:val="24"/>
        </w:rPr>
        <w:t>2013: 63-64</w:t>
      </w:r>
      <w:r w:rsidR="00450F36">
        <w:rPr>
          <w:rFonts w:ascii="Times New Roman" w:hAnsi="Times New Roman" w:cs="Times New Roman"/>
          <w:sz w:val="24"/>
          <w:szCs w:val="24"/>
        </w:rPr>
        <w:t>)</w:t>
      </w:r>
      <w:r w:rsidR="00243E62">
        <w:rPr>
          <w:rFonts w:ascii="Times New Roman" w:hAnsi="Times New Roman" w:cs="Times New Roman"/>
          <w:sz w:val="24"/>
          <w:szCs w:val="24"/>
        </w:rPr>
        <w:t>.</w:t>
      </w:r>
    </w:p>
    <w:p w:rsidR="00545140" w:rsidRPr="00F17AEB" w:rsidRDefault="007661FF" w:rsidP="00B570D5">
      <w:pPr>
        <w:jc w:val="both"/>
        <w:rPr>
          <w:rFonts w:ascii="Times New Roman" w:hAnsi="Times New Roman" w:cs="Times New Roman"/>
          <w:sz w:val="24"/>
          <w:szCs w:val="24"/>
        </w:rPr>
      </w:pPr>
      <w:r>
        <w:rPr>
          <w:rFonts w:ascii="Times New Roman" w:hAnsi="Times New Roman" w:cs="Times New Roman"/>
          <w:sz w:val="24"/>
          <w:szCs w:val="24"/>
        </w:rPr>
        <w:t xml:space="preserve"> </w:t>
      </w:r>
      <w:r w:rsidR="00545140">
        <w:rPr>
          <w:rFonts w:ascii="Times New Roman" w:hAnsi="Times New Roman" w:cs="Times New Roman"/>
          <w:sz w:val="24"/>
          <w:szCs w:val="24"/>
        </w:rPr>
        <w:t xml:space="preserve">Given the centrality of R&amp;D and innovation more broadly to productivity and living </w:t>
      </w:r>
      <w:r w:rsidR="009E694C">
        <w:rPr>
          <w:rFonts w:ascii="Times New Roman" w:hAnsi="Times New Roman" w:cs="Times New Roman"/>
          <w:sz w:val="24"/>
          <w:szCs w:val="24"/>
        </w:rPr>
        <w:t>standards</w:t>
      </w:r>
      <w:r w:rsidR="00545140">
        <w:rPr>
          <w:rFonts w:ascii="Times New Roman" w:hAnsi="Times New Roman" w:cs="Times New Roman"/>
          <w:sz w:val="24"/>
          <w:szCs w:val="24"/>
        </w:rPr>
        <w:t xml:space="preserve"> the loss of the car </w:t>
      </w:r>
      <w:r w:rsidR="009E694C">
        <w:rPr>
          <w:rFonts w:ascii="Times New Roman" w:hAnsi="Times New Roman" w:cs="Times New Roman"/>
          <w:sz w:val="24"/>
          <w:szCs w:val="24"/>
        </w:rPr>
        <w:t>industry</w:t>
      </w:r>
      <w:r w:rsidR="00545140">
        <w:rPr>
          <w:rFonts w:ascii="Times New Roman" w:hAnsi="Times New Roman" w:cs="Times New Roman"/>
          <w:sz w:val="24"/>
          <w:szCs w:val="24"/>
        </w:rPr>
        <w:t xml:space="preserve">, which has long been recognised as both R&amp;D intensive </w:t>
      </w:r>
      <w:r w:rsidR="00545140">
        <w:rPr>
          <w:rFonts w:ascii="Times New Roman" w:hAnsi="Times New Roman" w:cs="Times New Roman"/>
          <w:sz w:val="24"/>
          <w:szCs w:val="24"/>
        </w:rPr>
        <w:lastRenderedPageBreak/>
        <w:t xml:space="preserve">and a key driver of change in technologies and work </w:t>
      </w:r>
      <w:r w:rsidR="009E694C">
        <w:rPr>
          <w:rFonts w:ascii="Times New Roman" w:hAnsi="Times New Roman" w:cs="Times New Roman"/>
          <w:sz w:val="24"/>
          <w:szCs w:val="24"/>
        </w:rPr>
        <w:t>organisation</w:t>
      </w:r>
      <w:r w:rsidR="00545140">
        <w:rPr>
          <w:rFonts w:ascii="Times New Roman" w:hAnsi="Times New Roman" w:cs="Times New Roman"/>
          <w:sz w:val="24"/>
          <w:szCs w:val="24"/>
        </w:rPr>
        <w:t xml:space="preserve"> systems</w:t>
      </w:r>
      <w:r w:rsidR="000F5BF3">
        <w:rPr>
          <w:rFonts w:ascii="Times New Roman" w:hAnsi="Times New Roman" w:cs="Times New Roman"/>
          <w:sz w:val="24"/>
          <w:szCs w:val="24"/>
        </w:rPr>
        <w:t>,</w:t>
      </w:r>
      <w:r w:rsidR="00545140">
        <w:rPr>
          <w:rFonts w:ascii="Times New Roman" w:hAnsi="Times New Roman" w:cs="Times New Roman"/>
          <w:sz w:val="24"/>
          <w:szCs w:val="24"/>
        </w:rPr>
        <w:t xml:space="preserve"> will </w:t>
      </w:r>
      <w:r w:rsidR="000F5BF3">
        <w:rPr>
          <w:rFonts w:ascii="Times New Roman" w:hAnsi="Times New Roman" w:cs="Times New Roman"/>
          <w:sz w:val="24"/>
          <w:szCs w:val="24"/>
        </w:rPr>
        <w:t xml:space="preserve">permanently </w:t>
      </w:r>
      <w:r w:rsidR="009E694C" w:rsidRPr="00F17AEB">
        <w:rPr>
          <w:rFonts w:ascii="Times New Roman" w:hAnsi="Times New Roman" w:cs="Times New Roman"/>
          <w:sz w:val="24"/>
          <w:szCs w:val="24"/>
        </w:rPr>
        <w:t>reduce</w:t>
      </w:r>
      <w:r w:rsidR="00545140" w:rsidRPr="00F17AEB">
        <w:rPr>
          <w:rFonts w:ascii="Times New Roman" w:hAnsi="Times New Roman" w:cs="Times New Roman"/>
          <w:sz w:val="24"/>
          <w:szCs w:val="24"/>
        </w:rPr>
        <w:t xml:space="preserve"> the </w:t>
      </w:r>
      <w:r w:rsidR="000F5BF3" w:rsidRPr="00F17AEB">
        <w:rPr>
          <w:rFonts w:ascii="Times New Roman" w:hAnsi="Times New Roman" w:cs="Times New Roman"/>
          <w:sz w:val="24"/>
          <w:szCs w:val="24"/>
        </w:rPr>
        <w:t xml:space="preserve">capacity and </w:t>
      </w:r>
      <w:r w:rsidR="009E694C" w:rsidRPr="00F17AEB">
        <w:rPr>
          <w:rFonts w:ascii="Times New Roman" w:hAnsi="Times New Roman" w:cs="Times New Roman"/>
          <w:sz w:val="24"/>
          <w:szCs w:val="24"/>
        </w:rPr>
        <w:t>performance</w:t>
      </w:r>
      <w:r w:rsidR="00545140" w:rsidRPr="00F17AEB">
        <w:rPr>
          <w:rFonts w:ascii="Times New Roman" w:hAnsi="Times New Roman" w:cs="Times New Roman"/>
          <w:sz w:val="24"/>
          <w:szCs w:val="24"/>
        </w:rPr>
        <w:t xml:space="preserve"> of the Australian innovation system</w:t>
      </w:r>
      <w:r w:rsidR="000F5BF3" w:rsidRPr="00F17AEB">
        <w:rPr>
          <w:rFonts w:ascii="Times New Roman" w:hAnsi="Times New Roman" w:cs="Times New Roman"/>
          <w:sz w:val="24"/>
          <w:szCs w:val="24"/>
        </w:rPr>
        <w:t>.</w:t>
      </w:r>
    </w:p>
    <w:p w:rsidR="00F17AEB" w:rsidRDefault="00F17AEB" w:rsidP="00B570D5">
      <w:pPr>
        <w:jc w:val="both"/>
        <w:rPr>
          <w:rFonts w:ascii="Times New Roman" w:hAnsi="Times New Roman" w:cs="Times New Roman"/>
          <w:sz w:val="24"/>
          <w:szCs w:val="24"/>
        </w:rPr>
      </w:pPr>
      <w:r>
        <w:rPr>
          <w:rFonts w:ascii="Times New Roman" w:hAnsi="Times New Roman" w:cs="Times New Roman"/>
          <w:sz w:val="24"/>
          <w:szCs w:val="24"/>
        </w:rPr>
        <w:t>Aside from the ben</w:t>
      </w:r>
      <w:r w:rsidR="00E7723D">
        <w:rPr>
          <w:rFonts w:ascii="Times New Roman" w:hAnsi="Times New Roman" w:cs="Times New Roman"/>
          <w:sz w:val="24"/>
          <w:szCs w:val="24"/>
        </w:rPr>
        <w:t>e</w:t>
      </w:r>
      <w:r>
        <w:rPr>
          <w:rFonts w:ascii="Times New Roman" w:hAnsi="Times New Roman" w:cs="Times New Roman"/>
          <w:sz w:val="24"/>
          <w:szCs w:val="24"/>
        </w:rPr>
        <w:t xml:space="preserve">fits of auto R&amp;D with the demise of the sector </w:t>
      </w:r>
      <w:r w:rsidRPr="00F17AEB">
        <w:rPr>
          <w:rFonts w:ascii="Times New Roman" w:hAnsi="Times New Roman" w:cs="Times New Roman"/>
          <w:sz w:val="24"/>
          <w:szCs w:val="24"/>
        </w:rPr>
        <w:t>we</w:t>
      </w:r>
      <w:r>
        <w:rPr>
          <w:rFonts w:ascii="Times New Roman" w:hAnsi="Times New Roman" w:cs="Times New Roman"/>
          <w:sz w:val="24"/>
          <w:szCs w:val="24"/>
        </w:rPr>
        <w:t xml:space="preserve"> are</w:t>
      </w:r>
      <w:r w:rsidRPr="00F17AEB">
        <w:rPr>
          <w:rFonts w:ascii="Times New Roman" w:hAnsi="Times New Roman" w:cs="Times New Roman"/>
          <w:sz w:val="24"/>
          <w:szCs w:val="24"/>
        </w:rPr>
        <w:t xml:space="preserve"> potentially looking at </w:t>
      </w:r>
      <w:r>
        <w:rPr>
          <w:rFonts w:ascii="Times New Roman" w:hAnsi="Times New Roman" w:cs="Times New Roman"/>
          <w:sz w:val="24"/>
          <w:szCs w:val="24"/>
        </w:rPr>
        <w:t>the loss of a critical element o</w:t>
      </w:r>
      <w:r w:rsidRPr="00F17AEB">
        <w:rPr>
          <w:rFonts w:ascii="Times New Roman" w:hAnsi="Times New Roman" w:cs="Times New Roman"/>
          <w:sz w:val="24"/>
          <w:szCs w:val="24"/>
        </w:rPr>
        <w:t>f Australia's technological base because of the sheer breadth of technologies involved in the production of a motor vehicle</w:t>
      </w:r>
      <w:r w:rsidR="00E7723D">
        <w:rPr>
          <w:rFonts w:ascii="Times New Roman" w:hAnsi="Times New Roman" w:cs="Times New Roman"/>
          <w:sz w:val="24"/>
          <w:szCs w:val="24"/>
        </w:rPr>
        <w:t xml:space="preserve">. These include </w:t>
      </w:r>
      <w:r w:rsidRPr="00F17AEB">
        <w:rPr>
          <w:rFonts w:ascii="Times New Roman" w:hAnsi="Times New Roman" w:cs="Times New Roman"/>
          <w:sz w:val="24"/>
          <w:szCs w:val="24"/>
        </w:rPr>
        <w:t>metallurgy such as complex casting of alloys; sophisticated machining centres; electronics and software into engine management and safety systems; robotics used in assembly and painting; chemicals and paints; sophisticated work organisation and logistic systems and of course the trade, technician and engineering skills supported by the car making industry.</w:t>
      </w:r>
    </w:p>
    <w:p w:rsidR="00021B5B" w:rsidRDefault="00E7723D" w:rsidP="00B570D5">
      <w:pPr>
        <w:jc w:val="both"/>
        <w:rPr>
          <w:rFonts w:ascii="Times New Roman" w:hAnsi="Times New Roman" w:cs="Times New Roman"/>
          <w:sz w:val="24"/>
          <w:szCs w:val="24"/>
        </w:rPr>
      </w:pPr>
      <w:r>
        <w:rPr>
          <w:rFonts w:ascii="Times New Roman" w:hAnsi="Times New Roman" w:cs="Times New Roman"/>
          <w:sz w:val="24"/>
          <w:szCs w:val="24"/>
        </w:rPr>
        <w:t xml:space="preserve">The growth and </w:t>
      </w:r>
      <w:r w:rsidR="009E694C">
        <w:rPr>
          <w:rFonts w:ascii="Times New Roman" w:hAnsi="Times New Roman" w:cs="Times New Roman"/>
          <w:sz w:val="24"/>
          <w:szCs w:val="24"/>
        </w:rPr>
        <w:t>evolution</w:t>
      </w:r>
      <w:r>
        <w:rPr>
          <w:rFonts w:ascii="Times New Roman" w:hAnsi="Times New Roman" w:cs="Times New Roman"/>
          <w:sz w:val="24"/>
          <w:szCs w:val="24"/>
        </w:rPr>
        <w:t xml:space="preserve"> of economies is to a large degree determined by ‘path dependency’, that is the potential for future production depends very much on </w:t>
      </w:r>
      <w:r w:rsidR="009E694C">
        <w:rPr>
          <w:rFonts w:ascii="Times New Roman" w:hAnsi="Times New Roman" w:cs="Times New Roman"/>
          <w:sz w:val="24"/>
          <w:szCs w:val="24"/>
        </w:rPr>
        <w:t>existing</w:t>
      </w:r>
      <w:r>
        <w:rPr>
          <w:rFonts w:ascii="Times New Roman" w:hAnsi="Times New Roman" w:cs="Times New Roman"/>
          <w:sz w:val="24"/>
          <w:szCs w:val="24"/>
        </w:rPr>
        <w:t xml:space="preserve"> </w:t>
      </w:r>
      <w:r w:rsidR="009E694C">
        <w:rPr>
          <w:rFonts w:ascii="Times New Roman" w:hAnsi="Times New Roman" w:cs="Times New Roman"/>
          <w:sz w:val="24"/>
          <w:szCs w:val="24"/>
        </w:rPr>
        <w:t>resources</w:t>
      </w:r>
      <w:r>
        <w:rPr>
          <w:rFonts w:ascii="Times New Roman" w:hAnsi="Times New Roman" w:cs="Times New Roman"/>
          <w:sz w:val="24"/>
          <w:szCs w:val="24"/>
        </w:rPr>
        <w:t xml:space="preserve"> </w:t>
      </w:r>
      <w:r w:rsidR="009E694C">
        <w:rPr>
          <w:rFonts w:ascii="Times New Roman" w:hAnsi="Times New Roman" w:cs="Times New Roman"/>
          <w:sz w:val="24"/>
          <w:szCs w:val="24"/>
        </w:rPr>
        <w:t>and</w:t>
      </w:r>
      <w:r>
        <w:rPr>
          <w:rFonts w:ascii="Times New Roman" w:hAnsi="Times New Roman" w:cs="Times New Roman"/>
          <w:sz w:val="24"/>
          <w:szCs w:val="24"/>
        </w:rPr>
        <w:t xml:space="preserve"> technical </w:t>
      </w:r>
      <w:r w:rsidR="009E694C">
        <w:rPr>
          <w:rFonts w:ascii="Times New Roman" w:hAnsi="Times New Roman" w:cs="Times New Roman"/>
          <w:sz w:val="24"/>
          <w:szCs w:val="24"/>
        </w:rPr>
        <w:t>capacities</w:t>
      </w:r>
      <w:r>
        <w:rPr>
          <w:rFonts w:ascii="Times New Roman" w:hAnsi="Times New Roman" w:cs="Times New Roman"/>
          <w:sz w:val="24"/>
          <w:szCs w:val="24"/>
        </w:rPr>
        <w:t xml:space="preserve">. </w:t>
      </w:r>
      <w:r w:rsidR="00021B5B">
        <w:rPr>
          <w:rFonts w:ascii="Times New Roman" w:hAnsi="Times New Roman" w:cs="Times New Roman"/>
          <w:sz w:val="24"/>
          <w:szCs w:val="24"/>
        </w:rPr>
        <w:t xml:space="preserve">Path dependency is largely a function of learning and sunk costs, mastery of </w:t>
      </w:r>
      <w:r w:rsidR="009E694C">
        <w:rPr>
          <w:rFonts w:ascii="Times New Roman" w:hAnsi="Times New Roman" w:cs="Times New Roman"/>
          <w:sz w:val="24"/>
          <w:szCs w:val="24"/>
        </w:rPr>
        <w:t>specific</w:t>
      </w:r>
      <w:r w:rsidR="00021B5B">
        <w:rPr>
          <w:rFonts w:ascii="Times New Roman" w:hAnsi="Times New Roman" w:cs="Times New Roman"/>
          <w:sz w:val="24"/>
          <w:szCs w:val="24"/>
        </w:rPr>
        <w:t xml:space="preserve"> technologies typically takes generations to achieve and this in turn, requires very large private and public investments in education and training. </w:t>
      </w:r>
      <w:r w:rsidR="009E694C">
        <w:rPr>
          <w:rFonts w:ascii="Times New Roman" w:hAnsi="Times New Roman" w:cs="Times New Roman"/>
          <w:sz w:val="24"/>
          <w:szCs w:val="24"/>
        </w:rPr>
        <w:t xml:space="preserve">It also requires complex institutional supports to create the right incentives for private and public agents to make these investments (Hall and Soskice 2001). </w:t>
      </w:r>
      <w:r>
        <w:rPr>
          <w:rFonts w:ascii="Times New Roman" w:hAnsi="Times New Roman" w:cs="Times New Roman"/>
          <w:sz w:val="24"/>
          <w:szCs w:val="24"/>
        </w:rPr>
        <w:t xml:space="preserve">This is the </w:t>
      </w:r>
      <w:r w:rsidR="009E694C">
        <w:rPr>
          <w:rFonts w:ascii="Times New Roman" w:hAnsi="Times New Roman" w:cs="Times New Roman"/>
          <w:sz w:val="24"/>
          <w:szCs w:val="24"/>
        </w:rPr>
        <w:t>opposite</w:t>
      </w:r>
      <w:r>
        <w:rPr>
          <w:rFonts w:ascii="Times New Roman" w:hAnsi="Times New Roman" w:cs="Times New Roman"/>
          <w:sz w:val="24"/>
          <w:szCs w:val="24"/>
        </w:rPr>
        <w:t xml:space="preserve"> of the </w:t>
      </w:r>
      <w:r w:rsidR="009E694C">
        <w:rPr>
          <w:rFonts w:ascii="Times New Roman" w:hAnsi="Times New Roman" w:cs="Times New Roman"/>
          <w:sz w:val="24"/>
          <w:szCs w:val="24"/>
        </w:rPr>
        <w:t>neoclassical</w:t>
      </w:r>
      <w:r>
        <w:rPr>
          <w:rFonts w:ascii="Times New Roman" w:hAnsi="Times New Roman" w:cs="Times New Roman"/>
          <w:sz w:val="24"/>
          <w:szCs w:val="24"/>
        </w:rPr>
        <w:t xml:space="preserve"> production function which treats </w:t>
      </w:r>
      <w:r w:rsidR="009E694C">
        <w:rPr>
          <w:rFonts w:ascii="Times New Roman" w:hAnsi="Times New Roman" w:cs="Times New Roman"/>
          <w:sz w:val="24"/>
          <w:szCs w:val="24"/>
        </w:rPr>
        <w:t>technology</w:t>
      </w:r>
      <w:r>
        <w:rPr>
          <w:rFonts w:ascii="Times New Roman" w:hAnsi="Times New Roman" w:cs="Times New Roman"/>
          <w:sz w:val="24"/>
          <w:szCs w:val="24"/>
        </w:rPr>
        <w:t xml:space="preserve"> as exogenous</w:t>
      </w:r>
      <w:r w:rsidR="001E3107">
        <w:rPr>
          <w:rFonts w:ascii="Times New Roman" w:hAnsi="Times New Roman" w:cs="Times New Roman"/>
          <w:sz w:val="24"/>
          <w:szCs w:val="24"/>
        </w:rPr>
        <w:t xml:space="preserve">, the quantity and quality of  </w:t>
      </w:r>
      <w:r>
        <w:rPr>
          <w:rFonts w:ascii="Times New Roman" w:hAnsi="Times New Roman" w:cs="Times New Roman"/>
          <w:sz w:val="24"/>
          <w:szCs w:val="24"/>
        </w:rPr>
        <w:t xml:space="preserve"> labour and capital as </w:t>
      </w:r>
      <w:r w:rsidR="001E3107">
        <w:rPr>
          <w:rFonts w:ascii="Times New Roman" w:hAnsi="Times New Roman" w:cs="Times New Roman"/>
          <w:sz w:val="24"/>
          <w:szCs w:val="24"/>
        </w:rPr>
        <w:t xml:space="preserve">both a given and as </w:t>
      </w:r>
      <w:r>
        <w:rPr>
          <w:rFonts w:ascii="Times New Roman" w:hAnsi="Times New Roman" w:cs="Times New Roman"/>
          <w:sz w:val="24"/>
          <w:szCs w:val="24"/>
        </w:rPr>
        <w:t>abstract hom</w:t>
      </w:r>
      <w:r w:rsidR="001E3107">
        <w:rPr>
          <w:rFonts w:ascii="Times New Roman" w:hAnsi="Times New Roman" w:cs="Times New Roman"/>
          <w:sz w:val="24"/>
          <w:szCs w:val="24"/>
        </w:rPr>
        <w:t>o</w:t>
      </w:r>
      <w:r>
        <w:rPr>
          <w:rFonts w:ascii="Times New Roman" w:hAnsi="Times New Roman" w:cs="Times New Roman"/>
          <w:sz w:val="24"/>
          <w:szCs w:val="24"/>
        </w:rPr>
        <w:t>ge</w:t>
      </w:r>
      <w:r w:rsidR="001E3107">
        <w:rPr>
          <w:rFonts w:ascii="Times New Roman" w:hAnsi="Times New Roman" w:cs="Times New Roman"/>
          <w:sz w:val="24"/>
          <w:szCs w:val="24"/>
        </w:rPr>
        <w:t>neous</w:t>
      </w:r>
      <w:r>
        <w:rPr>
          <w:rFonts w:ascii="Times New Roman" w:hAnsi="Times New Roman" w:cs="Times New Roman"/>
          <w:sz w:val="24"/>
          <w:szCs w:val="24"/>
        </w:rPr>
        <w:t xml:space="preserve"> quantities. </w:t>
      </w:r>
    </w:p>
    <w:p w:rsidR="00E7723D" w:rsidRPr="00F17AEB" w:rsidRDefault="00E7723D" w:rsidP="00B570D5">
      <w:pPr>
        <w:jc w:val="both"/>
        <w:rPr>
          <w:rFonts w:ascii="Times New Roman" w:hAnsi="Times New Roman" w:cs="Times New Roman"/>
          <w:sz w:val="24"/>
          <w:szCs w:val="24"/>
        </w:rPr>
      </w:pPr>
      <w:r>
        <w:rPr>
          <w:rFonts w:ascii="Times New Roman" w:hAnsi="Times New Roman" w:cs="Times New Roman"/>
          <w:sz w:val="24"/>
          <w:szCs w:val="24"/>
        </w:rPr>
        <w:t xml:space="preserve">The loss of technological capabilities embodied in the car industry </w:t>
      </w:r>
      <w:r w:rsidR="00411C1A">
        <w:rPr>
          <w:rFonts w:ascii="Times New Roman" w:hAnsi="Times New Roman" w:cs="Times New Roman"/>
          <w:sz w:val="24"/>
          <w:szCs w:val="24"/>
        </w:rPr>
        <w:t xml:space="preserve">will </w:t>
      </w:r>
      <w:r w:rsidR="001E3107">
        <w:rPr>
          <w:rFonts w:ascii="Times New Roman" w:hAnsi="Times New Roman" w:cs="Times New Roman"/>
          <w:sz w:val="24"/>
          <w:szCs w:val="24"/>
        </w:rPr>
        <w:t>permanently</w:t>
      </w:r>
      <w:r w:rsidR="00411C1A">
        <w:rPr>
          <w:rFonts w:ascii="Times New Roman" w:hAnsi="Times New Roman" w:cs="Times New Roman"/>
          <w:sz w:val="24"/>
          <w:szCs w:val="24"/>
        </w:rPr>
        <w:t xml:space="preserve"> </w:t>
      </w:r>
      <w:r w:rsidR="001E3107">
        <w:rPr>
          <w:rFonts w:ascii="Times New Roman" w:hAnsi="Times New Roman" w:cs="Times New Roman"/>
          <w:sz w:val="24"/>
          <w:szCs w:val="24"/>
        </w:rPr>
        <w:t>reduce</w:t>
      </w:r>
      <w:r w:rsidR="00411C1A">
        <w:rPr>
          <w:rFonts w:ascii="Times New Roman" w:hAnsi="Times New Roman" w:cs="Times New Roman"/>
          <w:sz w:val="24"/>
          <w:szCs w:val="24"/>
        </w:rPr>
        <w:t xml:space="preserve"> the </w:t>
      </w:r>
      <w:r>
        <w:rPr>
          <w:rFonts w:ascii="Times New Roman" w:hAnsi="Times New Roman" w:cs="Times New Roman"/>
          <w:sz w:val="24"/>
          <w:szCs w:val="24"/>
        </w:rPr>
        <w:t xml:space="preserve">scope for </w:t>
      </w:r>
      <w:r w:rsidR="001E3107">
        <w:rPr>
          <w:rFonts w:ascii="Times New Roman" w:hAnsi="Times New Roman" w:cs="Times New Roman"/>
          <w:sz w:val="24"/>
          <w:szCs w:val="24"/>
        </w:rPr>
        <w:t>Australia</w:t>
      </w:r>
      <w:r>
        <w:rPr>
          <w:rFonts w:ascii="Times New Roman" w:hAnsi="Times New Roman" w:cs="Times New Roman"/>
          <w:sz w:val="24"/>
          <w:szCs w:val="24"/>
        </w:rPr>
        <w:t xml:space="preserve"> to </w:t>
      </w:r>
      <w:r w:rsidR="00411C1A">
        <w:rPr>
          <w:rFonts w:ascii="Times New Roman" w:hAnsi="Times New Roman" w:cs="Times New Roman"/>
          <w:sz w:val="24"/>
          <w:szCs w:val="24"/>
        </w:rPr>
        <w:t>develop future industries employing related technologies.</w:t>
      </w:r>
      <w:r w:rsidR="001E3107">
        <w:rPr>
          <w:rFonts w:ascii="Times New Roman" w:hAnsi="Times New Roman" w:cs="Times New Roman"/>
          <w:sz w:val="24"/>
          <w:szCs w:val="24"/>
        </w:rPr>
        <w:t xml:space="preserve"> It will further constrain Australia’s industrial structure to one of unprocessed raw materials and low productivity services. (This is taken up in section 5). </w:t>
      </w:r>
      <w:r w:rsidR="00411C1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571AE" w:rsidRPr="00545140" w:rsidRDefault="00FD7167" w:rsidP="00B570D5">
      <w:pPr>
        <w:jc w:val="both"/>
        <w:rPr>
          <w:rFonts w:ascii="Times New Roman" w:hAnsi="Times New Roman" w:cs="Times New Roman"/>
          <w:b/>
          <w:sz w:val="24"/>
          <w:szCs w:val="24"/>
        </w:rPr>
      </w:pPr>
      <w:r w:rsidRPr="00545140">
        <w:rPr>
          <w:rFonts w:ascii="Times New Roman" w:hAnsi="Times New Roman" w:cs="Times New Roman"/>
          <w:b/>
          <w:sz w:val="24"/>
          <w:szCs w:val="24"/>
        </w:rPr>
        <w:t>4</w:t>
      </w:r>
      <w:r w:rsidR="003571AE" w:rsidRPr="00545140">
        <w:rPr>
          <w:rFonts w:ascii="Times New Roman" w:hAnsi="Times New Roman" w:cs="Times New Roman"/>
          <w:b/>
          <w:sz w:val="24"/>
          <w:szCs w:val="24"/>
        </w:rPr>
        <w:t>. Assi</w:t>
      </w:r>
      <w:r w:rsidR="00EF1A04" w:rsidRPr="00545140">
        <w:rPr>
          <w:rFonts w:ascii="Times New Roman" w:hAnsi="Times New Roman" w:cs="Times New Roman"/>
          <w:b/>
          <w:sz w:val="24"/>
          <w:szCs w:val="24"/>
        </w:rPr>
        <w:t>stance i</w:t>
      </w:r>
      <w:r w:rsidR="003571AE" w:rsidRPr="00545140">
        <w:rPr>
          <w:rFonts w:ascii="Times New Roman" w:hAnsi="Times New Roman" w:cs="Times New Roman"/>
          <w:b/>
          <w:sz w:val="24"/>
          <w:szCs w:val="24"/>
        </w:rPr>
        <w:t xml:space="preserve">s partial compensation for market failure arising from excessive exchange rate appreciation and risk </w:t>
      </w:r>
      <w:r w:rsidR="00EF1A04" w:rsidRPr="00545140">
        <w:rPr>
          <w:rFonts w:ascii="Times New Roman" w:hAnsi="Times New Roman" w:cs="Times New Roman"/>
          <w:b/>
          <w:sz w:val="24"/>
          <w:szCs w:val="24"/>
        </w:rPr>
        <w:t>of exchange rate volatility</w:t>
      </w:r>
      <w:r w:rsidR="003571AE" w:rsidRPr="00545140">
        <w:rPr>
          <w:rFonts w:ascii="Times New Roman" w:hAnsi="Times New Roman" w:cs="Times New Roman"/>
          <w:b/>
          <w:sz w:val="24"/>
          <w:szCs w:val="24"/>
        </w:rPr>
        <w:t xml:space="preserve"> </w:t>
      </w:r>
    </w:p>
    <w:p w:rsidR="007E0534" w:rsidRDefault="007E0534" w:rsidP="00B570D5">
      <w:pPr>
        <w:autoSpaceDE w:val="0"/>
        <w:autoSpaceDN w:val="0"/>
        <w:adjustRightInd w:val="0"/>
        <w:spacing w:after="0" w:line="288" w:lineRule="auto"/>
        <w:jc w:val="both"/>
        <w:rPr>
          <w:rFonts w:ascii="Times New Roman" w:hAnsi="Times New Roman" w:cs="Times New Roman"/>
          <w:sz w:val="24"/>
          <w:szCs w:val="24"/>
        </w:rPr>
      </w:pPr>
      <w:r w:rsidRPr="007E0534">
        <w:rPr>
          <w:rFonts w:ascii="Times New Roman" w:hAnsi="Times New Roman" w:cs="Times New Roman"/>
          <w:sz w:val="24"/>
          <w:szCs w:val="24"/>
        </w:rPr>
        <w:t>Orthodox economic theory traditionally explained the level of a nation’s currency by reference to economic fundamentals- relative productivity, inflation and trade flows</w:t>
      </w:r>
      <w:r>
        <w:rPr>
          <w:rFonts w:ascii="Times New Roman" w:hAnsi="Times New Roman" w:cs="Times New Roman"/>
          <w:sz w:val="24"/>
          <w:szCs w:val="24"/>
        </w:rPr>
        <w:t xml:space="preserve"> and terms of trade</w:t>
      </w:r>
      <w:r w:rsidRPr="007E0534">
        <w:rPr>
          <w:rFonts w:ascii="Times New Roman" w:hAnsi="Times New Roman" w:cs="Times New Roman"/>
          <w:sz w:val="24"/>
          <w:szCs w:val="24"/>
        </w:rPr>
        <w:t xml:space="preserve">. Currencies – viewed simply as a price to enable international exchange- were supposed to equilibrate, or bring into balance, trade and capital surpluses or deficits between countries. This was the logic behind floating the dollar and deregulating international capital flows in </w:t>
      </w:r>
      <w:r>
        <w:rPr>
          <w:rFonts w:ascii="Times New Roman" w:hAnsi="Times New Roman" w:cs="Times New Roman"/>
          <w:sz w:val="24"/>
          <w:szCs w:val="24"/>
        </w:rPr>
        <w:t xml:space="preserve">Australia in </w:t>
      </w:r>
      <w:r w:rsidRPr="007E0534">
        <w:rPr>
          <w:rFonts w:ascii="Times New Roman" w:hAnsi="Times New Roman" w:cs="Times New Roman"/>
          <w:sz w:val="24"/>
          <w:szCs w:val="24"/>
        </w:rPr>
        <w:t>1983. However, for some decades, it has been apparent, and orthodoxy has accepted, that currency levels are driven primarily by capital flows. It is also widely accepted now that these flows can act to exacerbate international imbalances rather than bring them in to equilibrium (Meese and Rogoff 1983</w:t>
      </w:r>
      <w:r w:rsidR="00056F84">
        <w:rPr>
          <w:rFonts w:ascii="Times New Roman" w:hAnsi="Times New Roman" w:cs="Times New Roman"/>
          <w:sz w:val="24"/>
          <w:szCs w:val="24"/>
        </w:rPr>
        <w:t>; Blanchard et al 2011</w:t>
      </w:r>
      <w:r w:rsidRPr="007E053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1E3107">
        <w:rPr>
          <w:rFonts w:ascii="Times New Roman" w:hAnsi="Times New Roman" w:cs="Times New Roman"/>
          <w:sz w:val="24"/>
          <w:szCs w:val="24"/>
        </w:rPr>
        <w:t>addition</w:t>
      </w:r>
      <w:r>
        <w:rPr>
          <w:rFonts w:ascii="Times New Roman" w:hAnsi="Times New Roman" w:cs="Times New Roman"/>
          <w:sz w:val="24"/>
          <w:szCs w:val="24"/>
        </w:rPr>
        <w:t xml:space="preserve">, countries </w:t>
      </w:r>
      <w:r w:rsidR="001E3107">
        <w:rPr>
          <w:rFonts w:ascii="Times New Roman" w:hAnsi="Times New Roman" w:cs="Times New Roman"/>
          <w:sz w:val="24"/>
          <w:szCs w:val="24"/>
        </w:rPr>
        <w:t>engage</w:t>
      </w:r>
      <w:r>
        <w:rPr>
          <w:rFonts w:ascii="Times New Roman" w:hAnsi="Times New Roman" w:cs="Times New Roman"/>
          <w:sz w:val="24"/>
          <w:szCs w:val="24"/>
        </w:rPr>
        <w:t xml:space="preserve"> in </w:t>
      </w:r>
      <w:r w:rsidR="001E3107">
        <w:rPr>
          <w:rFonts w:ascii="Times New Roman" w:hAnsi="Times New Roman" w:cs="Times New Roman"/>
          <w:sz w:val="24"/>
          <w:szCs w:val="24"/>
        </w:rPr>
        <w:t>competitive</w:t>
      </w:r>
      <w:r>
        <w:rPr>
          <w:rFonts w:ascii="Times New Roman" w:hAnsi="Times New Roman" w:cs="Times New Roman"/>
          <w:sz w:val="24"/>
          <w:szCs w:val="24"/>
        </w:rPr>
        <w:t xml:space="preserve"> devaluations, the most recent example of this is via quantitative </w:t>
      </w:r>
      <w:r w:rsidR="001E3107">
        <w:rPr>
          <w:rFonts w:ascii="Times New Roman" w:hAnsi="Times New Roman" w:cs="Times New Roman"/>
          <w:sz w:val="24"/>
          <w:szCs w:val="24"/>
        </w:rPr>
        <w:t>easing in</w:t>
      </w:r>
      <w:r>
        <w:rPr>
          <w:rFonts w:ascii="Times New Roman" w:hAnsi="Times New Roman" w:cs="Times New Roman"/>
          <w:sz w:val="24"/>
          <w:szCs w:val="24"/>
        </w:rPr>
        <w:t xml:space="preserve"> th</w:t>
      </w:r>
      <w:r w:rsidR="00056F84">
        <w:rPr>
          <w:rFonts w:ascii="Times New Roman" w:hAnsi="Times New Roman" w:cs="Times New Roman"/>
          <w:sz w:val="24"/>
          <w:szCs w:val="24"/>
        </w:rPr>
        <w:t>e</w:t>
      </w:r>
      <w:r>
        <w:rPr>
          <w:rFonts w:ascii="Times New Roman" w:hAnsi="Times New Roman" w:cs="Times New Roman"/>
          <w:sz w:val="24"/>
          <w:szCs w:val="24"/>
        </w:rPr>
        <w:t xml:space="preserve"> US and EU. China engages in outright currency manipulation by pegging their currency to that of the US.  </w:t>
      </w:r>
    </w:p>
    <w:p w:rsidR="001C1378" w:rsidRDefault="001C1378" w:rsidP="00B570D5">
      <w:pPr>
        <w:autoSpaceDE w:val="0"/>
        <w:autoSpaceDN w:val="0"/>
        <w:adjustRightInd w:val="0"/>
        <w:spacing w:after="0" w:line="288" w:lineRule="auto"/>
        <w:jc w:val="both"/>
        <w:rPr>
          <w:rFonts w:ascii="Times New Roman" w:hAnsi="Times New Roman" w:cs="Times New Roman"/>
          <w:sz w:val="24"/>
          <w:szCs w:val="24"/>
        </w:rPr>
      </w:pPr>
    </w:p>
    <w:p w:rsidR="001C1378" w:rsidRDefault="004A779A" w:rsidP="00B570D5">
      <w:pPr>
        <w:autoSpaceDE w:val="0"/>
        <w:autoSpaceDN w:val="0"/>
        <w:adjustRightInd w:val="0"/>
        <w:spacing w:after="0" w:line="288" w:lineRule="auto"/>
        <w:jc w:val="both"/>
        <w:rPr>
          <w:rFonts w:ascii="Times New Roman" w:hAnsi="Times New Roman" w:cs="Times New Roman"/>
          <w:sz w:val="24"/>
          <w:szCs w:val="24"/>
        </w:rPr>
      </w:pPr>
      <w:r w:rsidRPr="007E0534">
        <w:rPr>
          <w:rFonts w:ascii="Times New Roman" w:hAnsi="Times New Roman" w:cs="Times New Roman"/>
          <w:sz w:val="24"/>
          <w:szCs w:val="24"/>
        </w:rPr>
        <w:t xml:space="preserve">The traditional orthodox measure for determining the correct price of a currency was the so-called purchasing power parity exchange rate or the exchange rate difference which equalises costs of production between two countries such as Australia and the United States. Peter </w:t>
      </w:r>
      <w:r w:rsidRPr="007E0534">
        <w:rPr>
          <w:rFonts w:ascii="Times New Roman" w:hAnsi="Times New Roman" w:cs="Times New Roman"/>
          <w:sz w:val="24"/>
          <w:szCs w:val="24"/>
        </w:rPr>
        <w:lastRenderedPageBreak/>
        <w:t>Brain (2012: 72) suggests that based on the PPP rate the $A should be approximately 70 cents Australian to the $US. At parity the $A is over-valued by 40 per cent. In 2011</w:t>
      </w:r>
      <w:r w:rsidR="007E0534" w:rsidRPr="007E0534">
        <w:rPr>
          <w:rFonts w:ascii="Times New Roman" w:hAnsi="Times New Roman" w:cs="Times New Roman"/>
          <w:sz w:val="24"/>
          <w:szCs w:val="24"/>
        </w:rPr>
        <w:t xml:space="preserve">, when the $A averaged $US1.03, </w:t>
      </w:r>
      <w:r w:rsidRPr="007E0534">
        <w:rPr>
          <w:rFonts w:ascii="Times New Roman" w:hAnsi="Times New Roman" w:cs="Times New Roman"/>
          <w:sz w:val="24"/>
          <w:szCs w:val="24"/>
        </w:rPr>
        <w:t xml:space="preserve">the IMF </w:t>
      </w:r>
      <w:r w:rsidR="007E0534" w:rsidRPr="007E0534">
        <w:rPr>
          <w:rFonts w:ascii="Times New Roman" w:hAnsi="Times New Roman" w:cs="Times New Roman"/>
          <w:sz w:val="24"/>
          <w:szCs w:val="24"/>
        </w:rPr>
        <w:t xml:space="preserve">(2011) </w:t>
      </w:r>
      <w:r w:rsidRPr="007E0534">
        <w:rPr>
          <w:rFonts w:ascii="Times New Roman" w:hAnsi="Times New Roman" w:cs="Times New Roman"/>
          <w:sz w:val="24"/>
          <w:szCs w:val="24"/>
        </w:rPr>
        <w:t>estimated it was over-valued by 10-20%. On other measures the $A is also grossly out of alignment with economic fundamentals. Treasury (2008) estimates Australian productivity per worker is roughly 30-40% lower than in the US</w:t>
      </w:r>
      <w:r w:rsidR="00EF1A04" w:rsidRPr="007E0534">
        <w:rPr>
          <w:rFonts w:ascii="Times New Roman" w:hAnsi="Times New Roman" w:cs="Times New Roman"/>
          <w:sz w:val="24"/>
          <w:szCs w:val="24"/>
        </w:rPr>
        <w:t xml:space="preserve">; though the exchange rate does not reflect </w:t>
      </w:r>
      <w:r w:rsidR="007E0534" w:rsidRPr="007E0534">
        <w:rPr>
          <w:rFonts w:ascii="Times New Roman" w:hAnsi="Times New Roman" w:cs="Times New Roman"/>
          <w:sz w:val="24"/>
          <w:szCs w:val="24"/>
        </w:rPr>
        <w:t>this major disparity</w:t>
      </w:r>
      <w:r w:rsidRPr="007E0534">
        <w:rPr>
          <w:rFonts w:ascii="Times New Roman" w:hAnsi="Times New Roman" w:cs="Times New Roman"/>
          <w:sz w:val="24"/>
          <w:szCs w:val="24"/>
        </w:rPr>
        <w:t xml:space="preserve">. Australia runs large </w:t>
      </w:r>
      <w:r w:rsidR="007E0534" w:rsidRPr="007E0534">
        <w:rPr>
          <w:rFonts w:ascii="Times New Roman" w:hAnsi="Times New Roman" w:cs="Times New Roman"/>
          <w:sz w:val="24"/>
          <w:szCs w:val="24"/>
        </w:rPr>
        <w:t xml:space="preserve">persistent </w:t>
      </w:r>
      <w:r w:rsidRPr="007E0534">
        <w:rPr>
          <w:rFonts w:ascii="Times New Roman" w:hAnsi="Times New Roman" w:cs="Times New Roman"/>
          <w:sz w:val="24"/>
          <w:szCs w:val="24"/>
        </w:rPr>
        <w:t xml:space="preserve">current account deficits and even with </w:t>
      </w:r>
      <w:r w:rsidR="001E3107">
        <w:rPr>
          <w:rFonts w:ascii="Times New Roman" w:hAnsi="Times New Roman" w:cs="Times New Roman"/>
          <w:sz w:val="24"/>
          <w:szCs w:val="24"/>
        </w:rPr>
        <w:t>historically</w:t>
      </w:r>
      <w:r w:rsidR="00056F84">
        <w:rPr>
          <w:rFonts w:ascii="Times New Roman" w:hAnsi="Times New Roman" w:cs="Times New Roman"/>
          <w:sz w:val="24"/>
          <w:szCs w:val="24"/>
        </w:rPr>
        <w:t xml:space="preserve"> high</w:t>
      </w:r>
      <w:r w:rsidR="007E0534" w:rsidRPr="007E0534">
        <w:rPr>
          <w:rFonts w:ascii="Times New Roman" w:hAnsi="Times New Roman" w:cs="Times New Roman"/>
          <w:sz w:val="24"/>
          <w:szCs w:val="24"/>
        </w:rPr>
        <w:t xml:space="preserve"> commodity prices </w:t>
      </w:r>
      <w:r w:rsidRPr="007E0534">
        <w:rPr>
          <w:rFonts w:ascii="Times New Roman" w:hAnsi="Times New Roman" w:cs="Times New Roman"/>
          <w:sz w:val="24"/>
          <w:szCs w:val="24"/>
        </w:rPr>
        <w:t>we do not run persistent trade surpluses.</w:t>
      </w:r>
      <w:r w:rsidR="00A8660B">
        <w:rPr>
          <w:rStyle w:val="FootnoteReference"/>
          <w:rFonts w:ascii="Times New Roman" w:hAnsi="Times New Roman" w:cs="Times New Roman"/>
          <w:sz w:val="24"/>
          <w:szCs w:val="24"/>
        </w:rPr>
        <w:footnoteReference w:id="2"/>
      </w:r>
      <w:r w:rsidR="001C1378">
        <w:rPr>
          <w:rFonts w:ascii="Times New Roman" w:hAnsi="Times New Roman" w:cs="Times New Roman"/>
          <w:sz w:val="24"/>
          <w:szCs w:val="24"/>
        </w:rPr>
        <w:t xml:space="preserve"> </w:t>
      </w:r>
    </w:p>
    <w:p w:rsidR="00370797" w:rsidRDefault="00370797" w:rsidP="00B570D5">
      <w:pPr>
        <w:jc w:val="both"/>
        <w:rPr>
          <w:rFonts w:ascii="Times New Roman" w:hAnsi="Times New Roman" w:cs="Times New Roman"/>
          <w:sz w:val="24"/>
          <w:szCs w:val="24"/>
        </w:rPr>
      </w:pPr>
    </w:p>
    <w:p w:rsidR="001C1378" w:rsidRDefault="00056F84" w:rsidP="00B570D5">
      <w:pPr>
        <w:jc w:val="both"/>
        <w:rPr>
          <w:rFonts w:ascii="Times New Roman" w:hAnsi="Times New Roman" w:cs="Times New Roman"/>
          <w:sz w:val="24"/>
          <w:szCs w:val="24"/>
        </w:rPr>
      </w:pPr>
      <w:r>
        <w:rPr>
          <w:rFonts w:ascii="Times New Roman" w:hAnsi="Times New Roman" w:cs="Times New Roman"/>
          <w:sz w:val="24"/>
          <w:szCs w:val="24"/>
        </w:rPr>
        <w:t>This d</w:t>
      </w:r>
      <w:r w:rsidR="001C1378">
        <w:rPr>
          <w:rFonts w:ascii="Times New Roman" w:hAnsi="Times New Roman" w:cs="Times New Roman"/>
          <w:sz w:val="24"/>
          <w:szCs w:val="24"/>
        </w:rPr>
        <w:t xml:space="preserve">ysfunctional exchange rate </w:t>
      </w:r>
      <w:r w:rsidR="001E3107">
        <w:rPr>
          <w:rFonts w:ascii="Times New Roman" w:hAnsi="Times New Roman" w:cs="Times New Roman"/>
          <w:sz w:val="24"/>
          <w:szCs w:val="24"/>
        </w:rPr>
        <w:t>mechanism</w:t>
      </w:r>
      <w:r w:rsidR="001C1378">
        <w:rPr>
          <w:rFonts w:ascii="Times New Roman" w:hAnsi="Times New Roman" w:cs="Times New Roman"/>
          <w:sz w:val="24"/>
          <w:szCs w:val="24"/>
        </w:rPr>
        <w:t xml:space="preserve"> </w:t>
      </w:r>
      <w:r w:rsidR="001E3107">
        <w:rPr>
          <w:rFonts w:ascii="Times New Roman" w:hAnsi="Times New Roman" w:cs="Times New Roman"/>
          <w:sz w:val="24"/>
          <w:szCs w:val="24"/>
        </w:rPr>
        <w:t>represents</w:t>
      </w:r>
      <w:r w:rsidR="001C1378">
        <w:rPr>
          <w:rFonts w:ascii="Times New Roman" w:hAnsi="Times New Roman" w:cs="Times New Roman"/>
          <w:sz w:val="24"/>
          <w:szCs w:val="24"/>
        </w:rPr>
        <w:t xml:space="preserve"> a negative </w:t>
      </w:r>
      <w:r w:rsidR="001E3107">
        <w:rPr>
          <w:rFonts w:ascii="Times New Roman" w:hAnsi="Times New Roman" w:cs="Times New Roman"/>
          <w:sz w:val="24"/>
          <w:szCs w:val="24"/>
        </w:rPr>
        <w:t>externality</w:t>
      </w:r>
      <w:r w:rsidR="001C1378">
        <w:rPr>
          <w:rFonts w:ascii="Times New Roman" w:hAnsi="Times New Roman" w:cs="Times New Roman"/>
          <w:sz w:val="24"/>
          <w:szCs w:val="24"/>
        </w:rPr>
        <w:t xml:space="preserve"> for export and import </w:t>
      </w:r>
      <w:r w:rsidR="001E3107">
        <w:rPr>
          <w:rFonts w:ascii="Times New Roman" w:hAnsi="Times New Roman" w:cs="Times New Roman"/>
          <w:sz w:val="24"/>
          <w:szCs w:val="24"/>
        </w:rPr>
        <w:t>competing</w:t>
      </w:r>
      <w:r w:rsidR="001C1378">
        <w:rPr>
          <w:rFonts w:ascii="Times New Roman" w:hAnsi="Times New Roman" w:cs="Times New Roman"/>
          <w:sz w:val="24"/>
          <w:szCs w:val="24"/>
        </w:rPr>
        <w:t xml:space="preserve"> industries. </w:t>
      </w:r>
      <w:r>
        <w:rPr>
          <w:rFonts w:ascii="Times New Roman" w:hAnsi="Times New Roman" w:cs="Times New Roman"/>
          <w:sz w:val="24"/>
          <w:szCs w:val="24"/>
        </w:rPr>
        <w:t xml:space="preserve"> </w:t>
      </w:r>
      <w:r w:rsidRPr="00056F84">
        <w:rPr>
          <w:rFonts w:ascii="Times New Roman" w:hAnsi="Times New Roman" w:cs="Times New Roman"/>
          <w:sz w:val="24"/>
          <w:szCs w:val="24"/>
        </w:rPr>
        <w:t>Mining is, to a degree, automatically insulated from an over-valued $</w:t>
      </w:r>
      <w:r>
        <w:rPr>
          <w:rFonts w:ascii="Times New Roman" w:hAnsi="Times New Roman" w:cs="Times New Roman"/>
          <w:sz w:val="24"/>
          <w:szCs w:val="24"/>
        </w:rPr>
        <w:t>A</w:t>
      </w:r>
      <w:r w:rsidRPr="00056F84">
        <w:rPr>
          <w:rFonts w:ascii="Times New Roman" w:hAnsi="Times New Roman" w:cs="Times New Roman"/>
          <w:sz w:val="24"/>
          <w:szCs w:val="24"/>
        </w:rPr>
        <w:t>, because high commodity prices drive the dollar higher</w:t>
      </w:r>
      <w:r>
        <w:rPr>
          <w:rFonts w:ascii="Times New Roman" w:hAnsi="Times New Roman" w:cs="Times New Roman"/>
          <w:sz w:val="24"/>
          <w:szCs w:val="24"/>
        </w:rPr>
        <w:t>,</w:t>
      </w:r>
      <w:r w:rsidRPr="00056F84">
        <w:rPr>
          <w:rFonts w:ascii="Times New Roman" w:hAnsi="Times New Roman" w:cs="Times New Roman"/>
          <w:sz w:val="24"/>
          <w:szCs w:val="24"/>
        </w:rPr>
        <w:t xml:space="preserve"> but high commodity prices also drive higher mining profits.</w:t>
      </w:r>
      <w:r w:rsidR="00896ED5">
        <w:rPr>
          <w:rFonts w:ascii="Times New Roman" w:hAnsi="Times New Roman" w:cs="Times New Roman"/>
          <w:sz w:val="24"/>
          <w:szCs w:val="24"/>
        </w:rPr>
        <w:t xml:space="preserve"> Assi</w:t>
      </w:r>
      <w:r w:rsidR="00411C1A">
        <w:rPr>
          <w:rFonts w:ascii="Times New Roman" w:hAnsi="Times New Roman" w:cs="Times New Roman"/>
          <w:sz w:val="24"/>
          <w:szCs w:val="24"/>
        </w:rPr>
        <w:t>s</w:t>
      </w:r>
      <w:r w:rsidR="00896ED5">
        <w:rPr>
          <w:rFonts w:ascii="Times New Roman" w:hAnsi="Times New Roman" w:cs="Times New Roman"/>
          <w:sz w:val="24"/>
          <w:szCs w:val="24"/>
        </w:rPr>
        <w:t xml:space="preserve">tance to the auto sector can be </w:t>
      </w:r>
      <w:r w:rsidR="001E3107">
        <w:rPr>
          <w:rFonts w:ascii="Times New Roman" w:hAnsi="Times New Roman" w:cs="Times New Roman"/>
          <w:sz w:val="24"/>
          <w:szCs w:val="24"/>
        </w:rPr>
        <w:t>legitimately</w:t>
      </w:r>
      <w:r w:rsidR="00896ED5">
        <w:rPr>
          <w:rFonts w:ascii="Times New Roman" w:hAnsi="Times New Roman" w:cs="Times New Roman"/>
          <w:sz w:val="24"/>
          <w:szCs w:val="24"/>
        </w:rPr>
        <w:t xml:space="preserve"> viewed as a </w:t>
      </w:r>
      <w:r w:rsidR="00E147C6">
        <w:rPr>
          <w:rFonts w:ascii="Times New Roman" w:hAnsi="Times New Roman" w:cs="Times New Roman"/>
          <w:sz w:val="24"/>
          <w:szCs w:val="24"/>
        </w:rPr>
        <w:t>means of offsetting the market failure aris</w:t>
      </w:r>
      <w:r w:rsidR="00411C1A">
        <w:rPr>
          <w:rFonts w:ascii="Times New Roman" w:hAnsi="Times New Roman" w:cs="Times New Roman"/>
          <w:sz w:val="24"/>
          <w:szCs w:val="24"/>
        </w:rPr>
        <w:t>i</w:t>
      </w:r>
      <w:r w:rsidR="00E147C6">
        <w:rPr>
          <w:rFonts w:ascii="Times New Roman" w:hAnsi="Times New Roman" w:cs="Times New Roman"/>
          <w:sz w:val="24"/>
          <w:szCs w:val="24"/>
        </w:rPr>
        <w:t xml:space="preserve">ng from excessive exchange rate </w:t>
      </w:r>
      <w:r w:rsidR="001E3107">
        <w:rPr>
          <w:rFonts w:ascii="Times New Roman" w:hAnsi="Times New Roman" w:cs="Times New Roman"/>
          <w:sz w:val="24"/>
          <w:szCs w:val="24"/>
        </w:rPr>
        <w:t>appreciation</w:t>
      </w:r>
      <w:r w:rsidR="00E147C6">
        <w:rPr>
          <w:rFonts w:ascii="Times New Roman" w:hAnsi="Times New Roman" w:cs="Times New Roman"/>
          <w:sz w:val="24"/>
          <w:szCs w:val="24"/>
        </w:rPr>
        <w:t>.</w:t>
      </w:r>
    </w:p>
    <w:p w:rsidR="003571AE" w:rsidRPr="00E147C6" w:rsidRDefault="00FD7167" w:rsidP="00B570D5">
      <w:pPr>
        <w:jc w:val="both"/>
        <w:rPr>
          <w:rFonts w:ascii="Times New Roman" w:hAnsi="Times New Roman" w:cs="Times New Roman"/>
          <w:b/>
          <w:sz w:val="24"/>
          <w:szCs w:val="24"/>
        </w:rPr>
      </w:pPr>
      <w:r w:rsidRPr="00E147C6">
        <w:rPr>
          <w:rFonts w:ascii="Times New Roman" w:hAnsi="Times New Roman" w:cs="Times New Roman"/>
          <w:b/>
          <w:sz w:val="24"/>
          <w:szCs w:val="24"/>
        </w:rPr>
        <w:t>5</w:t>
      </w:r>
      <w:r w:rsidR="003571AE" w:rsidRPr="00E147C6">
        <w:rPr>
          <w:rFonts w:ascii="Times New Roman" w:hAnsi="Times New Roman" w:cs="Times New Roman"/>
          <w:b/>
          <w:sz w:val="24"/>
          <w:szCs w:val="24"/>
        </w:rPr>
        <w:t>.</w:t>
      </w:r>
      <w:r w:rsidR="009526B6" w:rsidRPr="00E147C6">
        <w:rPr>
          <w:rFonts w:ascii="Times New Roman" w:hAnsi="Times New Roman" w:cs="Times New Roman"/>
          <w:b/>
          <w:sz w:val="24"/>
          <w:szCs w:val="24"/>
        </w:rPr>
        <w:t xml:space="preserve"> </w:t>
      </w:r>
      <w:r w:rsidR="003571AE" w:rsidRPr="00E147C6">
        <w:rPr>
          <w:rFonts w:ascii="Times New Roman" w:hAnsi="Times New Roman" w:cs="Times New Roman"/>
          <w:b/>
          <w:sz w:val="24"/>
          <w:szCs w:val="24"/>
        </w:rPr>
        <w:t xml:space="preserve"> </w:t>
      </w:r>
      <w:r w:rsidR="00F17AEB">
        <w:rPr>
          <w:rFonts w:ascii="Times New Roman" w:hAnsi="Times New Roman" w:cs="Times New Roman"/>
          <w:b/>
          <w:sz w:val="24"/>
          <w:szCs w:val="24"/>
        </w:rPr>
        <w:t>Losing the auto industry will lower aggre</w:t>
      </w:r>
      <w:r w:rsidR="009526B6" w:rsidRPr="00E147C6">
        <w:rPr>
          <w:rFonts w:ascii="Times New Roman" w:hAnsi="Times New Roman" w:cs="Times New Roman"/>
          <w:b/>
          <w:sz w:val="24"/>
          <w:szCs w:val="24"/>
        </w:rPr>
        <w:t>g</w:t>
      </w:r>
      <w:r w:rsidR="00F17AEB">
        <w:rPr>
          <w:rFonts w:ascii="Times New Roman" w:hAnsi="Times New Roman" w:cs="Times New Roman"/>
          <w:b/>
          <w:sz w:val="24"/>
          <w:szCs w:val="24"/>
        </w:rPr>
        <w:t>a</w:t>
      </w:r>
      <w:r w:rsidR="009526B6" w:rsidRPr="00E147C6">
        <w:rPr>
          <w:rFonts w:ascii="Times New Roman" w:hAnsi="Times New Roman" w:cs="Times New Roman"/>
          <w:b/>
          <w:sz w:val="24"/>
          <w:szCs w:val="24"/>
        </w:rPr>
        <w:t xml:space="preserve">te productivity </w:t>
      </w:r>
    </w:p>
    <w:p w:rsidR="00AB29E4" w:rsidRPr="00AB29E4" w:rsidRDefault="00411C1A" w:rsidP="00B570D5">
      <w:pPr>
        <w:pStyle w:val="NormalWeb"/>
        <w:spacing w:after="0" w:line="288" w:lineRule="auto"/>
        <w:jc w:val="both"/>
        <w:rPr>
          <w:rFonts w:asciiTheme="minorHAnsi" w:hAnsiTheme="minorHAnsi" w:cstheme="minorHAnsi"/>
        </w:rPr>
      </w:pPr>
      <w:r>
        <w:rPr>
          <w:rFonts w:asciiTheme="minorHAnsi" w:hAnsiTheme="minorHAnsi" w:cstheme="minorHAnsi"/>
        </w:rPr>
        <w:t xml:space="preserve">Loss of the car industry will reinforce the </w:t>
      </w:r>
      <w:r w:rsidR="001E3107">
        <w:rPr>
          <w:rFonts w:asciiTheme="minorHAnsi" w:hAnsiTheme="minorHAnsi" w:cstheme="minorHAnsi"/>
        </w:rPr>
        <w:t>pattern</w:t>
      </w:r>
      <w:r>
        <w:rPr>
          <w:rFonts w:asciiTheme="minorHAnsi" w:hAnsiTheme="minorHAnsi" w:cstheme="minorHAnsi"/>
        </w:rPr>
        <w:t xml:space="preserve"> </w:t>
      </w:r>
      <w:r w:rsidR="001E3107">
        <w:rPr>
          <w:rFonts w:asciiTheme="minorHAnsi" w:hAnsiTheme="minorHAnsi" w:cstheme="minorHAnsi"/>
        </w:rPr>
        <w:t>of</w:t>
      </w:r>
      <w:r>
        <w:rPr>
          <w:rFonts w:asciiTheme="minorHAnsi" w:hAnsiTheme="minorHAnsi" w:cstheme="minorHAnsi"/>
        </w:rPr>
        <w:t xml:space="preserve"> </w:t>
      </w:r>
      <w:r w:rsidR="001E3107">
        <w:rPr>
          <w:rFonts w:asciiTheme="minorHAnsi" w:hAnsiTheme="minorHAnsi" w:cstheme="minorHAnsi"/>
        </w:rPr>
        <w:t>structural</w:t>
      </w:r>
      <w:r>
        <w:rPr>
          <w:rFonts w:asciiTheme="minorHAnsi" w:hAnsiTheme="minorHAnsi" w:cstheme="minorHAnsi"/>
        </w:rPr>
        <w:t xml:space="preserve"> change occurring over a number of decades which has resulted in the rapid growth of employment in low </w:t>
      </w:r>
      <w:r w:rsidR="001E3107">
        <w:rPr>
          <w:rFonts w:asciiTheme="minorHAnsi" w:hAnsiTheme="minorHAnsi" w:cstheme="minorHAnsi"/>
        </w:rPr>
        <w:t>productivity</w:t>
      </w:r>
      <w:r>
        <w:rPr>
          <w:rFonts w:asciiTheme="minorHAnsi" w:hAnsiTheme="minorHAnsi" w:cstheme="minorHAnsi"/>
        </w:rPr>
        <w:t xml:space="preserve"> jobs and </w:t>
      </w:r>
      <w:r w:rsidR="00370797">
        <w:rPr>
          <w:rFonts w:asciiTheme="minorHAnsi" w:hAnsiTheme="minorHAnsi" w:cstheme="minorHAnsi"/>
        </w:rPr>
        <w:t xml:space="preserve">a </w:t>
      </w:r>
      <w:r>
        <w:rPr>
          <w:rFonts w:asciiTheme="minorHAnsi" w:hAnsiTheme="minorHAnsi" w:cstheme="minorHAnsi"/>
        </w:rPr>
        <w:t>relatively small increase in total employment in high prod</w:t>
      </w:r>
      <w:r w:rsidR="00370797">
        <w:rPr>
          <w:rFonts w:asciiTheme="minorHAnsi" w:hAnsiTheme="minorHAnsi" w:cstheme="minorHAnsi"/>
        </w:rPr>
        <w:t>uctivity</w:t>
      </w:r>
      <w:r>
        <w:rPr>
          <w:rFonts w:asciiTheme="minorHAnsi" w:hAnsiTheme="minorHAnsi" w:cstheme="minorHAnsi"/>
        </w:rPr>
        <w:t xml:space="preserve"> jobs. In other words, </w:t>
      </w:r>
      <w:r w:rsidR="00AB29E4" w:rsidRPr="00AB29E4">
        <w:rPr>
          <w:rFonts w:asciiTheme="minorHAnsi" w:hAnsiTheme="minorHAnsi" w:cstheme="minorHAnsi"/>
        </w:rPr>
        <w:t xml:space="preserve">the pattern of long run employment growth does not support the argument that, in general, </w:t>
      </w:r>
      <w:r w:rsidR="00370797">
        <w:rPr>
          <w:rFonts w:asciiTheme="minorHAnsi" w:hAnsiTheme="minorHAnsi" w:cstheme="minorHAnsi"/>
        </w:rPr>
        <w:t xml:space="preserve">structural change involves by definition the movement of </w:t>
      </w:r>
      <w:r w:rsidR="00AB29E4" w:rsidRPr="00AB29E4">
        <w:rPr>
          <w:rFonts w:asciiTheme="minorHAnsi" w:hAnsiTheme="minorHAnsi" w:cstheme="minorHAnsi"/>
        </w:rPr>
        <w:t xml:space="preserve">labour from low to high </w:t>
      </w:r>
      <w:r w:rsidR="00AB29E4" w:rsidRPr="00AB29E4">
        <w:rPr>
          <w:rFonts w:asciiTheme="minorHAnsi" w:hAnsiTheme="minorHAnsi" w:cstheme="minorHAnsi"/>
        </w:rPr>
        <w:lastRenderedPageBreak/>
        <w:t>productivity industries.</w:t>
      </w:r>
      <w:r w:rsidR="009641C8">
        <w:rPr>
          <w:rStyle w:val="FootnoteReference"/>
          <w:rFonts w:asciiTheme="minorHAnsi" w:hAnsiTheme="minorHAnsi" w:cstheme="minorHAnsi"/>
        </w:rPr>
        <w:footnoteReference w:id="3"/>
      </w:r>
      <w:r w:rsidR="00AB29E4" w:rsidRPr="00AB29E4">
        <w:rPr>
          <w:rFonts w:asciiTheme="minorHAnsi" w:hAnsiTheme="minorHAnsi" w:cstheme="minorHAnsi"/>
        </w:rPr>
        <w:t xml:space="preserve"> O</w:t>
      </w:r>
      <w:r w:rsidR="00AB29E4" w:rsidRPr="00AB29E4">
        <w:rPr>
          <w:rFonts w:asciiTheme="minorHAnsi" w:hAnsiTheme="minorHAnsi" w:cstheme="minorHAnsi"/>
          <w:color w:val="000000" w:themeColor="text1"/>
        </w:rPr>
        <w:t>ver the last 12 years from 2000 to 2011 around 80% of net employment growth (adjusted for hours worked) was in industries that have below average, and in some cases, substantially below average, value added per hour worked (these are the industries in Red)</w:t>
      </w:r>
      <w:r w:rsidR="00651E17">
        <w:rPr>
          <w:rFonts w:asciiTheme="minorHAnsi" w:hAnsiTheme="minorHAnsi" w:cstheme="minorHAnsi"/>
          <w:color w:val="000000" w:themeColor="text1"/>
        </w:rPr>
        <w:t xml:space="preserve"> (Green, Toner and Agarwal 2013 </w:t>
      </w:r>
      <w:r w:rsidR="00AB29E4" w:rsidRPr="00AB29E4">
        <w:rPr>
          <w:rFonts w:asciiTheme="minorHAnsi" w:hAnsiTheme="minorHAnsi" w:cstheme="minorHAnsi"/>
          <w:color w:val="000000" w:themeColor="text1"/>
        </w:rPr>
        <w:t xml:space="preserve">. The industries in Green also made a positive contribution to employment growth, but had above average value added per hour worked. </w:t>
      </w:r>
    </w:p>
    <w:p w:rsidR="00AB29E4" w:rsidRPr="00021B5B" w:rsidRDefault="00AB29E4" w:rsidP="00B570D5">
      <w:pPr>
        <w:spacing w:after="0" w:line="288" w:lineRule="auto"/>
        <w:jc w:val="both"/>
        <w:rPr>
          <w:rFonts w:eastAsia="Times New Roman" w:cstheme="minorHAnsi"/>
          <w:sz w:val="24"/>
          <w:szCs w:val="24"/>
        </w:rPr>
      </w:pPr>
    </w:p>
    <w:p w:rsidR="00AB29E4" w:rsidRPr="00AB29E4" w:rsidRDefault="00AB29E4" w:rsidP="00AB29E4">
      <w:pPr>
        <w:spacing w:after="0" w:line="240" w:lineRule="auto"/>
        <w:rPr>
          <w:rFonts w:eastAsia="Times New Roman" w:cstheme="minorHAnsi"/>
          <w:color w:val="000000" w:themeColor="text1"/>
          <w:sz w:val="24"/>
          <w:szCs w:val="24"/>
        </w:rPr>
      </w:pPr>
      <w:r w:rsidRPr="00AB29E4">
        <w:rPr>
          <w:rFonts w:eastAsia="Times New Roman" w:cstheme="minorHAnsi"/>
          <w:color w:val="000000" w:themeColor="text1"/>
          <w:sz w:val="24"/>
          <w:szCs w:val="24"/>
        </w:rPr>
        <w:t>Table</w:t>
      </w:r>
      <w:r w:rsidR="00411C1A">
        <w:rPr>
          <w:rFonts w:eastAsia="Times New Roman" w:cstheme="minorHAnsi"/>
          <w:color w:val="000000" w:themeColor="text1"/>
          <w:sz w:val="24"/>
          <w:szCs w:val="24"/>
        </w:rPr>
        <w:t>1</w:t>
      </w:r>
      <w:r w:rsidRPr="00AB29E4">
        <w:rPr>
          <w:rFonts w:eastAsia="Times New Roman" w:cstheme="minorHAnsi"/>
          <w:color w:val="000000" w:themeColor="text1"/>
          <w:sz w:val="24"/>
          <w:szCs w:val="24"/>
        </w:rPr>
        <w:t>: Employment Growth and Value Added per Hour Worked X Industry</w:t>
      </w:r>
    </w:p>
    <w:p w:rsidR="00AB29E4" w:rsidRPr="00AB29E4" w:rsidRDefault="00AB29E4" w:rsidP="00AB29E4">
      <w:pPr>
        <w:spacing w:after="0" w:line="240" w:lineRule="auto"/>
        <w:rPr>
          <w:rFonts w:eastAsia="Times New Roman" w:cstheme="minorHAnsi"/>
          <w:color w:val="000000" w:themeColor="text1"/>
          <w:sz w:val="24"/>
          <w:szCs w:val="24"/>
        </w:rPr>
      </w:pPr>
    </w:p>
    <w:tbl>
      <w:tblPr>
        <w:tblStyle w:val="TableGrid"/>
        <w:tblW w:w="0" w:type="auto"/>
        <w:tblLook w:val="04A0" w:firstRow="1" w:lastRow="0" w:firstColumn="1" w:lastColumn="0" w:noHBand="0" w:noVBand="1"/>
      </w:tblPr>
      <w:tblGrid>
        <w:gridCol w:w="4077"/>
        <w:gridCol w:w="3119"/>
        <w:gridCol w:w="2046"/>
      </w:tblGrid>
      <w:tr w:rsidR="00AB29E4" w:rsidRPr="00AB29E4" w:rsidTr="00BE0C1E">
        <w:tc>
          <w:tcPr>
            <w:tcW w:w="4077" w:type="dxa"/>
          </w:tcPr>
          <w:p w:rsidR="00AB29E4" w:rsidRPr="00F4399F" w:rsidRDefault="00AB29E4" w:rsidP="00BE0C1E">
            <w:pPr>
              <w:rPr>
                <w:rFonts w:cstheme="minorHAnsi"/>
                <w:b/>
                <w:color w:val="000000"/>
              </w:rPr>
            </w:pPr>
            <w:r w:rsidRPr="00F4399F">
              <w:rPr>
                <w:rFonts w:cstheme="minorHAnsi"/>
                <w:b/>
                <w:color w:val="000000"/>
              </w:rPr>
              <w:t>Industry</w:t>
            </w:r>
          </w:p>
        </w:tc>
        <w:tc>
          <w:tcPr>
            <w:tcW w:w="3119" w:type="dxa"/>
          </w:tcPr>
          <w:p w:rsidR="00AB29E4" w:rsidRPr="00F4399F" w:rsidRDefault="00AB29E4" w:rsidP="00BE0C1E">
            <w:pPr>
              <w:jc w:val="center"/>
              <w:rPr>
                <w:rFonts w:cstheme="minorHAnsi"/>
                <w:b/>
                <w:color w:val="000000"/>
              </w:rPr>
            </w:pPr>
            <w:r w:rsidRPr="00F4399F">
              <w:rPr>
                <w:rFonts w:cstheme="minorHAnsi"/>
                <w:b/>
                <w:color w:val="000000"/>
              </w:rPr>
              <w:t xml:space="preserve">Industry Contribution to Total Employment Growth </w:t>
            </w:r>
          </w:p>
          <w:p w:rsidR="00AB29E4" w:rsidRPr="00F4399F" w:rsidRDefault="00AB29E4" w:rsidP="00BE0C1E">
            <w:pPr>
              <w:jc w:val="center"/>
              <w:rPr>
                <w:rFonts w:cstheme="minorHAnsi"/>
                <w:b/>
                <w:color w:val="000000"/>
              </w:rPr>
            </w:pPr>
            <w:r w:rsidRPr="00F4399F">
              <w:rPr>
                <w:rFonts w:cstheme="minorHAnsi"/>
                <w:b/>
                <w:color w:val="000000"/>
              </w:rPr>
              <w:t>2000-2011</w:t>
            </w:r>
          </w:p>
        </w:tc>
        <w:tc>
          <w:tcPr>
            <w:tcW w:w="2046" w:type="dxa"/>
          </w:tcPr>
          <w:p w:rsidR="00AB29E4" w:rsidRPr="00F4399F" w:rsidRDefault="00AB29E4" w:rsidP="00BE0C1E">
            <w:pPr>
              <w:jc w:val="center"/>
              <w:rPr>
                <w:rFonts w:cstheme="minorHAnsi"/>
                <w:b/>
                <w:color w:val="000000"/>
              </w:rPr>
            </w:pPr>
            <w:r w:rsidRPr="00F4399F">
              <w:rPr>
                <w:rFonts w:cstheme="minorHAnsi"/>
                <w:b/>
                <w:color w:val="000000"/>
              </w:rPr>
              <w:t>Value Added Per Hour Worked $</w:t>
            </w:r>
          </w:p>
          <w:p w:rsidR="00AB29E4" w:rsidRPr="00F4399F" w:rsidRDefault="00AB29E4" w:rsidP="00BE0C1E">
            <w:pPr>
              <w:jc w:val="center"/>
              <w:rPr>
                <w:rFonts w:cstheme="minorHAnsi"/>
                <w:b/>
                <w:color w:val="000000"/>
              </w:rPr>
            </w:pPr>
            <w:r w:rsidRPr="00F4399F">
              <w:rPr>
                <w:rFonts w:cstheme="minorHAnsi"/>
                <w:b/>
                <w:color w:val="000000"/>
              </w:rPr>
              <w:t>2011</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Health Care and Social Assistance</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20%</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43</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Construction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14%</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52</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Professional, Scientific and Technical Services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11%</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57</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Public Administration and Safety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10%</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58</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Retail Trade</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9%</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35</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Education and Training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9%</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46</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Accommodation and Food Services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6%</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30</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Arts and Recreation Services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3%</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37</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Administrative and Support Services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3%</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55</w:t>
            </w:r>
          </w:p>
        </w:tc>
      </w:tr>
      <w:tr w:rsidR="00AB29E4" w:rsidRPr="00AB29E4" w:rsidTr="00BE0C1E">
        <w:tc>
          <w:tcPr>
            <w:tcW w:w="4077" w:type="dxa"/>
            <w:vAlign w:val="bottom"/>
          </w:tcPr>
          <w:p w:rsidR="00AB29E4" w:rsidRPr="00F4399F" w:rsidRDefault="00AB29E4" w:rsidP="00BE0C1E">
            <w:pPr>
              <w:rPr>
                <w:rFonts w:cstheme="minorHAnsi"/>
                <w:color w:val="FF0000"/>
              </w:rPr>
            </w:pPr>
            <w:r w:rsidRPr="00F4399F">
              <w:rPr>
                <w:rFonts w:cstheme="minorHAnsi"/>
                <w:color w:val="FF0000"/>
              </w:rPr>
              <w:t xml:space="preserve">Other Services </w:t>
            </w:r>
          </w:p>
        </w:tc>
        <w:tc>
          <w:tcPr>
            <w:tcW w:w="3119" w:type="dxa"/>
            <w:vAlign w:val="bottom"/>
          </w:tcPr>
          <w:p w:rsidR="00AB29E4" w:rsidRPr="00F4399F" w:rsidRDefault="00AB29E4" w:rsidP="00F4399F">
            <w:pPr>
              <w:jc w:val="center"/>
              <w:rPr>
                <w:rFonts w:cstheme="minorHAnsi"/>
                <w:color w:val="FF0000"/>
              </w:rPr>
            </w:pPr>
            <w:r w:rsidRPr="00F4399F">
              <w:rPr>
                <w:rFonts w:cstheme="minorHAnsi"/>
                <w:color w:val="FF0000"/>
              </w:rPr>
              <w:t>2%</w:t>
            </w:r>
          </w:p>
        </w:tc>
        <w:tc>
          <w:tcPr>
            <w:tcW w:w="2046" w:type="dxa"/>
            <w:vAlign w:val="bottom"/>
          </w:tcPr>
          <w:p w:rsidR="00AB29E4" w:rsidRPr="00F4399F" w:rsidRDefault="00AB29E4" w:rsidP="00F4399F">
            <w:pPr>
              <w:jc w:val="center"/>
              <w:rPr>
                <w:rFonts w:cstheme="minorHAnsi"/>
                <w:color w:val="FF0000"/>
              </w:rPr>
            </w:pPr>
            <w:r w:rsidRPr="00F4399F">
              <w:rPr>
                <w:rFonts w:cstheme="minorHAnsi"/>
                <w:color w:val="FF0000"/>
              </w:rPr>
              <w:t>32</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 xml:space="preserve"> Mining </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6%</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260</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 xml:space="preserve">Transport, Postal and Warehousing </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5%</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69</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Financial and Insurance Services</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4%</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188</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 xml:space="preserve"> Electricity, Gas, Water and Waste Services </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3%</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112</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 xml:space="preserve">Rental, Hiring and Real Estate </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2%</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87</w:t>
            </w:r>
          </w:p>
        </w:tc>
      </w:tr>
      <w:tr w:rsidR="00AB29E4" w:rsidRPr="00AB29E4" w:rsidTr="00BE0C1E">
        <w:tc>
          <w:tcPr>
            <w:tcW w:w="4077" w:type="dxa"/>
            <w:vAlign w:val="bottom"/>
          </w:tcPr>
          <w:p w:rsidR="00AB29E4" w:rsidRPr="00F4399F" w:rsidRDefault="00AB29E4" w:rsidP="00BE0C1E">
            <w:pPr>
              <w:rPr>
                <w:rFonts w:cstheme="minorHAnsi"/>
                <w:color w:val="00B050"/>
              </w:rPr>
            </w:pPr>
            <w:r w:rsidRPr="00F4399F">
              <w:rPr>
                <w:rFonts w:cstheme="minorHAnsi"/>
                <w:color w:val="00B050"/>
              </w:rPr>
              <w:t>Wholesale Trade</w:t>
            </w:r>
          </w:p>
        </w:tc>
        <w:tc>
          <w:tcPr>
            <w:tcW w:w="3119" w:type="dxa"/>
            <w:vAlign w:val="bottom"/>
          </w:tcPr>
          <w:p w:rsidR="00AB29E4" w:rsidRPr="00F4399F" w:rsidRDefault="00AB29E4" w:rsidP="00F4399F">
            <w:pPr>
              <w:jc w:val="center"/>
              <w:rPr>
                <w:rFonts w:cstheme="minorHAnsi"/>
                <w:color w:val="00B050"/>
              </w:rPr>
            </w:pPr>
            <w:r w:rsidRPr="00F4399F">
              <w:rPr>
                <w:rFonts w:cstheme="minorHAnsi"/>
                <w:color w:val="00B050"/>
              </w:rPr>
              <w:t>2%</w:t>
            </w:r>
          </w:p>
        </w:tc>
        <w:tc>
          <w:tcPr>
            <w:tcW w:w="2046" w:type="dxa"/>
            <w:vAlign w:val="bottom"/>
          </w:tcPr>
          <w:p w:rsidR="00AB29E4" w:rsidRPr="00F4399F" w:rsidRDefault="00AB29E4" w:rsidP="00F4399F">
            <w:pPr>
              <w:jc w:val="center"/>
              <w:rPr>
                <w:rFonts w:cstheme="minorHAnsi"/>
                <w:color w:val="00B050"/>
              </w:rPr>
            </w:pPr>
            <w:r w:rsidRPr="00F4399F">
              <w:rPr>
                <w:rFonts w:cstheme="minorHAnsi"/>
                <w:color w:val="00B050"/>
              </w:rPr>
              <w:t>74</w:t>
            </w:r>
          </w:p>
        </w:tc>
      </w:tr>
      <w:tr w:rsidR="00AB29E4" w:rsidRPr="00AB29E4" w:rsidTr="00BE0C1E">
        <w:tc>
          <w:tcPr>
            <w:tcW w:w="4077" w:type="dxa"/>
            <w:vAlign w:val="bottom"/>
          </w:tcPr>
          <w:p w:rsidR="00AB29E4" w:rsidRPr="00F4399F" w:rsidRDefault="00AB29E4" w:rsidP="00BE0C1E">
            <w:pPr>
              <w:rPr>
                <w:rFonts w:cstheme="minorHAnsi"/>
                <w:color w:val="000000"/>
                <w:highlight w:val="yellow"/>
              </w:rPr>
            </w:pPr>
            <w:r w:rsidRPr="00F4399F">
              <w:rPr>
                <w:rFonts w:cstheme="minorHAnsi"/>
                <w:color w:val="000000"/>
                <w:highlight w:val="yellow"/>
              </w:rPr>
              <w:t>Information Media and Telecommunications</w:t>
            </w:r>
          </w:p>
        </w:tc>
        <w:tc>
          <w:tcPr>
            <w:tcW w:w="3119" w:type="dxa"/>
            <w:vAlign w:val="bottom"/>
          </w:tcPr>
          <w:p w:rsidR="00AB29E4" w:rsidRPr="00F4399F" w:rsidRDefault="00AB29E4" w:rsidP="00F4399F">
            <w:pPr>
              <w:jc w:val="center"/>
              <w:rPr>
                <w:rFonts w:cstheme="minorHAnsi"/>
                <w:color w:val="000000"/>
                <w:highlight w:val="yellow"/>
              </w:rPr>
            </w:pPr>
            <w:r w:rsidRPr="00F4399F">
              <w:rPr>
                <w:rFonts w:cstheme="minorHAnsi"/>
                <w:color w:val="000000"/>
                <w:highlight w:val="yellow"/>
              </w:rPr>
              <w:t>-1%</w:t>
            </w:r>
          </w:p>
        </w:tc>
        <w:tc>
          <w:tcPr>
            <w:tcW w:w="2046" w:type="dxa"/>
            <w:vAlign w:val="bottom"/>
          </w:tcPr>
          <w:p w:rsidR="00AB29E4" w:rsidRPr="00F4399F" w:rsidRDefault="00AB29E4" w:rsidP="00F4399F">
            <w:pPr>
              <w:jc w:val="center"/>
              <w:rPr>
                <w:rFonts w:cstheme="minorHAnsi"/>
                <w:color w:val="000000"/>
                <w:highlight w:val="yellow"/>
              </w:rPr>
            </w:pPr>
            <w:r w:rsidRPr="00F4399F">
              <w:rPr>
                <w:rFonts w:cstheme="minorHAnsi"/>
                <w:color w:val="000000"/>
                <w:highlight w:val="yellow"/>
              </w:rPr>
              <w:t>112</w:t>
            </w:r>
          </w:p>
        </w:tc>
      </w:tr>
      <w:tr w:rsidR="00AB29E4" w:rsidRPr="00AB29E4" w:rsidTr="00BE0C1E">
        <w:tc>
          <w:tcPr>
            <w:tcW w:w="4077" w:type="dxa"/>
            <w:vAlign w:val="bottom"/>
          </w:tcPr>
          <w:p w:rsidR="00AB29E4" w:rsidRPr="00F4399F" w:rsidRDefault="00AB29E4" w:rsidP="00BE0C1E">
            <w:pPr>
              <w:rPr>
                <w:rFonts w:cstheme="minorHAnsi"/>
                <w:color w:val="000000"/>
              </w:rPr>
            </w:pPr>
            <w:r w:rsidRPr="00F4399F">
              <w:rPr>
                <w:rFonts w:cstheme="minorHAnsi"/>
                <w:color w:val="000000"/>
              </w:rPr>
              <w:t>Manufacturing</w:t>
            </w:r>
          </w:p>
        </w:tc>
        <w:tc>
          <w:tcPr>
            <w:tcW w:w="3119" w:type="dxa"/>
            <w:vAlign w:val="bottom"/>
          </w:tcPr>
          <w:p w:rsidR="00AB29E4" w:rsidRPr="00F4399F" w:rsidRDefault="00AB29E4" w:rsidP="00F4399F">
            <w:pPr>
              <w:jc w:val="center"/>
              <w:rPr>
                <w:rFonts w:cstheme="minorHAnsi"/>
                <w:color w:val="000000"/>
              </w:rPr>
            </w:pPr>
            <w:r w:rsidRPr="00F4399F">
              <w:rPr>
                <w:rFonts w:cstheme="minorHAnsi"/>
                <w:color w:val="000000"/>
              </w:rPr>
              <w:t>-5%</w:t>
            </w:r>
          </w:p>
        </w:tc>
        <w:tc>
          <w:tcPr>
            <w:tcW w:w="2046" w:type="dxa"/>
            <w:vAlign w:val="bottom"/>
          </w:tcPr>
          <w:p w:rsidR="00AB29E4" w:rsidRPr="00F4399F" w:rsidRDefault="00AB29E4" w:rsidP="00F4399F">
            <w:pPr>
              <w:jc w:val="center"/>
              <w:rPr>
                <w:rFonts w:cstheme="minorHAnsi"/>
                <w:color w:val="000000"/>
              </w:rPr>
            </w:pPr>
            <w:r w:rsidRPr="00F4399F">
              <w:rPr>
                <w:rFonts w:cstheme="minorHAnsi"/>
                <w:color w:val="000000"/>
              </w:rPr>
              <w:t>62</w:t>
            </w:r>
          </w:p>
        </w:tc>
      </w:tr>
      <w:tr w:rsidR="00AB29E4" w:rsidRPr="00AB29E4" w:rsidTr="00BE0C1E">
        <w:tc>
          <w:tcPr>
            <w:tcW w:w="4077" w:type="dxa"/>
            <w:vAlign w:val="bottom"/>
          </w:tcPr>
          <w:p w:rsidR="00AB29E4" w:rsidRPr="00F4399F" w:rsidRDefault="00AB29E4" w:rsidP="00BE0C1E">
            <w:pPr>
              <w:rPr>
                <w:rFonts w:cstheme="minorHAnsi"/>
                <w:color w:val="000000"/>
              </w:rPr>
            </w:pPr>
            <w:r w:rsidRPr="00F4399F">
              <w:rPr>
                <w:rFonts w:cstheme="minorHAnsi"/>
                <w:color w:val="000000"/>
              </w:rPr>
              <w:t xml:space="preserve">Agriculture, Forestry and Fishing </w:t>
            </w:r>
          </w:p>
        </w:tc>
        <w:tc>
          <w:tcPr>
            <w:tcW w:w="3119" w:type="dxa"/>
            <w:vAlign w:val="bottom"/>
          </w:tcPr>
          <w:p w:rsidR="00AB29E4" w:rsidRPr="00F4399F" w:rsidRDefault="00AB29E4" w:rsidP="00F4399F">
            <w:pPr>
              <w:jc w:val="center"/>
              <w:rPr>
                <w:rFonts w:cstheme="minorHAnsi"/>
                <w:color w:val="000000"/>
              </w:rPr>
            </w:pPr>
            <w:r w:rsidRPr="00F4399F">
              <w:rPr>
                <w:rFonts w:cstheme="minorHAnsi"/>
                <w:color w:val="000000"/>
              </w:rPr>
              <w:t>-5%</w:t>
            </w:r>
          </w:p>
        </w:tc>
        <w:tc>
          <w:tcPr>
            <w:tcW w:w="2046" w:type="dxa"/>
            <w:vAlign w:val="bottom"/>
          </w:tcPr>
          <w:p w:rsidR="00AB29E4" w:rsidRPr="00F4399F" w:rsidRDefault="00AB29E4" w:rsidP="00F4399F">
            <w:pPr>
              <w:jc w:val="center"/>
              <w:rPr>
                <w:rFonts w:cstheme="minorHAnsi"/>
                <w:color w:val="000000"/>
              </w:rPr>
            </w:pPr>
            <w:r w:rsidRPr="00F4399F">
              <w:rPr>
                <w:rFonts w:cstheme="minorHAnsi"/>
                <w:color w:val="000000"/>
              </w:rPr>
              <w:t>54</w:t>
            </w:r>
          </w:p>
        </w:tc>
      </w:tr>
      <w:tr w:rsidR="00AB29E4" w:rsidRPr="00AB29E4" w:rsidTr="00BE0C1E">
        <w:tc>
          <w:tcPr>
            <w:tcW w:w="4077" w:type="dxa"/>
            <w:vAlign w:val="bottom"/>
          </w:tcPr>
          <w:p w:rsidR="00AB29E4" w:rsidRPr="00F4399F" w:rsidRDefault="00AB29E4" w:rsidP="00BE0C1E">
            <w:pPr>
              <w:rPr>
                <w:rFonts w:cstheme="minorHAnsi"/>
                <w:color w:val="000000"/>
              </w:rPr>
            </w:pPr>
            <w:r w:rsidRPr="00F4399F">
              <w:rPr>
                <w:rFonts w:cstheme="minorHAnsi"/>
                <w:color w:val="000000"/>
              </w:rPr>
              <w:t>Total</w:t>
            </w:r>
          </w:p>
        </w:tc>
        <w:tc>
          <w:tcPr>
            <w:tcW w:w="3119" w:type="dxa"/>
            <w:vAlign w:val="bottom"/>
          </w:tcPr>
          <w:p w:rsidR="00AB29E4" w:rsidRPr="00F4399F" w:rsidRDefault="00AB29E4" w:rsidP="00F4399F">
            <w:pPr>
              <w:jc w:val="center"/>
              <w:rPr>
                <w:rFonts w:cstheme="minorHAnsi"/>
                <w:color w:val="000000"/>
              </w:rPr>
            </w:pPr>
            <w:r w:rsidRPr="00F4399F">
              <w:rPr>
                <w:rFonts w:cstheme="minorHAnsi"/>
                <w:color w:val="000000"/>
              </w:rPr>
              <w:t>27%</w:t>
            </w:r>
          </w:p>
        </w:tc>
        <w:tc>
          <w:tcPr>
            <w:tcW w:w="2046" w:type="dxa"/>
            <w:vAlign w:val="bottom"/>
          </w:tcPr>
          <w:p w:rsidR="00AB29E4" w:rsidRPr="00F4399F" w:rsidRDefault="00AB29E4" w:rsidP="00F4399F">
            <w:pPr>
              <w:jc w:val="center"/>
              <w:rPr>
                <w:rFonts w:cstheme="minorHAnsi"/>
                <w:color w:val="000000"/>
              </w:rPr>
            </w:pPr>
            <w:r w:rsidRPr="00F4399F">
              <w:rPr>
                <w:rFonts w:cstheme="minorHAnsi"/>
                <w:color w:val="000000"/>
              </w:rPr>
              <w:t>64</w:t>
            </w:r>
          </w:p>
        </w:tc>
      </w:tr>
    </w:tbl>
    <w:p w:rsidR="00AB29E4" w:rsidRPr="00411C1A" w:rsidRDefault="00AB29E4" w:rsidP="00AB29E4">
      <w:pPr>
        <w:tabs>
          <w:tab w:val="left" w:pos="6064"/>
          <w:tab w:val="left" w:pos="7080"/>
          <w:tab w:val="left" w:pos="7916"/>
          <w:tab w:val="left" w:pos="8752"/>
          <w:tab w:val="left" w:pos="9588"/>
          <w:tab w:val="left" w:pos="10424"/>
          <w:tab w:val="left" w:pos="11260"/>
          <w:tab w:val="left" w:pos="12096"/>
        </w:tabs>
        <w:spacing w:after="0" w:line="240" w:lineRule="auto"/>
        <w:ind w:left="108"/>
        <w:rPr>
          <w:rFonts w:eastAsia="Times New Roman" w:cstheme="minorHAnsi"/>
          <w:bCs/>
          <w:sz w:val="20"/>
          <w:szCs w:val="20"/>
        </w:rPr>
      </w:pPr>
      <w:r w:rsidRPr="00411C1A">
        <w:rPr>
          <w:rFonts w:eastAsia="Times New Roman" w:cstheme="minorHAnsi"/>
          <w:color w:val="000000" w:themeColor="text1"/>
          <w:sz w:val="20"/>
          <w:szCs w:val="20"/>
        </w:rPr>
        <w:t xml:space="preserve">Source: ABS </w:t>
      </w:r>
      <w:r w:rsidRPr="00411C1A">
        <w:rPr>
          <w:rFonts w:eastAsia="Times New Roman" w:cstheme="minorHAnsi"/>
          <w:bCs/>
          <w:i/>
          <w:color w:val="000000" w:themeColor="text1"/>
          <w:sz w:val="20"/>
          <w:szCs w:val="20"/>
        </w:rPr>
        <w:t>Labour Force, Australia, Detailed, Quarterly</w:t>
      </w:r>
      <w:r w:rsidRPr="00411C1A">
        <w:rPr>
          <w:rFonts w:eastAsia="Times New Roman" w:cstheme="minorHAnsi"/>
          <w:bCs/>
          <w:color w:val="000000" w:themeColor="text1"/>
          <w:sz w:val="20"/>
          <w:szCs w:val="20"/>
        </w:rPr>
        <w:t xml:space="preserve"> (Table 4 Employed persons by Industry Original and </w:t>
      </w:r>
      <w:r w:rsidRPr="00411C1A">
        <w:rPr>
          <w:rFonts w:eastAsia="Times New Roman" w:cstheme="minorHAnsi"/>
          <w:bCs/>
          <w:sz w:val="20"/>
          <w:szCs w:val="20"/>
        </w:rPr>
        <w:t xml:space="preserve">Table 11. Employed persons and Actual hours worked, Industry and Sex) </w:t>
      </w:r>
      <w:r w:rsidRPr="00411C1A">
        <w:rPr>
          <w:rFonts w:eastAsia="Times New Roman" w:cstheme="minorHAnsi"/>
          <w:bCs/>
          <w:color w:val="000000" w:themeColor="text1"/>
          <w:sz w:val="20"/>
          <w:szCs w:val="20"/>
        </w:rPr>
        <w:t xml:space="preserve"> Cat. No. 6291.0.55.003; </w:t>
      </w:r>
      <w:r w:rsidRPr="00411C1A">
        <w:rPr>
          <w:rFonts w:eastAsia="Times New Roman" w:cstheme="minorHAnsi"/>
          <w:bCs/>
          <w:sz w:val="20"/>
          <w:szCs w:val="20"/>
        </w:rPr>
        <w:t>ABS Australian</w:t>
      </w:r>
      <w:r w:rsidRPr="00411C1A">
        <w:rPr>
          <w:rFonts w:eastAsia="Times New Roman" w:cstheme="minorHAnsi"/>
          <w:bCs/>
          <w:i/>
          <w:sz w:val="20"/>
          <w:szCs w:val="20"/>
        </w:rPr>
        <w:t xml:space="preserve"> System of National Accounts</w:t>
      </w:r>
      <w:r w:rsidRPr="00411C1A">
        <w:rPr>
          <w:rFonts w:eastAsia="Times New Roman" w:cstheme="minorHAnsi"/>
          <w:bCs/>
          <w:sz w:val="20"/>
          <w:szCs w:val="20"/>
        </w:rPr>
        <w:t xml:space="preserve"> (Table 5. Gross Value Added by Industry. Current Prices) Cat No. 5204.0. </w:t>
      </w:r>
    </w:p>
    <w:p w:rsidR="00AB29E4" w:rsidRPr="00411C1A" w:rsidRDefault="00AB29E4" w:rsidP="00AB29E4">
      <w:pPr>
        <w:tabs>
          <w:tab w:val="left" w:pos="6064"/>
          <w:tab w:val="left" w:pos="7080"/>
          <w:tab w:val="left" w:pos="7916"/>
          <w:tab w:val="left" w:pos="8752"/>
          <w:tab w:val="left" w:pos="9588"/>
          <w:tab w:val="left" w:pos="10424"/>
          <w:tab w:val="left" w:pos="11260"/>
          <w:tab w:val="left" w:pos="12096"/>
        </w:tabs>
        <w:spacing w:after="0" w:line="240" w:lineRule="auto"/>
        <w:ind w:left="108"/>
        <w:rPr>
          <w:rFonts w:eastAsia="Times New Roman" w:cstheme="minorHAnsi"/>
          <w:bCs/>
          <w:sz w:val="20"/>
          <w:szCs w:val="20"/>
        </w:rPr>
      </w:pPr>
      <w:r w:rsidRPr="00411C1A">
        <w:rPr>
          <w:rFonts w:eastAsia="Times New Roman" w:cstheme="minorHAnsi"/>
          <w:bCs/>
          <w:sz w:val="20"/>
          <w:szCs w:val="20"/>
        </w:rPr>
        <w:t xml:space="preserve">Method: The employment data in column 2 was adjusted for movements in average hours worked over the period. This was necessary to account for changes such as shifts in the share of the workforce in part time employment. (This was done by taking an average of the 4 quarters’ measure of hours worked by industry in 2000 and 2011. A proportional reduction/increase in mean weekly hours worked in a given industry between 2000 and 2011 was used to reduce/increase 2011 employment in the industry).  Value added per worker was derived by dividing current price industry gross value added by industry employment multiplied by average hours worked per week and allowing 48 weeks of paid work in 2011.     </w:t>
      </w:r>
    </w:p>
    <w:p w:rsidR="00AB29E4" w:rsidRPr="00AB29E4" w:rsidRDefault="00AB29E4" w:rsidP="00AB29E4">
      <w:pPr>
        <w:pStyle w:val="NormalWeb"/>
        <w:spacing w:after="0" w:line="288" w:lineRule="auto"/>
        <w:jc w:val="both"/>
        <w:rPr>
          <w:rFonts w:asciiTheme="minorHAnsi" w:hAnsiTheme="minorHAnsi" w:cstheme="minorHAnsi"/>
        </w:rPr>
      </w:pPr>
    </w:p>
    <w:p w:rsidR="00370797" w:rsidRPr="00370797" w:rsidRDefault="00F4399F" w:rsidP="00BF76F7">
      <w:pPr>
        <w:spacing w:after="0" w:line="288" w:lineRule="auto"/>
        <w:jc w:val="both"/>
        <w:rPr>
          <w:rFonts w:eastAsia="Times New Roman" w:cstheme="minorHAnsi"/>
          <w:color w:val="000000"/>
          <w:sz w:val="24"/>
          <w:szCs w:val="24"/>
        </w:rPr>
      </w:pPr>
      <w:r w:rsidRPr="00021B5B">
        <w:rPr>
          <w:rFonts w:cstheme="minorHAnsi"/>
          <w:color w:val="000000" w:themeColor="text1"/>
          <w:sz w:val="24"/>
          <w:szCs w:val="24"/>
        </w:rPr>
        <w:lastRenderedPageBreak/>
        <w:t xml:space="preserve">Mining contributed just 6% of total net employment growth. It is worth noting that this was largely on the back of massive mining related construction investment. When this fades in the medium term employment growth can be expected to slow or contract (Gregory 2011: 28). </w:t>
      </w:r>
      <w:r w:rsidRPr="00021B5B">
        <w:rPr>
          <w:rFonts w:cstheme="minorHAnsi"/>
          <w:sz w:val="24"/>
          <w:szCs w:val="24"/>
        </w:rPr>
        <w:t>Information, Media and Telecommunications has above average value added per hour worked yet employment fell.</w:t>
      </w:r>
      <w:r w:rsidR="00BF76F7">
        <w:rPr>
          <w:rFonts w:cstheme="minorHAnsi"/>
          <w:sz w:val="24"/>
          <w:szCs w:val="24"/>
        </w:rPr>
        <w:t xml:space="preserve"> </w:t>
      </w:r>
      <w:r w:rsidR="00AB29E4" w:rsidRPr="00370797">
        <w:rPr>
          <w:rFonts w:cstheme="minorHAnsi"/>
          <w:color w:val="000000" w:themeColor="text1"/>
          <w:sz w:val="24"/>
          <w:szCs w:val="24"/>
        </w:rPr>
        <w:t>Manufacturing has average value added per hour worked yet employment declined substantially.</w:t>
      </w:r>
      <w:r w:rsidR="00370797" w:rsidRPr="00370797">
        <w:rPr>
          <w:rStyle w:val="FootnoteReference"/>
          <w:rFonts w:cstheme="minorHAnsi"/>
          <w:sz w:val="24"/>
          <w:szCs w:val="24"/>
        </w:rPr>
        <w:footnoteReference w:id="4"/>
      </w:r>
    </w:p>
    <w:p w:rsidR="00BF76F7" w:rsidRDefault="00BF76F7" w:rsidP="00F4399F">
      <w:pPr>
        <w:pStyle w:val="NormalWeb"/>
        <w:spacing w:after="0" w:line="288" w:lineRule="auto"/>
        <w:jc w:val="both"/>
        <w:rPr>
          <w:rFonts w:asciiTheme="minorHAnsi" w:hAnsiTheme="minorHAnsi" w:cstheme="minorHAnsi"/>
        </w:rPr>
      </w:pPr>
    </w:p>
    <w:p w:rsidR="00AB29E4" w:rsidRPr="00AB29E4" w:rsidRDefault="00AB29E4" w:rsidP="00F4399F">
      <w:pPr>
        <w:pStyle w:val="NormalWeb"/>
        <w:spacing w:after="0" w:line="288" w:lineRule="auto"/>
        <w:jc w:val="both"/>
        <w:rPr>
          <w:rFonts w:asciiTheme="minorHAnsi" w:hAnsiTheme="minorHAnsi" w:cstheme="minorHAnsi"/>
        </w:rPr>
      </w:pPr>
      <w:r w:rsidRPr="00AB29E4">
        <w:rPr>
          <w:rFonts w:asciiTheme="minorHAnsi" w:hAnsiTheme="minorHAnsi" w:cstheme="minorHAnsi"/>
        </w:rPr>
        <w:t>The big areas of employment growth were in aged care, child care, construction and retail that are comparatively low wage and have a low capital-labour ratio. Most of the low productivity industries that experienced employment growth receive ‘natural protection’ in that they are not subject to import competition. This applies to health care; aged care and child care; retail; cleaning, security guards, mechanical repair and education and training etc.</w:t>
      </w:r>
      <w:r w:rsidRPr="00AB29E4">
        <w:rPr>
          <w:rStyle w:val="FootnoteReference"/>
          <w:rFonts w:asciiTheme="minorHAnsi" w:hAnsiTheme="minorHAnsi" w:cstheme="minorHAnsi"/>
        </w:rPr>
        <w:footnoteReference w:id="5"/>
      </w:r>
      <w:r w:rsidRPr="00AB29E4">
        <w:rPr>
          <w:rFonts w:asciiTheme="minorHAnsi" w:hAnsiTheme="minorHAnsi" w:cstheme="minorHAnsi"/>
        </w:rPr>
        <w:t xml:space="preserve"> Another feature is that many of these industries and activities, are directly or indirectly supported by government. People need to work and if the only work available, given their location, age, education and work experience is in low pay retail for example, they will work in this industry. This raises the prospect that, due to the high exchange rate making export or import competing industries uncompetitive, a hollowing out of the middle will accelerate with the economy increasingly divided into high productivity high wage resource based and professional occupations and low productivity, low wage jobs. </w:t>
      </w:r>
      <w:r w:rsidR="001E3107" w:rsidRPr="00AB29E4">
        <w:rPr>
          <w:rFonts w:asciiTheme="minorHAnsi" w:hAnsiTheme="minorHAnsi" w:cstheme="minorHAnsi"/>
        </w:rPr>
        <w:t xml:space="preserve">It should be noted that manufacturing is historically good at generating lots of medium skill, average wage full time jobs with reasonable job tenure. </w:t>
      </w:r>
    </w:p>
    <w:p w:rsidR="00312D15" w:rsidRDefault="00312D15" w:rsidP="00F4399F">
      <w:pPr>
        <w:jc w:val="both"/>
        <w:rPr>
          <w:rFonts w:ascii="Times New Roman" w:hAnsi="Times New Roman" w:cs="Times New Roman"/>
          <w:b/>
          <w:sz w:val="24"/>
          <w:szCs w:val="24"/>
        </w:rPr>
      </w:pPr>
    </w:p>
    <w:p w:rsidR="006D4326" w:rsidRPr="00372D45" w:rsidRDefault="00372D45" w:rsidP="00F4399F">
      <w:pPr>
        <w:jc w:val="both"/>
        <w:rPr>
          <w:rFonts w:ascii="Times New Roman" w:hAnsi="Times New Roman" w:cs="Times New Roman"/>
          <w:b/>
          <w:sz w:val="24"/>
          <w:szCs w:val="24"/>
        </w:rPr>
      </w:pPr>
      <w:r w:rsidRPr="00372D45">
        <w:rPr>
          <w:rFonts w:ascii="Times New Roman" w:hAnsi="Times New Roman" w:cs="Times New Roman"/>
          <w:b/>
          <w:sz w:val="24"/>
          <w:szCs w:val="24"/>
        </w:rPr>
        <w:t>6</w:t>
      </w:r>
      <w:r w:rsidR="006D4326" w:rsidRPr="00372D45">
        <w:rPr>
          <w:rFonts w:ascii="Times New Roman" w:hAnsi="Times New Roman" w:cs="Times New Roman"/>
          <w:b/>
          <w:sz w:val="24"/>
          <w:szCs w:val="24"/>
        </w:rPr>
        <w:t xml:space="preserve">. </w:t>
      </w:r>
      <w:r w:rsidRPr="00372D45">
        <w:rPr>
          <w:rFonts w:ascii="Times New Roman" w:hAnsi="Times New Roman" w:cs="Times New Roman"/>
          <w:b/>
          <w:sz w:val="24"/>
          <w:szCs w:val="24"/>
        </w:rPr>
        <w:t xml:space="preserve">Capital and labour </w:t>
      </w:r>
      <w:r w:rsidR="001E3107" w:rsidRPr="00372D45">
        <w:rPr>
          <w:rFonts w:ascii="Times New Roman" w:hAnsi="Times New Roman" w:cs="Times New Roman"/>
          <w:b/>
          <w:sz w:val="24"/>
          <w:szCs w:val="24"/>
        </w:rPr>
        <w:t>redund</w:t>
      </w:r>
      <w:r w:rsidR="001E3107">
        <w:rPr>
          <w:rFonts w:ascii="Times New Roman" w:hAnsi="Times New Roman" w:cs="Times New Roman"/>
          <w:b/>
          <w:sz w:val="24"/>
          <w:szCs w:val="24"/>
        </w:rPr>
        <w:t>an</w:t>
      </w:r>
      <w:r w:rsidR="001E3107" w:rsidRPr="00372D45">
        <w:rPr>
          <w:rFonts w:ascii="Times New Roman" w:hAnsi="Times New Roman" w:cs="Times New Roman"/>
          <w:b/>
          <w:sz w:val="24"/>
          <w:szCs w:val="24"/>
        </w:rPr>
        <w:t>cy</w:t>
      </w:r>
    </w:p>
    <w:p w:rsidR="00312D15" w:rsidRDefault="001E3107" w:rsidP="00F4399F">
      <w:pPr>
        <w:jc w:val="both"/>
        <w:rPr>
          <w:rFonts w:ascii="Times New Roman" w:hAnsi="Times New Roman" w:cs="Times New Roman"/>
          <w:sz w:val="24"/>
          <w:szCs w:val="24"/>
        </w:rPr>
      </w:pPr>
      <w:r>
        <w:rPr>
          <w:rFonts w:ascii="Times New Roman" w:hAnsi="Times New Roman" w:cs="Times New Roman"/>
          <w:sz w:val="24"/>
          <w:szCs w:val="24"/>
        </w:rPr>
        <w:t xml:space="preserve">It was argued above that the Commissions assumption that resources ‘liberated’ from the auto sector will instantaneously move to ‘higher uses’ is unwarranted. In addition, the assumption such resources will be either instantaneously, or even with a lag, employed elsewhere is also open to serious challenge. </w:t>
      </w:r>
    </w:p>
    <w:p w:rsidR="00312D15" w:rsidRDefault="00312D15" w:rsidP="00F4399F">
      <w:pPr>
        <w:jc w:val="both"/>
        <w:rPr>
          <w:rFonts w:ascii="Times New Roman" w:hAnsi="Times New Roman" w:cs="Times New Roman"/>
          <w:sz w:val="24"/>
          <w:szCs w:val="24"/>
        </w:rPr>
      </w:pPr>
      <w:r>
        <w:rPr>
          <w:rFonts w:ascii="Times New Roman" w:hAnsi="Times New Roman" w:cs="Times New Roman"/>
          <w:sz w:val="24"/>
          <w:szCs w:val="24"/>
        </w:rPr>
        <w:t>The most obv</w:t>
      </w:r>
      <w:r w:rsidR="00BE0C1E">
        <w:rPr>
          <w:rFonts w:ascii="Times New Roman" w:hAnsi="Times New Roman" w:cs="Times New Roman"/>
          <w:sz w:val="24"/>
          <w:szCs w:val="24"/>
        </w:rPr>
        <w:t>i</w:t>
      </w:r>
      <w:r>
        <w:rPr>
          <w:rFonts w:ascii="Times New Roman" w:hAnsi="Times New Roman" w:cs="Times New Roman"/>
          <w:sz w:val="24"/>
          <w:szCs w:val="24"/>
        </w:rPr>
        <w:t xml:space="preserve">ous challenge is that the capital employed </w:t>
      </w:r>
      <w:r w:rsidR="00BE0C1E">
        <w:rPr>
          <w:rFonts w:ascii="Times New Roman" w:hAnsi="Times New Roman" w:cs="Times New Roman"/>
          <w:sz w:val="24"/>
          <w:szCs w:val="24"/>
        </w:rPr>
        <w:t xml:space="preserve">in the auto industry, including both the main car assemblers and component </w:t>
      </w:r>
      <w:r w:rsidR="001E3107">
        <w:rPr>
          <w:rFonts w:ascii="Times New Roman" w:hAnsi="Times New Roman" w:cs="Times New Roman"/>
          <w:sz w:val="24"/>
          <w:szCs w:val="24"/>
        </w:rPr>
        <w:t>manufacturers</w:t>
      </w:r>
      <w:r w:rsidR="00BE0C1E">
        <w:rPr>
          <w:rFonts w:ascii="Times New Roman" w:hAnsi="Times New Roman" w:cs="Times New Roman"/>
          <w:sz w:val="24"/>
          <w:szCs w:val="24"/>
        </w:rPr>
        <w:t xml:space="preserve">, is mostly foreign capital, which, when ‘liberated’ will be redeployed into auto plants </w:t>
      </w:r>
      <w:r w:rsidR="001E3107">
        <w:rPr>
          <w:rFonts w:ascii="Times New Roman" w:hAnsi="Times New Roman" w:cs="Times New Roman"/>
          <w:sz w:val="24"/>
          <w:szCs w:val="24"/>
        </w:rPr>
        <w:t>overseas</w:t>
      </w:r>
      <w:r w:rsidR="00BE0C1E">
        <w:rPr>
          <w:rFonts w:ascii="Times New Roman" w:hAnsi="Times New Roman" w:cs="Times New Roman"/>
          <w:sz w:val="24"/>
          <w:szCs w:val="24"/>
        </w:rPr>
        <w:t xml:space="preserve">. It cannot be assumed </w:t>
      </w:r>
      <w:r w:rsidR="00EF041D">
        <w:rPr>
          <w:rFonts w:ascii="Times New Roman" w:hAnsi="Times New Roman" w:cs="Times New Roman"/>
          <w:sz w:val="24"/>
          <w:szCs w:val="24"/>
        </w:rPr>
        <w:t xml:space="preserve">either there will be offsetting capital inflows or that the capital will simply </w:t>
      </w:r>
      <w:r w:rsidR="001E3107">
        <w:rPr>
          <w:rFonts w:ascii="Times New Roman" w:hAnsi="Times New Roman" w:cs="Times New Roman"/>
          <w:sz w:val="24"/>
          <w:szCs w:val="24"/>
        </w:rPr>
        <w:t>flow</w:t>
      </w:r>
      <w:r w:rsidR="00EF041D">
        <w:rPr>
          <w:rFonts w:ascii="Times New Roman" w:hAnsi="Times New Roman" w:cs="Times New Roman"/>
          <w:sz w:val="24"/>
          <w:szCs w:val="24"/>
        </w:rPr>
        <w:t xml:space="preserve"> to other uses within Australia.</w:t>
      </w:r>
      <w:r w:rsidR="00BE0C1E">
        <w:rPr>
          <w:rFonts w:ascii="Times New Roman" w:hAnsi="Times New Roman" w:cs="Times New Roman"/>
          <w:sz w:val="24"/>
          <w:szCs w:val="24"/>
        </w:rPr>
        <w:t xml:space="preserve">   </w:t>
      </w:r>
    </w:p>
    <w:p w:rsidR="00B07554" w:rsidRDefault="00EF041D" w:rsidP="00F4399F">
      <w:pPr>
        <w:jc w:val="both"/>
        <w:rPr>
          <w:rFonts w:ascii="Times New Roman" w:hAnsi="Times New Roman" w:cs="Times New Roman"/>
          <w:sz w:val="24"/>
          <w:szCs w:val="24"/>
        </w:rPr>
      </w:pPr>
      <w:r>
        <w:rPr>
          <w:rFonts w:ascii="Times New Roman" w:hAnsi="Times New Roman" w:cs="Times New Roman"/>
          <w:sz w:val="24"/>
          <w:szCs w:val="24"/>
        </w:rPr>
        <w:lastRenderedPageBreak/>
        <w:t>Reviews</w:t>
      </w:r>
      <w:r w:rsidR="00F63451">
        <w:rPr>
          <w:rFonts w:ascii="Times New Roman" w:hAnsi="Times New Roman" w:cs="Times New Roman"/>
          <w:sz w:val="24"/>
          <w:szCs w:val="24"/>
        </w:rPr>
        <w:t xml:space="preserve"> </w:t>
      </w:r>
      <w:r>
        <w:rPr>
          <w:rFonts w:ascii="Times New Roman" w:hAnsi="Times New Roman" w:cs="Times New Roman"/>
          <w:sz w:val="24"/>
          <w:szCs w:val="24"/>
        </w:rPr>
        <w:t xml:space="preserve">of research on labour </w:t>
      </w:r>
      <w:r w:rsidR="001E3107">
        <w:rPr>
          <w:rFonts w:ascii="Times New Roman" w:hAnsi="Times New Roman" w:cs="Times New Roman"/>
          <w:sz w:val="24"/>
          <w:szCs w:val="24"/>
        </w:rPr>
        <w:t>redundancy</w:t>
      </w:r>
      <w:r>
        <w:rPr>
          <w:rFonts w:ascii="Times New Roman" w:hAnsi="Times New Roman" w:cs="Times New Roman"/>
          <w:sz w:val="24"/>
          <w:szCs w:val="24"/>
        </w:rPr>
        <w:t xml:space="preserve"> from plant </w:t>
      </w:r>
      <w:r w:rsidR="001E3107">
        <w:rPr>
          <w:rFonts w:ascii="Times New Roman" w:hAnsi="Times New Roman" w:cs="Times New Roman"/>
          <w:sz w:val="24"/>
          <w:szCs w:val="24"/>
        </w:rPr>
        <w:t>closures</w:t>
      </w:r>
      <w:r>
        <w:rPr>
          <w:rFonts w:ascii="Times New Roman" w:hAnsi="Times New Roman" w:cs="Times New Roman"/>
          <w:sz w:val="24"/>
          <w:szCs w:val="24"/>
        </w:rPr>
        <w:t xml:space="preserve"> suggest that </w:t>
      </w:r>
      <w:r w:rsidR="00F63451">
        <w:rPr>
          <w:rFonts w:ascii="Times New Roman" w:hAnsi="Times New Roman" w:cs="Times New Roman"/>
          <w:sz w:val="24"/>
          <w:szCs w:val="24"/>
        </w:rPr>
        <w:t xml:space="preserve">the ‘one-third rule’ applies, that is, one-third leave the labour </w:t>
      </w:r>
      <w:r w:rsidR="001E3107">
        <w:rPr>
          <w:rFonts w:ascii="Times New Roman" w:hAnsi="Times New Roman" w:cs="Times New Roman"/>
          <w:sz w:val="24"/>
          <w:szCs w:val="24"/>
        </w:rPr>
        <w:t>force</w:t>
      </w:r>
      <w:r w:rsidR="00F63451">
        <w:rPr>
          <w:rFonts w:ascii="Times New Roman" w:hAnsi="Times New Roman" w:cs="Times New Roman"/>
          <w:sz w:val="24"/>
          <w:szCs w:val="24"/>
        </w:rPr>
        <w:t xml:space="preserve">, one-third get a lower quality job (lower wage; lower job status; part-time or casual when full time employment is sought) and one-third get an equivalent or better job (Webber and Weller 2001). </w:t>
      </w:r>
      <w:r w:rsidR="00B07554">
        <w:rPr>
          <w:rFonts w:ascii="Times New Roman" w:hAnsi="Times New Roman" w:cs="Times New Roman"/>
          <w:sz w:val="24"/>
          <w:szCs w:val="24"/>
        </w:rPr>
        <w:t xml:space="preserve">This general conclusion is supported by more recent studies of car plant closures. For example, Beer and Hollis (2010: 98) </w:t>
      </w:r>
      <w:r w:rsidR="001E3107">
        <w:rPr>
          <w:rFonts w:ascii="Times New Roman" w:hAnsi="Times New Roman" w:cs="Times New Roman"/>
          <w:sz w:val="24"/>
          <w:szCs w:val="24"/>
        </w:rPr>
        <w:t>found</w:t>
      </w:r>
      <w:r w:rsidR="00B07554">
        <w:rPr>
          <w:rFonts w:ascii="Times New Roman" w:hAnsi="Times New Roman" w:cs="Times New Roman"/>
          <w:sz w:val="24"/>
          <w:szCs w:val="24"/>
        </w:rPr>
        <w:t xml:space="preserve"> in their study of the Mitsubishi closure in Adelaide that:</w:t>
      </w:r>
    </w:p>
    <w:p w:rsidR="00FB7F56" w:rsidRPr="00FB7F56" w:rsidRDefault="00B07554" w:rsidP="00F4399F">
      <w:pPr>
        <w:pStyle w:val="ListParagraph"/>
        <w:numPr>
          <w:ilvl w:val="0"/>
          <w:numId w:val="1"/>
        </w:numPr>
        <w:ind w:left="284" w:hanging="284"/>
        <w:jc w:val="both"/>
        <w:rPr>
          <w:rFonts w:ascii="Times New Roman" w:hAnsi="Times New Roman" w:cs="Times New Roman"/>
          <w:sz w:val="24"/>
          <w:szCs w:val="24"/>
        </w:rPr>
      </w:pPr>
      <w:r>
        <w:rPr>
          <w:sz w:val="23"/>
          <w:szCs w:val="23"/>
        </w:rPr>
        <w:t>‘30% did not participate in the workforce in the 12 months post-</w:t>
      </w:r>
      <w:r w:rsidR="001E3107">
        <w:rPr>
          <w:sz w:val="23"/>
          <w:szCs w:val="23"/>
        </w:rPr>
        <w:t>redundancy</w:t>
      </w:r>
      <w:r>
        <w:rPr>
          <w:sz w:val="23"/>
          <w:szCs w:val="23"/>
        </w:rPr>
        <w:t>’</w:t>
      </w:r>
      <w:r w:rsidR="00FB7F56">
        <w:rPr>
          <w:sz w:val="23"/>
          <w:szCs w:val="23"/>
        </w:rPr>
        <w:t xml:space="preserve">, due to </w:t>
      </w:r>
      <w:r w:rsidR="001E3107">
        <w:rPr>
          <w:sz w:val="23"/>
          <w:szCs w:val="23"/>
        </w:rPr>
        <w:t>unemployment</w:t>
      </w:r>
      <w:r w:rsidR="00FB7F56">
        <w:rPr>
          <w:sz w:val="23"/>
          <w:szCs w:val="23"/>
        </w:rPr>
        <w:t xml:space="preserve">, moving onto the disability pension </w:t>
      </w:r>
      <w:r w:rsidR="001E3107">
        <w:rPr>
          <w:sz w:val="23"/>
          <w:szCs w:val="23"/>
        </w:rPr>
        <w:t>or retirement</w:t>
      </w:r>
    </w:p>
    <w:p w:rsidR="00B07554" w:rsidRPr="00FB7F56" w:rsidRDefault="00FB7F56" w:rsidP="00F4399F">
      <w:pPr>
        <w:pStyle w:val="ListParagraph"/>
        <w:numPr>
          <w:ilvl w:val="0"/>
          <w:numId w:val="1"/>
        </w:numPr>
        <w:ind w:left="284" w:hanging="284"/>
        <w:jc w:val="both"/>
        <w:rPr>
          <w:rFonts w:ascii="Times New Roman" w:hAnsi="Times New Roman" w:cs="Times New Roman"/>
          <w:sz w:val="24"/>
          <w:szCs w:val="24"/>
        </w:rPr>
      </w:pPr>
      <w:r>
        <w:rPr>
          <w:sz w:val="23"/>
          <w:szCs w:val="23"/>
        </w:rPr>
        <w:t xml:space="preserve"> ’most displaced workers have </w:t>
      </w:r>
      <w:r w:rsidR="001E3107">
        <w:rPr>
          <w:sz w:val="23"/>
          <w:szCs w:val="23"/>
        </w:rPr>
        <w:t>found</w:t>
      </w:r>
      <w:r>
        <w:rPr>
          <w:sz w:val="23"/>
          <w:szCs w:val="23"/>
        </w:rPr>
        <w:t xml:space="preserve"> lower pay and poorer working </w:t>
      </w:r>
      <w:r w:rsidR="001E3107">
        <w:rPr>
          <w:sz w:val="23"/>
          <w:szCs w:val="23"/>
        </w:rPr>
        <w:t>conditions</w:t>
      </w:r>
      <w:r>
        <w:rPr>
          <w:sz w:val="23"/>
          <w:szCs w:val="23"/>
        </w:rPr>
        <w:t xml:space="preserve"> in their new employment’</w:t>
      </w:r>
    </w:p>
    <w:p w:rsidR="00FB7F56" w:rsidRDefault="00FB7F56" w:rsidP="00F4399F">
      <w:pPr>
        <w:pStyle w:val="ListParagraph"/>
        <w:numPr>
          <w:ilvl w:val="0"/>
          <w:numId w:val="1"/>
        </w:numPr>
        <w:ind w:left="284" w:hanging="284"/>
        <w:jc w:val="both"/>
        <w:rPr>
          <w:sz w:val="23"/>
          <w:szCs w:val="23"/>
        </w:rPr>
      </w:pPr>
      <w:r w:rsidRPr="00FB7F56">
        <w:rPr>
          <w:sz w:val="23"/>
          <w:szCs w:val="23"/>
        </w:rPr>
        <w:t>66%</w:t>
      </w:r>
      <w:r>
        <w:rPr>
          <w:sz w:val="23"/>
          <w:szCs w:val="23"/>
        </w:rPr>
        <w:t xml:space="preserve">of workers had experienced a period of unemployment </w:t>
      </w:r>
      <w:r w:rsidRPr="00FB7F56">
        <w:rPr>
          <w:sz w:val="23"/>
          <w:szCs w:val="23"/>
        </w:rPr>
        <w:t>at some stage in the 12 mo</w:t>
      </w:r>
      <w:r>
        <w:rPr>
          <w:sz w:val="23"/>
          <w:szCs w:val="23"/>
        </w:rPr>
        <w:t>n</w:t>
      </w:r>
      <w:r w:rsidRPr="00FB7F56">
        <w:rPr>
          <w:sz w:val="23"/>
          <w:szCs w:val="23"/>
        </w:rPr>
        <w:t>ths post</w:t>
      </w:r>
      <w:r>
        <w:rPr>
          <w:sz w:val="23"/>
          <w:szCs w:val="23"/>
        </w:rPr>
        <w:t>-</w:t>
      </w:r>
      <w:r w:rsidRPr="00FB7F56">
        <w:rPr>
          <w:sz w:val="23"/>
          <w:szCs w:val="23"/>
        </w:rPr>
        <w:t>redu</w:t>
      </w:r>
      <w:r>
        <w:rPr>
          <w:sz w:val="23"/>
          <w:szCs w:val="23"/>
        </w:rPr>
        <w:t>nd</w:t>
      </w:r>
      <w:r w:rsidRPr="00FB7F56">
        <w:rPr>
          <w:sz w:val="23"/>
          <w:szCs w:val="23"/>
        </w:rPr>
        <w:t>ancy</w:t>
      </w:r>
      <w:r>
        <w:rPr>
          <w:sz w:val="23"/>
          <w:szCs w:val="23"/>
        </w:rPr>
        <w:t>.</w:t>
      </w:r>
    </w:p>
    <w:p w:rsidR="006D4326" w:rsidRDefault="001E3107" w:rsidP="00F4399F">
      <w:pPr>
        <w:jc w:val="both"/>
        <w:rPr>
          <w:sz w:val="23"/>
          <w:szCs w:val="23"/>
        </w:rPr>
      </w:pPr>
      <w:r>
        <w:rPr>
          <w:sz w:val="23"/>
          <w:szCs w:val="23"/>
        </w:rPr>
        <w:t>Armstrong</w:t>
      </w:r>
      <w:r w:rsidR="00FB7F56">
        <w:rPr>
          <w:sz w:val="23"/>
          <w:szCs w:val="23"/>
        </w:rPr>
        <w:t xml:space="preserve"> et al (</w:t>
      </w:r>
      <w:r w:rsidR="00A10240">
        <w:rPr>
          <w:sz w:val="23"/>
          <w:szCs w:val="23"/>
        </w:rPr>
        <w:t>2008</w:t>
      </w:r>
      <w:r w:rsidR="00FB7F56">
        <w:rPr>
          <w:sz w:val="23"/>
          <w:szCs w:val="23"/>
        </w:rPr>
        <w:t xml:space="preserve">) </w:t>
      </w:r>
      <w:r w:rsidR="00A10240">
        <w:rPr>
          <w:sz w:val="23"/>
          <w:szCs w:val="23"/>
        </w:rPr>
        <w:t xml:space="preserve">study of the </w:t>
      </w:r>
      <w:r>
        <w:rPr>
          <w:sz w:val="23"/>
          <w:szCs w:val="23"/>
        </w:rPr>
        <w:t>closure of</w:t>
      </w:r>
      <w:r w:rsidR="00A10240">
        <w:rPr>
          <w:sz w:val="23"/>
          <w:szCs w:val="23"/>
        </w:rPr>
        <w:t xml:space="preserve"> the Adelaide Mitsubishi and UK MG plant concluded ‘</w:t>
      </w:r>
      <w:r w:rsidR="006D4326">
        <w:rPr>
          <w:sz w:val="23"/>
          <w:szCs w:val="23"/>
        </w:rPr>
        <w:t>that despite the rhetoric of flexible labour markets and successful adjustment from the effects of plant closure for both ex-Mitsubishi and ex-MGR workers, it is evident that the majority of workers in both countries have not experienced an improvement in their labour market status. Rather, for many, the experience of adjustment has been overwhelmingly negative, with a loss of income and a rise in employment insecurity</w:t>
      </w:r>
      <w:r w:rsidR="00A10240">
        <w:rPr>
          <w:sz w:val="23"/>
          <w:szCs w:val="23"/>
        </w:rPr>
        <w:t>’</w:t>
      </w:r>
      <w:r w:rsidR="006D4326">
        <w:rPr>
          <w:sz w:val="23"/>
          <w:szCs w:val="23"/>
        </w:rPr>
        <w:t>.</w:t>
      </w:r>
    </w:p>
    <w:p w:rsidR="008D15C7" w:rsidRDefault="008D15C7" w:rsidP="009F0F11">
      <w:pPr>
        <w:rPr>
          <w:sz w:val="23"/>
          <w:szCs w:val="23"/>
        </w:rPr>
      </w:pPr>
    </w:p>
    <w:p w:rsidR="00B1136A" w:rsidRDefault="00B1136A" w:rsidP="009F0F11">
      <w:pPr>
        <w:rPr>
          <w:rFonts w:ascii="Times New Roman" w:hAnsi="Times New Roman" w:cs="Times New Roman"/>
          <w:sz w:val="24"/>
          <w:szCs w:val="24"/>
        </w:rPr>
      </w:pPr>
    </w:p>
    <w:p w:rsidR="00B1136A" w:rsidRDefault="00B1136A">
      <w:pPr>
        <w:rPr>
          <w:rFonts w:ascii="Times New Roman" w:hAnsi="Times New Roman" w:cs="Times New Roman"/>
          <w:sz w:val="24"/>
          <w:szCs w:val="24"/>
        </w:rPr>
      </w:pPr>
      <w:r>
        <w:rPr>
          <w:rFonts w:ascii="Times New Roman" w:hAnsi="Times New Roman" w:cs="Times New Roman"/>
          <w:sz w:val="24"/>
          <w:szCs w:val="24"/>
        </w:rPr>
        <w:br w:type="page"/>
      </w:r>
    </w:p>
    <w:p w:rsidR="006D4326" w:rsidRPr="009E694C" w:rsidRDefault="00B1136A" w:rsidP="009F0F11">
      <w:pPr>
        <w:rPr>
          <w:rFonts w:ascii="Times New Roman" w:hAnsi="Times New Roman" w:cs="Times New Roman"/>
          <w:sz w:val="24"/>
          <w:szCs w:val="24"/>
        </w:rPr>
      </w:pPr>
      <w:r w:rsidRPr="009E694C">
        <w:rPr>
          <w:rFonts w:ascii="Times New Roman" w:hAnsi="Times New Roman" w:cs="Times New Roman"/>
          <w:sz w:val="24"/>
          <w:szCs w:val="24"/>
        </w:rPr>
        <w:lastRenderedPageBreak/>
        <w:t>References</w:t>
      </w:r>
    </w:p>
    <w:p w:rsidR="00B1136A" w:rsidRPr="009E694C" w:rsidRDefault="00B1136A" w:rsidP="00B1136A">
      <w:pPr>
        <w:pStyle w:val="Default"/>
        <w:rPr>
          <w:bCs/>
        </w:rPr>
      </w:pPr>
      <w:r w:rsidRPr="009E694C">
        <w:rPr>
          <w:bCs/>
        </w:rPr>
        <w:t>ABS (2013</w:t>
      </w:r>
      <w:r w:rsidR="00383712" w:rsidRPr="009E694C">
        <w:rPr>
          <w:bCs/>
        </w:rPr>
        <w:t>a</w:t>
      </w:r>
      <w:r w:rsidRPr="009E694C">
        <w:rPr>
          <w:bCs/>
        </w:rPr>
        <w:t xml:space="preserve">) </w:t>
      </w:r>
      <w:r w:rsidRPr="009E694C">
        <w:rPr>
          <w:bCs/>
          <w:i/>
        </w:rPr>
        <w:t>Australian Industry, 2011-12</w:t>
      </w:r>
      <w:r w:rsidRPr="009E694C">
        <w:rPr>
          <w:bCs/>
        </w:rPr>
        <w:t>, Cat No. 8155.0</w:t>
      </w:r>
    </w:p>
    <w:p w:rsidR="009B54D6" w:rsidRPr="009E694C" w:rsidRDefault="009B54D6" w:rsidP="00B1136A">
      <w:pPr>
        <w:pStyle w:val="Default"/>
        <w:rPr>
          <w:bCs/>
        </w:rPr>
      </w:pPr>
    </w:p>
    <w:p w:rsidR="00566870" w:rsidRPr="009E694C" w:rsidRDefault="00566870" w:rsidP="00383712">
      <w:pPr>
        <w:pStyle w:val="Default"/>
        <w:rPr>
          <w:bCs/>
        </w:rPr>
      </w:pPr>
      <w:r w:rsidRPr="009E694C">
        <w:rPr>
          <w:bCs/>
        </w:rPr>
        <w:t xml:space="preserve">ABS (2013b) </w:t>
      </w:r>
      <w:r w:rsidRPr="009E694C">
        <w:rPr>
          <w:bCs/>
          <w:i/>
        </w:rPr>
        <w:t>Research and Experimental Development, Businesses, Australia, 2011-12</w:t>
      </w:r>
      <w:r w:rsidRPr="009E694C">
        <w:rPr>
          <w:bCs/>
        </w:rPr>
        <w:t xml:space="preserve">, Cat No. 8104.0 </w:t>
      </w:r>
    </w:p>
    <w:p w:rsidR="00566870" w:rsidRPr="009E694C" w:rsidRDefault="00566870" w:rsidP="00383712">
      <w:pPr>
        <w:pStyle w:val="Default"/>
        <w:rPr>
          <w:bCs/>
        </w:rPr>
      </w:pPr>
    </w:p>
    <w:p w:rsidR="00383712" w:rsidRPr="009E694C" w:rsidRDefault="00383712" w:rsidP="00383712">
      <w:pPr>
        <w:pStyle w:val="Default"/>
        <w:rPr>
          <w:bCs/>
        </w:rPr>
      </w:pPr>
      <w:r w:rsidRPr="009E694C">
        <w:rPr>
          <w:bCs/>
        </w:rPr>
        <w:t>ABS (2013</w:t>
      </w:r>
      <w:r w:rsidR="00566870" w:rsidRPr="009E694C">
        <w:rPr>
          <w:bCs/>
        </w:rPr>
        <w:t>c</w:t>
      </w:r>
      <w:r w:rsidRPr="009E694C">
        <w:rPr>
          <w:bCs/>
        </w:rPr>
        <w:t xml:space="preserve">) </w:t>
      </w:r>
      <w:r w:rsidRPr="009E694C">
        <w:rPr>
          <w:bCs/>
          <w:i/>
        </w:rPr>
        <w:t>Australian National Accounts: Input-Output Tables 2009-10</w:t>
      </w:r>
      <w:r w:rsidRPr="009E694C">
        <w:rPr>
          <w:bCs/>
        </w:rPr>
        <w:t>, Cat No. 5209.0</w:t>
      </w:r>
    </w:p>
    <w:p w:rsidR="00383712" w:rsidRPr="009E694C" w:rsidRDefault="00383712" w:rsidP="00B1136A">
      <w:pPr>
        <w:pStyle w:val="Default"/>
        <w:rPr>
          <w:bCs/>
        </w:rPr>
      </w:pPr>
    </w:p>
    <w:p w:rsidR="00B83C4E" w:rsidRPr="009E694C" w:rsidRDefault="00B83C4E" w:rsidP="00B83C4E">
      <w:pPr>
        <w:rPr>
          <w:rFonts w:ascii="Times New Roman" w:hAnsi="Times New Roman" w:cs="Times New Roman"/>
          <w:bCs/>
          <w:sz w:val="24"/>
          <w:szCs w:val="24"/>
        </w:rPr>
      </w:pPr>
      <w:bookmarkStart w:id="1" w:name="Top"/>
      <w:bookmarkEnd w:id="1"/>
      <w:r w:rsidRPr="009E694C">
        <w:rPr>
          <w:rFonts w:ascii="Times New Roman" w:hAnsi="Times New Roman" w:cs="Times New Roman"/>
          <w:sz w:val="24"/>
          <w:szCs w:val="24"/>
        </w:rPr>
        <w:t xml:space="preserve">Adam B. Jaffe (1996) </w:t>
      </w:r>
      <w:r w:rsidRPr="009E694C">
        <w:rPr>
          <w:rFonts w:ascii="Times New Roman" w:hAnsi="Times New Roman" w:cs="Times New Roman"/>
          <w:bCs/>
          <w:i/>
          <w:sz w:val="24"/>
          <w:szCs w:val="24"/>
        </w:rPr>
        <w:t>Economic Analysis of Research Spillovers. Implications for the Advanced Technology Program</w:t>
      </w:r>
      <w:r w:rsidRPr="009E694C">
        <w:rPr>
          <w:rFonts w:ascii="Times New Roman" w:hAnsi="Times New Roman" w:cs="Times New Roman"/>
          <w:bCs/>
          <w:sz w:val="24"/>
          <w:szCs w:val="24"/>
        </w:rPr>
        <w:t>, National Institute of Standards and Technology</w:t>
      </w:r>
    </w:p>
    <w:p w:rsidR="00FB7F56" w:rsidRPr="009E694C" w:rsidRDefault="00FB7F56" w:rsidP="00FB7F56">
      <w:pPr>
        <w:rPr>
          <w:sz w:val="24"/>
          <w:szCs w:val="24"/>
        </w:rPr>
      </w:pPr>
      <w:r w:rsidRPr="009E694C">
        <w:rPr>
          <w:sz w:val="24"/>
          <w:szCs w:val="24"/>
        </w:rPr>
        <w:t xml:space="preserve">Andrew Beer and Holli Evans (2010) </w:t>
      </w:r>
      <w:r w:rsidRPr="009E694C">
        <w:rPr>
          <w:i/>
          <w:sz w:val="24"/>
          <w:szCs w:val="24"/>
        </w:rPr>
        <w:t>The Impacts of automotive Plant Closures: A Tale of Two Cities,</w:t>
      </w:r>
      <w:r w:rsidRPr="009E694C">
        <w:rPr>
          <w:sz w:val="24"/>
          <w:szCs w:val="24"/>
        </w:rPr>
        <w:t xml:space="preserve"> Routledge </w:t>
      </w:r>
    </w:p>
    <w:p w:rsidR="00FB7F56" w:rsidRPr="009E694C" w:rsidRDefault="00FB7F56" w:rsidP="008174B4">
      <w:pPr>
        <w:rPr>
          <w:bCs/>
          <w:sz w:val="24"/>
          <w:szCs w:val="24"/>
        </w:rPr>
      </w:pPr>
      <w:r w:rsidRPr="009E694C">
        <w:rPr>
          <w:rFonts w:ascii="Times New Roman" w:hAnsi="Times New Roman" w:cs="Times New Roman"/>
          <w:sz w:val="24"/>
          <w:szCs w:val="24"/>
          <w:lang w:val="en-GB"/>
        </w:rPr>
        <w:t xml:space="preserve">Armstrong, K., Bailey, D., De Ruyter, A., Mahdon, M. and Thomas, H. (2008) ‘The Impact of Plant Closures on Workers: a Comparison of MG Rover in the UK and Mitsubishi in Australia’ </w:t>
      </w:r>
      <w:r w:rsidRPr="009E694C">
        <w:rPr>
          <w:rFonts w:ascii="Times New Roman" w:hAnsi="Times New Roman" w:cs="Times New Roman"/>
          <w:i/>
          <w:iCs/>
          <w:sz w:val="24"/>
          <w:szCs w:val="24"/>
          <w:lang w:val="en-GB"/>
        </w:rPr>
        <w:t>Policy Studies</w:t>
      </w:r>
      <w:r w:rsidRPr="009E694C">
        <w:rPr>
          <w:rFonts w:ascii="Times New Roman" w:hAnsi="Times New Roman" w:cs="Times New Roman"/>
          <w:sz w:val="24"/>
          <w:szCs w:val="24"/>
          <w:lang w:val="en-GB"/>
        </w:rPr>
        <w:t>, 29 (3): 343-55</w:t>
      </w:r>
    </w:p>
    <w:p w:rsidR="00DE5686" w:rsidRPr="00E75238" w:rsidRDefault="00DE5686" w:rsidP="00DE5686">
      <w:pPr>
        <w:spacing w:after="0" w:line="240" w:lineRule="auto"/>
        <w:jc w:val="both"/>
        <w:rPr>
          <w:rFonts w:ascii="Times New Roman" w:hAnsi="Times New Roman" w:cs="Times New Roman"/>
          <w:bCs/>
          <w:sz w:val="24"/>
          <w:szCs w:val="24"/>
        </w:rPr>
      </w:pPr>
      <w:r w:rsidRPr="00E75238">
        <w:rPr>
          <w:rFonts w:ascii="Times New Roman" w:hAnsi="Times New Roman" w:cs="Times New Roman"/>
          <w:bCs/>
          <w:sz w:val="24"/>
          <w:szCs w:val="24"/>
        </w:rPr>
        <w:t xml:space="preserve">Brain, Peter (2012) </w:t>
      </w:r>
      <w:r w:rsidRPr="00E75238">
        <w:rPr>
          <w:rFonts w:ascii="Times New Roman" w:hAnsi="Times New Roman" w:cs="Times New Roman"/>
          <w:bCs/>
          <w:i/>
          <w:sz w:val="24"/>
          <w:szCs w:val="24"/>
        </w:rPr>
        <w:t>State of the Regions 2012-13</w:t>
      </w:r>
      <w:r w:rsidRPr="00E75238">
        <w:rPr>
          <w:rFonts w:ascii="Times New Roman" w:hAnsi="Times New Roman" w:cs="Times New Roman"/>
          <w:bCs/>
          <w:sz w:val="24"/>
          <w:szCs w:val="24"/>
        </w:rPr>
        <w:t>, National Economics</w:t>
      </w:r>
    </w:p>
    <w:p w:rsidR="00DE5686" w:rsidRDefault="00DE5686" w:rsidP="00DE5686">
      <w:pPr>
        <w:spacing w:after="0"/>
        <w:rPr>
          <w:bCs/>
          <w:sz w:val="24"/>
          <w:szCs w:val="24"/>
        </w:rPr>
      </w:pPr>
    </w:p>
    <w:p w:rsidR="004B4373" w:rsidRPr="009E694C" w:rsidRDefault="004B4373" w:rsidP="00DE5686">
      <w:pPr>
        <w:spacing w:after="0"/>
        <w:rPr>
          <w:sz w:val="24"/>
          <w:szCs w:val="24"/>
        </w:rPr>
      </w:pPr>
      <w:r w:rsidRPr="009E694C">
        <w:rPr>
          <w:bCs/>
          <w:sz w:val="24"/>
          <w:szCs w:val="24"/>
        </w:rPr>
        <w:t xml:space="preserve">W. Max Corden (2012) The Dutch Disease in Australia: Policy Options for a Three-Speed Economy, Department of Economics, </w:t>
      </w:r>
      <w:r w:rsidRPr="009E694C">
        <w:rPr>
          <w:bCs/>
          <w:i/>
          <w:sz w:val="24"/>
          <w:szCs w:val="24"/>
        </w:rPr>
        <w:t xml:space="preserve">Melbourne Institute Working Paper No. 5/12, </w:t>
      </w:r>
      <w:r w:rsidRPr="009E694C">
        <w:rPr>
          <w:bCs/>
          <w:sz w:val="24"/>
          <w:szCs w:val="24"/>
        </w:rPr>
        <w:t xml:space="preserve"> University of Melbourne</w:t>
      </w:r>
    </w:p>
    <w:p w:rsidR="00DE5686" w:rsidRDefault="00DE5686" w:rsidP="00DE5686">
      <w:pPr>
        <w:spacing w:after="0"/>
        <w:rPr>
          <w:sz w:val="24"/>
          <w:szCs w:val="24"/>
        </w:rPr>
      </w:pPr>
    </w:p>
    <w:p w:rsidR="008174B4" w:rsidRPr="009E694C" w:rsidRDefault="008174B4" w:rsidP="00DE5686">
      <w:pPr>
        <w:spacing w:after="0"/>
        <w:rPr>
          <w:rFonts w:ascii="Times New Roman" w:hAnsi="Times New Roman" w:cs="Times New Roman"/>
          <w:sz w:val="24"/>
          <w:szCs w:val="24"/>
        </w:rPr>
      </w:pPr>
      <w:r w:rsidRPr="009E694C">
        <w:rPr>
          <w:sz w:val="24"/>
          <w:szCs w:val="24"/>
        </w:rPr>
        <w:t>Department of Industry, Innovation, Science, Research and Tertiary Education (2012)</w:t>
      </w:r>
      <w:r w:rsidRPr="009E694C">
        <w:rPr>
          <w:rFonts w:ascii="Times New Roman" w:hAnsi="Times New Roman" w:cs="Times New Roman"/>
          <w:sz w:val="24"/>
          <w:szCs w:val="24"/>
        </w:rPr>
        <w:t xml:space="preserve"> </w:t>
      </w:r>
      <w:r w:rsidRPr="009E694C">
        <w:rPr>
          <w:i/>
          <w:sz w:val="24"/>
          <w:szCs w:val="24"/>
        </w:rPr>
        <w:t>Key Automotive Statistics</w:t>
      </w:r>
      <w:r w:rsidRPr="009E694C">
        <w:rPr>
          <w:sz w:val="24"/>
          <w:szCs w:val="24"/>
        </w:rPr>
        <w:t xml:space="preserve"> </w:t>
      </w:r>
    </w:p>
    <w:p w:rsidR="00DE5686" w:rsidRDefault="00DE5686" w:rsidP="00AB29E4">
      <w:pPr>
        <w:spacing w:after="0" w:line="240" w:lineRule="auto"/>
        <w:jc w:val="both"/>
        <w:rPr>
          <w:sz w:val="24"/>
          <w:szCs w:val="24"/>
        </w:rPr>
      </w:pPr>
    </w:p>
    <w:p w:rsidR="00AB29E4" w:rsidRPr="009E694C" w:rsidRDefault="00AB29E4" w:rsidP="00AB29E4">
      <w:pPr>
        <w:spacing w:after="0" w:line="240" w:lineRule="auto"/>
        <w:jc w:val="both"/>
        <w:rPr>
          <w:rFonts w:ascii="Times New Roman" w:hAnsi="Times New Roman" w:cs="Times New Roman"/>
          <w:bCs/>
          <w:i/>
          <w:sz w:val="24"/>
          <w:szCs w:val="24"/>
        </w:rPr>
      </w:pPr>
      <w:r w:rsidRPr="009E694C">
        <w:rPr>
          <w:sz w:val="24"/>
          <w:szCs w:val="24"/>
        </w:rPr>
        <w:t>Department of Industry</w:t>
      </w:r>
      <w:r w:rsidRPr="009E694C">
        <w:rPr>
          <w:rFonts w:ascii="Times New Roman" w:hAnsi="Times New Roman" w:cs="Times New Roman"/>
          <w:bCs/>
          <w:i/>
          <w:sz w:val="24"/>
          <w:szCs w:val="24"/>
        </w:rPr>
        <w:t xml:space="preserve"> </w:t>
      </w:r>
      <w:r w:rsidRPr="009E694C">
        <w:rPr>
          <w:rFonts w:ascii="Times New Roman" w:hAnsi="Times New Roman" w:cs="Times New Roman"/>
          <w:bCs/>
          <w:sz w:val="24"/>
          <w:szCs w:val="24"/>
        </w:rPr>
        <w:t xml:space="preserve">(2013) </w:t>
      </w:r>
      <w:r w:rsidRPr="009E694C">
        <w:rPr>
          <w:rFonts w:ascii="Times New Roman" w:hAnsi="Times New Roman" w:cs="Times New Roman"/>
          <w:bCs/>
          <w:i/>
          <w:sz w:val="24"/>
          <w:szCs w:val="24"/>
        </w:rPr>
        <w:t>Australian Innovation System Report 2013</w:t>
      </w:r>
    </w:p>
    <w:p w:rsidR="00AB29E4" w:rsidRPr="00651E17" w:rsidRDefault="00AB29E4" w:rsidP="00AB29E4">
      <w:pPr>
        <w:spacing w:after="0" w:line="240" w:lineRule="auto"/>
        <w:jc w:val="both"/>
        <w:rPr>
          <w:rFonts w:ascii="Times New Roman" w:hAnsi="Times New Roman" w:cs="Times New Roman"/>
          <w:bCs/>
          <w:sz w:val="24"/>
          <w:szCs w:val="24"/>
        </w:rPr>
      </w:pPr>
    </w:p>
    <w:p w:rsidR="00651E17" w:rsidRPr="00651E17" w:rsidRDefault="00651E17" w:rsidP="00AB29E4">
      <w:pPr>
        <w:spacing w:after="0" w:line="240" w:lineRule="auto"/>
        <w:jc w:val="both"/>
        <w:rPr>
          <w:rFonts w:ascii="Times New Roman" w:hAnsi="Times New Roman" w:cs="Times New Roman"/>
          <w:bCs/>
          <w:sz w:val="24"/>
          <w:szCs w:val="24"/>
        </w:rPr>
      </w:pPr>
      <w:r w:rsidRPr="00651E17">
        <w:rPr>
          <w:rFonts w:ascii="Times New Roman" w:hAnsi="Times New Roman" w:cs="Times New Roman"/>
          <w:sz w:val="24"/>
          <w:szCs w:val="24"/>
          <w:lang w:val="en-US"/>
        </w:rPr>
        <w:t xml:space="preserve">Roy Green, Philip Toner and Renu Agarwal,(2012) </w:t>
      </w:r>
      <w:r w:rsidRPr="00651E17">
        <w:rPr>
          <w:rStyle w:val="Emphasis"/>
          <w:rFonts w:ascii="Times New Roman" w:hAnsi="Times New Roman" w:cs="Times New Roman"/>
          <w:sz w:val="24"/>
          <w:szCs w:val="24"/>
          <w:lang w:val="en-US"/>
        </w:rPr>
        <w:t>Understanding Productivity</w:t>
      </w:r>
      <w:r>
        <w:rPr>
          <w:rStyle w:val="Emphasis"/>
          <w:rFonts w:ascii="Times New Roman" w:hAnsi="Times New Roman" w:cs="Times New Roman"/>
          <w:sz w:val="24"/>
          <w:szCs w:val="24"/>
          <w:lang w:val="en-US"/>
        </w:rPr>
        <w:t>.</w:t>
      </w:r>
      <w:r w:rsidRPr="00651E17">
        <w:rPr>
          <w:rStyle w:val="Emphasis"/>
          <w:rFonts w:ascii="Times New Roman" w:hAnsi="Times New Roman" w:cs="Times New Roman"/>
          <w:sz w:val="24"/>
          <w:szCs w:val="24"/>
          <w:lang w:val="en-US"/>
        </w:rPr>
        <w:t xml:space="preserve"> Australia’s Choice</w:t>
      </w:r>
      <w:r>
        <w:rPr>
          <w:rStyle w:val="Emphasis"/>
          <w:rFonts w:ascii="Times New Roman" w:hAnsi="Times New Roman" w:cs="Times New Roman"/>
          <w:i w:val="0"/>
          <w:sz w:val="24"/>
          <w:szCs w:val="24"/>
          <w:lang w:val="en-US"/>
        </w:rPr>
        <w:t xml:space="preserve">, McKell Institute, Sydney </w:t>
      </w:r>
    </w:p>
    <w:p w:rsidR="00651E17" w:rsidRPr="00651E17" w:rsidRDefault="00651E17" w:rsidP="00AB29E4">
      <w:pPr>
        <w:spacing w:after="0" w:line="240" w:lineRule="auto"/>
        <w:jc w:val="both"/>
        <w:rPr>
          <w:rFonts w:ascii="Times New Roman" w:hAnsi="Times New Roman" w:cs="Times New Roman"/>
          <w:bCs/>
          <w:sz w:val="24"/>
          <w:szCs w:val="24"/>
        </w:rPr>
      </w:pPr>
    </w:p>
    <w:p w:rsidR="009E694C" w:rsidRPr="009E694C" w:rsidRDefault="009E694C" w:rsidP="00AB29E4">
      <w:pPr>
        <w:spacing w:after="0" w:line="240" w:lineRule="auto"/>
        <w:jc w:val="both"/>
        <w:rPr>
          <w:rFonts w:ascii="Times New Roman" w:hAnsi="Times New Roman" w:cs="Times New Roman"/>
          <w:bCs/>
          <w:sz w:val="24"/>
          <w:szCs w:val="24"/>
        </w:rPr>
      </w:pPr>
      <w:r w:rsidRPr="00651E17">
        <w:rPr>
          <w:rFonts w:ascii="Times New Roman" w:hAnsi="Times New Roman" w:cs="Times New Roman"/>
          <w:bCs/>
          <w:sz w:val="24"/>
          <w:szCs w:val="24"/>
        </w:rPr>
        <w:t>Peter</w:t>
      </w:r>
      <w:r w:rsidRPr="009E694C">
        <w:rPr>
          <w:rFonts w:ascii="Times New Roman" w:hAnsi="Times New Roman" w:cs="Times New Roman"/>
          <w:bCs/>
          <w:sz w:val="24"/>
          <w:szCs w:val="24"/>
        </w:rPr>
        <w:t xml:space="preserve"> A. Hall, David Soskice (eds.): Varieties of Capitalism. The Institutional Foundations of Comparative Advantage. Oxford: Oxford University Press, 2001.</w:t>
      </w:r>
    </w:p>
    <w:p w:rsidR="009E694C" w:rsidRPr="009E694C" w:rsidRDefault="009E694C" w:rsidP="00AB29E4">
      <w:pPr>
        <w:spacing w:after="0" w:line="240" w:lineRule="auto"/>
        <w:jc w:val="both"/>
        <w:rPr>
          <w:rFonts w:ascii="Times New Roman" w:hAnsi="Times New Roman" w:cs="Times New Roman"/>
          <w:bCs/>
          <w:sz w:val="24"/>
          <w:szCs w:val="24"/>
        </w:rPr>
      </w:pPr>
    </w:p>
    <w:p w:rsidR="00AB29E4" w:rsidRPr="009E694C" w:rsidRDefault="00AB29E4" w:rsidP="00AB29E4">
      <w:pPr>
        <w:spacing w:after="0" w:line="240" w:lineRule="auto"/>
        <w:jc w:val="both"/>
        <w:rPr>
          <w:rFonts w:ascii="Times New Roman" w:hAnsi="Times New Roman" w:cs="Times New Roman"/>
          <w:bCs/>
          <w:sz w:val="24"/>
          <w:szCs w:val="24"/>
        </w:rPr>
      </w:pPr>
      <w:r w:rsidRPr="009E694C">
        <w:rPr>
          <w:rFonts w:ascii="Times New Roman" w:hAnsi="Times New Roman" w:cs="Times New Roman"/>
          <w:bCs/>
          <w:sz w:val="24"/>
          <w:szCs w:val="24"/>
        </w:rPr>
        <w:t xml:space="preserve">International Monetary Fund (2011) </w:t>
      </w:r>
      <w:r w:rsidRPr="009E694C">
        <w:rPr>
          <w:rFonts w:ascii="Times New Roman" w:hAnsi="Times New Roman" w:cs="Times New Roman"/>
          <w:bCs/>
          <w:i/>
          <w:sz w:val="24"/>
          <w:szCs w:val="24"/>
        </w:rPr>
        <w:t>(Why) Should Current Account Balances Be Reduced?</w:t>
      </w:r>
      <w:r w:rsidRPr="009E694C">
        <w:rPr>
          <w:rFonts w:ascii="Times New Roman" w:hAnsi="Times New Roman" w:cs="Times New Roman"/>
          <w:bCs/>
          <w:sz w:val="24"/>
          <w:szCs w:val="24"/>
        </w:rPr>
        <w:t xml:space="preserve"> Olivier Blanchard and Gian Maria Milesi-Ferretti, IMF Staff Discussion Note</w:t>
      </w:r>
    </w:p>
    <w:p w:rsidR="00AB29E4" w:rsidRPr="009E694C" w:rsidRDefault="00AB29E4" w:rsidP="00AB29E4">
      <w:pPr>
        <w:spacing w:after="0" w:line="240" w:lineRule="auto"/>
        <w:jc w:val="both"/>
        <w:rPr>
          <w:rFonts w:ascii="Times New Roman" w:hAnsi="Times New Roman" w:cs="Times New Roman"/>
          <w:bCs/>
          <w:sz w:val="24"/>
          <w:szCs w:val="24"/>
        </w:rPr>
      </w:pPr>
    </w:p>
    <w:p w:rsidR="00AB29E4" w:rsidRPr="009E694C" w:rsidRDefault="00AB29E4" w:rsidP="00AB29E4">
      <w:pPr>
        <w:spacing w:after="0" w:line="240" w:lineRule="auto"/>
        <w:jc w:val="both"/>
        <w:rPr>
          <w:rFonts w:ascii="Times New Roman" w:hAnsi="Times New Roman" w:cs="Times New Roman"/>
          <w:bCs/>
          <w:i/>
          <w:sz w:val="24"/>
          <w:szCs w:val="24"/>
        </w:rPr>
      </w:pPr>
      <w:r w:rsidRPr="009E694C">
        <w:rPr>
          <w:rFonts w:ascii="Times New Roman" w:hAnsi="Times New Roman" w:cs="Times New Roman"/>
          <w:bCs/>
          <w:sz w:val="24"/>
          <w:szCs w:val="24"/>
        </w:rPr>
        <w:tab/>
        <w:t xml:space="preserve">(2011) </w:t>
      </w:r>
      <w:r w:rsidRPr="009E694C">
        <w:rPr>
          <w:rFonts w:ascii="Times New Roman" w:hAnsi="Times New Roman" w:cs="Times New Roman"/>
          <w:bCs/>
          <w:i/>
          <w:sz w:val="24"/>
          <w:szCs w:val="24"/>
        </w:rPr>
        <w:t>Australia- 2011 Article IV Consultation Concluding Statement August 1, 2011</w:t>
      </w:r>
    </w:p>
    <w:p w:rsidR="008174B4" w:rsidRPr="009E694C" w:rsidRDefault="008174B4" w:rsidP="009B54D6">
      <w:pPr>
        <w:rPr>
          <w:rFonts w:ascii="Times New Roman" w:hAnsi="Times New Roman" w:cs="Times New Roman"/>
          <w:sz w:val="24"/>
          <w:szCs w:val="24"/>
        </w:rPr>
      </w:pPr>
    </w:p>
    <w:p w:rsidR="004847FF" w:rsidRPr="009E694C" w:rsidRDefault="004847FF" w:rsidP="004847FF">
      <w:pPr>
        <w:autoSpaceDE w:val="0"/>
        <w:autoSpaceDN w:val="0"/>
        <w:adjustRightInd w:val="0"/>
        <w:spacing w:after="0" w:line="240" w:lineRule="auto"/>
        <w:rPr>
          <w:rFonts w:ascii="Times New Roman" w:eastAsia="Times New Roman" w:hAnsi="Times New Roman" w:cs="Times New Roman"/>
          <w:bCs/>
          <w:sz w:val="24"/>
          <w:szCs w:val="24"/>
        </w:rPr>
      </w:pPr>
      <w:r w:rsidRPr="009E694C">
        <w:rPr>
          <w:rFonts w:ascii="Times New Roman" w:hAnsi="Times New Roman" w:cs="Times New Roman"/>
          <w:sz w:val="24"/>
          <w:szCs w:val="24"/>
        </w:rPr>
        <w:t xml:space="preserve">Meese R. and Rogoff K. (1983) Empirical exchange rate models of the seventies. Do they fit out of sample? </w:t>
      </w:r>
      <w:r w:rsidRPr="009E694C">
        <w:rPr>
          <w:rFonts w:ascii="Times New Roman" w:hAnsi="Times New Roman" w:cs="Times New Roman"/>
          <w:i/>
          <w:iCs/>
          <w:sz w:val="24"/>
          <w:szCs w:val="24"/>
        </w:rPr>
        <w:t xml:space="preserve">Journal of International Economics, </w:t>
      </w:r>
      <w:r w:rsidRPr="009E694C">
        <w:rPr>
          <w:rFonts w:ascii="Times New Roman" w:hAnsi="Times New Roman" w:cs="Times New Roman"/>
          <w:iCs/>
          <w:sz w:val="24"/>
          <w:szCs w:val="24"/>
        </w:rPr>
        <w:t xml:space="preserve">Vol. </w:t>
      </w:r>
      <w:r w:rsidRPr="009E694C">
        <w:rPr>
          <w:rFonts w:ascii="Times New Roman" w:hAnsi="Times New Roman" w:cs="Times New Roman"/>
          <w:sz w:val="24"/>
          <w:szCs w:val="24"/>
        </w:rPr>
        <w:t>14, pp. 3-24.</w:t>
      </w:r>
    </w:p>
    <w:p w:rsidR="00021B5B" w:rsidRPr="009E694C" w:rsidRDefault="00021B5B" w:rsidP="00021B5B">
      <w:pPr>
        <w:spacing w:before="100" w:beforeAutospacing="1" w:after="100" w:afterAutospacing="1" w:line="240" w:lineRule="auto"/>
        <w:jc w:val="both"/>
        <w:outlineLvl w:val="1"/>
        <w:rPr>
          <w:rFonts w:ascii="Times New Roman" w:hAnsi="Times New Roman" w:cs="Times New Roman"/>
          <w:sz w:val="24"/>
          <w:szCs w:val="24"/>
        </w:rPr>
      </w:pPr>
      <w:r w:rsidRPr="009E694C">
        <w:rPr>
          <w:rFonts w:ascii="Times New Roman" w:hAnsi="Times New Roman" w:cs="Times New Roman"/>
          <w:sz w:val="24"/>
          <w:szCs w:val="24"/>
        </w:rPr>
        <w:t xml:space="preserve">Productivity Commission (2011) </w:t>
      </w:r>
      <w:r w:rsidRPr="009E694C">
        <w:rPr>
          <w:rFonts w:ascii="Times New Roman" w:hAnsi="Times New Roman" w:cs="Times New Roman"/>
          <w:i/>
          <w:iCs/>
          <w:sz w:val="24"/>
          <w:szCs w:val="24"/>
        </w:rPr>
        <w:t>Vocational Education and Training Workforce</w:t>
      </w:r>
      <w:r w:rsidRPr="009E694C">
        <w:rPr>
          <w:rFonts w:ascii="Times New Roman" w:hAnsi="Times New Roman" w:cs="Times New Roman"/>
          <w:sz w:val="24"/>
          <w:szCs w:val="24"/>
        </w:rPr>
        <w:t>, Research Report, Canberra.</w:t>
      </w:r>
    </w:p>
    <w:p w:rsidR="009B54D6" w:rsidRPr="009E694C" w:rsidRDefault="009B54D6" w:rsidP="009B54D6">
      <w:pPr>
        <w:rPr>
          <w:rFonts w:ascii="Times New Roman" w:hAnsi="Times New Roman" w:cs="Times New Roman"/>
          <w:sz w:val="24"/>
          <w:szCs w:val="24"/>
        </w:rPr>
      </w:pPr>
      <w:r w:rsidRPr="009E694C">
        <w:rPr>
          <w:rFonts w:ascii="Times New Roman" w:hAnsi="Times New Roman" w:cs="Times New Roman"/>
          <w:sz w:val="24"/>
          <w:szCs w:val="24"/>
        </w:rPr>
        <w:t xml:space="preserve">Treasury (2013) </w:t>
      </w:r>
      <w:r w:rsidRPr="009E694C">
        <w:rPr>
          <w:rFonts w:ascii="Times New Roman" w:hAnsi="Times New Roman" w:cs="Times New Roman"/>
          <w:i/>
          <w:sz w:val="24"/>
          <w:szCs w:val="24"/>
        </w:rPr>
        <w:t>Tax Expenditures Statement</w:t>
      </w:r>
      <w:r w:rsidRPr="009E694C">
        <w:rPr>
          <w:rFonts w:ascii="Times New Roman" w:hAnsi="Times New Roman" w:cs="Times New Roman"/>
          <w:sz w:val="24"/>
          <w:szCs w:val="24"/>
        </w:rPr>
        <w:t xml:space="preserve"> </w:t>
      </w:r>
    </w:p>
    <w:p w:rsidR="00B1136A" w:rsidRPr="009E694C" w:rsidRDefault="00F63451" w:rsidP="009F0F11">
      <w:pPr>
        <w:rPr>
          <w:rFonts w:ascii="Times New Roman" w:hAnsi="Times New Roman" w:cs="Times New Roman"/>
          <w:sz w:val="24"/>
          <w:szCs w:val="24"/>
        </w:rPr>
      </w:pPr>
      <w:r w:rsidRPr="009E694C">
        <w:rPr>
          <w:rFonts w:ascii="Times New Roman" w:hAnsi="Times New Roman" w:cs="Times New Roman"/>
          <w:sz w:val="24"/>
          <w:szCs w:val="24"/>
          <w:lang w:val="en-US"/>
        </w:rPr>
        <w:lastRenderedPageBreak/>
        <w:t xml:space="preserve">Webber, Michael J. and Sally A. Weller (2001) </w:t>
      </w:r>
      <w:r w:rsidRPr="009E694C">
        <w:rPr>
          <w:rFonts w:ascii="Times New Roman" w:hAnsi="Times New Roman" w:cs="Times New Roman"/>
          <w:i/>
          <w:sz w:val="24"/>
          <w:szCs w:val="24"/>
          <w:lang w:val="en-US"/>
        </w:rPr>
        <w:t>Re-fashioning the Rag Trade</w:t>
      </w:r>
      <w:r w:rsidRPr="009E694C">
        <w:rPr>
          <w:rFonts w:ascii="Times New Roman" w:hAnsi="Times New Roman" w:cs="Times New Roman"/>
          <w:sz w:val="24"/>
          <w:szCs w:val="24"/>
          <w:lang w:val="en-US"/>
        </w:rPr>
        <w:t>, Sydney: Univ</w:t>
      </w:r>
      <w:r w:rsidR="00FB7F56" w:rsidRPr="009E694C">
        <w:rPr>
          <w:rFonts w:ascii="Times New Roman" w:hAnsi="Times New Roman" w:cs="Times New Roman"/>
          <w:sz w:val="24"/>
          <w:szCs w:val="24"/>
          <w:lang w:val="en-US"/>
        </w:rPr>
        <w:t>ersity of New South Wales Press</w:t>
      </w:r>
    </w:p>
    <w:sectPr w:rsidR="00B1136A" w:rsidRPr="009E694C" w:rsidSect="002114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CB" w:rsidRDefault="000770CB" w:rsidP="00644E38">
      <w:pPr>
        <w:spacing w:after="0" w:line="240" w:lineRule="auto"/>
      </w:pPr>
      <w:r>
        <w:separator/>
      </w:r>
    </w:p>
  </w:endnote>
  <w:endnote w:type="continuationSeparator" w:id="0">
    <w:p w:rsidR="000770CB" w:rsidRDefault="000770CB" w:rsidP="0064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542452"/>
      <w:docPartObj>
        <w:docPartGallery w:val="Page Numbers (Bottom of Page)"/>
        <w:docPartUnique/>
      </w:docPartObj>
    </w:sdtPr>
    <w:sdtEndPr/>
    <w:sdtContent>
      <w:p w:rsidR="00B570D5" w:rsidRDefault="007F1C31">
        <w:pPr>
          <w:pStyle w:val="Footer"/>
          <w:jc w:val="center"/>
        </w:pPr>
        <w:r>
          <w:fldChar w:fldCharType="begin"/>
        </w:r>
        <w:r>
          <w:instrText xml:space="preserve"> PAGE   \* MERGEFORMAT </w:instrText>
        </w:r>
        <w:r>
          <w:fldChar w:fldCharType="separate"/>
        </w:r>
        <w:r w:rsidR="007E524D">
          <w:rPr>
            <w:noProof/>
          </w:rPr>
          <w:t>4</w:t>
        </w:r>
        <w:r>
          <w:rPr>
            <w:noProof/>
          </w:rPr>
          <w:fldChar w:fldCharType="end"/>
        </w:r>
      </w:p>
    </w:sdtContent>
  </w:sdt>
  <w:p w:rsidR="00B570D5" w:rsidRDefault="00B57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CB" w:rsidRDefault="000770CB" w:rsidP="00644E38">
      <w:pPr>
        <w:spacing w:after="0" w:line="240" w:lineRule="auto"/>
      </w:pPr>
      <w:r>
        <w:separator/>
      </w:r>
    </w:p>
  </w:footnote>
  <w:footnote w:type="continuationSeparator" w:id="0">
    <w:p w:rsidR="000770CB" w:rsidRDefault="000770CB" w:rsidP="00644E38">
      <w:pPr>
        <w:spacing w:after="0" w:line="240" w:lineRule="auto"/>
      </w:pPr>
      <w:r>
        <w:continuationSeparator/>
      </w:r>
    </w:p>
  </w:footnote>
  <w:footnote w:id="1">
    <w:p w:rsidR="00B570D5" w:rsidRDefault="00B570D5">
      <w:pPr>
        <w:pStyle w:val="FootnoteText"/>
      </w:pPr>
      <w:r>
        <w:rPr>
          <w:rStyle w:val="FootnoteReference"/>
        </w:rPr>
        <w:footnoteRef/>
      </w:r>
      <w:r>
        <w:t xml:space="preserve"> Alternatively given that the value of net assistance is $1.1bn and the ERA is 9% this implies the total value added in the autos sector is around $12.2bn.    </w:t>
      </w:r>
    </w:p>
  </w:footnote>
  <w:footnote w:id="2">
    <w:p w:rsidR="00B570D5" w:rsidRDefault="00B570D5">
      <w:pPr>
        <w:pStyle w:val="FootnoteText"/>
      </w:pPr>
      <w:r>
        <w:rPr>
          <w:rStyle w:val="FootnoteReference"/>
        </w:rPr>
        <w:footnoteRef/>
      </w:r>
      <w:r>
        <w:t xml:space="preserve"> Max Corden’s suggestion that the solution to exchange rate appreciation induced Dutch Disease should be government surpluses and lower domestic interest rates can be criticised on a number of grounds. First, there is only a tenuous relation between government budget balances and domestic interest rates. Alternatively, it may be argued that reduced government spending may be needed to reduce the inflationary effect of reduced interest rates but the deflationary effect of cuts to government expenditure can counter-act the positive effect of exchange rate depreciation on industries subject o the Dutch Disease. Second, the suggestion that a positive outcome of the Dutch Disease is a rise in the ‘consumption wage’ due to exchange rate appreciation and lowering in the price of imported consumption goods is decidedly odd. The </w:t>
      </w:r>
      <w:r>
        <w:rPr>
          <w:i/>
        </w:rPr>
        <w:t>reductio ad absurdum</w:t>
      </w:r>
      <w:r>
        <w:t xml:space="preserve"> of this is that a nation experiencing declining productivity can nonetheless enjoy a rise in living standards by engineering continual exchange rate appreciation. Third, this orthodox mode of economic analysis is notable for its singular focus on the macro-economy and its indifference to issues of industrial structure. It ignores for example differences across industries in their scope for productivity growth; differences in the absolute level of output per worker; their contribution to the productivity growth of other industries; the export and import intensity of different industries; their skill intensity and income elasticity of demand for the output of different industries. A simple example of these principles is that Corden ignores the fact that mining as an industry is subject to diminishing returns to scale. Mining is in effect ‘crowding out’ other industries such as manufacturing that are subject to increasing returns to scale and that play a critical part in endogenous technical change. More broadly, Corden ignores the fact that the of non-resource based export and import-competing industries that are crowded out by exchange rate appreciation, such as manufacturing and professional and scientific services typically have desirable characteristics such high innovation intensity and generate many full-time well paid jobs. (This is taken up in section 5). The macro-economic volatility induced by expanding an industry such as mining that is subject to wild swings in price and output is also ignored. Finally, the type of adverse structural change induced by excessive exchange rate appreciation results in the permanent loss of non-resource export oriented and import competing industries despite the fact that the cause of this appreciation, such as terms of trade surge, may be temporary.           </w:t>
      </w:r>
      <w:r>
        <w:rPr>
          <w:i/>
        </w:rPr>
        <w:t xml:space="preserve"> </w:t>
      </w:r>
      <w:r>
        <w:t xml:space="preserve">    </w:t>
      </w:r>
    </w:p>
  </w:footnote>
  <w:footnote w:id="3">
    <w:p w:rsidR="00B570D5" w:rsidRDefault="00B570D5">
      <w:pPr>
        <w:pStyle w:val="FootnoteText"/>
      </w:pPr>
      <w:r>
        <w:rPr>
          <w:rStyle w:val="FootnoteReference"/>
        </w:rPr>
        <w:footnoteRef/>
      </w:r>
      <w:r>
        <w:t xml:space="preserve"> At this point in the argument the standard neoclassical response is that such a trend reflects allocative efficiency, that the movement of resources into low productivity activities mirrors demand for goods and services which just happen to have low productivity. This in turn reflects the irreconcilable conflict between the principles of allocative and productive efficiency. In other words the conflict between Pareto optimality and dynamic efficiency. This conflict of course can be assumed away only if one accepts the general equilibrium framework, and especially the premise of perfect information.  </w:t>
      </w:r>
    </w:p>
  </w:footnote>
  <w:footnote w:id="4">
    <w:p w:rsidR="00B570D5" w:rsidRDefault="00B570D5" w:rsidP="00370797">
      <w:pPr>
        <w:spacing w:after="0"/>
      </w:pPr>
      <w:r>
        <w:rPr>
          <w:rStyle w:val="FootnoteReference"/>
        </w:rPr>
        <w:footnoteRef/>
      </w:r>
      <w:r>
        <w:t xml:space="preserve"> </w:t>
      </w:r>
      <w:r w:rsidRPr="00370797">
        <w:rPr>
          <w:rFonts w:ascii="Times New Roman" w:hAnsi="Times New Roman" w:cs="Times New Roman"/>
          <w:sz w:val="20"/>
          <w:szCs w:val="20"/>
        </w:rPr>
        <w:t>A cruder measure by way of comparison is that value added per worker for all industries in 2011-12 was $</w:t>
      </w:r>
      <w:r w:rsidRPr="00370797">
        <w:rPr>
          <w:rFonts w:ascii="Times New Roman" w:eastAsia="Times New Roman" w:hAnsi="Times New Roman" w:cs="Times New Roman"/>
          <w:color w:val="000000"/>
          <w:sz w:val="20"/>
          <w:szCs w:val="20"/>
        </w:rPr>
        <w:t>94,365 compared to $106,627.5 for the auto industry (ABS 2013a). The use of total employment will under-estimate productivity in autos given that employment in this industry is mostly full-time compared to a much higher share of part time employment elsewhere.</w:t>
      </w:r>
    </w:p>
  </w:footnote>
  <w:footnote w:id="5">
    <w:p w:rsidR="00B570D5" w:rsidRDefault="00B570D5" w:rsidP="00370797">
      <w:pPr>
        <w:pStyle w:val="FootnoteText"/>
      </w:pPr>
      <w:r>
        <w:rPr>
          <w:rStyle w:val="FootnoteReference"/>
        </w:rPr>
        <w:footnoteRef/>
      </w:r>
      <w:r w:rsidRPr="00FC6067">
        <w:t xml:space="preserve"> Education and Training may seem unusual but the low hourly value added probably reflects low hourly wages aid to Child Care workers and trainers in public and private vocational education colleges. The average hourly wage of private training providers in 2006 was $30 (there were over 150,00 such workers sin 2006) and public TAFE teachers were on a similar hourly rate </w:t>
      </w:r>
      <w:r w:rsidRPr="00FC6067">
        <w:rPr>
          <w:rFonts w:ascii="TimesNewRomanPSMT" w:hAnsi="TimesNewRomanPSMT" w:cs="TimesNewRomanPSMT"/>
        </w:rPr>
        <w:t>(Productivity Commission 2011: 37-42)</w:t>
      </w:r>
      <w:r>
        <w:rPr>
          <w:rFonts w:ascii="TimesNewRomanPSMT" w:hAnsi="TimesNewRomanPSMT" w:cs="TimesNewRomanPSMT"/>
          <w:sz w:val="26"/>
          <w:szCs w:val="26"/>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939"/>
    <w:multiLevelType w:val="hybridMultilevel"/>
    <w:tmpl w:val="7AEC0FB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F9"/>
    <w:rsid w:val="00003A52"/>
    <w:rsid w:val="00021B5B"/>
    <w:rsid w:val="00023E25"/>
    <w:rsid w:val="00045A47"/>
    <w:rsid w:val="000533EB"/>
    <w:rsid w:val="00056F84"/>
    <w:rsid w:val="000770CB"/>
    <w:rsid w:val="000B0D39"/>
    <w:rsid w:val="000F5BF3"/>
    <w:rsid w:val="001145A1"/>
    <w:rsid w:val="00134233"/>
    <w:rsid w:val="00137833"/>
    <w:rsid w:val="00142541"/>
    <w:rsid w:val="00144CBF"/>
    <w:rsid w:val="00150621"/>
    <w:rsid w:val="00172A74"/>
    <w:rsid w:val="001C0751"/>
    <w:rsid w:val="001C1378"/>
    <w:rsid w:val="001D0DC0"/>
    <w:rsid w:val="001D18F9"/>
    <w:rsid w:val="001E3107"/>
    <w:rsid w:val="001E3D6C"/>
    <w:rsid w:val="001E6602"/>
    <w:rsid w:val="001F1704"/>
    <w:rsid w:val="00203B53"/>
    <w:rsid w:val="0021142C"/>
    <w:rsid w:val="00230B2A"/>
    <w:rsid w:val="00243E62"/>
    <w:rsid w:val="00270DC9"/>
    <w:rsid w:val="00285379"/>
    <w:rsid w:val="002A4604"/>
    <w:rsid w:val="002B0E8A"/>
    <w:rsid w:val="002D6750"/>
    <w:rsid w:val="002F7452"/>
    <w:rsid w:val="0030240F"/>
    <w:rsid w:val="00312D15"/>
    <w:rsid w:val="00315EC7"/>
    <w:rsid w:val="0032317D"/>
    <w:rsid w:val="003571AE"/>
    <w:rsid w:val="00370797"/>
    <w:rsid w:val="00372D45"/>
    <w:rsid w:val="00383712"/>
    <w:rsid w:val="0038704C"/>
    <w:rsid w:val="00396417"/>
    <w:rsid w:val="003A0A37"/>
    <w:rsid w:val="003A73A7"/>
    <w:rsid w:val="003B52FE"/>
    <w:rsid w:val="003C3E5E"/>
    <w:rsid w:val="003D2B2E"/>
    <w:rsid w:val="003D7696"/>
    <w:rsid w:val="00411C1A"/>
    <w:rsid w:val="00421E6F"/>
    <w:rsid w:val="00450F36"/>
    <w:rsid w:val="00454A74"/>
    <w:rsid w:val="004847FF"/>
    <w:rsid w:val="00496397"/>
    <w:rsid w:val="004A1F00"/>
    <w:rsid w:val="004A779A"/>
    <w:rsid w:val="004B4373"/>
    <w:rsid w:val="004C4CDC"/>
    <w:rsid w:val="004D2FD8"/>
    <w:rsid w:val="004D472F"/>
    <w:rsid w:val="004E7ABF"/>
    <w:rsid w:val="00502A59"/>
    <w:rsid w:val="005154BB"/>
    <w:rsid w:val="00522A22"/>
    <w:rsid w:val="00541AEC"/>
    <w:rsid w:val="00545140"/>
    <w:rsid w:val="00566870"/>
    <w:rsid w:val="0056696F"/>
    <w:rsid w:val="00573548"/>
    <w:rsid w:val="005902FF"/>
    <w:rsid w:val="00590F0B"/>
    <w:rsid w:val="00614830"/>
    <w:rsid w:val="00644E38"/>
    <w:rsid w:val="00651E17"/>
    <w:rsid w:val="00656BA1"/>
    <w:rsid w:val="00663E6C"/>
    <w:rsid w:val="006A34A3"/>
    <w:rsid w:val="006D4326"/>
    <w:rsid w:val="007154E6"/>
    <w:rsid w:val="007265BA"/>
    <w:rsid w:val="007661FF"/>
    <w:rsid w:val="00770041"/>
    <w:rsid w:val="00786861"/>
    <w:rsid w:val="007D07A4"/>
    <w:rsid w:val="007E0534"/>
    <w:rsid w:val="007E524D"/>
    <w:rsid w:val="007F0E57"/>
    <w:rsid w:val="007F1C31"/>
    <w:rsid w:val="0080588A"/>
    <w:rsid w:val="008174B4"/>
    <w:rsid w:val="00827A73"/>
    <w:rsid w:val="0084349F"/>
    <w:rsid w:val="008469BA"/>
    <w:rsid w:val="00862B0A"/>
    <w:rsid w:val="008832F9"/>
    <w:rsid w:val="00896ED5"/>
    <w:rsid w:val="008B3D9C"/>
    <w:rsid w:val="008C07A8"/>
    <w:rsid w:val="008C45D3"/>
    <w:rsid w:val="008C7756"/>
    <w:rsid w:val="008D15C7"/>
    <w:rsid w:val="008D5BA9"/>
    <w:rsid w:val="008F09C3"/>
    <w:rsid w:val="00914FBC"/>
    <w:rsid w:val="00941FE0"/>
    <w:rsid w:val="00944C99"/>
    <w:rsid w:val="009526B6"/>
    <w:rsid w:val="009624D3"/>
    <w:rsid w:val="009641C8"/>
    <w:rsid w:val="00972C28"/>
    <w:rsid w:val="00973338"/>
    <w:rsid w:val="009B1350"/>
    <w:rsid w:val="009B3025"/>
    <w:rsid w:val="009B54D6"/>
    <w:rsid w:val="009D2F12"/>
    <w:rsid w:val="009E694C"/>
    <w:rsid w:val="009F0F11"/>
    <w:rsid w:val="00A05239"/>
    <w:rsid w:val="00A10240"/>
    <w:rsid w:val="00A137F2"/>
    <w:rsid w:val="00A31DC8"/>
    <w:rsid w:val="00A45EA9"/>
    <w:rsid w:val="00A46058"/>
    <w:rsid w:val="00A8660B"/>
    <w:rsid w:val="00AA3D44"/>
    <w:rsid w:val="00AB29E4"/>
    <w:rsid w:val="00AB7C77"/>
    <w:rsid w:val="00AC77A9"/>
    <w:rsid w:val="00AD1E37"/>
    <w:rsid w:val="00AD6DD5"/>
    <w:rsid w:val="00B07554"/>
    <w:rsid w:val="00B1136A"/>
    <w:rsid w:val="00B11EBF"/>
    <w:rsid w:val="00B170F0"/>
    <w:rsid w:val="00B20CCF"/>
    <w:rsid w:val="00B5419C"/>
    <w:rsid w:val="00B570D5"/>
    <w:rsid w:val="00B71F94"/>
    <w:rsid w:val="00B81EDC"/>
    <w:rsid w:val="00B83C4E"/>
    <w:rsid w:val="00BC721C"/>
    <w:rsid w:val="00BD357A"/>
    <w:rsid w:val="00BE0C1E"/>
    <w:rsid w:val="00BF225C"/>
    <w:rsid w:val="00BF76F7"/>
    <w:rsid w:val="00C23401"/>
    <w:rsid w:val="00C336E7"/>
    <w:rsid w:val="00C34281"/>
    <w:rsid w:val="00C433B7"/>
    <w:rsid w:val="00C54C90"/>
    <w:rsid w:val="00C81921"/>
    <w:rsid w:val="00C82061"/>
    <w:rsid w:val="00C92194"/>
    <w:rsid w:val="00D30E46"/>
    <w:rsid w:val="00D704A5"/>
    <w:rsid w:val="00D71688"/>
    <w:rsid w:val="00D76871"/>
    <w:rsid w:val="00DA48BD"/>
    <w:rsid w:val="00DA6443"/>
    <w:rsid w:val="00DC6007"/>
    <w:rsid w:val="00DD1F6E"/>
    <w:rsid w:val="00DE5686"/>
    <w:rsid w:val="00E147C6"/>
    <w:rsid w:val="00E21656"/>
    <w:rsid w:val="00E7433C"/>
    <w:rsid w:val="00E7723D"/>
    <w:rsid w:val="00EC0761"/>
    <w:rsid w:val="00ED00B7"/>
    <w:rsid w:val="00ED673B"/>
    <w:rsid w:val="00EE687B"/>
    <w:rsid w:val="00EF041D"/>
    <w:rsid w:val="00EF1A04"/>
    <w:rsid w:val="00F17AEB"/>
    <w:rsid w:val="00F249B9"/>
    <w:rsid w:val="00F32ECF"/>
    <w:rsid w:val="00F41D27"/>
    <w:rsid w:val="00F4399F"/>
    <w:rsid w:val="00F63451"/>
    <w:rsid w:val="00FB15F0"/>
    <w:rsid w:val="00FB7F56"/>
    <w:rsid w:val="00FD7167"/>
    <w:rsid w:val="00FF5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18F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C3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A74"/>
    <w:rPr>
      <w:strike w:val="0"/>
      <w:dstrike w:val="0"/>
      <w:color w:val="0058CC"/>
      <w:u w:val="none"/>
      <w:effect w:val="none"/>
    </w:rPr>
  </w:style>
  <w:style w:type="character" w:styleId="Emphasis">
    <w:name w:val="Emphasis"/>
    <w:basedOn w:val="DefaultParagraphFont"/>
    <w:uiPriority w:val="20"/>
    <w:qFormat/>
    <w:rsid w:val="00454A74"/>
    <w:rPr>
      <w:i/>
      <w:iCs/>
    </w:rPr>
  </w:style>
  <w:style w:type="paragraph" w:styleId="NormalWeb">
    <w:name w:val="Normal (Web)"/>
    <w:basedOn w:val="Normal"/>
    <w:uiPriority w:val="99"/>
    <w:unhideWhenUsed/>
    <w:rsid w:val="00454A74"/>
    <w:pPr>
      <w:spacing w:after="240" w:line="240" w:lineRule="auto"/>
    </w:pPr>
    <w:rPr>
      <w:rFonts w:ascii="Times New Roman" w:eastAsia="Times New Roman" w:hAnsi="Times New Roman" w:cs="Times New Roman"/>
      <w:sz w:val="24"/>
      <w:szCs w:val="24"/>
    </w:rPr>
  </w:style>
  <w:style w:type="paragraph" w:customStyle="1" w:styleId="first">
    <w:name w:val="first"/>
    <w:basedOn w:val="Normal"/>
    <w:rsid w:val="00454A74"/>
    <w:pPr>
      <w:spacing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C4E"/>
    <w:rPr>
      <w:color w:val="800080" w:themeColor="followedHyperlink"/>
      <w:u w:val="single"/>
    </w:rPr>
  </w:style>
  <w:style w:type="paragraph" w:styleId="FootnoteText">
    <w:name w:val="footnote text"/>
    <w:basedOn w:val="Normal"/>
    <w:link w:val="FootnoteTextChar"/>
    <w:uiPriority w:val="99"/>
    <w:semiHidden/>
    <w:unhideWhenUsed/>
    <w:rsid w:val="00644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E38"/>
    <w:rPr>
      <w:sz w:val="20"/>
      <w:szCs w:val="20"/>
    </w:rPr>
  </w:style>
  <w:style w:type="character" w:styleId="FootnoteReference">
    <w:name w:val="footnote reference"/>
    <w:basedOn w:val="DefaultParagraphFont"/>
    <w:uiPriority w:val="99"/>
    <w:semiHidden/>
    <w:unhideWhenUsed/>
    <w:rsid w:val="00644E38"/>
    <w:rPr>
      <w:vertAlign w:val="superscript"/>
    </w:rPr>
  </w:style>
  <w:style w:type="paragraph" w:styleId="Header">
    <w:name w:val="header"/>
    <w:basedOn w:val="Normal"/>
    <w:link w:val="HeaderChar"/>
    <w:uiPriority w:val="99"/>
    <w:semiHidden/>
    <w:unhideWhenUsed/>
    <w:rsid w:val="003707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0797"/>
  </w:style>
  <w:style w:type="paragraph" w:styleId="Footer">
    <w:name w:val="footer"/>
    <w:basedOn w:val="Normal"/>
    <w:link w:val="FooterChar"/>
    <w:uiPriority w:val="99"/>
    <w:unhideWhenUsed/>
    <w:rsid w:val="0037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797"/>
  </w:style>
  <w:style w:type="paragraph" w:styleId="ListParagraph">
    <w:name w:val="List Paragraph"/>
    <w:basedOn w:val="Normal"/>
    <w:uiPriority w:val="34"/>
    <w:qFormat/>
    <w:rsid w:val="00B07554"/>
    <w:pPr>
      <w:ind w:left="720"/>
      <w:contextualSpacing/>
    </w:pPr>
  </w:style>
  <w:style w:type="paragraph" w:customStyle="1" w:styleId="Bulletform">
    <w:name w:val="Bullet form"/>
    <w:basedOn w:val="Normal"/>
    <w:rsid w:val="00944C99"/>
    <w:pPr>
      <w:numPr>
        <w:numId w:val="2"/>
      </w:numPr>
      <w:spacing w:before="120" w:after="0" w:line="240" w:lineRule="auto"/>
      <w:ind w:left="714" w:hanging="357"/>
      <w:jc w:val="both"/>
    </w:pPr>
    <w:rPr>
      <w:rFonts w:ascii="GoudyOlSt BT" w:eastAsia="Times New Roman" w:hAnsi="GoudyOlSt BT" w:cs="Times New Roman"/>
      <w:sz w:val="24"/>
      <w:szCs w:val="20"/>
    </w:rPr>
  </w:style>
  <w:style w:type="paragraph" w:styleId="BodyText">
    <w:name w:val="Body Text"/>
    <w:link w:val="BodyTextChar"/>
    <w:qFormat/>
    <w:rsid w:val="00944C99"/>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944C99"/>
    <w:rPr>
      <w:rFonts w:ascii="Times New Roman" w:eastAsia="Times New Roman" w:hAnsi="Times New Roman" w:cs="Times New Roman"/>
      <w:sz w:val="26"/>
      <w:szCs w:val="20"/>
      <w:lang w:eastAsia="en-AU"/>
    </w:rPr>
  </w:style>
  <w:style w:type="paragraph" w:styleId="BalloonText">
    <w:name w:val="Balloon Text"/>
    <w:basedOn w:val="Normal"/>
    <w:link w:val="BalloonTextChar"/>
    <w:uiPriority w:val="99"/>
    <w:semiHidden/>
    <w:unhideWhenUsed/>
    <w:rsid w:val="00944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18F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C3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A74"/>
    <w:rPr>
      <w:strike w:val="0"/>
      <w:dstrike w:val="0"/>
      <w:color w:val="0058CC"/>
      <w:u w:val="none"/>
      <w:effect w:val="none"/>
    </w:rPr>
  </w:style>
  <w:style w:type="character" w:styleId="Emphasis">
    <w:name w:val="Emphasis"/>
    <w:basedOn w:val="DefaultParagraphFont"/>
    <w:uiPriority w:val="20"/>
    <w:qFormat/>
    <w:rsid w:val="00454A74"/>
    <w:rPr>
      <w:i/>
      <w:iCs/>
    </w:rPr>
  </w:style>
  <w:style w:type="paragraph" w:styleId="NormalWeb">
    <w:name w:val="Normal (Web)"/>
    <w:basedOn w:val="Normal"/>
    <w:uiPriority w:val="99"/>
    <w:unhideWhenUsed/>
    <w:rsid w:val="00454A74"/>
    <w:pPr>
      <w:spacing w:after="240" w:line="240" w:lineRule="auto"/>
    </w:pPr>
    <w:rPr>
      <w:rFonts w:ascii="Times New Roman" w:eastAsia="Times New Roman" w:hAnsi="Times New Roman" w:cs="Times New Roman"/>
      <w:sz w:val="24"/>
      <w:szCs w:val="24"/>
    </w:rPr>
  </w:style>
  <w:style w:type="paragraph" w:customStyle="1" w:styleId="first">
    <w:name w:val="first"/>
    <w:basedOn w:val="Normal"/>
    <w:rsid w:val="00454A74"/>
    <w:pPr>
      <w:spacing w:after="24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C4E"/>
    <w:rPr>
      <w:color w:val="800080" w:themeColor="followedHyperlink"/>
      <w:u w:val="single"/>
    </w:rPr>
  </w:style>
  <w:style w:type="paragraph" w:styleId="FootnoteText">
    <w:name w:val="footnote text"/>
    <w:basedOn w:val="Normal"/>
    <w:link w:val="FootnoteTextChar"/>
    <w:uiPriority w:val="99"/>
    <w:semiHidden/>
    <w:unhideWhenUsed/>
    <w:rsid w:val="00644E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E38"/>
    <w:rPr>
      <w:sz w:val="20"/>
      <w:szCs w:val="20"/>
    </w:rPr>
  </w:style>
  <w:style w:type="character" w:styleId="FootnoteReference">
    <w:name w:val="footnote reference"/>
    <w:basedOn w:val="DefaultParagraphFont"/>
    <w:uiPriority w:val="99"/>
    <w:semiHidden/>
    <w:unhideWhenUsed/>
    <w:rsid w:val="00644E38"/>
    <w:rPr>
      <w:vertAlign w:val="superscript"/>
    </w:rPr>
  </w:style>
  <w:style w:type="paragraph" w:styleId="Header">
    <w:name w:val="header"/>
    <w:basedOn w:val="Normal"/>
    <w:link w:val="HeaderChar"/>
    <w:uiPriority w:val="99"/>
    <w:semiHidden/>
    <w:unhideWhenUsed/>
    <w:rsid w:val="003707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0797"/>
  </w:style>
  <w:style w:type="paragraph" w:styleId="Footer">
    <w:name w:val="footer"/>
    <w:basedOn w:val="Normal"/>
    <w:link w:val="FooterChar"/>
    <w:uiPriority w:val="99"/>
    <w:unhideWhenUsed/>
    <w:rsid w:val="0037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797"/>
  </w:style>
  <w:style w:type="paragraph" w:styleId="ListParagraph">
    <w:name w:val="List Paragraph"/>
    <w:basedOn w:val="Normal"/>
    <w:uiPriority w:val="34"/>
    <w:qFormat/>
    <w:rsid w:val="00B07554"/>
    <w:pPr>
      <w:ind w:left="720"/>
      <w:contextualSpacing/>
    </w:pPr>
  </w:style>
  <w:style w:type="paragraph" w:customStyle="1" w:styleId="Bulletform">
    <w:name w:val="Bullet form"/>
    <w:basedOn w:val="Normal"/>
    <w:rsid w:val="00944C99"/>
    <w:pPr>
      <w:numPr>
        <w:numId w:val="2"/>
      </w:numPr>
      <w:spacing w:before="120" w:after="0" w:line="240" w:lineRule="auto"/>
      <w:ind w:left="714" w:hanging="357"/>
      <w:jc w:val="both"/>
    </w:pPr>
    <w:rPr>
      <w:rFonts w:ascii="GoudyOlSt BT" w:eastAsia="Times New Roman" w:hAnsi="GoudyOlSt BT" w:cs="Times New Roman"/>
      <w:sz w:val="24"/>
      <w:szCs w:val="20"/>
    </w:rPr>
  </w:style>
  <w:style w:type="paragraph" w:styleId="BodyText">
    <w:name w:val="Body Text"/>
    <w:link w:val="BodyTextChar"/>
    <w:qFormat/>
    <w:rsid w:val="00944C99"/>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944C99"/>
    <w:rPr>
      <w:rFonts w:ascii="Times New Roman" w:eastAsia="Times New Roman" w:hAnsi="Times New Roman" w:cs="Times New Roman"/>
      <w:sz w:val="26"/>
      <w:szCs w:val="20"/>
      <w:lang w:eastAsia="en-AU"/>
    </w:rPr>
  </w:style>
  <w:style w:type="paragraph" w:styleId="BalloonText">
    <w:name w:val="Balloon Text"/>
    <w:basedOn w:val="Normal"/>
    <w:link w:val="BalloonTextChar"/>
    <w:uiPriority w:val="99"/>
    <w:semiHidden/>
    <w:unhideWhenUsed/>
    <w:rsid w:val="00944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6261">
      <w:bodyDiv w:val="1"/>
      <w:marLeft w:val="0"/>
      <w:marRight w:val="0"/>
      <w:marTop w:val="0"/>
      <w:marBottom w:val="0"/>
      <w:divBdr>
        <w:top w:val="none" w:sz="0" w:space="0" w:color="auto"/>
        <w:left w:val="none" w:sz="0" w:space="0" w:color="auto"/>
        <w:bottom w:val="none" w:sz="0" w:space="0" w:color="auto"/>
        <w:right w:val="none" w:sz="0" w:space="0" w:color="auto"/>
      </w:divBdr>
    </w:div>
    <w:div w:id="640035795">
      <w:bodyDiv w:val="1"/>
      <w:marLeft w:val="0"/>
      <w:marRight w:val="0"/>
      <w:marTop w:val="0"/>
      <w:marBottom w:val="0"/>
      <w:divBdr>
        <w:top w:val="none" w:sz="0" w:space="0" w:color="auto"/>
        <w:left w:val="none" w:sz="0" w:space="0" w:color="auto"/>
        <w:bottom w:val="none" w:sz="0" w:space="0" w:color="auto"/>
        <w:right w:val="none" w:sz="0" w:space="0" w:color="auto"/>
      </w:divBdr>
    </w:div>
    <w:div w:id="854466295">
      <w:bodyDiv w:val="1"/>
      <w:marLeft w:val="0"/>
      <w:marRight w:val="0"/>
      <w:marTop w:val="0"/>
      <w:marBottom w:val="0"/>
      <w:divBdr>
        <w:top w:val="none" w:sz="0" w:space="0" w:color="auto"/>
        <w:left w:val="none" w:sz="0" w:space="0" w:color="auto"/>
        <w:bottom w:val="none" w:sz="0" w:space="0" w:color="auto"/>
        <w:right w:val="none" w:sz="0" w:space="0" w:color="auto"/>
      </w:divBdr>
    </w:div>
    <w:div w:id="892423461">
      <w:bodyDiv w:val="1"/>
      <w:marLeft w:val="0"/>
      <w:marRight w:val="0"/>
      <w:marTop w:val="0"/>
      <w:marBottom w:val="0"/>
      <w:divBdr>
        <w:top w:val="none" w:sz="0" w:space="0" w:color="auto"/>
        <w:left w:val="none" w:sz="0" w:space="0" w:color="auto"/>
        <w:bottom w:val="none" w:sz="0" w:space="0" w:color="auto"/>
        <w:right w:val="none" w:sz="0" w:space="0" w:color="auto"/>
      </w:divBdr>
    </w:div>
    <w:div w:id="963467525">
      <w:bodyDiv w:val="1"/>
      <w:marLeft w:val="0"/>
      <w:marRight w:val="0"/>
      <w:marTop w:val="0"/>
      <w:marBottom w:val="0"/>
      <w:divBdr>
        <w:top w:val="none" w:sz="0" w:space="0" w:color="auto"/>
        <w:left w:val="none" w:sz="0" w:space="0" w:color="auto"/>
        <w:bottom w:val="none" w:sz="0" w:space="0" w:color="auto"/>
        <w:right w:val="none" w:sz="0" w:space="0" w:color="auto"/>
      </w:divBdr>
    </w:div>
    <w:div w:id="1545171825">
      <w:bodyDiv w:val="1"/>
      <w:marLeft w:val="0"/>
      <w:marRight w:val="0"/>
      <w:marTop w:val="0"/>
      <w:marBottom w:val="0"/>
      <w:divBdr>
        <w:top w:val="none" w:sz="0" w:space="0" w:color="auto"/>
        <w:left w:val="none" w:sz="0" w:space="0" w:color="auto"/>
        <w:bottom w:val="none" w:sz="0" w:space="0" w:color="auto"/>
        <w:right w:val="none" w:sz="0" w:space="0" w:color="auto"/>
      </w:divBdr>
    </w:div>
    <w:div w:id="1638298474">
      <w:bodyDiv w:val="1"/>
      <w:marLeft w:val="0"/>
      <w:marRight w:val="0"/>
      <w:marTop w:val="0"/>
      <w:marBottom w:val="0"/>
      <w:divBdr>
        <w:top w:val="none" w:sz="0" w:space="0" w:color="auto"/>
        <w:left w:val="none" w:sz="0" w:space="0" w:color="auto"/>
        <w:bottom w:val="none" w:sz="0" w:space="0" w:color="auto"/>
        <w:right w:val="none" w:sz="0" w:space="0" w:color="auto"/>
      </w:divBdr>
    </w:div>
    <w:div w:id="1747721295">
      <w:bodyDiv w:val="1"/>
      <w:marLeft w:val="0"/>
      <w:marRight w:val="0"/>
      <w:marTop w:val="0"/>
      <w:marBottom w:val="0"/>
      <w:divBdr>
        <w:top w:val="none" w:sz="0" w:space="0" w:color="auto"/>
        <w:left w:val="none" w:sz="0" w:space="0" w:color="auto"/>
        <w:bottom w:val="none" w:sz="0" w:space="0" w:color="auto"/>
        <w:right w:val="none" w:sz="0" w:space="0" w:color="auto"/>
      </w:divBdr>
    </w:div>
    <w:div w:id="1754011855">
      <w:bodyDiv w:val="1"/>
      <w:marLeft w:val="0"/>
      <w:marRight w:val="0"/>
      <w:marTop w:val="0"/>
      <w:marBottom w:val="0"/>
      <w:divBdr>
        <w:top w:val="none" w:sz="0" w:space="0" w:color="auto"/>
        <w:left w:val="none" w:sz="0" w:space="0" w:color="auto"/>
        <w:bottom w:val="none" w:sz="0" w:space="0" w:color="auto"/>
        <w:right w:val="none" w:sz="0" w:space="0" w:color="auto"/>
      </w:divBdr>
    </w:div>
    <w:div w:id="1784958281">
      <w:bodyDiv w:val="1"/>
      <w:marLeft w:val="0"/>
      <w:marRight w:val="0"/>
      <w:marTop w:val="0"/>
      <w:marBottom w:val="0"/>
      <w:divBdr>
        <w:top w:val="none" w:sz="0" w:space="0" w:color="auto"/>
        <w:left w:val="none" w:sz="0" w:space="0" w:color="auto"/>
        <w:bottom w:val="none" w:sz="0" w:space="0" w:color="auto"/>
        <w:right w:val="none" w:sz="0" w:space="0" w:color="auto"/>
      </w:divBdr>
      <w:divsChild>
        <w:div w:id="1242375844">
          <w:marLeft w:val="0"/>
          <w:marRight w:val="0"/>
          <w:marTop w:val="0"/>
          <w:marBottom w:val="0"/>
          <w:divBdr>
            <w:top w:val="none" w:sz="0" w:space="0" w:color="auto"/>
            <w:left w:val="none" w:sz="0" w:space="0" w:color="auto"/>
            <w:bottom w:val="dotted" w:sz="4" w:space="9" w:color="E0E0E0"/>
            <w:right w:val="none" w:sz="0" w:space="0" w:color="auto"/>
          </w:divBdr>
          <w:divsChild>
            <w:div w:id="1377703255">
              <w:marLeft w:val="0"/>
              <w:marRight w:val="0"/>
              <w:marTop w:val="0"/>
              <w:marBottom w:val="0"/>
              <w:divBdr>
                <w:top w:val="none" w:sz="0" w:space="0" w:color="auto"/>
                <w:left w:val="none" w:sz="0" w:space="0" w:color="auto"/>
                <w:bottom w:val="none" w:sz="0" w:space="0" w:color="auto"/>
                <w:right w:val="none" w:sz="0" w:space="0" w:color="auto"/>
              </w:divBdr>
              <w:divsChild>
                <w:div w:id="254243994">
                  <w:marLeft w:val="0"/>
                  <w:marRight w:val="0"/>
                  <w:marTop w:val="0"/>
                  <w:marBottom w:val="0"/>
                  <w:divBdr>
                    <w:top w:val="none" w:sz="0" w:space="0" w:color="auto"/>
                    <w:left w:val="none" w:sz="0" w:space="0" w:color="auto"/>
                    <w:bottom w:val="none" w:sz="0" w:space="0" w:color="auto"/>
                    <w:right w:val="none" w:sz="0" w:space="0" w:color="auto"/>
                  </w:divBdr>
                  <w:divsChild>
                    <w:div w:id="143532544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857498555">
      <w:bodyDiv w:val="1"/>
      <w:marLeft w:val="0"/>
      <w:marRight w:val="0"/>
      <w:marTop w:val="0"/>
      <w:marBottom w:val="0"/>
      <w:divBdr>
        <w:top w:val="none" w:sz="0" w:space="0" w:color="auto"/>
        <w:left w:val="none" w:sz="0" w:space="0" w:color="auto"/>
        <w:bottom w:val="none" w:sz="0" w:space="0" w:color="auto"/>
        <w:right w:val="none" w:sz="0" w:space="0" w:color="auto"/>
      </w:divBdr>
    </w:div>
    <w:div w:id="1875189345">
      <w:bodyDiv w:val="1"/>
      <w:marLeft w:val="0"/>
      <w:marRight w:val="0"/>
      <w:marTop w:val="0"/>
      <w:marBottom w:val="0"/>
      <w:divBdr>
        <w:top w:val="none" w:sz="0" w:space="0" w:color="auto"/>
        <w:left w:val="none" w:sz="0" w:space="0" w:color="auto"/>
        <w:bottom w:val="none" w:sz="0" w:space="0" w:color="auto"/>
        <w:right w:val="none" w:sz="0" w:space="0" w:color="auto"/>
      </w:divBdr>
    </w:div>
    <w:div w:id="19109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65DA6-A0CD-4ED2-AAF9-7524754F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3610</Words>
  <Characters>19753</Characters>
  <Application>Microsoft Office Word</Application>
  <DocSecurity>0</DocSecurity>
  <Lines>395</Lines>
  <Paragraphs>156</Paragraphs>
  <ScaleCrop>false</ScaleCrop>
  <HeadingPairs>
    <vt:vector size="2" baseType="variant">
      <vt:variant>
        <vt:lpstr>Title</vt:lpstr>
      </vt:variant>
      <vt:variant>
        <vt:i4>1</vt:i4>
      </vt:variant>
    </vt:vector>
  </HeadingPairs>
  <TitlesOfParts>
    <vt:vector size="1" baseType="lpstr">
      <vt:lpstr>Submission 34 - Phillip Toner - Australia's Automotive Manufacturing Industry - Public inquiry</vt:lpstr>
    </vt:vector>
  </TitlesOfParts>
  <Company>Phillip Toner</Company>
  <LinksUpToDate>false</LinksUpToDate>
  <CharactersWithSpaces>23207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Phillip Toner - Australia's Automotive Manufacturing Industry - Public inquiry</dc:title>
  <dc:creator>Phillip Toner</dc:creator>
  <cp:lastModifiedBy>Productivity Commission</cp:lastModifiedBy>
  <cp:revision>2</cp:revision>
  <dcterms:created xsi:type="dcterms:W3CDTF">2013-11-28T02:29:00Z</dcterms:created>
  <dcterms:modified xsi:type="dcterms:W3CDTF">2013-11-28T02:29:00Z</dcterms:modified>
</cp:coreProperties>
</file>