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A85" w:rsidRDefault="00017A85" w:rsidP="00017A85">
      <w:pPr>
        <w:pStyle w:val="BICH1"/>
        <w:jc w:val="center"/>
        <w:rPr>
          <w:sz w:val="44"/>
          <w:szCs w:val="44"/>
        </w:rPr>
      </w:pPr>
      <w:bookmarkStart w:id="0" w:name="_GoBack"/>
      <w:bookmarkEnd w:id="0"/>
      <w:r>
        <w:rPr>
          <w:sz w:val="44"/>
          <w:szCs w:val="44"/>
        </w:rPr>
        <w:t>Submission to the Productivity Commission’s Review of the Automotive Manufacturing Industry in Australia</w:t>
      </w:r>
    </w:p>
    <w:p w:rsidR="00017A85" w:rsidRDefault="00017A85" w:rsidP="00017A85">
      <w:pPr>
        <w:rPr>
          <w:b/>
        </w:rPr>
      </w:pPr>
    </w:p>
    <w:p w:rsidR="00017A85" w:rsidRDefault="00017A85" w:rsidP="00017A85">
      <w:pPr>
        <w:pStyle w:val="NoSpacing"/>
        <w:jc w:val="center"/>
        <w:rPr>
          <w:b/>
          <w:sz w:val="44"/>
          <w:szCs w:val="44"/>
        </w:rPr>
      </w:pPr>
      <w:r>
        <w:rPr>
          <w:noProof/>
          <w:lang w:val="en-AU" w:eastAsia="en-AU"/>
        </w:rPr>
        <w:drawing>
          <wp:anchor distT="0" distB="0" distL="114300" distR="114300" simplePos="0" relativeHeight="251657216" behindDoc="0" locked="0" layoutInCell="1" allowOverlap="1">
            <wp:simplePos x="0" y="0"/>
            <wp:positionH relativeFrom="column">
              <wp:posOffset>1377315</wp:posOffset>
            </wp:positionH>
            <wp:positionV relativeFrom="paragraph">
              <wp:posOffset>883920</wp:posOffset>
            </wp:positionV>
            <wp:extent cx="2956560" cy="1802765"/>
            <wp:effectExtent l="19050" t="0" r="0" b="0"/>
            <wp:wrapTopAndBottom/>
            <wp:docPr id="4" name="Picture 3" descr="BIC_Moving_Peopl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C_Moving_People_1.png"/>
                    <pic:cNvPicPr>
                      <a:picLocks noChangeAspect="1" noChangeArrowheads="1"/>
                    </pic:cNvPicPr>
                  </pic:nvPicPr>
                  <pic:blipFill>
                    <a:blip r:embed="rId8" cstate="print"/>
                    <a:srcRect/>
                    <a:stretch>
                      <a:fillRect/>
                    </a:stretch>
                  </pic:blipFill>
                  <pic:spPr bwMode="auto">
                    <a:xfrm>
                      <a:off x="0" y="0"/>
                      <a:ext cx="2956560" cy="1802765"/>
                    </a:xfrm>
                    <a:prstGeom prst="rect">
                      <a:avLst/>
                    </a:prstGeom>
                    <a:noFill/>
                  </pic:spPr>
                </pic:pic>
              </a:graphicData>
            </a:graphic>
          </wp:anchor>
        </w:drawing>
      </w:r>
      <w:r>
        <w:rPr>
          <w:b/>
          <w:sz w:val="44"/>
          <w:szCs w:val="44"/>
        </w:rPr>
        <w:t>Submission by the Bus Industry Confederation</w:t>
      </w:r>
    </w:p>
    <w:p w:rsidR="00017A85" w:rsidRDefault="00017A85" w:rsidP="00017A85">
      <w:pPr>
        <w:pStyle w:val="NoSpacing"/>
        <w:jc w:val="center"/>
        <w:rPr>
          <w:b/>
          <w:sz w:val="44"/>
          <w:szCs w:val="44"/>
        </w:rPr>
      </w:pPr>
    </w:p>
    <w:p w:rsidR="00017A85" w:rsidRDefault="00017A85" w:rsidP="00017A8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961"/>
      </w:tblGrid>
      <w:tr w:rsidR="00017A85" w:rsidTr="00017A85">
        <w:tc>
          <w:tcPr>
            <w:tcW w:w="2660" w:type="dxa"/>
          </w:tcPr>
          <w:p w:rsidR="00017A85" w:rsidRDefault="00017A85">
            <w:pPr>
              <w:rPr>
                <w:sz w:val="22"/>
                <w:szCs w:val="22"/>
              </w:rPr>
            </w:pPr>
          </w:p>
        </w:tc>
        <w:tc>
          <w:tcPr>
            <w:tcW w:w="4961" w:type="dxa"/>
          </w:tcPr>
          <w:p w:rsidR="00017A85" w:rsidRDefault="00017A85">
            <w:pPr>
              <w:rPr>
                <w:sz w:val="22"/>
                <w:szCs w:val="22"/>
              </w:rPr>
            </w:pPr>
          </w:p>
        </w:tc>
      </w:tr>
    </w:tbl>
    <w:p w:rsidR="00017A85" w:rsidRDefault="00017A85" w:rsidP="00017A85"/>
    <w:p w:rsidR="00017A85" w:rsidRDefault="00017A85" w:rsidP="00017A85">
      <w:pPr>
        <w:ind w:left="2694" w:firstLine="425"/>
        <w:rPr>
          <w:b/>
          <w:sz w:val="44"/>
          <w:szCs w:val="44"/>
        </w:rPr>
      </w:pPr>
      <w:r>
        <w:rPr>
          <w:b/>
          <w:sz w:val="44"/>
          <w:szCs w:val="44"/>
        </w:rPr>
        <w:t>November 2013</w:t>
      </w:r>
    </w:p>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AB4D1E" w:rsidRDefault="00AB4D1E">
      <w:pPr>
        <w:spacing w:before="280" w:after="240"/>
        <w:rPr>
          <w:rFonts w:ascii="Calibri" w:hAnsi="Calibri" w:cs="Arial"/>
          <w:b/>
          <w:bCs/>
          <w:kern w:val="32"/>
          <w:sz w:val="24"/>
          <w:szCs w:val="32"/>
          <w:lang w:eastAsia="en-AU"/>
        </w:rPr>
      </w:pPr>
      <w:r>
        <w:br w:type="page"/>
      </w:r>
    </w:p>
    <w:p w:rsidR="00017A85" w:rsidRDefault="00017A85" w:rsidP="00017A85">
      <w:pPr>
        <w:pStyle w:val="BICH2"/>
      </w:pPr>
      <w:r>
        <w:lastRenderedPageBreak/>
        <w:t>Introduction</w:t>
      </w:r>
    </w:p>
    <w:p w:rsidR="00017A85" w:rsidRDefault="00017A85" w:rsidP="00017A85">
      <w:pPr>
        <w:pStyle w:val="BICBody"/>
      </w:pPr>
      <w:r>
        <w:t>The Bus Industry Confederation (</w:t>
      </w:r>
      <w:proofErr w:type="spellStart"/>
      <w:r>
        <w:t>BIC</w:t>
      </w:r>
      <w:proofErr w:type="spellEnd"/>
      <w:r>
        <w:t>) is the peak national body representing the bus and coach industry in Australia.</w:t>
      </w:r>
    </w:p>
    <w:p w:rsidR="00017A85" w:rsidRDefault="00017A85" w:rsidP="00017A85">
      <w:pPr>
        <w:pStyle w:val="BICBody"/>
      </w:pPr>
      <w:r>
        <w:t xml:space="preserve">As the primary voice of the bus and coach industry in Australia the </w:t>
      </w:r>
      <w:proofErr w:type="spellStart"/>
      <w:r>
        <w:t>BIC</w:t>
      </w:r>
      <w:proofErr w:type="spellEnd"/>
      <w:r>
        <w:t xml:space="preserve"> works with all levels of Government, regulatory authorities, the industry and the community to:</w:t>
      </w:r>
    </w:p>
    <w:p w:rsidR="00017A85" w:rsidRDefault="00017A85" w:rsidP="00017A85">
      <w:pPr>
        <w:pStyle w:val="BICBody"/>
        <w:numPr>
          <w:ilvl w:val="0"/>
          <w:numId w:val="4"/>
        </w:numPr>
      </w:pPr>
      <w:r>
        <w:t>Encourage investment in public transport infrastructure and services.</w:t>
      </w:r>
    </w:p>
    <w:p w:rsidR="00017A85" w:rsidRDefault="00017A85" w:rsidP="00017A85">
      <w:pPr>
        <w:pStyle w:val="BICBody"/>
        <w:numPr>
          <w:ilvl w:val="0"/>
          <w:numId w:val="4"/>
        </w:numPr>
      </w:pPr>
      <w:r>
        <w:t>Coordinate and make more effective existing Federal, State and Local Government policies and programs that relate to public transport.</w:t>
      </w:r>
    </w:p>
    <w:p w:rsidR="00017A85" w:rsidRDefault="00017A85" w:rsidP="00017A85">
      <w:pPr>
        <w:pStyle w:val="BICBody"/>
        <w:numPr>
          <w:ilvl w:val="0"/>
          <w:numId w:val="4"/>
        </w:numPr>
      </w:pPr>
      <w:r>
        <w:t>Improve public understanding of the contribution made by the bus and coach industry to Australia’s economy, society and environment.</w:t>
      </w:r>
    </w:p>
    <w:p w:rsidR="00017A85" w:rsidRDefault="00017A85" w:rsidP="00017A85">
      <w:pPr>
        <w:pStyle w:val="BICBody"/>
        <w:numPr>
          <w:ilvl w:val="0"/>
          <w:numId w:val="4"/>
        </w:numPr>
        <w:rPr>
          <w:b/>
        </w:rPr>
      </w:pPr>
      <w:r>
        <w:t>Ensure that the accessibility and mobility needs of Australians are met, regardless of where they live or their circumstances.</w:t>
      </w:r>
    </w:p>
    <w:p w:rsidR="00017A85" w:rsidRDefault="00017A85" w:rsidP="00017A85">
      <w:pPr>
        <w:pStyle w:val="BICBody"/>
        <w:numPr>
          <w:ilvl w:val="0"/>
          <w:numId w:val="4"/>
        </w:numPr>
        <w:rPr>
          <w:b/>
        </w:rPr>
      </w:pPr>
      <w:r>
        <w:t>Ensure that buses and coaches operate safely and effectively.</w:t>
      </w:r>
    </w:p>
    <w:p w:rsidR="00664BDE" w:rsidRDefault="00664BDE" w:rsidP="00017A85">
      <w:pPr>
        <w:pStyle w:val="BICH2"/>
      </w:pPr>
    </w:p>
    <w:p w:rsidR="00017A85" w:rsidRDefault="00017A85" w:rsidP="00017A85">
      <w:pPr>
        <w:pStyle w:val="BICH2"/>
      </w:pPr>
      <w:r>
        <w:t xml:space="preserve">About this Submission </w:t>
      </w:r>
    </w:p>
    <w:p w:rsidR="00017A85" w:rsidRDefault="00017A85" w:rsidP="00017A85">
      <w:pPr>
        <w:pStyle w:val="BICBody"/>
      </w:pPr>
      <w:r>
        <w:t xml:space="preserve">This submission highlights the importance of the Australian bus manufacturing industry to the economy and the retention of a base of heavy vehicle manufacturing skills and knowledge within Australia. </w:t>
      </w:r>
    </w:p>
    <w:p w:rsidR="00017A85" w:rsidRDefault="00017A85" w:rsidP="00017A85">
      <w:pPr>
        <w:pStyle w:val="BICBody"/>
      </w:pPr>
    </w:p>
    <w:p w:rsidR="00017A85" w:rsidRDefault="00017A85" w:rsidP="00017A85">
      <w:pPr>
        <w:pStyle w:val="BICH2"/>
      </w:pPr>
      <w:r>
        <w:t xml:space="preserve">The Australian Bus Manufacturing Sector </w:t>
      </w:r>
    </w:p>
    <w:p w:rsidR="00017A85" w:rsidRDefault="00017A85" w:rsidP="00017A85">
      <w:pPr>
        <w:pStyle w:val="BICBody"/>
      </w:pPr>
      <w:r>
        <w:t>The Australian bus and coach industry encompasses bus body manufacturers, bus chassis suppliers, suppliers of fully built buses and bus component manufacturers servicing the Australian market. The Australian bus manufacturing sector employs directly and indirectly more than 10,000 people.</w:t>
      </w:r>
    </w:p>
    <w:p w:rsidR="00017A85" w:rsidRDefault="00017A85" w:rsidP="00017A85">
      <w:pPr>
        <w:pStyle w:val="BICBody"/>
      </w:pPr>
      <w:r>
        <w:t xml:space="preserve">The value of the Australian bus sector, with an average delivery of more than 1,500 large buses (12 and a half metres and above and more than 26 seats) a year is estimated to be almost $500 million a year. </w:t>
      </w:r>
    </w:p>
    <w:p w:rsidR="00017A85" w:rsidRDefault="00017A85" w:rsidP="00017A85">
      <w:pPr>
        <w:pStyle w:val="BICBody"/>
      </w:pPr>
      <w:r>
        <w:t>Figure 1 presents an overview of the total market for large buses from 2004 to February 2013.</w:t>
      </w:r>
    </w:p>
    <w:p w:rsidR="00017A85" w:rsidRDefault="00017A85" w:rsidP="00017A85">
      <w:pPr>
        <w:pStyle w:val="BICBody"/>
        <w:rPr>
          <w:b/>
        </w:rPr>
      </w:pPr>
    </w:p>
    <w:p w:rsidR="00017A85" w:rsidRDefault="00017A85" w:rsidP="00017A85">
      <w:pPr>
        <w:pStyle w:val="BICH2"/>
      </w:pPr>
      <w:r>
        <w:t>Market Trends</w:t>
      </w:r>
    </w:p>
    <w:p w:rsidR="00017A85" w:rsidRDefault="00017A85" w:rsidP="004B0ABD">
      <w:pPr>
        <w:pStyle w:val="BICBody"/>
      </w:pPr>
      <w:r>
        <w:t>Recent years have seen a trend toward fully built vehicles being delivered to the Australian market</w:t>
      </w:r>
      <w:r w:rsidR="004B0ABD">
        <w:t xml:space="preserve">. </w:t>
      </w:r>
    </w:p>
    <w:p w:rsidR="0039059A" w:rsidRDefault="00017A85" w:rsidP="00017A85">
      <w:pPr>
        <w:pStyle w:val="BICBody"/>
      </w:pPr>
      <w:r>
        <w:t xml:space="preserve"> Fully imported vehicles are sourced from China, Japan, Korea, Brazil and Malaysia, with a number of overseas manufacturers entering the Australian market continuing to grow.</w:t>
      </w:r>
      <w:r w:rsidR="0039059A">
        <w:t xml:space="preserve"> In Australia prior to 2005 one hundred per cent of new buses were being built in Australia. Figures 2, 3</w:t>
      </w:r>
      <w:r w:rsidR="00FB5D28">
        <w:t xml:space="preserve"> </w:t>
      </w:r>
      <w:r w:rsidR="0039059A">
        <w:t>and 4 highlight the change in the in the market over time.</w:t>
      </w:r>
    </w:p>
    <w:p w:rsidR="00017A85" w:rsidRDefault="0039059A" w:rsidP="00017A85">
      <w:pPr>
        <w:pStyle w:val="BICBody"/>
      </w:pPr>
      <w:r>
        <w:t>In 2012 40 per cent of the total market and 80 per cent of the school/charter bus market were made up of imported vehicles. The local manufacturing industry is operating in a highly competitive, relatively small sales environment with low cost imports having a significant impact on the market and local industry.</w:t>
      </w:r>
      <w:r w:rsidR="00017A85">
        <w:br w:type="page"/>
      </w:r>
    </w:p>
    <w:p w:rsidR="00017A85" w:rsidRDefault="00017A85" w:rsidP="00017A85">
      <w:pPr>
        <w:pStyle w:val="BICH2"/>
      </w:pPr>
      <w:r>
        <w:lastRenderedPageBreak/>
        <w:t>Figure 1: Total Market Trend 2004-2013 Australian Bus Market</w:t>
      </w:r>
    </w:p>
    <w:p w:rsidR="00017A85" w:rsidRDefault="00017A85" w:rsidP="00017A85">
      <w:r w:rsidRPr="00017A85">
        <w:rPr>
          <w:noProof/>
          <w:lang w:val="en-AU" w:eastAsia="en-AU"/>
        </w:rPr>
        <w:drawing>
          <wp:inline distT="0" distB="0" distL="0" distR="0">
            <wp:extent cx="5943600" cy="3884930"/>
            <wp:effectExtent l="19050" t="0" r="19050" b="127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17A85" w:rsidRPr="00FC7905" w:rsidRDefault="00017A85" w:rsidP="00FC7905">
      <w:pPr>
        <w:pStyle w:val="BICBody"/>
        <w:rPr>
          <w:b/>
        </w:rPr>
      </w:pPr>
      <w:r w:rsidRPr="00FC7905">
        <w:rPr>
          <w:b/>
        </w:rPr>
        <w:t xml:space="preserve">Source: </w:t>
      </w:r>
      <w:proofErr w:type="spellStart"/>
      <w:r w:rsidRPr="00FC7905">
        <w:rPr>
          <w:b/>
        </w:rPr>
        <w:t>Volgren</w:t>
      </w:r>
      <w:proofErr w:type="spellEnd"/>
      <w:r w:rsidRPr="00FC7905">
        <w:rPr>
          <w:b/>
        </w:rPr>
        <w:t xml:space="preserve"> 2013</w:t>
      </w:r>
    </w:p>
    <w:p w:rsidR="00017A85" w:rsidRDefault="00017A85" w:rsidP="00017A85">
      <w:pPr>
        <w:pStyle w:val="BICH2"/>
      </w:pPr>
    </w:p>
    <w:p w:rsidR="00017A85" w:rsidRDefault="00017A85" w:rsidP="00017A85">
      <w:pPr>
        <w:pStyle w:val="BICH2"/>
      </w:pPr>
      <w:r>
        <w:t xml:space="preserve">Figure </w:t>
      </w:r>
      <w:r w:rsidR="00ED0F8A">
        <w:t>2</w:t>
      </w:r>
      <w:r>
        <w:t xml:space="preserve">: Australian Manufactured </w:t>
      </w:r>
      <w:proofErr w:type="spellStart"/>
      <w:r>
        <w:t>vs</w:t>
      </w:r>
      <w:proofErr w:type="spellEnd"/>
      <w:r>
        <w:t xml:space="preserve"> Fully Imported </w:t>
      </w:r>
      <w:r>
        <w:rPr>
          <w:noProof/>
          <w:lang w:val="en-AU"/>
        </w:rPr>
        <w:drawing>
          <wp:anchor distT="121920" distB="351028" distL="126492" distR="225806" simplePos="0" relativeHeight="251658240" behindDoc="0" locked="0" layoutInCell="1" allowOverlap="1">
            <wp:simplePos x="0" y="0"/>
            <wp:positionH relativeFrom="column">
              <wp:posOffset>34925</wp:posOffset>
            </wp:positionH>
            <wp:positionV relativeFrom="paragraph">
              <wp:posOffset>256540</wp:posOffset>
            </wp:positionV>
            <wp:extent cx="5041265" cy="2968625"/>
            <wp:effectExtent l="0" t="0" r="0" b="0"/>
            <wp:wrapNone/>
            <wp:docPr id="3" name="Objec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t>Buses 2007-2011 Trend</w:t>
      </w:r>
    </w:p>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 w:rsidR="00017A85" w:rsidRDefault="00017A85" w:rsidP="00017A85">
      <w:pPr>
        <w:pStyle w:val="BICBody"/>
        <w:rPr>
          <w:b/>
        </w:rPr>
      </w:pPr>
    </w:p>
    <w:p w:rsidR="00017A85" w:rsidRDefault="00017A85" w:rsidP="00017A85">
      <w:pPr>
        <w:pStyle w:val="BICBody"/>
        <w:rPr>
          <w:b/>
        </w:rPr>
      </w:pPr>
      <w:r>
        <w:rPr>
          <w:b/>
        </w:rPr>
        <w:t xml:space="preserve">Source: </w:t>
      </w:r>
      <w:proofErr w:type="spellStart"/>
      <w:r>
        <w:rPr>
          <w:b/>
        </w:rPr>
        <w:t>Scania</w:t>
      </w:r>
      <w:proofErr w:type="spellEnd"/>
      <w:r>
        <w:rPr>
          <w:b/>
        </w:rPr>
        <w:t xml:space="preserve"> Australia, 2012</w:t>
      </w:r>
    </w:p>
    <w:p w:rsidR="00017A85" w:rsidRDefault="00017A85" w:rsidP="00017A85"/>
    <w:p w:rsidR="00FC7905" w:rsidRDefault="00FC7905" w:rsidP="00AB4D1E">
      <w:pPr>
        <w:pStyle w:val="BICH2"/>
      </w:pPr>
      <w:r>
        <w:lastRenderedPageBreak/>
        <w:t xml:space="preserve">Figure 3: Total School and Charter Market </w:t>
      </w:r>
      <w:proofErr w:type="spellStart"/>
      <w:r>
        <w:t>vs</w:t>
      </w:r>
      <w:proofErr w:type="spellEnd"/>
      <w:r w:rsidR="0039059A">
        <w:t xml:space="preserve"> Imported 2006-2012</w:t>
      </w:r>
    </w:p>
    <w:p w:rsidR="00FC7905" w:rsidRDefault="00FC7905" w:rsidP="00AB4D1E">
      <w:pPr>
        <w:pStyle w:val="BICH2"/>
      </w:pPr>
    </w:p>
    <w:p w:rsidR="00FC7905" w:rsidRDefault="00FC7905" w:rsidP="00AB4D1E">
      <w:pPr>
        <w:pStyle w:val="BICH2"/>
      </w:pPr>
      <w:r w:rsidRPr="00FC7905">
        <w:rPr>
          <w:noProof/>
          <w:lang w:val="en-AU"/>
        </w:rPr>
        <w:drawing>
          <wp:inline distT="0" distB="0" distL="0" distR="0">
            <wp:extent cx="5122293" cy="3708088"/>
            <wp:effectExtent l="19050" t="0" r="21207" b="6662"/>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7905" w:rsidRDefault="00FC7905" w:rsidP="00AB4D1E">
      <w:pPr>
        <w:pStyle w:val="BICH2"/>
      </w:pPr>
    </w:p>
    <w:p w:rsidR="00FC7905" w:rsidRPr="00FC7905" w:rsidRDefault="00FC7905" w:rsidP="00FC7905">
      <w:pPr>
        <w:pStyle w:val="BICBody"/>
        <w:rPr>
          <w:b/>
        </w:rPr>
      </w:pPr>
      <w:r w:rsidRPr="00FC7905">
        <w:rPr>
          <w:b/>
        </w:rPr>
        <w:t xml:space="preserve">Source: </w:t>
      </w:r>
      <w:proofErr w:type="spellStart"/>
      <w:r w:rsidRPr="00FC7905">
        <w:rPr>
          <w:b/>
        </w:rPr>
        <w:t>Volgren</w:t>
      </w:r>
      <w:proofErr w:type="spellEnd"/>
      <w:r w:rsidRPr="00FC7905">
        <w:rPr>
          <w:b/>
        </w:rPr>
        <w:t xml:space="preserve"> 2012</w:t>
      </w:r>
    </w:p>
    <w:p w:rsidR="00FC7905" w:rsidRDefault="00AB4D1E" w:rsidP="00017A85">
      <w:pPr>
        <w:pStyle w:val="BICH2"/>
      </w:pPr>
      <w:r>
        <w:t xml:space="preserve">Figure 4: Total Market </w:t>
      </w:r>
      <w:proofErr w:type="spellStart"/>
      <w:r>
        <w:t>vs</w:t>
      </w:r>
      <w:proofErr w:type="spellEnd"/>
      <w:r>
        <w:t xml:space="preserve"> Imported Buses 2006-12</w:t>
      </w:r>
      <w:r w:rsidRPr="00AB4D1E">
        <w:rPr>
          <w:noProof/>
          <w:lang w:val="en-AU"/>
        </w:rPr>
        <w:drawing>
          <wp:inline distT="0" distB="0" distL="0" distR="0">
            <wp:extent cx="5118591" cy="3278037"/>
            <wp:effectExtent l="19050" t="0" r="2490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4D1E" w:rsidRPr="002A7060" w:rsidRDefault="00FC7905" w:rsidP="002A7060">
      <w:pPr>
        <w:pStyle w:val="BICBody"/>
        <w:rPr>
          <w:b/>
        </w:rPr>
      </w:pPr>
      <w:r w:rsidRPr="002A7060">
        <w:rPr>
          <w:b/>
        </w:rPr>
        <w:t xml:space="preserve">Source: </w:t>
      </w:r>
      <w:proofErr w:type="spellStart"/>
      <w:r w:rsidRPr="002A7060">
        <w:rPr>
          <w:b/>
        </w:rPr>
        <w:t>Volgren</w:t>
      </w:r>
      <w:proofErr w:type="spellEnd"/>
      <w:r w:rsidRPr="002A7060">
        <w:rPr>
          <w:b/>
        </w:rPr>
        <w:t>, 2012</w:t>
      </w:r>
    </w:p>
    <w:p w:rsidR="00017A85" w:rsidRDefault="00017A85" w:rsidP="00017A85">
      <w:pPr>
        <w:pStyle w:val="BICH2"/>
      </w:pPr>
      <w:r>
        <w:lastRenderedPageBreak/>
        <w:t xml:space="preserve">A Unique Skills Set </w:t>
      </w:r>
    </w:p>
    <w:p w:rsidR="00017A85" w:rsidRDefault="00017A85" w:rsidP="00017A85">
      <w:pPr>
        <w:pStyle w:val="BICBody"/>
      </w:pPr>
      <w:r>
        <w:t xml:space="preserve">The Australian bus manufacturing sector retains a unique skills set in heavy automotive manufacturing within Australia. </w:t>
      </w:r>
    </w:p>
    <w:p w:rsidR="00017A85" w:rsidRDefault="00017A85" w:rsidP="00017A85">
      <w:pPr>
        <w:pStyle w:val="BICBody"/>
      </w:pPr>
      <w:r>
        <w:t xml:space="preserve">The Australian bus manufacturing sector is a niche sector within a global market and has the potential and capacity to widely diversify into a range of areas. </w:t>
      </w:r>
    </w:p>
    <w:p w:rsidR="00017A85" w:rsidRDefault="00017A85" w:rsidP="00017A85">
      <w:pPr>
        <w:pStyle w:val="BICBody"/>
      </w:pPr>
      <w:r>
        <w:t>In addition to delivering Australian made buses to the market Australian bus manufacturers can deliver a range of essential vehicles including:</w:t>
      </w:r>
    </w:p>
    <w:p w:rsidR="00017A85" w:rsidRDefault="00017A85" w:rsidP="00017A85">
      <w:pPr>
        <w:pStyle w:val="BICBodyBullStd"/>
        <w:numPr>
          <w:ilvl w:val="0"/>
          <w:numId w:val="4"/>
        </w:numPr>
        <w:ind w:left="641" w:hanging="357"/>
      </w:pPr>
      <w:r>
        <w:t xml:space="preserve">Military vehicles </w:t>
      </w:r>
    </w:p>
    <w:p w:rsidR="00017A85" w:rsidRDefault="00017A85" w:rsidP="00017A85">
      <w:pPr>
        <w:pStyle w:val="BICBodyBullStd"/>
        <w:numPr>
          <w:ilvl w:val="0"/>
          <w:numId w:val="4"/>
        </w:numPr>
        <w:ind w:left="641" w:hanging="357"/>
      </w:pPr>
      <w:r>
        <w:t>Emergency services vehicles</w:t>
      </w:r>
    </w:p>
    <w:p w:rsidR="00017A85" w:rsidRDefault="00017A85" w:rsidP="00017A85">
      <w:pPr>
        <w:pStyle w:val="BICBodyBullStd"/>
        <w:numPr>
          <w:ilvl w:val="0"/>
          <w:numId w:val="4"/>
        </w:numPr>
        <w:ind w:left="641" w:hanging="357"/>
      </w:pPr>
      <w:r>
        <w:t xml:space="preserve">Armoured security vehicles </w:t>
      </w:r>
    </w:p>
    <w:p w:rsidR="00017A85" w:rsidRDefault="00017A85" w:rsidP="00017A85">
      <w:pPr>
        <w:pStyle w:val="BICBody"/>
      </w:pPr>
      <w:r>
        <w:t>Australian bus manufacturers retain a capacity to deliver large quantities of these vehicles locally at times where sudden increases in production are required and ensure the knowledge of how to manufacture these vehicles is maintained in Australia.</w:t>
      </w:r>
    </w:p>
    <w:p w:rsidR="00ED7AB3" w:rsidRDefault="00017A85" w:rsidP="00ED7AB3">
      <w:pPr>
        <w:pStyle w:val="BICBody"/>
      </w:pPr>
      <w:r>
        <w:t xml:space="preserve">Whilst the industry is open to competition and the </w:t>
      </w:r>
      <w:proofErr w:type="spellStart"/>
      <w:r>
        <w:t>BIC</w:t>
      </w:r>
      <w:proofErr w:type="spellEnd"/>
      <w:r>
        <w:t xml:space="preserve"> represents both Australian and overseas bus manufacturers in our advocacy, the retention of the unique skills set within Australia is important for future self-reliance.</w:t>
      </w:r>
    </w:p>
    <w:p w:rsidR="00F20C0B" w:rsidRDefault="00ED7AB3" w:rsidP="00F20C0B">
      <w:pPr>
        <w:pStyle w:val="BICBody"/>
      </w:pPr>
      <w:r w:rsidRPr="00ED7AB3">
        <w:t>Local bus manufacturers have design capability in Australia. Like the automotive industry, local bus manufacturers require sufficient scale to be profitable and maintain R</w:t>
      </w:r>
      <w:r>
        <w:t xml:space="preserve">esearch and </w:t>
      </w:r>
      <w:r w:rsidRPr="00ED7AB3">
        <w:t>D</w:t>
      </w:r>
      <w:r>
        <w:t>evelopment</w:t>
      </w:r>
      <w:r w:rsidRPr="00ED7AB3">
        <w:t xml:space="preserve"> programs through skilled workforce. Once lost, this design capability and workforce would be very difficult to regain.</w:t>
      </w:r>
    </w:p>
    <w:p w:rsidR="00AD7301" w:rsidRDefault="00ED7AB3" w:rsidP="00F20C0B">
      <w:pPr>
        <w:pStyle w:val="BICBody"/>
      </w:pPr>
      <w:r w:rsidRPr="00ED7AB3">
        <w:t>The local bus manufacturing industry, unlike the automotive industry receives no Government assistance.</w:t>
      </w:r>
      <w:r w:rsidR="00F20C0B">
        <w:t xml:space="preserve"> </w:t>
      </w:r>
    </w:p>
    <w:p w:rsidR="00ED7AB3" w:rsidRPr="00ED7AB3" w:rsidRDefault="00AD7301" w:rsidP="00F20C0B">
      <w:pPr>
        <w:pStyle w:val="BICBody"/>
      </w:pPr>
      <w:r>
        <w:t>The r</w:t>
      </w:r>
      <w:r w:rsidR="00ED7AB3" w:rsidRPr="00ED7AB3">
        <w:t>ecent entry of large global organisations (</w:t>
      </w:r>
      <w:r w:rsidR="00D61A90">
        <w:t>Marco P</w:t>
      </w:r>
      <w:r w:rsidR="00D61A90" w:rsidRPr="00ED7AB3">
        <w:t>olo</w:t>
      </w:r>
      <w:r w:rsidR="00ED7AB3" w:rsidRPr="00ED7AB3">
        <w:t xml:space="preserve"> and A</w:t>
      </w:r>
      <w:r w:rsidR="00D61A90">
        <w:t xml:space="preserve">lexander </w:t>
      </w:r>
      <w:r w:rsidR="00ED7AB3" w:rsidRPr="00ED7AB3">
        <w:t>D</w:t>
      </w:r>
      <w:r w:rsidR="00D61A90">
        <w:t>ennis</w:t>
      </w:r>
      <w:r w:rsidR="00ED7AB3" w:rsidRPr="00ED7AB3">
        <w:t xml:space="preserve">) taking ownership of the 2 largest local bus manufactures </w:t>
      </w:r>
      <w:r>
        <w:t>which account</w:t>
      </w:r>
      <w:r w:rsidR="00ED7AB3" w:rsidRPr="00ED7AB3">
        <w:t xml:space="preserve"> for some 70% of the lo</w:t>
      </w:r>
      <w:r>
        <w:t xml:space="preserve">cal bus manufacturing industry bring </w:t>
      </w:r>
      <w:r w:rsidR="00ED7AB3" w:rsidRPr="00ED7AB3">
        <w:t>significant expertise in innovation, business practices and management. The local organisations are being trained in these skills which will have a spill-over effect into other industries.</w:t>
      </w:r>
    </w:p>
    <w:p w:rsidR="00017A85" w:rsidRDefault="00AD7301" w:rsidP="00017A85">
      <w:pPr>
        <w:pStyle w:val="BICBody"/>
      </w:pPr>
      <w:r>
        <w:t>It is vital that this unique and local skill set and workforce is retained to ensure heavy vehicle automotive manufacturer excellence and to  ensure it is available to other related industries.</w:t>
      </w:r>
    </w:p>
    <w:p w:rsidR="00D61A90" w:rsidRDefault="00D61A90" w:rsidP="00141D9C">
      <w:pPr>
        <w:spacing w:after="576"/>
      </w:pPr>
    </w:p>
    <w:sectPr w:rsidR="00D61A90" w:rsidSect="00517C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060" w:rsidRDefault="002A7060" w:rsidP="002A7060">
      <w:r>
        <w:separator/>
      </w:r>
    </w:p>
  </w:endnote>
  <w:endnote w:type="continuationSeparator" w:id="0">
    <w:p w:rsidR="002A7060" w:rsidRDefault="002A7060" w:rsidP="002A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060" w:rsidRDefault="002A7060" w:rsidP="002A7060">
      <w:r>
        <w:separator/>
      </w:r>
    </w:p>
  </w:footnote>
  <w:footnote w:type="continuationSeparator" w:id="0">
    <w:p w:rsidR="002A7060" w:rsidRDefault="002A7060" w:rsidP="002A7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01F87"/>
    <w:multiLevelType w:val="hybridMultilevel"/>
    <w:tmpl w:val="501C95C2"/>
    <w:lvl w:ilvl="0" w:tplc="E95C1CC2">
      <w:start w:val="1"/>
      <w:numFmt w:val="bullet"/>
      <w:pStyle w:val="BICBodyBullStd"/>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63C419A0"/>
    <w:multiLevelType w:val="hybridMultilevel"/>
    <w:tmpl w:val="9020A69E"/>
    <w:lvl w:ilvl="0" w:tplc="E1E6F684">
      <w:start w:val="1"/>
      <w:numFmt w:val="lowerLetter"/>
      <w:pStyle w:val="BIClBodyCha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6B8C37C5"/>
    <w:multiLevelType w:val="hybridMultilevel"/>
    <w:tmpl w:val="70EC8B24"/>
    <w:lvl w:ilvl="0" w:tplc="0398314E">
      <w:start w:val="1"/>
      <w:numFmt w:val="decimal"/>
      <w:pStyle w:val="BICBodyNumb"/>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705954A7"/>
    <w:multiLevelType w:val="hybridMultilevel"/>
    <w:tmpl w:val="F1CCDF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2"/>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85"/>
    <w:rsid w:val="00017A85"/>
    <w:rsid w:val="001367B2"/>
    <w:rsid w:val="00141D9C"/>
    <w:rsid w:val="00212E07"/>
    <w:rsid w:val="00275D7E"/>
    <w:rsid w:val="002A7060"/>
    <w:rsid w:val="0039059A"/>
    <w:rsid w:val="003A4798"/>
    <w:rsid w:val="003B4585"/>
    <w:rsid w:val="003F0794"/>
    <w:rsid w:val="0044245E"/>
    <w:rsid w:val="004B0ABD"/>
    <w:rsid w:val="00517C5A"/>
    <w:rsid w:val="00596D83"/>
    <w:rsid w:val="00664BDE"/>
    <w:rsid w:val="00682992"/>
    <w:rsid w:val="008667FA"/>
    <w:rsid w:val="00A21339"/>
    <w:rsid w:val="00A3486C"/>
    <w:rsid w:val="00AB1716"/>
    <w:rsid w:val="00AB4D1E"/>
    <w:rsid w:val="00AD7301"/>
    <w:rsid w:val="00BB52A1"/>
    <w:rsid w:val="00BC7F3E"/>
    <w:rsid w:val="00BD0940"/>
    <w:rsid w:val="00D21B9A"/>
    <w:rsid w:val="00D53393"/>
    <w:rsid w:val="00D61A90"/>
    <w:rsid w:val="00E125E6"/>
    <w:rsid w:val="00E76022"/>
    <w:rsid w:val="00EB4AD8"/>
    <w:rsid w:val="00ED0F8A"/>
    <w:rsid w:val="00ED7AB3"/>
    <w:rsid w:val="00F20C0B"/>
    <w:rsid w:val="00FB5D28"/>
    <w:rsid w:val="00FC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8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A85"/>
    <w:pPr>
      <w:spacing w:before="0" w:after="0"/>
    </w:pPr>
    <w:rPr>
      <w:rFonts w:ascii="Verdana" w:eastAsia="Times New Roman"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CBody">
    <w:name w:val="BICBody"/>
    <w:qFormat/>
    <w:rsid w:val="00682992"/>
    <w:pPr>
      <w:spacing w:before="0" w:after="120"/>
    </w:pPr>
    <w:rPr>
      <w:rFonts w:ascii="Calibri" w:eastAsia="Times New Roman" w:hAnsi="Calibri" w:cs="Arial"/>
      <w:bCs/>
      <w:kern w:val="32"/>
      <w:sz w:val="20"/>
      <w:szCs w:val="32"/>
      <w:lang w:val="en-AU" w:eastAsia="en-AU"/>
    </w:rPr>
  </w:style>
  <w:style w:type="paragraph" w:customStyle="1" w:styleId="BICBodyBullStd">
    <w:name w:val="BICBodyBullStd"/>
    <w:basedOn w:val="BICBody"/>
    <w:qFormat/>
    <w:rsid w:val="00682992"/>
    <w:pPr>
      <w:numPr>
        <w:numId w:val="1"/>
      </w:numPr>
      <w:tabs>
        <w:tab w:val="left" w:pos="284"/>
      </w:tabs>
    </w:pPr>
    <w:rPr>
      <w:bCs w:val="0"/>
    </w:rPr>
  </w:style>
  <w:style w:type="paragraph" w:customStyle="1" w:styleId="BICBodyNumb">
    <w:name w:val="BICBodyNumb"/>
    <w:basedOn w:val="Normal"/>
    <w:qFormat/>
    <w:rsid w:val="00682992"/>
    <w:pPr>
      <w:numPr>
        <w:numId w:val="2"/>
      </w:numPr>
      <w:tabs>
        <w:tab w:val="left" w:pos="284"/>
      </w:tabs>
      <w:spacing w:before="100" w:beforeAutospacing="1" w:after="120"/>
    </w:pPr>
    <w:rPr>
      <w:rFonts w:ascii="Calibri" w:hAnsi="Calibri"/>
      <w:sz w:val="20"/>
      <w:szCs w:val="24"/>
    </w:rPr>
  </w:style>
  <w:style w:type="paragraph" w:customStyle="1" w:styleId="BICH1">
    <w:name w:val="BICH1"/>
    <w:qFormat/>
    <w:rsid w:val="00682992"/>
    <w:pPr>
      <w:spacing w:before="0"/>
    </w:pPr>
    <w:rPr>
      <w:rFonts w:ascii="Calibri" w:eastAsia="Times New Roman" w:hAnsi="Calibri" w:cs="Arial"/>
      <w:b/>
      <w:bCs/>
      <w:kern w:val="32"/>
      <w:sz w:val="28"/>
      <w:szCs w:val="32"/>
      <w:lang w:val="en-AU" w:eastAsia="en-AU"/>
    </w:rPr>
  </w:style>
  <w:style w:type="paragraph" w:customStyle="1" w:styleId="BICH2">
    <w:name w:val="BICH2"/>
    <w:basedOn w:val="Normal"/>
    <w:qFormat/>
    <w:rsid w:val="00682992"/>
    <w:rPr>
      <w:rFonts w:ascii="Calibri" w:hAnsi="Calibri" w:cs="Arial"/>
      <w:b/>
      <w:bCs/>
      <w:kern w:val="32"/>
      <w:sz w:val="24"/>
      <w:szCs w:val="32"/>
      <w:lang w:eastAsia="en-AU"/>
    </w:rPr>
  </w:style>
  <w:style w:type="paragraph" w:customStyle="1" w:styleId="BICHeader">
    <w:name w:val="BICHeader"/>
    <w:qFormat/>
    <w:rsid w:val="00682992"/>
    <w:pPr>
      <w:spacing w:before="0" w:after="0"/>
      <w:jc w:val="both"/>
    </w:pPr>
    <w:rPr>
      <w:rFonts w:ascii="Calibri" w:eastAsia="Times New Roman" w:hAnsi="Calibri" w:cs="Arial"/>
      <w:b/>
      <w:bCs/>
      <w:kern w:val="32"/>
      <w:szCs w:val="32"/>
      <w:lang w:val="en-AU" w:eastAsia="en-AU"/>
    </w:rPr>
  </w:style>
  <w:style w:type="paragraph" w:customStyle="1" w:styleId="BIClBodyChar">
    <w:name w:val="BIClBodyChar"/>
    <w:basedOn w:val="Normal"/>
    <w:qFormat/>
    <w:rsid w:val="00682992"/>
    <w:pPr>
      <w:numPr>
        <w:numId w:val="3"/>
      </w:numPr>
      <w:tabs>
        <w:tab w:val="left" w:pos="284"/>
      </w:tabs>
      <w:spacing w:before="100" w:beforeAutospacing="1" w:after="120"/>
    </w:pPr>
    <w:rPr>
      <w:rFonts w:ascii="Calibri" w:hAnsi="Calibri"/>
      <w:sz w:val="20"/>
      <w:szCs w:val="24"/>
    </w:rPr>
  </w:style>
  <w:style w:type="paragraph" w:styleId="NormalWeb">
    <w:name w:val="Normal (Web)"/>
    <w:basedOn w:val="Normal"/>
    <w:uiPriority w:val="99"/>
    <w:semiHidden/>
    <w:unhideWhenUsed/>
    <w:rsid w:val="00682992"/>
    <w:rPr>
      <w:rFonts w:ascii="Times New Roman" w:hAnsi="Times New Roman"/>
      <w:sz w:val="24"/>
      <w:szCs w:val="24"/>
    </w:rPr>
  </w:style>
  <w:style w:type="paragraph" w:styleId="NoSpacing">
    <w:name w:val="No Spacing"/>
    <w:qFormat/>
    <w:rsid w:val="00017A85"/>
    <w:pPr>
      <w:spacing w:before="0" w:after="0"/>
    </w:pPr>
  </w:style>
  <w:style w:type="table" w:styleId="TableGrid">
    <w:name w:val="Table Grid"/>
    <w:basedOn w:val="TableNormal"/>
    <w:uiPriority w:val="59"/>
    <w:rsid w:val="00017A85"/>
    <w:pPr>
      <w:spacing w:before="0" w:after="0"/>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7A85"/>
    <w:rPr>
      <w:rFonts w:ascii="Tahoma" w:hAnsi="Tahoma" w:cs="Tahoma"/>
      <w:sz w:val="16"/>
      <w:szCs w:val="16"/>
    </w:rPr>
  </w:style>
  <w:style w:type="character" w:customStyle="1" w:styleId="BalloonTextChar">
    <w:name w:val="Balloon Text Char"/>
    <w:basedOn w:val="DefaultParagraphFont"/>
    <w:link w:val="BalloonText"/>
    <w:uiPriority w:val="99"/>
    <w:semiHidden/>
    <w:rsid w:val="00017A85"/>
    <w:rPr>
      <w:rFonts w:ascii="Tahoma" w:eastAsia="Times New Roman" w:hAnsi="Tahoma" w:cs="Tahoma"/>
      <w:sz w:val="16"/>
      <w:szCs w:val="16"/>
    </w:rPr>
  </w:style>
  <w:style w:type="paragraph" w:styleId="Header">
    <w:name w:val="header"/>
    <w:basedOn w:val="Normal"/>
    <w:link w:val="HeaderChar"/>
    <w:uiPriority w:val="99"/>
    <w:semiHidden/>
    <w:unhideWhenUsed/>
    <w:rsid w:val="002A7060"/>
    <w:pPr>
      <w:tabs>
        <w:tab w:val="center" w:pos="4680"/>
        <w:tab w:val="right" w:pos="9360"/>
      </w:tabs>
    </w:pPr>
  </w:style>
  <w:style w:type="character" w:customStyle="1" w:styleId="HeaderChar">
    <w:name w:val="Header Char"/>
    <w:basedOn w:val="DefaultParagraphFont"/>
    <w:link w:val="Header"/>
    <w:uiPriority w:val="99"/>
    <w:semiHidden/>
    <w:rsid w:val="002A7060"/>
    <w:rPr>
      <w:rFonts w:ascii="Verdana" w:eastAsia="Times New Roman" w:hAnsi="Verdana" w:cs="Times New Roman"/>
    </w:rPr>
  </w:style>
  <w:style w:type="paragraph" w:styleId="Footer">
    <w:name w:val="footer"/>
    <w:basedOn w:val="Normal"/>
    <w:link w:val="FooterChar"/>
    <w:uiPriority w:val="99"/>
    <w:semiHidden/>
    <w:unhideWhenUsed/>
    <w:rsid w:val="002A7060"/>
    <w:pPr>
      <w:tabs>
        <w:tab w:val="center" w:pos="4680"/>
        <w:tab w:val="right" w:pos="9360"/>
      </w:tabs>
    </w:pPr>
  </w:style>
  <w:style w:type="character" w:customStyle="1" w:styleId="FooterChar">
    <w:name w:val="Footer Char"/>
    <w:basedOn w:val="DefaultParagraphFont"/>
    <w:link w:val="Footer"/>
    <w:uiPriority w:val="99"/>
    <w:semiHidden/>
    <w:rsid w:val="002A7060"/>
    <w:rPr>
      <w:rFonts w:ascii="Verdana" w:eastAsia="Times New Roman" w:hAnsi="Verdan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8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A85"/>
    <w:pPr>
      <w:spacing w:before="0" w:after="0"/>
    </w:pPr>
    <w:rPr>
      <w:rFonts w:ascii="Verdana" w:eastAsia="Times New Roman"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CBody">
    <w:name w:val="BICBody"/>
    <w:qFormat/>
    <w:rsid w:val="00682992"/>
    <w:pPr>
      <w:spacing w:before="0" w:after="120"/>
    </w:pPr>
    <w:rPr>
      <w:rFonts w:ascii="Calibri" w:eastAsia="Times New Roman" w:hAnsi="Calibri" w:cs="Arial"/>
      <w:bCs/>
      <w:kern w:val="32"/>
      <w:sz w:val="20"/>
      <w:szCs w:val="32"/>
      <w:lang w:val="en-AU" w:eastAsia="en-AU"/>
    </w:rPr>
  </w:style>
  <w:style w:type="paragraph" w:customStyle="1" w:styleId="BICBodyBullStd">
    <w:name w:val="BICBodyBullStd"/>
    <w:basedOn w:val="BICBody"/>
    <w:qFormat/>
    <w:rsid w:val="00682992"/>
    <w:pPr>
      <w:numPr>
        <w:numId w:val="1"/>
      </w:numPr>
      <w:tabs>
        <w:tab w:val="left" w:pos="284"/>
      </w:tabs>
    </w:pPr>
    <w:rPr>
      <w:bCs w:val="0"/>
    </w:rPr>
  </w:style>
  <w:style w:type="paragraph" w:customStyle="1" w:styleId="BICBodyNumb">
    <w:name w:val="BICBodyNumb"/>
    <w:basedOn w:val="Normal"/>
    <w:qFormat/>
    <w:rsid w:val="00682992"/>
    <w:pPr>
      <w:numPr>
        <w:numId w:val="2"/>
      </w:numPr>
      <w:tabs>
        <w:tab w:val="left" w:pos="284"/>
      </w:tabs>
      <w:spacing w:before="100" w:beforeAutospacing="1" w:after="120"/>
    </w:pPr>
    <w:rPr>
      <w:rFonts w:ascii="Calibri" w:hAnsi="Calibri"/>
      <w:sz w:val="20"/>
      <w:szCs w:val="24"/>
    </w:rPr>
  </w:style>
  <w:style w:type="paragraph" w:customStyle="1" w:styleId="BICH1">
    <w:name w:val="BICH1"/>
    <w:qFormat/>
    <w:rsid w:val="00682992"/>
    <w:pPr>
      <w:spacing w:before="0"/>
    </w:pPr>
    <w:rPr>
      <w:rFonts w:ascii="Calibri" w:eastAsia="Times New Roman" w:hAnsi="Calibri" w:cs="Arial"/>
      <w:b/>
      <w:bCs/>
      <w:kern w:val="32"/>
      <w:sz w:val="28"/>
      <w:szCs w:val="32"/>
      <w:lang w:val="en-AU" w:eastAsia="en-AU"/>
    </w:rPr>
  </w:style>
  <w:style w:type="paragraph" w:customStyle="1" w:styleId="BICH2">
    <w:name w:val="BICH2"/>
    <w:basedOn w:val="Normal"/>
    <w:qFormat/>
    <w:rsid w:val="00682992"/>
    <w:rPr>
      <w:rFonts w:ascii="Calibri" w:hAnsi="Calibri" w:cs="Arial"/>
      <w:b/>
      <w:bCs/>
      <w:kern w:val="32"/>
      <w:sz w:val="24"/>
      <w:szCs w:val="32"/>
      <w:lang w:eastAsia="en-AU"/>
    </w:rPr>
  </w:style>
  <w:style w:type="paragraph" w:customStyle="1" w:styleId="BICHeader">
    <w:name w:val="BICHeader"/>
    <w:qFormat/>
    <w:rsid w:val="00682992"/>
    <w:pPr>
      <w:spacing w:before="0" w:after="0"/>
      <w:jc w:val="both"/>
    </w:pPr>
    <w:rPr>
      <w:rFonts w:ascii="Calibri" w:eastAsia="Times New Roman" w:hAnsi="Calibri" w:cs="Arial"/>
      <w:b/>
      <w:bCs/>
      <w:kern w:val="32"/>
      <w:szCs w:val="32"/>
      <w:lang w:val="en-AU" w:eastAsia="en-AU"/>
    </w:rPr>
  </w:style>
  <w:style w:type="paragraph" w:customStyle="1" w:styleId="BIClBodyChar">
    <w:name w:val="BIClBodyChar"/>
    <w:basedOn w:val="Normal"/>
    <w:qFormat/>
    <w:rsid w:val="00682992"/>
    <w:pPr>
      <w:numPr>
        <w:numId w:val="3"/>
      </w:numPr>
      <w:tabs>
        <w:tab w:val="left" w:pos="284"/>
      </w:tabs>
      <w:spacing w:before="100" w:beforeAutospacing="1" w:after="120"/>
    </w:pPr>
    <w:rPr>
      <w:rFonts w:ascii="Calibri" w:hAnsi="Calibri"/>
      <w:sz w:val="20"/>
      <w:szCs w:val="24"/>
    </w:rPr>
  </w:style>
  <w:style w:type="paragraph" w:styleId="NormalWeb">
    <w:name w:val="Normal (Web)"/>
    <w:basedOn w:val="Normal"/>
    <w:uiPriority w:val="99"/>
    <w:semiHidden/>
    <w:unhideWhenUsed/>
    <w:rsid w:val="00682992"/>
    <w:rPr>
      <w:rFonts w:ascii="Times New Roman" w:hAnsi="Times New Roman"/>
      <w:sz w:val="24"/>
      <w:szCs w:val="24"/>
    </w:rPr>
  </w:style>
  <w:style w:type="paragraph" w:styleId="NoSpacing">
    <w:name w:val="No Spacing"/>
    <w:qFormat/>
    <w:rsid w:val="00017A85"/>
    <w:pPr>
      <w:spacing w:before="0" w:after="0"/>
    </w:pPr>
  </w:style>
  <w:style w:type="table" w:styleId="TableGrid">
    <w:name w:val="Table Grid"/>
    <w:basedOn w:val="TableNormal"/>
    <w:uiPriority w:val="59"/>
    <w:rsid w:val="00017A85"/>
    <w:pPr>
      <w:spacing w:before="0" w:after="0"/>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7A85"/>
    <w:rPr>
      <w:rFonts w:ascii="Tahoma" w:hAnsi="Tahoma" w:cs="Tahoma"/>
      <w:sz w:val="16"/>
      <w:szCs w:val="16"/>
    </w:rPr>
  </w:style>
  <w:style w:type="character" w:customStyle="1" w:styleId="BalloonTextChar">
    <w:name w:val="Balloon Text Char"/>
    <w:basedOn w:val="DefaultParagraphFont"/>
    <w:link w:val="BalloonText"/>
    <w:uiPriority w:val="99"/>
    <w:semiHidden/>
    <w:rsid w:val="00017A85"/>
    <w:rPr>
      <w:rFonts w:ascii="Tahoma" w:eastAsia="Times New Roman" w:hAnsi="Tahoma" w:cs="Tahoma"/>
      <w:sz w:val="16"/>
      <w:szCs w:val="16"/>
    </w:rPr>
  </w:style>
  <w:style w:type="paragraph" w:styleId="Header">
    <w:name w:val="header"/>
    <w:basedOn w:val="Normal"/>
    <w:link w:val="HeaderChar"/>
    <w:uiPriority w:val="99"/>
    <w:semiHidden/>
    <w:unhideWhenUsed/>
    <w:rsid w:val="002A7060"/>
    <w:pPr>
      <w:tabs>
        <w:tab w:val="center" w:pos="4680"/>
        <w:tab w:val="right" w:pos="9360"/>
      </w:tabs>
    </w:pPr>
  </w:style>
  <w:style w:type="character" w:customStyle="1" w:styleId="HeaderChar">
    <w:name w:val="Header Char"/>
    <w:basedOn w:val="DefaultParagraphFont"/>
    <w:link w:val="Header"/>
    <w:uiPriority w:val="99"/>
    <w:semiHidden/>
    <w:rsid w:val="002A7060"/>
    <w:rPr>
      <w:rFonts w:ascii="Verdana" w:eastAsia="Times New Roman" w:hAnsi="Verdana" w:cs="Times New Roman"/>
    </w:rPr>
  </w:style>
  <w:style w:type="paragraph" w:styleId="Footer">
    <w:name w:val="footer"/>
    <w:basedOn w:val="Normal"/>
    <w:link w:val="FooterChar"/>
    <w:uiPriority w:val="99"/>
    <w:semiHidden/>
    <w:unhideWhenUsed/>
    <w:rsid w:val="002A7060"/>
    <w:pPr>
      <w:tabs>
        <w:tab w:val="center" w:pos="4680"/>
        <w:tab w:val="right" w:pos="9360"/>
      </w:tabs>
    </w:pPr>
  </w:style>
  <w:style w:type="character" w:customStyle="1" w:styleId="FooterChar">
    <w:name w:val="Footer Char"/>
    <w:basedOn w:val="DefaultParagraphFont"/>
    <w:link w:val="Footer"/>
    <w:uiPriority w:val="99"/>
    <w:semiHidden/>
    <w:rsid w:val="002A7060"/>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4699">
      <w:bodyDiv w:val="1"/>
      <w:marLeft w:val="0"/>
      <w:marRight w:val="0"/>
      <w:marTop w:val="0"/>
      <w:marBottom w:val="0"/>
      <w:divBdr>
        <w:top w:val="none" w:sz="0" w:space="0" w:color="auto"/>
        <w:left w:val="none" w:sz="0" w:space="0" w:color="auto"/>
        <w:bottom w:val="none" w:sz="0" w:space="0" w:color="auto"/>
        <w:right w:val="none" w:sz="0" w:space="0" w:color="auto"/>
      </w:divBdr>
    </w:div>
    <w:div w:id="79715277">
      <w:bodyDiv w:val="1"/>
      <w:marLeft w:val="0"/>
      <w:marRight w:val="0"/>
      <w:marTop w:val="0"/>
      <w:marBottom w:val="0"/>
      <w:divBdr>
        <w:top w:val="none" w:sz="0" w:space="0" w:color="auto"/>
        <w:left w:val="none" w:sz="0" w:space="0" w:color="auto"/>
        <w:bottom w:val="none" w:sz="0" w:space="0" w:color="auto"/>
        <w:right w:val="none" w:sz="0" w:space="0" w:color="auto"/>
      </w:divBdr>
    </w:div>
    <w:div w:id="1626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Izuru\Local%20Settings\Temporary%20Internet%20Files\Content.Outlook\LGNGT20E\Total%20Market%20Trends%20-%20Oct%20YTD%202013%20(2).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800" b="1" i="0" baseline="0">
                <a:effectLst/>
              </a:rPr>
              <a:t>Total Market Segments Trends 2004 - 2012</a:t>
            </a:r>
            <a:endParaRPr lang="en-AU">
              <a:effectLst/>
            </a:endParaRPr>
          </a:p>
        </c:rich>
      </c:tx>
      <c:overlay val="0"/>
    </c:title>
    <c:autoTitleDeleted val="0"/>
    <c:plotArea>
      <c:layout/>
      <c:barChart>
        <c:barDir val="col"/>
        <c:grouping val="clustered"/>
        <c:varyColors val="0"/>
        <c:ser>
          <c:idx val="0"/>
          <c:order val="0"/>
          <c:tx>
            <c:strRef>
              <c:f>'Segment Summary'!$B$3</c:f>
              <c:strCache>
                <c:ptCount val="1"/>
                <c:pt idx="0">
                  <c:v>Total Market</c:v>
                </c:pt>
              </c:strCache>
            </c:strRef>
          </c:tx>
          <c:invertIfNegative val="0"/>
          <c:dLbls>
            <c:showLegendKey val="0"/>
            <c:showVal val="1"/>
            <c:showCatName val="0"/>
            <c:showSerName val="0"/>
            <c:showPercent val="0"/>
            <c:showBubbleSize val="0"/>
            <c:showLeaderLines val="0"/>
          </c:dLbls>
          <c:cat>
            <c:numRef>
              <c:f>'Segment Summary'!$C$2:$K$2</c:f>
              <c:numCache>
                <c:formatCode>General</c:formatCode>
                <c:ptCount val="9"/>
                <c:pt idx="0">
                  <c:v>2004</c:v>
                </c:pt>
                <c:pt idx="1">
                  <c:v>2005</c:v>
                </c:pt>
                <c:pt idx="2">
                  <c:v>2006</c:v>
                </c:pt>
                <c:pt idx="3">
                  <c:v>2007</c:v>
                </c:pt>
                <c:pt idx="4">
                  <c:v>2008</c:v>
                </c:pt>
                <c:pt idx="5">
                  <c:v>2009</c:v>
                </c:pt>
                <c:pt idx="6">
                  <c:v>2010</c:v>
                </c:pt>
                <c:pt idx="7">
                  <c:v>2011</c:v>
                </c:pt>
                <c:pt idx="8">
                  <c:v>2012</c:v>
                </c:pt>
              </c:numCache>
            </c:numRef>
          </c:cat>
          <c:val>
            <c:numRef>
              <c:f>'Segment Summary'!$C$3:$K$3</c:f>
              <c:numCache>
                <c:formatCode>General</c:formatCode>
                <c:ptCount val="9"/>
                <c:pt idx="0">
                  <c:v>735</c:v>
                </c:pt>
                <c:pt idx="1">
                  <c:v>887</c:v>
                </c:pt>
                <c:pt idx="2">
                  <c:v>1027</c:v>
                </c:pt>
                <c:pt idx="3">
                  <c:v>1390</c:v>
                </c:pt>
                <c:pt idx="4">
                  <c:v>1585</c:v>
                </c:pt>
                <c:pt idx="5">
                  <c:v>1836</c:v>
                </c:pt>
                <c:pt idx="6">
                  <c:v>1903</c:v>
                </c:pt>
                <c:pt idx="7">
                  <c:v>1529</c:v>
                </c:pt>
                <c:pt idx="8">
                  <c:v>1579</c:v>
                </c:pt>
              </c:numCache>
            </c:numRef>
          </c:val>
        </c:ser>
        <c:ser>
          <c:idx val="1"/>
          <c:order val="1"/>
          <c:tx>
            <c:strRef>
              <c:f>'Segment Summary'!$B$4</c:f>
              <c:strCache>
                <c:ptCount val="1"/>
                <c:pt idx="0">
                  <c:v>Total Route</c:v>
                </c:pt>
              </c:strCache>
            </c:strRef>
          </c:tx>
          <c:invertIfNegative val="0"/>
          <c:dLbls>
            <c:showLegendKey val="0"/>
            <c:showVal val="1"/>
            <c:showCatName val="0"/>
            <c:showSerName val="0"/>
            <c:showPercent val="0"/>
            <c:showBubbleSize val="0"/>
            <c:showLeaderLines val="0"/>
          </c:dLbls>
          <c:cat>
            <c:numRef>
              <c:f>'Segment Summary'!$C$2:$K$2</c:f>
              <c:numCache>
                <c:formatCode>General</c:formatCode>
                <c:ptCount val="9"/>
                <c:pt idx="0">
                  <c:v>2004</c:v>
                </c:pt>
                <c:pt idx="1">
                  <c:v>2005</c:v>
                </c:pt>
                <c:pt idx="2">
                  <c:v>2006</c:v>
                </c:pt>
                <c:pt idx="3">
                  <c:v>2007</c:v>
                </c:pt>
                <c:pt idx="4">
                  <c:v>2008</c:v>
                </c:pt>
                <c:pt idx="5">
                  <c:v>2009</c:v>
                </c:pt>
                <c:pt idx="6">
                  <c:v>2010</c:v>
                </c:pt>
                <c:pt idx="7">
                  <c:v>2011</c:v>
                </c:pt>
                <c:pt idx="8">
                  <c:v>2012</c:v>
                </c:pt>
              </c:numCache>
            </c:numRef>
          </c:cat>
          <c:val>
            <c:numRef>
              <c:f>'Segment Summary'!$C$4:$K$4</c:f>
              <c:numCache>
                <c:formatCode>General</c:formatCode>
                <c:ptCount val="9"/>
                <c:pt idx="0">
                  <c:v>438</c:v>
                </c:pt>
                <c:pt idx="1">
                  <c:v>565</c:v>
                </c:pt>
                <c:pt idx="2">
                  <c:v>613</c:v>
                </c:pt>
                <c:pt idx="3">
                  <c:v>772</c:v>
                </c:pt>
                <c:pt idx="4">
                  <c:v>910</c:v>
                </c:pt>
                <c:pt idx="5">
                  <c:v>1098</c:v>
                </c:pt>
                <c:pt idx="6">
                  <c:v>1103</c:v>
                </c:pt>
                <c:pt idx="7">
                  <c:v>839</c:v>
                </c:pt>
                <c:pt idx="8">
                  <c:v>710</c:v>
                </c:pt>
              </c:numCache>
            </c:numRef>
          </c:val>
        </c:ser>
        <c:ser>
          <c:idx val="2"/>
          <c:order val="2"/>
          <c:tx>
            <c:strRef>
              <c:f>'Segment Summary'!$B$5</c:f>
              <c:strCache>
                <c:ptCount val="1"/>
                <c:pt idx="0">
                  <c:v>Total School/Charter</c:v>
                </c:pt>
              </c:strCache>
            </c:strRef>
          </c:tx>
          <c:invertIfNegative val="0"/>
          <c:dLbls>
            <c:showLegendKey val="0"/>
            <c:showVal val="1"/>
            <c:showCatName val="0"/>
            <c:showSerName val="0"/>
            <c:showPercent val="0"/>
            <c:showBubbleSize val="0"/>
            <c:showLeaderLines val="0"/>
          </c:dLbls>
          <c:cat>
            <c:numRef>
              <c:f>'Segment Summary'!$C$2:$K$2</c:f>
              <c:numCache>
                <c:formatCode>General</c:formatCode>
                <c:ptCount val="9"/>
                <c:pt idx="0">
                  <c:v>2004</c:v>
                </c:pt>
                <c:pt idx="1">
                  <c:v>2005</c:v>
                </c:pt>
                <c:pt idx="2">
                  <c:v>2006</c:v>
                </c:pt>
                <c:pt idx="3">
                  <c:v>2007</c:v>
                </c:pt>
                <c:pt idx="4">
                  <c:v>2008</c:v>
                </c:pt>
                <c:pt idx="5">
                  <c:v>2009</c:v>
                </c:pt>
                <c:pt idx="6">
                  <c:v>2010</c:v>
                </c:pt>
                <c:pt idx="7">
                  <c:v>2011</c:v>
                </c:pt>
                <c:pt idx="8">
                  <c:v>2012</c:v>
                </c:pt>
              </c:numCache>
            </c:numRef>
          </c:cat>
          <c:val>
            <c:numRef>
              <c:f>'Segment Summary'!$C$5:$K$5</c:f>
              <c:numCache>
                <c:formatCode>General</c:formatCode>
                <c:ptCount val="9"/>
                <c:pt idx="0">
                  <c:v>251</c:v>
                </c:pt>
                <c:pt idx="1">
                  <c:v>255</c:v>
                </c:pt>
                <c:pt idx="2">
                  <c:v>358</c:v>
                </c:pt>
                <c:pt idx="3">
                  <c:v>549</c:v>
                </c:pt>
                <c:pt idx="4">
                  <c:v>595</c:v>
                </c:pt>
                <c:pt idx="5">
                  <c:v>684</c:v>
                </c:pt>
                <c:pt idx="6">
                  <c:v>746</c:v>
                </c:pt>
                <c:pt idx="7">
                  <c:v>610</c:v>
                </c:pt>
                <c:pt idx="8">
                  <c:v>795</c:v>
                </c:pt>
              </c:numCache>
            </c:numRef>
          </c:val>
        </c:ser>
        <c:ser>
          <c:idx val="3"/>
          <c:order val="3"/>
          <c:tx>
            <c:strRef>
              <c:f>'Segment Summary'!$B$6</c:f>
              <c:strCache>
                <c:ptCount val="1"/>
                <c:pt idx="0">
                  <c:v>Total Long Distance</c:v>
                </c:pt>
              </c:strCache>
            </c:strRef>
          </c:tx>
          <c:invertIfNegative val="0"/>
          <c:dLbls>
            <c:showLegendKey val="0"/>
            <c:showVal val="1"/>
            <c:showCatName val="0"/>
            <c:showSerName val="0"/>
            <c:showPercent val="0"/>
            <c:showBubbleSize val="0"/>
            <c:showLeaderLines val="0"/>
          </c:dLbls>
          <c:cat>
            <c:numRef>
              <c:f>'Segment Summary'!$C$2:$K$2</c:f>
              <c:numCache>
                <c:formatCode>General</c:formatCode>
                <c:ptCount val="9"/>
                <c:pt idx="0">
                  <c:v>2004</c:v>
                </c:pt>
                <c:pt idx="1">
                  <c:v>2005</c:v>
                </c:pt>
                <c:pt idx="2">
                  <c:v>2006</c:v>
                </c:pt>
                <c:pt idx="3">
                  <c:v>2007</c:v>
                </c:pt>
                <c:pt idx="4">
                  <c:v>2008</c:v>
                </c:pt>
                <c:pt idx="5">
                  <c:v>2009</c:v>
                </c:pt>
                <c:pt idx="6">
                  <c:v>2010</c:v>
                </c:pt>
                <c:pt idx="7">
                  <c:v>2011</c:v>
                </c:pt>
                <c:pt idx="8">
                  <c:v>2012</c:v>
                </c:pt>
              </c:numCache>
            </c:numRef>
          </c:cat>
          <c:val>
            <c:numRef>
              <c:f>'Segment Summary'!$C$6:$K$6</c:f>
              <c:numCache>
                <c:formatCode>General</c:formatCode>
                <c:ptCount val="9"/>
                <c:pt idx="0">
                  <c:v>37</c:v>
                </c:pt>
                <c:pt idx="1">
                  <c:v>63</c:v>
                </c:pt>
                <c:pt idx="2">
                  <c:v>52</c:v>
                </c:pt>
                <c:pt idx="3">
                  <c:v>61</c:v>
                </c:pt>
                <c:pt idx="4">
                  <c:v>62</c:v>
                </c:pt>
                <c:pt idx="5">
                  <c:v>49</c:v>
                </c:pt>
                <c:pt idx="6">
                  <c:v>54</c:v>
                </c:pt>
                <c:pt idx="7">
                  <c:v>80</c:v>
                </c:pt>
                <c:pt idx="8">
                  <c:v>65</c:v>
                </c:pt>
              </c:numCache>
            </c:numRef>
          </c:val>
        </c:ser>
        <c:ser>
          <c:idx val="4"/>
          <c:order val="4"/>
          <c:tx>
            <c:strRef>
              <c:f>'Segment Summary'!$B$7</c:f>
              <c:strCache>
                <c:ptCount val="1"/>
                <c:pt idx="0">
                  <c:v>Other</c:v>
                </c:pt>
              </c:strCache>
            </c:strRef>
          </c:tx>
          <c:invertIfNegative val="0"/>
          <c:dLbls>
            <c:showLegendKey val="0"/>
            <c:showVal val="1"/>
            <c:showCatName val="0"/>
            <c:showSerName val="0"/>
            <c:showPercent val="0"/>
            <c:showBubbleSize val="0"/>
            <c:showLeaderLines val="0"/>
          </c:dLbls>
          <c:cat>
            <c:numRef>
              <c:f>'Segment Summary'!$C$2:$K$2</c:f>
              <c:numCache>
                <c:formatCode>General</c:formatCode>
                <c:ptCount val="9"/>
                <c:pt idx="0">
                  <c:v>2004</c:v>
                </c:pt>
                <c:pt idx="1">
                  <c:v>2005</c:v>
                </c:pt>
                <c:pt idx="2">
                  <c:v>2006</c:v>
                </c:pt>
                <c:pt idx="3">
                  <c:v>2007</c:v>
                </c:pt>
                <c:pt idx="4">
                  <c:v>2008</c:v>
                </c:pt>
                <c:pt idx="5">
                  <c:v>2009</c:v>
                </c:pt>
                <c:pt idx="6">
                  <c:v>2010</c:v>
                </c:pt>
                <c:pt idx="7">
                  <c:v>2011</c:v>
                </c:pt>
                <c:pt idx="8">
                  <c:v>2012</c:v>
                </c:pt>
              </c:numCache>
            </c:numRef>
          </c:cat>
          <c:val>
            <c:numRef>
              <c:f>'Segment Summary'!$C$7:$K$7</c:f>
              <c:numCache>
                <c:formatCode>General</c:formatCode>
                <c:ptCount val="9"/>
                <c:pt idx="0">
                  <c:v>9</c:v>
                </c:pt>
                <c:pt idx="1">
                  <c:v>4</c:v>
                </c:pt>
                <c:pt idx="2">
                  <c:v>4</c:v>
                </c:pt>
                <c:pt idx="3">
                  <c:v>8</c:v>
                </c:pt>
                <c:pt idx="4">
                  <c:v>18</c:v>
                </c:pt>
                <c:pt idx="5">
                  <c:v>5</c:v>
                </c:pt>
                <c:pt idx="6">
                  <c:v>0</c:v>
                </c:pt>
                <c:pt idx="7">
                  <c:v>0</c:v>
                </c:pt>
                <c:pt idx="8">
                  <c:v>9</c:v>
                </c:pt>
              </c:numCache>
            </c:numRef>
          </c:val>
        </c:ser>
        <c:dLbls>
          <c:showLegendKey val="0"/>
          <c:showVal val="0"/>
          <c:showCatName val="0"/>
          <c:showSerName val="0"/>
          <c:showPercent val="0"/>
          <c:showBubbleSize val="0"/>
        </c:dLbls>
        <c:gapWidth val="150"/>
        <c:axId val="166265984"/>
        <c:axId val="166267520"/>
      </c:barChart>
      <c:catAx>
        <c:axId val="166265984"/>
        <c:scaling>
          <c:orientation val="minMax"/>
        </c:scaling>
        <c:delete val="0"/>
        <c:axPos val="b"/>
        <c:numFmt formatCode="General" sourceLinked="1"/>
        <c:majorTickMark val="none"/>
        <c:minorTickMark val="none"/>
        <c:tickLblPos val="nextTo"/>
        <c:crossAx val="166267520"/>
        <c:crosses val="autoZero"/>
        <c:auto val="1"/>
        <c:lblAlgn val="ctr"/>
        <c:lblOffset val="100"/>
        <c:noMultiLvlLbl val="0"/>
      </c:catAx>
      <c:valAx>
        <c:axId val="166267520"/>
        <c:scaling>
          <c:orientation val="minMax"/>
        </c:scaling>
        <c:delete val="0"/>
        <c:axPos val="l"/>
        <c:majorGridlines/>
        <c:numFmt formatCode="General" sourceLinked="1"/>
        <c:majorTickMark val="none"/>
        <c:minorTickMark val="none"/>
        <c:tickLblPos val="nextTo"/>
        <c:crossAx val="166265984"/>
        <c:crosses val="autoZero"/>
        <c:crossBetween val="between"/>
      </c:valAx>
    </c:plotArea>
    <c:legend>
      <c:legendPos val="r"/>
      <c:overlay val="0"/>
    </c:legend>
    <c:plotVisOnly val="1"/>
    <c:dispBlanksAs val="gap"/>
    <c:showDLblsOverMax val="0"/>
  </c:chart>
  <c:spPr>
    <a:ln>
      <a:solidFill>
        <a:srgbClr val="FF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670571010248932E-2"/>
          <c:y val="4.8672566371681415E-2"/>
          <c:w val="0.91215226939970717"/>
          <c:h val="0.78318584070796315"/>
        </c:manualLayout>
      </c:layout>
      <c:lineChart>
        <c:grouping val="standard"/>
        <c:varyColors val="0"/>
        <c:ser>
          <c:idx val="1"/>
          <c:order val="0"/>
          <c:tx>
            <c:strRef>
              <c:f>Sheet1!$A$2</c:f>
              <c:strCache>
                <c:ptCount val="1"/>
                <c:pt idx="0">
                  <c:v>Australian Manufactured</c:v>
                </c:pt>
              </c:strCache>
            </c:strRef>
          </c:tx>
          <c:spPr>
            <a:ln w="38104">
              <a:solidFill>
                <a:srgbClr val="000080"/>
              </a:solidFill>
              <a:prstDash val="solid"/>
            </a:ln>
          </c:spPr>
          <c:marker>
            <c:symbol val="none"/>
          </c:marker>
          <c:dLbls>
            <c:dLbl>
              <c:idx val="0"/>
              <c:layout>
                <c:manualLayout>
                  <c:x val="-3.8838761205932083E-2"/>
                  <c:y val="-4.0821669397343822E-2"/>
                </c:manualLayout>
              </c:layout>
              <c:spPr>
                <a:noFill/>
                <a:ln w="25402">
                  <a:noFill/>
                </a:ln>
              </c:spPr>
              <c:txPr>
                <a:bodyPr/>
                <a:lstStyle/>
                <a:p>
                  <a:pPr>
                    <a:defRPr sz="10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dLbl>
            <c:dLbl>
              <c:idx val="4"/>
              <c:spPr>
                <a:noFill/>
                <a:ln w="25402">
                  <a:noFill/>
                </a:ln>
              </c:spPr>
              <c:txPr>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dLbl>
            <c:showLegendKey val="0"/>
            <c:showVal val="0"/>
            <c:showCatName val="0"/>
            <c:showSerName val="0"/>
            <c:showPercent val="0"/>
            <c:showBubbleSize val="0"/>
          </c:dLbls>
          <c:cat>
            <c:numRef>
              <c:f>Sheet1!$B$1:$F$1</c:f>
              <c:numCache>
                <c:formatCode>General</c:formatCode>
                <c:ptCount val="5"/>
                <c:pt idx="0">
                  <c:v>2007</c:v>
                </c:pt>
                <c:pt idx="1">
                  <c:v>2008</c:v>
                </c:pt>
                <c:pt idx="2">
                  <c:v>2009</c:v>
                </c:pt>
                <c:pt idx="3">
                  <c:v>2010</c:v>
                </c:pt>
                <c:pt idx="4">
                  <c:v>2011</c:v>
                </c:pt>
              </c:numCache>
            </c:numRef>
          </c:cat>
          <c:val>
            <c:numRef>
              <c:f>Sheet1!$B$2:$F$2</c:f>
              <c:numCache>
                <c:formatCode>General</c:formatCode>
                <c:ptCount val="5"/>
                <c:pt idx="0">
                  <c:v>1162</c:v>
                </c:pt>
                <c:pt idx="1">
                  <c:v>1213</c:v>
                </c:pt>
                <c:pt idx="2">
                  <c:v>1451</c:v>
                </c:pt>
                <c:pt idx="3">
                  <c:v>1466</c:v>
                </c:pt>
                <c:pt idx="4">
                  <c:v>1063</c:v>
                </c:pt>
              </c:numCache>
            </c:numRef>
          </c:val>
          <c:smooth val="1"/>
        </c:ser>
        <c:ser>
          <c:idx val="2"/>
          <c:order val="1"/>
          <c:tx>
            <c:strRef>
              <c:f>Sheet1!$A$3</c:f>
              <c:strCache>
                <c:ptCount val="1"/>
                <c:pt idx="0">
                  <c:v>Fully Imported</c:v>
                </c:pt>
              </c:strCache>
            </c:strRef>
          </c:tx>
          <c:spPr>
            <a:ln w="38104">
              <a:solidFill>
                <a:srgbClr val="FF0000"/>
              </a:solidFill>
              <a:prstDash val="solid"/>
            </a:ln>
          </c:spPr>
          <c:marker>
            <c:symbol val="none"/>
          </c:marker>
          <c:dLbls>
            <c:dLbl>
              <c:idx val="0"/>
              <c:layout>
                <c:manualLayout>
                  <c:x val="-5.4944178482652324E-2"/>
                  <c:y val="-2.0111015254429342E-2"/>
                </c:manualLayout>
              </c:layout>
              <c:spPr>
                <a:noFill/>
                <a:ln w="25402">
                  <a:noFill/>
                </a:ln>
              </c:spPr>
              <c:txPr>
                <a:bodyPr/>
                <a:lstStyle/>
                <a:p>
                  <a:pPr>
                    <a:defRPr sz="10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dLbl>
            <c:dLbl>
              <c:idx val="4"/>
              <c:spPr>
                <a:noFill/>
                <a:ln w="25402">
                  <a:noFill/>
                </a:ln>
              </c:spPr>
              <c:txPr>
                <a:bodyPr/>
                <a:lstStyle/>
                <a:p>
                  <a:pPr>
                    <a:defRPr sz="10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dLbl>
            <c:showLegendKey val="0"/>
            <c:showVal val="0"/>
            <c:showCatName val="0"/>
            <c:showSerName val="0"/>
            <c:showPercent val="0"/>
            <c:showBubbleSize val="0"/>
          </c:dLbls>
          <c:cat>
            <c:numRef>
              <c:f>Sheet1!$B$1:$F$1</c:f>
              <c:numCache>
                <c:formatCode>General</c:formatCode>
                <c:ptCount val="5"/>
                <c:pt idx="0">
                  <c:v>2007</c:v>
                </c:pt>
                <c:pt idx="1">
                  <c:v>2008</c:v>
                </c:pt>
                <c:pt idx="2">
                  <c:v>2009</c:v>
                </c:pt>
                <c:pt idx="3">
                  <c:v>2010</c:v>
                </c:pt>
                <c:pt idx="4">
                  <c:v>2011</c:v>
                </c:pt>
              </c:numCache>
            </c:numRef>
          </c:cat>
          <c:val>
            <c:numRef>
              <c:f>Sheet1!$B$3:$F$3</c:f>
              <c:numCache>
                <c:formatCode>General</c:formatCode>
                <c:ptCount val="5"/>
                <c:pt idx="0">
                  <c:v>219</c:v>
                </c:pt>
                <c:pt idx="1">
                  <c:v>372</c:v>
                </c:pt>
                <c:pt idx="2">
                  <c:v>392</c:v>
                </c:pt>
                <c:pt idx="3">
                  <c:v>437</c:v>
                </c:pt>
                <c:pt idx="4">
                  <c:v>466</c:v>
                </c:pt>
              </c:numCache>
            </c:numRef>
          </c:val>
          <c:smooth val="1"/>
        </c:ser>
        <c:dLbls>
          <c:showLegendKey val="0"/>
          <c:showVal val="0"/>
          <c:showCatName val="0"/>
          <c:showSerName val="0"/>
          <c:showPercent val="0"/>
          <c:showBubbleSize val="0"/>
        </c:dLbls>
        <c:marker val="1"/>
        <c:smooth val="0"/>
        <c:axId val="166307328"/>
        <c:axId val="166308864"/>
      </c:lineChart>
      <c:catAx>
        <c:axId val="1663073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166308864"/>
        <c:crosses val="autoZero"/>
        <c:auto val="1"/>
        <c:lblAlgn val="ctr"/>
        <c:lblOffset val="100"/>
        <c:tickLblSkip val="1"/>
        <c:tickMarkSkip val="1"/>
        <c:noMultiLvlLbl val="0"/>
      </c:catAx>
      <c:valAx>
        <c:axId val="166308864"/>
        <c:scaling>
          <c:orientation val="minMax"/>
        </c:scaling>
        <c:delete val="0"/>
        <c:axPos val="l"/>
        <c:majorGridlines>
          <c:spPr>
            <a:ln w="3175">
              <a:solidFill>
                <a:srgbClr val="C0C0C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6307328"/>
        <c:crosses val="autoZero"/>
        <c:crossBetween val="between"/>
        <c:majorUnit val="200"/>
      </c:valAx>
      <c:spPr>
        <a:noFill/>
        <a:ln w="25400">
          <a:noFill/>
        </a:ln>
      </c:spPr>
    </c:plotArea>
    <c:legend>
      <c:legendPos val="r"/>
      <c:layout>
        <c:manualLayout>
          <c:xMode val="edge"/>
          <c:yMode val="edge"/>
          <c:x val="8.9311859443631042E-2"/>
          <c:y val="0.36725663716814211"/>
          <c:w val="0.27379209370424651"/>
          <c:h val="0.15044247787610679"/>
        </c:manualLayout>
      </c:layout>
      <c:overlay val="0"/>
      <c:spPr>
        <a:noFill/>
        <a:ln w="12701">
          <a:solidFill>
            <a:srgbClr val="C0C0C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AU" dirty="0"/>
              <a:t>Total School/Charter Market vs. Imported Buses</a:t>
            </a:r>
          </a:p>
          <a:p>
            <a:pPr>
              <a:defRPr/>
            </a:pPr>
            <a:r>
              <a:rPr lang="en-AU" dirty="0"/>
              <a:t>2006 - </a:t>
            </a:r>
            <a:r>
              <a:rPr lang="en-AU" baseline="0" dirty="0" smtClean="0"/>
              <a:t>2012</a:t>
            </a:r>
            <a:endParaRPr lang="en-AU" dirty="0"/>
          </a:p>
        </c:rich>
      </c:tx>
      <c:overlay val="0"/>
    </c:title>
    <c:autoTitleDeleted val="0"/>
    <c:plotArea>
      <c:layout/>
      <c:barChart>
        <c:barDir val="col"/>
        <c:grouping val="clustered"/>
        <c:varyColors val="0"/>
        <c:ser>
          <c:idx val="0"/>
          <c:order val="0"/>
          <c:tx>
            <c:strRef>
              <c:f>'SB Charter Mark vs Impor Market'!$B$1</c:f>
              <c:strCache>
                <c:ptCount val="1"/>
                <c:pt idx="0">
                  <c:v>Total SB/Charter</c:v>
                </c:pt>
              </c:strCache>
            </c:strRef>
          </c:tx>
          <c:invertIfNegative val="0"/>
          <c:dLbls>
            <c:showLegendKey val="0"/>
            <c:showVal val="1"/>
            <c:showCatName val="0"/>
            <c:showSerName val="0"/>
            <c:showPercent val="0"/>
            <c:showBubbleSize val="0"/>
            <c:showLeaderLines val="0"/>
          </c:dLbls>
          <c:cat>
            <c:numRef>
              <c:f>'SB Charter Mark vs Impor Market'!$A$2:$A$8</c:f>
              <c:numCache>
                <c:formatCode>General</c:formatCode>
                <c:ptCount val="7"/>
                <c:pt idx="0">
                  <c:v>2006</c:v>
                </c:pt>
                <c:pt idx="1">
                  <c:v>2007</c:v>
                </c:pt>
                <c:pt idx="2">
                  <c:v>2008</c:v>
                </c:pt>
                <c:pt idx="3">
                  <c:v>2009</c:v>
                </c:pt>
                <c:pt idx="4">
                  <c:v>2010</c:v>
                </c:pt>
                <c:pt idx="5">
                  <c:v>2011</c:v>
                </c:pt>
                <c:pt idx="6">
                  <c:v>2012</c:v>
                </c:pt>
              </c:numCache>
            </c:numRef>
          </c:cat>
          <c:val>
            <c:numRef>
              <c:f>'SB Charter Mark vs Impor Market'!$B$2:$B$8</c:f>
              <c:numCache>
                <c:formatCode>General</c:formatCode>
                <c:ptCount val="7"/>
                <c:pt idx="0">
                  <c:v>358</c:v>
                </c:pt>
                <c:pt idx="1">
                  <c:v>555</c:v>
                </c:pt>
                <c:pt idx="2">
                  <c:v>595</c:v>
                </c:pt>
                <c:pt idx="3">
                  <c:v>684</c:v>
                </c:pt>
                <c:pt idx="4">
                  <c:v>746</c:v>
                </c:pt>
                <c:pt idx="5">
                  <c:v>610</c:v>
                </c:pt>
                <c:pt idx="6">
                  <c:v>795</c:v>
                </c:pt>
              </c:numCache>
            </c:numRef>
          </c:val>
        </c:ser>
        <c:ser>
          <c:idx val="1"/>
          <c:order val="1"/>
          <c:tx>
            <c:strRef>
              <c:f>'SB Charter Mark vs Impor Market'!$C$1</c:f>
              <c:strCache>
                <c:ptCount val="1"/>
                <c:pt idx="0">
                  <c:v>Imported </c:v>
                </c:pt>
              </c:strCache>
            </c:strRef>
          </c:tx>
          <c:invertIfNegative val="0"/>
          <c:dLbls>
            <c:showLegendKey val="0"/>
            <c:showVal val="1"/>
            <c:showCatName val="0"/>
            <c:showSerName val="0"/>
            <c:showPercent val="0"/>
            <c:showBubbleSize val="0"/>
            <c:showLeaderLines val="0"/>
          </c:dLbls>
          <c:cat>
            <c:numRef>
              <c:f>'SB Charter Mark vs Impor Market'!$A$2:$A$8</c:f>
              <c:numCache>
                <c:formatCode>General</c:formatCode>
                <c:ptCount val="7"/>
                <c:pt idx="0">
                  <c:v>2006</c:v>
                </c:pt>
                <c:pt idx="1">
                  <c:v>2007</c:v>
                </c:pt>
                <c:pt idx="2">
                  <c:v>2008</c:v>
                </c:pt>
                <c:pt idx="3">
                  <c:v>2009</c:v>
                </c:pt>
                <c:pt idx="4">
                  <c:v>2010</c:v>
                </c:pt>
                <c:pt idx="5">
                  <c:v>2011</c:v>
                </c:pt>
                <c:pt idx="6">
                  <c:v>2012</c:v>
                </c:pt>
              </c:numCache>
            </c:numRef>
          </c:cat>
          <c:val>
            <c:numRef>
              <c:f>'SB Charter Mark vs Impor Market'!$C$2:$C$8</c:f>
              <c:numCache>
                <c:formatCode>General</c:formatCode>
                <c:ptCount val="7"/>
                <c:pt idx="0">
                  <c:v>35</c:v>
                </c:pt>
                <c:pt idx="1">
                  <c:v>190</c:v>
                </c:pt>
                <c:pt idx="2">
                  <c:v>304</c:v>
                </c:pt>
                <c:pt idx="3">
                  <c:v>341</c:v>
                </c:pt>
                <c:pt idx="4">
                  <c:v>436</c:v>
                </c:pt>
                <c:pt idx="5">
                  <c:v>467</c:v>
                </c:pt>
                <c:pt idx="6">
                  <c:v>639</c:v>
                </c:pt>
              </c:numCache>
            </c:numRef>
          </c:val>
        </c:ser>
        <c:dLbls>
          <c:showLegendKey val="0"/>
          <c:showVal val="0"/>
          <c:showCatName val="0"/>
          <c:showSerName val="0"/>
          <c:showPercent val="0"/>
          <c:showBubbleSize val="0"/>
        </c:dLbls>
        <c:gapWidth val="75"/>
        <c:overlap val="-25"/>
        <c:axId val="166566144"/>
        <c:axId val="166584320"/>
      </c:barChart>
      <c:lineChart>
        <c:grouping val="standard"/>
        <c:varyColors val="0"/>
        <c:ser>
          <c:idx val="2"/>
          <c:order val="2"/>
          <c:tx>
            <c:strRef>
              <c:f>'SB Charter Mark vs Impor Market'!$D$1</c:f>
              <c:strCache>
                <c:ptCount val="1"/>
                <c:pt idx="0">
                  <c:v>Imported %</c:v>
                </c:pt>
              </c:strCache>
            </c:strRef>
          </c:tx>
          <c:marker>
            <c:symbol val="none"/>
          </c:marker>
          <c:cat>
            <c:numRef>
              <c:f>'SB Charter Mark vs Impor Market'!$A$2:$A$8</c:f>
              <c:numCache>
                <c:formatCode>General</c:formatCode>
                <c:ptCount val="7"/>
                <c:pt idx="0">
                  <c:v>2006</c:v>
                </c:pt>
                <c:pt idx="1">
                  <c:v>2007</c:v>
                </c:pt>
                <c:pt idx="2">
                  <c:v>2008</c:v>
                </c:pt>
                <c:pt idx="3">
                  <c:v>2009</c:v>
                </c:pt>
                <c:pt idx="4">
                  <c:v>2010</c:v>
                </c:pt>
                <c:pt idx="5">
                  <c:v>2011</c:v>
                </c:pt>
                <c:pt idx="6">
                  <c:v>2012</c:v>
                </c:pt>
              </c:numCache>
            </c:numRef>
          </c:cat>
          <c:val>
            <c:numRef>
              <c:f>'SB Charter Mark vs Impor Market'!$D$2:$D$8</c:f>
              <c:numCache>
                <c:formatCode>0.0</c:formatCode>
                <c:ptCount val="7"/>
                <c:pt idx="0">
                  <c:v>9.7765363128491778</c:v>
                </c:pt>
                <c:pt idx="1">
                  <c:v>34.234234234234236</c:v>
                </c:pt>
                <c:pt idx="2">
                  <c:v>51.092436974789969</c:v>
                </c:pt>
                <c:pt idx="3">
                  <c:v>49.853801169590547</c:v>
                </c:pt>
                <c:pt idx="4">
                  <c:v>58.445040214477203</c:v>
                </c:pt>
                <c:pt idx="5">
                  <c:v>76.557377049180289</c:v>
                </c:pt>
                <c:pt idx="6">
                  <c:v>80.377358490565925</c:v>
                </c:pt>
              </c:numCache>
            </c:numRef>
          </c:val>
          <c:smooth val="0"/>
        </c:ser>
        <c:dLbls>
          <c:showLegendKey val="0"/>
          <c:showVal val="0"/>
          <c:showCatName val="0"/>
          <c:showSerName val="0"/>
          <c:showPercent val="0"/>
          <c:showBubbleSize val="0"/>
        </c:dLbls>
        <c:marker val="1"/>
        <c:smooth val="0"/>
        <c:axId val="166587392"/>
        <c:axId val="166585856"/>
      </c:lineChart>
      <c:catAx>
        <c:axId val="166566144"/>
        <c:scaling>
          <c:orientation val="minMax"/>
        </c:scaling>
        <c:delete val="0"/>
        <c:axPos val="b"/>
        <c:numFmt formatCode="General" sourceLinked="1"/>
        <c:majorTickMark val="none"/>
        <c:minorTickMark val="none"/>
        <c:tickLblPos val="nextTo"/>
        <c:crossAx val="166584320"/>
        <c:crosses val="autoZero"/>
        <c:auto val="1"/>
        <c:lblAlgn val="ctr"/>
        <c:lblOffset val="100"/>
        <c:noMultiLvlLbl val="0"/>
      </c:catAx>
      <c:valAx>
        <c:axId val="166584320"/>
        <c:scaling>
          <c:orientation val="minMax"/>
        </c:scaling>
        <c:delete val="0"/>
        <c:axPos val="l"/>
        <c:majorGridlines/>
        <c:numFmt formatCode="General" sourceLinked="1"/>
        <c:majorTickMark val="none"/>
        <c:minorTickMark val="none"/>
        <c:tickLblPos val="nextTo"/>
        <c:spPr>
          <a:ln w="9525">
            <a:noFill/>
          </a:ln>
        </c:spPr>
        <c:crossAx val="166566144"/>
        <c:crosses val="autoZero"/>
        <c:crossBetween val="between"/>
      </c:valAx>
      <c:valAx>
        <c:axId val="166585856"/>
        <c:scaling>
          <c:orientation val="minMax"/>
        </c:scaling>
        <c:delete val="0"/>
        <c:axPos val="r"/>
        <c:numFmt formatCode="0.0" sourceLinked="1"/>
        <c:majorTickMark val="out"/>
        <c:minorTickMark val="none"/>
        <c:tickLblPos val="nextTo"/>
        <c:crossAx val="166587392"/>
        <c:crosses val="max"/>
        <c:crossBetween val="between"/>
      </c:valAx>
      <c:catAx>
        <c:axId val="166587392"/>
        <c:scaling>
          <c:orientation val="minMax"/>
        </c:scaling>
        <c:delete val="1"/>
        <c:axPos val="b"/>
        <c:numFmt formatCode="General" sourceLinked="1"/>
        <c:majorTickMark val="out"/>
        <c:minorTickMark val="none"/>
        <c:tickLblPos val="none"/>
        <c:crossAx val="166585856"/>
        <c:crosses val="autoZero"/>
        <c:auto val="1"/>
        <c:lblAlgn val="ctr"/>
        <c:lblOffset val="100"/>
        <c:noMultiLvlLbl val="0"/>
      </c:catAx>
    </c:plotArea>
    <c:legend>
      <c:legendPos val="b"/>
      <c:overlay val="0"/>
    </c:legend>
    <c:plotVisOnly val="1"/>
    <c:dispBlanksAs val="gap"/>
    <c:showDLblsOverMax val="0"/>
  </c:chart>
  <c:spPr>
    <a:ln>
      <a:solidFill>
        <a:srgbClr val="FF0000"/>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AU" sz="1800" dirty="0"/>
              <a:t>Total Market vs. Imported Buses</a:t>
            </a:r>
          </a:p>
          <a:p>
            <a:pPr>
              <a:defRPr/>
            </a:pPr>
            <a:r>
              <a:rPr lang="en-AU" sz="1800" dirty="0"/>
              <a:t>2006 -</a:t>
            </a:r>
            <a:r>
              <a:rPr lang="en-AU" sz="1800" baseline="0" dirty="0"/>
              <a:t> </a:t>
            </a:r>
            <a:r>
              <a:rPr lang="en-AU" sz="1800" baseline="0" dirty="0" smtClean="0"/>
              <a:t>2012</a:t>
            </a:r>
            <a:endParaRPr lang="en-AU" sz="1800" dirty="0"/>
          </a:p>
        </c:rich>
      </c:tx>
      <c:overlay val="0"/>
    </c:title>
    <c:autoTitleDeleted val="0"/>
    <c:plotArea>
      <c:layout/>
      <c:barChart>
        <c:barDir val="col"/>
        <c:grouping val="clustered"/>
        <c:varyColors val="0"/>
        <c:ser>
          <c:idx val="0"/>
          <c:order val="0"/>
          <c:tx>
            <c:strRef>
              <c:f>'Imported vs Total Market'!$B$1</c:f>
              <c:strCache>
                <c:ptCount val="1"/>
                <c:pt idx="0">
                  <c:v>Total Market</c:v>
                </c:pt>
              </c:strCache>
            </c:strRef>
          </c:tx>
          <c:invertIfNegative val="0"/>
          <c:dLbls>
            <c:showLegendKey val="0"/>
            <c:showVal val="1"/>
            <c:showCatName val="0"/>
            <c:showSerName val="0"/>
            <c:showPercent val="0"/>
            <c:showBubbleSize val="0"/>
            <c:showLeaderLines val="0"/>
          </c:dLbls>
          <c:cat>
            <c:numRef>
              <c:f>'Imported vs Total Market'!$A$2:$A$8</c:f>
              <c:numCache>
                <c:formatCode>General</c:formatCode>
                <c:ptCount val="7"/>
                <c:pt idx="0">
                  <c:v>2006</c:v>
                </c:pt>
                <c:pt idx="1">
                  <c:v>2007</c:v>
                </c:pt>
                <c:pt idx="2">
                  <c:v>2008</c:v>
                </c:pt>
                <c:pt idx="3">
                  <c:v>2009</c:v>
                </c:pt>
                <c:pt idx="4">
                  <c:v>2010</c:v>
                </c:pt>
                <c:pt idx="5">
                  <c:v>2011</c:v>
                </c:pt>
                <c:pt idx="6">
                  <c:v>2012</c:v>
                </c:pt>
              </c:numCache>
            </c:numRef>
          </c:cat>
          <c:val>
            <c:numRef>
              <c:f>'Imported vs Total Market'!$B$2:$B$8</c:f>
              <c:numCache>
                <c:formatCode>General</c:formatCode>
                <c:ptCount val="7"/>
                <c:pt idx="0">
                  <c:v>1027</c:v>
                </c:pt>
                <c:pt idx="1">
                  <c:v>1387</c:v>
                </c:pt>
                <c:pt idx="2">
                  <c:v>1585</c:v>
                </c:pt>
                <c:pt idx="3">
                  <c:v>1836</c:v>
                </c:pt>
                <c:pt idx="4">
                  <c:v>1903</c:v>
                </c:pt>
                <c:pt idx="5">
                  <c:v>1529</c:v>
                </c:pt>
                <c:pt idx="6">
                  <c:v>1579</c:v>
                </c:pt>
              </c:numCache>
            </c:numRef>
          </c:val>
        </c:ser>
        <c:ser>
          <c:idx val="1"/>
          <c:order val="1"/>
          <c:tx>
            <c:strRef>
              <c:f>'Imported vs Total Market'!$C$1</c:f>
              <c:strCache>
                <c:ptCount val="1"/>
                <c:pt idx="0">
                  <c:v>Imported </c:v>
                </c:pt>
              </c:strCache>
            </c:strRef>
          </c:tx>
          <c:invertIfNegative val="0"/>
          <c:dLbls>
            <c:showLegendKey val="0"/>
            <c:showVal val="1"/>
            <c:showCatName val="0"/>
            <c:showSerName val="0"/>
            <c:showPercent val="0"/>
            <c:showBubbleSize val="0"/>
            <c:showLeaderLines val="0"/>
          </c:dLbls>
          <c:cat>
            <c:numRef>
              <c:f>'Imported vs Total Market'!$A$2:$A$8</c:f>
              <c:numCache>
                <c:formatCode>General</c:formatCode>
                <c:ptCount val="7"/>
                <c:pt idx="0">
                  <c:v>2006</c:v>
                </c:pt>
                <c:pt idx="1">
                  <c:v>2007</c:v>
                </c:pt>
                <c:pt idx="2">
                  <c:v>2008</c:v>
                </c:pt>
                <c:pt idx="3">
                  <c:v>2009</c:v>
                </c:pt>
                <c:pt idx="4">
                  <c:v>2010</c:v>
                </c:pt>
                <c:pt idx="5">
                  <c:v>2011</c:v>
                </c:pt>
                <c:pt idx="6">
                  <c:v>2012</c:v>
                </c:pt>
              </c:numCache>
            </c:numRef>
          </c:cat>
          <c:val>
            <c:numRef>
              <c:f>'Imported vs Total Market'!$C$2:$C$8</c:f>
              <c:numCache>
                <c:formatCode>General</c:formatCode>
                <c:ptCount val="7"/>
                <c:pt idx="0">
                  <c:v>35</c:v>
                </c:pt>
                <c:pt idx="1">
                  <c:v>190</c:v>
                </c:pt>
                <c:pt idx="2">
                  <c:v>304</c:v>
                </c:pt>
                <c:pt idx="3">
                  <c:v>341</c:v>
                </c:pt>
                <c:pt idx="4">
                  <c:v>436</c:v>
                </c:pt>
                <c:pt idx="5">
                  <c:v>467</c:v>
                </c:pt>
                <c:pt idx="6">
                  <c:v>639</c:v>
                </c:pt>
              </c:numCache>
            </c:numRef>
          </c:val>
        </c:ser>
        <c:dLbls>
          <c:showLegendKey val="0"/>
          <c:showVal val="0"/>
          <c:showCatName val="0"/>
          <c:showSerName val="0"/>
          <c:showPercent val="0"/>
          <c:showBubbleSize val="0"/>
        </c:dLbls>
        <c:gapWidth val="75"/>
        <c:overlap val="-25"/>
        <c:axId val="178305664"/>
        <c:axId val="178311552"/>
      </c:barChart>
      <c:lineChart>
        <c:grouping val="standard"/>
        <c:varyColors val="0"/>
        <c:ser>
          <c:idx val="2"/>
          <c:order val="2"/>
          <c:tx>
            <c:strRef>
              <c:f>'Imported vs Total Market'!$D$1</c:f>
              <c:strCache>
                <c:ptCount val="1"/>
                <c:pt idx="0">
                  <c:v>Imported %</c:v>
                </c:pt>
              </c:strCache>
            </c:strRef>
          </c:tx>
          <c:marker>
            <c:symbol val="none"/>
          </c:marker>
          <c:cat>
            <c:numRef>
              <c:f>'Imported vs Total Market'!$A$2:$A$8</c:f>
              <c:numCache>
                <c:formatCode>General</c:formatCode>
                <c:ptCount val="7"/>
                <c:pt idx="0">
                  <c:v>2006</c:v>
                </c:pt>
                <c:pt idx="1">
                  <c:v>2007</c:v>
                </c:pt>
                <c:pt idx="2">
                  <c:v>2008</c:v>
                </c:pt>
                <c:pt idx="3">
                  <c:v>2009</c:v>
                </c:pt>
                <c:pt idx="4">
                  <c:v>2010</c:v>
                </c:pt>
                <c:pt idx="5">
                  <c:v>2011</c:v>
                </c:pt>
                <c:pt idx="6">
                  <c:v>2012</c:v>
                </c:pt>
              </c:numCache>
            </c:numRef>
          </c:cat>
          <c:val>
            <c:numRef>
              <c:f>'Imported vs Total Market'!$D$2:$D$8</c:f>
              <c:numCache>
                <c:formatCode>0.0</c:formatCode>
                <c:ptCount val="7"/>
                <c:pt idx="0">
                  <c:v>3.4079844206426486</c:v>
                </c:pt>
                <c:pt idx="1">
                  <c:v>13.698630136986306</c:v>
                </c:pt>
                <c:pt idx="2">
                  <c:v>19.179810725552088</c:v>
                </c:pt>
                <c:pt idx="3">
                  <c:v>18.572984749455337</c:v>
                </c:pt>
                <c:pt idx="4">
                  <c:v>22.911192853389366</c:v>
                </c:pt>
                <c:pt idx="5">
                  <c:v>30.542838456507521</c:v>
                </c:pt>
                <c:pt idx="6">
                  <c:v>40.468651044965206</c:v>
                </c:pt>
              </c:numCache>
            </c:numRef>
          </c:val>
          <c:smooth val="0"/>
        </c:ser>
        <c:dLbls>
          <c:showLegendKey val="0"/>
          <c:showVal val="0"/>
          <c:showCatName val="0"/>
          <c:showSerName val="0"/>
          <c:showPercent val="0"/>
          <c:showBubbleSize val="0"/>
        </c:dLbls>
        <c:marker val="1"/>
        <c:smooth val="0"/>
        <c:axId val="178314624"/>
        <c:axId val="178313088"/>
      </c:lineChart>
      <c:catAx>
        <c:axId val="178305664"/>
        <c:scaling>
          <c:orientation val="minMax"/>
        </c:scaling>
        <c:delete val="0"/>
        <c:axPos val="b"/>
        <c:numFmt formatCode="General" sourceLinked="1"/>
        <c:majorTickMark val="none"/>
        <c:minorTickMark val="none"/>
        <c:tickLblPos val="nextTo"/>
        <c:crossAx val="178311552"/>
        <c:crosses val="autoZero"/>
        <c:auto val="1"/>
        <c:lblAlgn val="ctr"/>
        <c:lblOffset val="100"/>
        <c:noMultiLvlLbl val="0"/>
      </c:catAx>
      <c:valAx>
        <c:axId val="178311552"/>
        <c:scaling>
          <c:orientation val="minMax"/>
        </c:scaling>
        <c:delete val="0"/>
        <c:axPos val="l"/>
        <c:majorGridlines/>
        <c:numFmt formatCode="General" sourceLinked="1"/>
        <c:majorTickMark val="none"/>
        <c:minorTickMark val="none"/>
        <c:tickLblPos val="nextTo"/>
        <c:spPr>
          <a:ln w="9525">
            <a:noFill/>
          </a:ln>
        </c:spPr>
        <c:crossAx val="178305664"/>
        <c:crosses val="autoZero"/>
        <c:crossBetween val="between"/>
      </c:valAx>
      <c:valAx>
        <c:axId val="178313088"/>
        <c:scaling>
          <c:orientation val="minMax"/>
        </c:scaling>
        <c:delete val="0"/>
        <c:axPos val="r"/>
        <c:numFmt formatCode="0.0" sourceLinked="1"/>
        <c:majorTickMark val="out"/>
        <c:minorTickMark val="none"/>
        <c:tickLblPos val="nextTo"/>
        <c:crossAx val="178314624"/>
        <c:crosses val="max"/>
        <c:crossBetween val="between"/>
      </c:valAx>
      <c:catAx>
        <c:axId val="178314624"/>
        <c:scaling>
          <c:orientation val="minMax"/>
        </c:scaling>
        <c:delete val="1"/>
        <c:axPos val="b"/>
        <c:numFmt formatCode="General" sourceLinked="1"/>
        <c:majorTickMark val="out"/>
        <c:minorTickMark val="none"/>
        <c:tickLblPos val="none"/>
        <c:crossAx val="178313088"/>
        <c:crosses val="autoZero"/>
        <c:auto val="1"/>
        <c:lblAlgn val="ctr"/>
        <c:lblOffset val="100"/>
        <c:noMultiLvlLbl val="0"/>
      </c:catAx>
    </c:plotArea>
    <c:legend>
      <c:legendPos val="b"/>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sz="1000">
          <a:solidFill>
            <a:schemeClr val="dk1"/>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5</Pages>
  <Words>749</Words>
  <Characters>4272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BIC</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73 - Bus Industry Confederation - Australia's Automotive Manufacturing Industry - Public inquiry</dc:title>
  <dc:creator>Bus Industry Confederation</dc:creator>
  <cp:lastModifiedBy>Productivity Commission</cp:lastModifiedBy>
  <cp:revision>2</cp:revision>
  <cp:lastPrinted>2013-12-04T03:34:00Z</cp:lastPrinted>
  <dcterms:created xsi:type="dcterms:W3CDTF">2013-12-05T05:19:00Z</dcterms:created>
  <dcterms:modified xsi:type="dcterms:W3CDTF">2013-12-05T05:19:00Z</dcterms:modified>
</cp:coreProperties>
</file>