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BB" w:rsidRPr="00F87FA2" w:rsidRDefault="00F87FA2" w:rsidP="00F87FA2">
      <w:pPr>
        <w:spacing w:line="276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87FA2">
        <w:rPr>
          <w:b/>
          <w:sz w:val="32"/>
          <w:szCs w:val="32"/>
          <w:u w:val="single"/>
        </w:rPr>
        <w:t xml:space="preserve">In the best interests of the </w:t>
      </w:r>
      <w:r>
        <w:rPr>
          <w:b/>
          <w:sz w:val="32"/>
          <w:szCs w:val="32"/>
          <w:u w:val="single"/>
        </w:rPr>
        <w:t>c</w:t>
      </w:r>
      <w:r w:rsidR="0015011A">
        <w:rPr>
          <w:b/>
          <w:sz w:val="32"/>
          <w:szCs w:val="32"/>
          <w:u w:val="single"/>
        </w:rPr>
        <w:t>ommunity.</w:t>
      </w:r>
    </w:p>
    <w:p w:rsidR="00E963BB" w:rsidRDefault="00E963BB" w:rsidP="006C61F5">
      <w:pPr>
        <w:spacing w:line="276" w:lineRule="auto"/>
      </w:pPr>
    </w:p>
    <w:p w:rsidR="00F87FA2" w:rsidRDefault="00F87FA2" w:rsidP="006C61F5">
      <w:pPr>
        <w:spacing w:line="276" w:lineRule="auto"/>
      </w:pPr>
      <w:r>
        <w:t>Dear commissioners,</w:t>
      </w:r>
    </w:p>
    <w:p w:rsidR="00F87FA2" w:rsidRDefault="00F87FA2" w:rsidP="006C61F5">
      <w:pPr>
        <w:spacing w:line="276" w:lineRule="auto"/>
      </w:pPr>
    </w:p>
    <w:p w:rsidR="006A7E93" w:rsidRDefault="00F87FA2" w:rsidP="006C61F5">
      <w:pPr>
        <w:spacing w:line="276" w:lineRule="auto"/>
      </w:pPr>
      <w:r>
        <w:t xml:space="preserve">After having read </w:t>
      </w:r>
      <w:r w:rsidR="000278C8">
        <w:t xml:space="preserve">your </w:t>
      </w:r>
      <w:r w:rsidR="000C3FBF">
        <w:t>Position</w:t>
      </w:r>
      <w:r>
        <w:t xml:space="preserve"> </w:t>
      </w:r>
      <w:r w:rsidR="000C3FBF">
        <w:t>P</w:t>
      </w:r>
      <w:r w:rsidR="000278C8">
        <w:t>aper</w:t>
      </w:r>
      <w:r>
        <w:t xml:space="preserve"> a number of times, it was </w:t>
      </w:r>
      <w:r w:rsidR="000278C8">
        <w:t xml:space="preserve">evident that </w:t>
      </w:r>
      <w:r w:rsidR="000C3FBF">
        <w:t xml:space="preserve">it would provide </w:t>
      </w:r>
      <w:r w:rsidR="00167FCA">
        <w:t xml:space="preserve">some </w:t>
      </w:r>
      <w:r w:rsidR="000278C8">
        <w:t xml:space="preserve">support for the </w:t>
      </w:r>
      <w:r>
        <w:t xml:space="preserve">current </w:t>
      </w:r>
      <w:r w:rsidR="00316890">
        <w:t>G</w:t>
      </w:r>
      <w:r>
        <w:t>overnment</w:t>
      </w:r>
      <w:r w:rsidR="000278C8">
        <w:t>’s</w:t>
      </w:r>
      <w:r>
        <w:t xml:space="preserve"> </w:t>
      </w:r>
      <w:r w:rsidR="000278C8">
        <w:t>austerity measure</w:t>
      </w:r>
      <w:r w:rsidR="006A7E93">
        <w:t>s</w:t>
      </w:r>
      <w:r w:rsidR="000C3FBF">
        <w:t>. The main aim appears t</w:t>
      </w:r>
      <w:r w:rsidR="00CD4A21">
        <w:t>o</w:t>
      </w:r>
      <w:r w:rsidR="000C3FBF">
        <w:t xml:space="preserve"> be to bring the Budget </w:t>
      </w:r>
      <w:r>
        <w:t xml:space="preserve">deficit into </w:t>
      </w:r>
      <w:r w:rsidR="000278C8">
        <w:t xml:space="preserve">surplus, </w:t>
      </w:r>
      <w:r>
        <w:t xml:space="preserve">in </w:t>
      </w:r>
      <w:r w:rsidR="006A7E93">
        <w:t>a way treating the country as a business that needs to make a profit, simplistically</w:t>
      </w:r>
      <w:r w:rsidR="00167FCA">
        <w:t xml:space="preserve"> speaking</w:t>
      </w:r>
      <w:r w:rsidR="00A96431">
        <w:t>.</w:t>
      </w:r>
    </w:p>
    <w:p w:rsidR="00167FCA" w:rsidRDefault="00167FCA" w:rsidP="006C61F5">
      <w:pPr>
        <w:spacing w:line="276" w:lineRule="auto"/>
      </w:pPr>
    </w:p>
    <w:p w:rsidR="00F87FA2" w:rsidRDefault="000C3FBF" w:rsidP="006C61F5">
      <w:pPr>
        <w:spacing w:line="276" w:lineRule="auto"/>
      </w:pPr>
      <w:r>
        <w:t xml:space="preserve">The proposals outlined in the Position Paper </w:t>
      </w:r>
      <w:r w:rsidR="00F87FA2">
        <w:t xml:space="preserve">will undoubtedly influence the </w:t>
      </w:r>
      <w:r w:rsidR="00316890">
        <w:t>G</w:t>
      </w:r>
      <w:r w:rsidR="00167FCA">
        <w:t xml:space="preserve">overnment’s </w:t>
      </w:r>
      <w:r w:rsidR="00F87FA2">
        <w:t>decision</w:t>
      </w:r>
      <w:r>
        <w:t>-</w:t>
      </w:r>
      <w:r w:rsidR="00F87FA2">
        <w:t xml:space="preserve">making </w:t>
      </w:r>
      <w:r w:rsidR="00E3721F">
        <w:t>process;</w:t>
      </w:r>
      <w:r w:rsidR="00F87FA2">
        <w:t xml:space="preserve"> </w:t>
      </w:r>
      <w:r w:rsidR="00A96431">
        <w:t xml:space="preserve">therefore </w:t>
      </w:r>
      <w:r w:rsidR="00F87FA2">
        <w:t xml:space="preserve">I implore you to re-consider </w:t>
      </w:r>
      <w:r w:rsidR="0015011A" w:rsidRPr="00841F71">
        <w:rPr>
          <w:u w:val="single"/>
        </w:rPr>
        <w:t>some</w:t>
      </w:r>
      <w:r w:rsidR="0015011A">
        <w:t xml:space="preserve"> of </w:t>
      </w:r>
      <w:r w:rsidR="00A96431">
        <w:t xml:space="preserve">the proposals when you submit </w:t>
      </w:r>
      <w:r w:rsidR="006A7E93">
        <w:t>your Final Report</w:t>
      </w:r>
      <w:r w:rsidR="00A96431">
        <w:t xml:space="preserve"> in March</w:t>
      </w:r>
      <w:r w:rsidR="006A7E93">
        <w:t>.</w:t>
      </w:r>
    </w:p>
    <w:p w:rsidR="00841F71" w:rsidRDefault="00841F71" w:rsidP="006C61F5">
      <w:pPr>
        <w:spacing w:line="276" w:lineRule="auto"/>
      </w:pPr>
    </w:p>
    <w:p w:rsidR="006A7E93" w:rsidRDefault="00841F71" w:rsidP="006C61F5">
      <w:pPr>
        <w:spacing w:line="276" w:lineRule="auto"/>
        <w:rPr>
          <w:b/>
          <w:u w:val="single"/>
        </w:rPr>
      </w:pPr>
      <w:r w:rsidRPr="00841F71">
        <w:rPr>
          <w:b/>
          <w:u w:val="single"/>
        </w:rPr>
        <w:t>Here</w:t>
      </w:r>
      <w:r w:rsidR="00E43D2A">
        <w:rPr>
          <w:b/>
          <w:u w:val="single"/>
        </w:rPr>
        <w:t>-</w:t>
      </w:r>
      <w:r w:rsidRPr="00841F71">
        <w:rPr>
          <w:b/>
          <w:u w:val="single"/>
        </w:rPr>
        <w:t xml:space="preserve">with I present a case and </w:t>
      </w:r>
      <w:r w:rsidR="00A96431" w:rsidRPr="00841F71">
        <w:rPr>
          <w:b/>
          <w:u w:val="single"/>
        </w:rPr>
        <w:t xml:space="preserve">argument </w:t>
      </w:r>
      <w:r w:rsidR="00A96431">
        <w:rPr>
          <w:b/>
          <w:u w:val="single"/>
        </w:rPr>
        <w:t>based upon your draft Proposals asking</w:t>
      </w:r>
      <w:r w:rsidR="00E43D2A">
        <w:rPr>
          <w:b/>
          <w:u w:val="single"/>
        </w:rPr>
        <w:t xml:space="preserve"> you to reconsider</w:t>
      </w:r>
      <w:r w:rsidR="00167FCA">
        <w:rPr>
          <w:b/>
          <w:u w:val="single"/>
        </w:rPr>
        <w:t xml:space="preserve"> the following</w:t>
      </w:r>
      <w:r w:rsidRPr="00841F71">
        <w:rPr>
          <w:b/>
          <w:u w:val="single"/>
        </w:rPr>
        <w:t>.</w:t>
      </w:r>
    </w:p>
    <w:p w:rsidR="00841F71" w:rsidRDefault="00841F71" w:rsidP="006C61F5">
      <w:pPr>
        <w:spacing w:line="276" w:lineRule="auto"/>
        <w:rPr>
          <w:b/>
          <w:u w:val="single"/>
        </w:rPr>
      </w:pPr>
    </w:p>
    <w:p w:rsidR="00A64861" w:rsidRDefault="006949F5" w:rsidP="00167FCA">
      <w:pPr>
        <w:spacing w:line="276" w:lineRule="auto"/>
        <w:ind w:left="709"/>
        <w:rPr>
          <w:b/>
        </w:rPr>
      </w:pPr>
      <w:r w:rsidRPr="006949F5">
        <w:rPr>
          <w:b/>
          <w:u w:val="single"/>
        </w:rPr>
        <w:t>Argument 1</w:t>
      </w:r>
      <w:r>
        <w:rPr>
          <w:b/>
          <w:u w:val="single"/>
        </w:rPr>
        <w:t xml:space="preserve">: </w:t>
      </w:r>
      <w:r w:rsidR="00F44152">
        <w:rPr>
          <w:b/>
        </w:rPr>
        <w:t xml:space="preserve"> </w:t>
      </w:r>
      <w:r w:rsidR="00167FCA">
        <w:rPr>
          <w:b/>
        </w:rPr>
        <w:t xml:space="preserve"> </w:t>
      </w:r>
    </w:p>
    <w:p w:rsidR="00841F71" w:rsidRPr="006949F5" w:rsidRDefault="00167FCA" w:rsidP="00167FCA">
      <w:pPr>
        <w:spacing w:line="276" w:lineRule="auto"/>
        <w:ind w:left="709"/>
        <w:rPr>
          <w:b/>
          <w:u w:val="single"/>
        </w:rPr>
      </w:pPr>
      <w:r>
        <w:rPr>
          <w:b/>
        </w:rPr>
        <w:t>Is i</w:t>
      </w:r>
      <w:r w:rsidR="00F44152">
        <w:rPr>
          <w:b/>
        </w:rPr>
        <w:t xml:space="preserve">n support of </w:t>
      </w:r>
      <w:r w:rsidR="00841F71" w:rsidRPr="006949F5">
        <w:rPr>
          <w:b/>
        </w:rPr>
        <w:t>Toyota Australia</w:t>
      </w:r>
      <w:r w:rsidR="00B52743" w:rsidRPr="006949F5">
        <w:rPr>
          <w:b/>
        </w:rPr>
        <w:t xml:space="preserve"> </w:t>
      </w:r>
      <w:r w:rsidR="006949F5" w:rsidRPr="006949F5">
        <w:rPr>
          <w:b/>
        </w:rPr>
        <w:t xml:space="preserve">– </w:t>
      </w:r>
      <w:r w:rsidR="006949F5">
        <w:rPr>
          <w:b/>
        </w:rPr>
        <w:t>to</w:t>
      </w:r>
      <w:r w:rsidR="00E43D2A" w:rsidRPr="006949F5">
        <w:rPr>
          <w:b/>
        </w:rPr>
        <w:t xml:space="preserve"> continue </w:t>
      </w:r>
      <w:r>
        <w:rPr>
          <w:b/>
        </w:rPr>
        <w:t xml:space="preserve">government </w:t>
      </w:r>
      <w:r w:rsidR="00E43D2A" w:rsidRPr="006949F5">
        <w:rPr>
          <w:b/>
        </w:rPr>
        <w:t xml:space="preserve">assistance </w:t>
      </w:r>
      <w:r>
        <w:rPr>
          <w:b/>
        </w:rPr>
        <w:t xml:space="preserve">to TMCA specifically </w:t>
      </w:r>
      <w:r w:rsidR="00E43D2A" w:rsidRPr="006949F5">
        <w:rPr>
          <w:b/>
        </w:rPr>
        <w:t>beyond 2020</w:t>
      </w:r>
      <w:r w:rsidR="00B52743" w:rsidRPr="006949F5">
        <w:rPr>
          <w:b/>
        </w:rPr>
        <w:t>.</w:t>
      </w:r>
    </w:p>
    <w:p w:rsidR="006949F5" w:rsidRDefault="00841F71" w:rsidP="00841F71">
      <w:pPr>
        <w:tabs>
          <w:tab w:val="left" w:pos="709"/>
        </w:tabs>
        <w:spacing w:line="276" w:lineRule="auto"/>
        <w:ind w:left="709"/>
      </w:pPr>
      <w:r>
        <w:tab/>
      </w:r>
    </w:p>
    <w:p w:rsidR="00F87FA2" w:rsidRDefault="00F87FA2" w:rsidP="00841F71">
      <w:pPr>
        <w:tabs>
          <w:tab w:val="left" w:pos="709"/>
        </w:tabs>
        <w:spacing w:line="276" w:lineRule="auto"/>
        <w:ind w:left="709"/>
      </w:pPr>
      <w:r>
        <w:t xml:space="preserve">Toyota Australia is </w:t>
      </w:r>
      <w:r w:rsidR="00A96431">
        <w:t xml:space="preserve">the </w:t>
      </w:r>
      <w:r w:rsidR="00841F71">
        <w:t>“</w:t>
      </w:r>
      <w:r>
        <w:t xml:space="preserve">goose that </w:t>
      </w:r>
      <w:r w:rsidR="00A96431">
        <w:t xml:space="preserve">lays the </w:t>
      </w:r>
      <w:r>
        <w:t>golden eggs</w:t>
      </w:r>
      <w:r w:rsidR="00841F71">
        <w:t>”</w:t>
      </w:r>
      <w:r>
        <w:t xml:space="preserve"> in the form of vital and much needed export dollars.</w:t>
      </w:r>
    </w:p>
    <w:p w:rsidR="00A96431" w:rsidRDefault="00A96431" w:rsidP="00841F71">
      <w:pPr>
        <w:spacing w:line="276" w:lineRule="auto"/>
        <w:ind w:left="709"/>
      </w:pPr>
    </w:p>
    <w:p w:rsidR="00347735" w:rsidRDefault="000278C8" w:rsidP="00841F71">
      <w:pPr>
        <w:spacing w:line="276" w:lineRule="auto"/>
        <w:ind w:left="709"/>
      </w:pPr>
      <w:r>
        <w:t xml:space="preserve">To </w:t>
      </w:r>
      <w:r w:rsidR="006949F5">
        <w:t xml:space="preserve">propose </w:t>
      </w:r>
      <w:r>
        <w:t>that ...</w:t>
      </w:r>
      <w:r w:rsidR="00347735" w:rsidRPr="00347735">
        <w:rPr>
          <w:i/>
        </w:rPr>
        <w:t xml:space="preserve">“ATS funding for Toyota and other eligible businesses should cease in 2020, and not be extended or replaced </w:t>
      </w:r>
      <w:r w:rsidR="00A96431">
        <w:rPr>
          <w:i/>
        </w:rPr>
        <w:t xml:space="preserve">with other specific assistance” </w:t>
      </w:r>
      <w:r w:rsidR="00A96431" w:rsidRPr="00A96431">
        <w:t>i</w:t>
      </w:r>
      <w:r w:rsidRPr="00A96431">
        <w:t>s</w:t>
      </w:r>
      <w:r>
        <w:t xml:space="preserve"> </w:t>
      </w:r>
      <w:r w:rsidR="00A96431">
        <w:t xml:space="preserve">not </w:t>
      </w:r>
      <w:r>
        <w:t>in the best interests of the community.</w:t>
      </w:r>
    </w:p>
    <w:p w:rsidR="000278C8" w:rsidRDefault="00A96431" w:rsidP="006C61F5">
      <w:pPr>
        <w:spacing w:line="276" w:lineRule="auto"/>
      </w:pPr>
      <w:r>
        <w:tab/>
      </w:r>
    </w:p>
    <w:p w:rsidR="00A96431" w:rsidRDefault="003D21B1" w:rsidP="003D21B1">
      <w:pPr>
        <w:spacing w:line="276" w:lineRule="auto"/>
      </w:pPr>
      <w:r>
        <w:tab/>
      </w:r>
      <w:r w:rsidR="00A96431">
        <w:t>Reasons being:</w:t>
      </w:r>
    </w:p>
    <w:p w:rsidR="00337109" w:rsidRDefault="00841F71" w:rsidP="00841F71">
      <w:pPr>
        <w:spacing w:line="276" w:lineRule="auto"/>
        <w:ind w:left="709" w:firstLine="11"/>
      </w:pPr>
      <w:r>
        <w:t xml:space="preserve">In 2012/13 Toyota Australia injected approximately $1.5 billion dollars into the Australian </w:t>
      </w:r>
      <w:r w:rsidR="00337109">
        <w:t>economy</w:t>
      </w:r>
      <w:r>
        <w:t>.</w:t>
      </w:r>
      <w:r w:rsidR="00B52743">
        <w:t xml:space="preserve"> </w:t>
      </w:r>
    </w:p>
    <w:p w:rsidR="00337109" w:rsidRDefault="00167FCA" w:rsidP="00841F71">
      <w:pPr>
        <w:spacing w:line="276" w:lineRule="auto"/>
        <w:ind w:left="709" w:firstLine="11"/>
      </w:pPr>
      <w:r>
        <w:t xml:space="preserve">The export market constitutes </w:t>
      </w:r>
      <w:r w:rsidR="00841F71">
        <w:t xml:space="preserve">70% of that </w:t>
      </w:r>
      <w:r>
        <w:t xml:space="preserve">amount which </w:t>
      </w:r>
      <w:r w:rsidR="00841F71">
        <w:t>equates to $1.05 billion dollars.</w:t>
      </w:r>
      <w:r w:rsidR="00B52743">
        <w:t xml:space="preserve"> </w:t>
      </w:r>
    </w:p>
    <w:p w:rsidR="00337109" w:rsidRDefault="00337109" w:rsidP="00841F71">
      <w:pPr>
        <w:spacing w:line="276" w:lineRule="auto"/>
        <w:ind w:left="709" w:firstLine="11"/>
      </w:pPr>
    </w:p>
    <w:p w:rsidR="00841F71" w:rsidRDefault="00841F71" w:rsidP="00841F71">
      <w:pPr>
        <w:spacing w:line="276" w:lineRule="auto"/>
        <w:ind w:left="709" w:firstLine="11"/>
      </w:pPr>
      <w:r>
        <w:t xml:space="preserve">Assuming a conservative </w:t>
      </w:r>
      <w:r w:rsidR="00167FCA">
        <w:t xml:space="preserve">figure of </w:t>
      </w:r>
      <w:r>
        <w:t xml:space="preserve">50% </w:t>
      </w:r>
      <w:r w:rsidR="00167FCA">
        <w:t xml:space="preserve">for </w:t>
      </w:r>
      <w:r w:rsidR="00B52743">
        <w:t>Australian</w:t>
      </w:r>
      <w:r>
        <w:t xml:space="preserve"> m</w:t>
      </w:r>
      <w:r w:rsidR="00B52743">
        <w:t xml:space="preserve">ade </w:t>
      </w:r>
      <w:r w:rsidR="00167FCA">
        <w:t>content</w:t>
      </w:r>
      <w:r w:rsidR="00337109">
        <w:t>, that</w:t>
      </w:r>
      <w:r w:rsidR="00B52743">
        <w:t xml:space="preserve"> would mean $525 million of someone else’s money </w:t>
      </w:r>
      <w:r w:rsidR="00337109">
        <w:t xml:space="preserve">is </w:t>
      </w:r>
      <w:r w:rsidR="00167FCA">
        <w:t xml:space="preserve">being directly injected into the Australian </w:t>
      </w:r>
      <w:r w:rsidR="00337109">
        <w:t xml:space="preserve">community </w:t>
      </w:r>
      <w:r w:rsidR="00167FCA">
        <w:t xml:space="preserve">to </w:t>
      </w:r>
      <w:r w:rsidR="00B52743">
        <w:t>pa</w:t>
      </w:r>
      <w:r w:rsidR="00167FCA">
        <w:t>y</w:t>
      </w:r>
      <w:r w:rsidR="00B52743">
        <w:t xml:space="preserve"> for the:</w:t>
      </w:r>
    </w:p>
    <w:p w:rsidR="00B52743" w:rsidRDefault="00B52743" w:rsidP="00B52743">
      <w:pPr>
        <w:pStyle w:val="ListParagraph"/>
        <w:numPr>
          <w:ilvl w:val="0"/>
          <w:numId w:val="3"/>
        </w:numPr>
        <w:spacing w:line="276" w:lineRule="auto"/>
      </w:pPr>
      <w:r>
        <w:t xml:space="preserve">Wages </w:t>
      </w:r>
      <w:r w:rsidR="00337109">
        <w:t>of</w:t>
      </w:r>
      <w:r>
        <w:t xml:space="preserve"> Toyota </w:t>
      </w:r>
      <w:r w:rsidR="00167FCA">
        <w:t>employees including engineers, office staff, production workers, maintenance staff, tool makers etc. (</w:t>
      </w:r>
      <w:r>
        <w:t>Altona, Port Melbourne and Notting Hill).</w:t>
      </w:r>
    </w:p>
    <w:p w:rsidR="000278C8" w:rsidRDefault="00B52743" w:rsidP="006C61F5">
      <w:pPr>
        <w:pStyle w:val="ListParagraph"/>
        <w:numPr>
          <w:ilvl w:val="0"/>
          <w:numId w:val="3"/>
        </w:numPr>
        <w:spacing w:line="276" w:lineRule="auto"/>
      </w:pPr>
      <w:r>
        <w:t xml:space="preserve">Wages </w:t>
      </w:r>
      <w:r w:rsidR="00167FCA">
        <w:t xml:space="preserve">of </w:t>
      </w:r>
      <w:r>
        <w:t xml:space="preserve">all </w:t>
      </w:r>
      <w:r w:rsidR="00167FCA">
        <w:t xml:space="preserve">the staff at their </w:t>
      </w:r>
      <w:r>
        <w:t>53 suppliers</w:t>
      </w:r>
      <w:r w:rsidR="00167FCA">
        <w:t xml:space="preserve"> (current).</w:t>
      </w:r>
    </w:p>
    <w:p w:rsidR="00B52743" w:rsidRDefault="00337109" w:rsidP="006C61F5">
      <w:pPr>
        <w:pStyle w:val="ListParagraph"/>
        <w:numPr>
          <w:ilvl w:val="0"/>
          <w:numId w:val="3"/>
        </w:numPr>
        <w:spacing w:line="276" w:lineRule="auto"/>
      </w:pPr>
      <w:r>
        <w:t>Wages of</w:t>
      </w:r>
      <w:r w:rsidR="00B52743">
        <w:t xml:space="preserve"> the suppliers </w:t>
      </w:r>
      <w:r>
        <w:t xml:space="preserve">who make the </w:t>
      </w:r>
      <w:r w:rsidR="00B52743">
        <w:t>raw material</w:t>
      </w:r>
      <w:r w:rsidR="00167FCA">
        <w:t>s</w:t>
      </w:r>
      <w:r w:rsidR="00B52743">
        <w:t>.</w:t>
      </w:r>
    </w:p>
    <w:p w:rsidR="00B52743" w:rsidRDefault="00337109" w:rsidP="00B52743">
      <w:pPr>
        <w:pStyle w:val="ListParagraph"/>
        <w:numPr>
          <w:ilvl w:val="0"/>
          <w:numId w:val="3"/>
        </w:numPr>
        <w:spacing w:line="276" w:lineRule="auto"/>
      </w:pPr>
      <w:r>
        <w:t>Wages of the l</w:t>
      </w:r>
      <w:r w:rsidR="00B52743">
        <w:t>ogistics people</w:t>
      </w:r>
      <w:r w:rsidR="00167FCA">
        <w:t xml:space="preserve"> that transport raw materials and finished goods to and from suppliers and the end product</w:t>
      </w:r>
      <w:r w:rsidR="00B52743">
        <w:t>.</w:t>
      </w:r>
    </w:p>
    <w:p w:rsidR="00B52743" w:rsidRDefault="00E43D2A" w:rsidP="00B52743">
      <w:pPr>
        <w:pStyle w:val="ListParagraph"/>
        <w:numPr>
          <w:ilvl w:val="0"/>
          <w:numId w:val="3"/>
        </w:numPr>
        <w:spacing w:line="276" w:lineRule="auto"/>
        <w:ind w:left="1418"/>
      </w:pPr>
      <w:r>
        <w:t>Supply of r</w:t>
      </w:r>
      <w:r w:rsidR="00B52743">
        <w:t xml:space="preserve">aw materials </w:t>
      </w:r>
      <w:r>
        <w:t xml:space="preserve">such as </w:t>
      </w:r>
      <w:r w:rsidR="00B52743">
        <w:t>steel (Bluescope), plastic and glass.</w:t>
      </w:r>
      <w:r w:rsidR="00316890">
        <w:t xml:space="preserve"> </w:t>
      </w:r>
    </w:p>
    <w:p w:rsidR="00B52743" w:rsidRDefault="00B52743" w:rsidP="00B52743">
      <w:pPr>
        <w:pStyle w:val="ListParagraph"/>
        <w:numPr>
          <w:ilvl w:val="0"/>
          <w:numId w:val="3"/>
        </w:numPr>
        <w:spacing w:line="276" w:lineRule="auto"/>
        <w:ind w:left="1418"/>
      </w:pPr>
      <w:r>
        <w:t>Machinery and equipment used to manufacture subcomponents</w:t>
      </w:r>
      <w:r w:rsidR="00167FCA">
        <w:t>.</w:t>
      </w:r>
    </w:p>
    <w:p w:rsidR="006024EC" w:rsidRDefault="006024EC" w:rsidP="006C61F5">
      <w:pPr>
        <w:spacing w:line="276" w:lineRule="auto"/>
        <w:rPr>
          <w:u w:val="single"/>
        </w:rPr>
      </w:pPr>
    </w:p>
    <w:p w:rsidR="00A64861" w:rsidRDefault="00A64861" w:rsidP="006C61F5">
      <w:pPr>
        <w:spacing w:line="276" w:lineRule="auto"/>
        <w:rPr>
          <w:u w:val="single"/>
        </w:rPr>
      </w:pPr>
    </w:p>
    <w:p w:rsidR="00A64861" w:rsidRDefault="00A64861" w:rsidP="006C61F5">
      <w:pPr>
        <w:spacing w:line="276" w:lineRule="auto"/>
        <w:rPr>
          <w:u w:val="single"/>
        </w:rPr>
      </w:pPr>
    </w:p>
    <w:p w:rsidR="00A64861" w:rsidRDefault="00A64861" w:rsidP="006C61F5">
      <w:pPr>
        <w:spacing w:line="276" w:lineRule="auto"/>
        <w:rPr>
          <w:u w:val="single"/>
        </w:rPr>
      </w:pPr>
    </w:p>
    <w:p w:rsidR="00512116" w:rsidRDefault="00512116" w:rsidP="00907F6D">
      <w:pPr>
        <w:pStyle w:val="ListParagraph"/>
        <w:spacing w:line="276" w:lineRule="auto"/>
      </w:pPr>
      <w:r>
        <w:t>In 2012/13 Toyota Australia received $72 milli</w:t>
      </w:r>
      <w:r w:rsidR="00907786">
        <w:t xml:space="preserve">on </w:t>
      </w:r>
      <w:r>
        <w:t xml:space="preserve">from the </w:t>
      </w:r>
      <w:r w:rsidR="00907786">
        <w:t>Automotive Transformation Scheme</w:t>
      </w:r>
      <w:r w:rsidR="00B52743">
        <w:t xml:space="preserve">, adding another say </w:t>
      </w:r>
      <w:r>
        <w:t xml:space="preserve">$28 million </w:t>
      </w:r>
      <w:r w:rsidR="00B52743">
        <w:t>for the s</w:t>
      </w:r>
      <w:r>
        <w:t>upplier base</w:t>
      </w:r>
      <w:r w:rsidR="00B52743">
        <w:t xml:space="preserve"> would total </w:t>
      </w:r>
      <w:r w:rsidR="00A64861">
        <w:t xml:space="preserve">around </w:t>
      </w:r>
      <w:r w:rsidR="00B52743">
        <w:t>$1</w:t>
      </w:r>
      <w:r>
        <w:t>00 million</w:t>
      </w:r>
      <w:r w:rsidR="00E3721F">
        <w:t>.</w:t>
      </w:r>
    </w:p>
    <w:p w:rsidR="00512116" w:rsidRDefault="00512116" w:rsidP="00907F6D">
      <w:pPr>
        <w:pStyle w:val="ListParagraph"/>
        <w:spacing w:line="276" w:lineRule="auto"/>
      </w:pPr>
    </w:p>
    <w:p w:rsidR="00B52743" w:rsidRDefault="00B52743" w:rsidP="00512116">
      <w:pPr>
        <w:pStyle w:val="ListParagraph"/>
        <w:spacing w:line="276" w:lineRule="auto"/>
      </w:pPr>
      <w:r>
        <w:t xml:space="preserve">An investment from the community of </w:t>
      </w:r>
      <w:r w:rsidR="00512116">
        <w:t xml:space="preserve">$100 million each year </w:t>
      </w:r>
      <w:r>
        <w:t>yielding a return of $525 million is</w:t>
      </w:r>
      <w:r w:rsidR="00681598">
        <w:t xml:space="preserve"> </w:t>
      </w:r>
      <w:r>
        <w:t>in the best interests of the community.</w:t>
      </w:r>
    </w:p>
    <w:p w:rsidR="00B52743" w:rsidRDefault="00B52743" w:rsidP="00512116">
      <w:pPr>
        <w:pStyle w:val="ListParagraph"/>
        <w:spacing w:line="276" w:lineRule="auto"/>
      </w:pPr>
    </w:p>
    <w:p w:rsidR="003C7AE2" w:rsidRPr="00A64861" w:rsidRDefault="00A64861" w:rsidP="00512116">
      <w:pPr>
        <w:pStyle w:val="ListParagraph"/>
        <w:spacing w:line="276" w:lineRule="auto"/>
        <w:rPr>
          <w:u w:val="single"/>
        </w:rPr>
      </w:pPr>
      <w:r>
        <w:t xml:space="preserve">In the business world this would constitute </w:t>
      </w:r>
      <w:r w:rsidR="00B52743" w:rsidRPr="00A64861">
        <w:rPr>
          <w:i/>
        </w:rPr>
        <w:t>“good return on the investment”.</w:t>
      </w:r>
      <w:r w:rsidR="00907786" w:rsidRPr="00A64861">
        <w:rPr>
          <w:u w:val="single"/>
        </w:rPr>
        <w:t xml:space="preserve"> </w:t>
      </w:r>
    </w:p>
    <w:p w:rsidR="00681598" w:rsidRDefault="00681598" w:rsidP="00512116">
      <w:pPr>
        <w:pStyle w:val="ListParagraph"/>
        <w:spacing w:line="276" w:lineRule="auto"/>
        <w:rPr>
          <w:u w:val="single"/>
        </w:rPr>
      </w:pPr>
    </w:p>
    <w:p w:rsidR="00A64861" w:rsidRDefault="00D6695C" w:rsidP="00512116">
      <w:pPr>
        <w:pStyle w:val="ListParagraph"/>
        <w:spacing w:line="276" w:lineRule="auto"/>
      </w:pPr>
      <w:r w:rsidRPr="00D6695C">
        <w:t xml:space="preserve">The abovementioned figures are </w:t>
      </w:r>
      <w:r>
        <w:t>conservative and rough</w:t>
      </w:r>
      <w:r w:rsidR="00A64861">
        <w:t xml:space="preserve">. </w:t>
      </w:r>
    </w:p>
    <w:p w:rsidR="00D6695C" w:rsidRDefault="00A64861" w:rsidP="00512116">
      <w:pPr>
        <w:pStyle w:val="ListParagraph"/>
        <w:spacing w:line="276" w:lineRule="auto"/>
      </w:pPr>
      <w:r>
        <w:t>A</w:t>
      </w:r>
      <w:r w:rsidR="000C3FBF">
        <w:t>n in-</w:t>
      </w:r>
      <w:r w:rsidR="00D6695C">
        <w:t>depth investigation into the financials would need to be conducted</w:t>
      </w:r>
      <w:r w:rsidR="00FB6E70">
        <w:t xml:space="preserve"> to determine the true return on the cost associat</w:t>
      </w:r>
      <w:r w:rsidR="00316890">
        <w:t>ed with G</w:t>
      </w:r>
      <w:r w:rsidR="00FB6E70">
        <w:t>overnment (taxpayer) assistance</w:t>
      </w:r>
      <w:r w:rsidR="00D6695C">
        <w:t xml:space="preserve">. </w:t>
      </w:r>
    </w:p>
    <w:p w:rsidR="00A64861" w:rsidRDefault="00A64861" w:rsidP="00512116">
      <w:pPr>
        <w:pStyle w:val="ListParagraph"/>
        <w:spacing w:line="276" w:lineRule="auto"/>
      </w:pPr>
    </w:p>
    <w:p w:rsidR="00681598" w:rsidRDefault="00D6695C" w:rsidP="00512116">
      <w:pPr>
        <w:pStyle w:val="ListParagraph"/>
        <w:spacing w:line="276" w:lineRule="auto"/>
      </w:pPr>
      <w:r>
        <w:t>However, I am sure that th</w:t>
      </w:r>
      <w:r w:rsidR="00A610D6">
        <w:t xml:space="preserve">e numbers will indicate that the return on the investment would be positive and that the </w:t>
      </w:r>
      <w:r w:rsidR="00316890">
        <w:t>ass</w:t>
      </w:r>
      <w:r w:rsidR="00A64861">
        <w:t xml:space="preserve">istance given to </w:t>
      </w:r>
      <w:r w:rsidR="00A610D6">
        <w:t xml:space="preserve">Toyota would be beneficial to </w:t>
      </w:r>
      <w:r w:rsidR="00DB0891">
        <w:t xml:space="preserve">the </w:t>
      </w:r>
      <w:r w:rsidR="00A610D6">
        <w:t>economy</w:t>
      </w:r>
      <w:r w:rsidR="00A64861">
        <w:t xml:space="preserve"> and justified</w:t>
      </w:r>
      <w:r>
        <w:t>.</w:t>
      </w:r>
    </w:p>
    <w:p w:rsidR="00D6695C" w:rsidRDefault="00D6695C" w:rsidP="00512116">
      <w:pPr>
        <w:pStyle w:val="ListParagraph"/>
        <w:spacing w:line="276" w:lineRule="auto"/>
      </w:pPr>
    </w:p>
    <w:p w:rsidR="0086509A" w:rsidRDefault="00D6695C" w:rsidP="00512116">
      <w:pPr>
        <w:pStyle w:val="ListParagraph"/>
        <w:spacing w:line="276" w:lineRule="auto"/>
      </w:pPr>
      <w:r>
        <w:t>This argument</w:t>
      </w:r>
      <w:r w:rsidR="00E3721F">
        <w:t xml:space="preserve"> </w:t>
      </w:r>
      <w:r w:rsidR="0086509A">
        <w:t xml:space="preserve">based purely upon the ‘numbers’ </w:t>
      </w:r>
      <w:r>
        <w:t xml:space="preserve">should form the basis of </w:t>
      </w:r>
      <w:r w:rsidR="00A64861">
        <w:t>a case</w:t>
      </w:r>
      <w:r w:rsidR="0086509A">
        <w:t xml:space="preserve"> to </w:t>
      </w:r>
      <w:r>
        <w:t xml:space="preserve">retain government </w:t>
      </w:r>
      <w:r w:rsidR="0086509A">
        <w:t xml:space="preserve">assistance to </w:t>
      </w:r>
      <w:r>
        <w:t>Toyota and its supplier</w:t>
      </w:r>
      <w:r w:rsidR="0086509A">
        <w:t xml:space="preserve"> base </w:t>
      </w:r>
      <w:r>
        <w:t>beyond 2020</w:t>
      </w:r>
      <w:r w:rsidR="00A64861">
        <w:t xml:space="preserve"> so long as the figures are in favour of a return to the community.</w:t>
      </w:r>
    </w:p>
    <w:p w:rsidR="00A64861" w:rsidRDefault="00A64861" w:rsidP="00512116">
      <w:pPr>
        <w:pStyle w:val="ListParagraph"/>
        <w:spacing w:line="276" w:lineRule="auto"/>
      </w:pPr>
    </w:p>
    <w:p w:rsidR="00D6695C" w:rsidRDefault="00D6695C" w:rsidP="00512116">
      <w:pPr>
        <w:pStyle w:val="ListParagraph"/>
        <w:spacing w:line="276" w:lineRule="auto"/>
      </w:pPr>
    </w:p>
    <w:p w:rsidR="00A64861" w:rsidRDefault="006949F5" w:rsidP="00A610D6">
      <w:pPr>
        <w:spacing w:line="276" w:lineRule="auto"/>
        <w:ind w:left="720"/>
        <w:rPr>
          <w:b/>
        </w:rPr>
      </w:pPr>
      <w:r w:rsidRPr="006949F5">
        <w:rPr>
          <w:b/>
          <w:u w:val="single"/>
        </w:rPr>
        <w:t xml:space="preserve">Argument </w:t>
      </w:r>
      <w:r>
        <w:rPr>
          <w:b/>
          <w:u w:val="single"/>
        </w:rPr>
        <w:t>2:</w:t>
      </w:r>
      <w:r>
        <w:rPr>
          <w:b/>
        </w:rPr>
        <w:t xml:space="preserve"> </w:t>
      </w:r>
      <w:r w:rsidR="00670AF6">
        <w:rPr>
          <w:b/>
        </w:rPr>
        <w:t xml:space="preserve"> </w:t>
      </w:r>
    </w:p>
    <w:p w:rsidR="00A64861" w:rsidRDefault="00A610D6" w:rsidP="00A610D6">
      <w:pPr>
        <w:spacing w:line="276" w:lineRule="auto"/>
        <w:ind w:left="720"/>
        <w:rPr>
          <w:b/>
        </w:rPr>
      </w:pPr>
      <w:r>
        <w:rPr>
          <w:b/>
        </w:rPr>
        <w:t>Is i</w:t>
      </w:r>
      <w:r w:rsidR="00670AF6">
        <w:rPr>
          <w:b/>
        </w:rPr>
        <w:t xml:space="preserve">n support of </w:t>
      </w:r>
      <w:r>
        <w:rPr>
          <w:b/>
        </w:rPr>
        <w:t>Toyota’s supplier base</w:t>
      </w:r>
      <w:r w:rsidR="006949F5">
        <w:rPr>
          <w:b/>
        </w:rPr>
        <w:t xml:space="preserve"> – to continue government assistance </w:t>
      </w:r>
      <w:r w:rsidR="00A64861">
        <w:rPr>
          <w:b/>
        </w:rPr>
        <w:t xml:space="preserve">to TMCA specific suppliers </w:t>
      </w:r>
      <w:r w:rsidR="006949F5">
        <w:rPr>
          <w:b/>
        </w:rPr>
        <w:t>beyond 2020.</w:t>
      </w:r>
    </w:p>
    <w:p w:rsidR="00D6695C" w:rsidRPr="006949F5" w:rsidRDefault="006949F5" w:rsidP="00A610D6">
      <w:pPr>
        <w:spacing w:line="276" w:lineRule="auto"/>
        <w:ind w:left="720"/>
        <w:rPr>
          <w:b/>
        </w:rPr>
      </w:pPr>
      <w:r>
        <w:rPr>
          <w:b/>
        </w:rPr>
        <w:t xml:space="preserve"> </w:t>
      </w:r>
    </w:p>
    <w:p w:rsidR="00E43D2A" w:rsidRDefault="006949F5" w:rsidP="00E43D2A">
      <w:pPr>
        <w:pStyle w:val="ListParagraph"/>
        <w:spacing w:line="276" w:lineRule="auto"/>
      </w:pPr>
      <w:r>
        <w:t xml:space="preserve">There is confidence </w:t>
      </w:r>
      <w:r w:rsidR="00FC533C">
        <w:t xml:space="preserve">in </w:t>
      </w:r>
      <w:r w:rsidR="00A64861">
        <w:t>in</w:t>
      </w:r>
      <w:r w:rsidR="00FC533C">
        <w:t xml:space="preserve">dustry </w:t>
      </w:r>
      <w:r>
        <w:t xml:space="preserve">that after some consolidation of the supplier base, that Toyota </w:t>
      </w:r>
      <w:r w:rsidR="006F40C5">
        <w:t>Australia</w:t>
      </w:r>
      <w:r>
        <w:t xml:space="preserve"> will be able to “go it alone”.</w:t>
      </w:r>
    </w:p>
    <w:p w:rsidR="00A64861" w:rsidRDefault="00A64861" w:rsidP="00E43D2A">
      <w:pPr>
        <w:pStyle w:val="ListParagraph"/>
        <w:spacing w:line="276" w:lineRule="auto"/>
      </w:pPr>
    </w:p>
    <w:p w:rsidR="00A64861" w:rsidRDefault="006949F5" w:rsidP="00E43D2A">
      <w:pPr>
        <w:pStyle w:val="ListParagraph"/>
        <w:spacing w:line="276" w:lineRule="auto"/>
      </w:pPr>
      <w:r>
        <w:t xml:space="preserve">There will be the need for </w:t>
      </w:r>
      <w:r w:rsidR="004B5BE8">
        <w:t xml:space="preserve">the </w:t>
      </w:r>
      <w:r>
        <w:t xml:space="preserve">supplier base to receive government assistance </w:t>
      </w:r>
      <w:r w:rsidR="004B5BE8">
        <w:t>in supporting Toyota</w:t>
      </w:r>
      <w:r w:rsidR="00A64861">
        <w:t xml:space="preserve"> for the long term</w:t>
      </w:r>
      <w:r w:rsidR="004B5BE8">
        <w:t>.</w:t>
      </w:r>
      <w:r w:rsidR="00C91175">
        <w:t xml:space="preserve"> </w:t>
      </w:r>
    </w:p>
    <w:p w:rsidR="00A64861" w:rsidRDefault="00A64861" w:rsidP="00E43D2A">
      <w:pPr>
        <w:pStyle w:val="ListParagraph"/>
        <w:spacing w:line="276" w:lineRule="auto"/>
      </w:pPr>
    </w:p>
    <w:p w:rsidR="00E43D2A" w:rsidRDefault="004B5BE8" w:rsidP="00E43D2A">
      <w:pPr>
        <w:pStyle w:val="ListParagraph"/>
        <w:spacing w:line="276" w:lineRule="auto"/>
        <w:rPr>
          <w:u w:val="single"/>
        </w:rPr>
      </w:pPr>
      <w:r>
        <w:t>As</w:t>
      </w:r>
      <w:r w:rsidR="006F40C5">
        <w:t xml:space="preserve"> stated, “</w:t>
      </w:r>
      <w:r w:rsidR="006F40C5" w:rsidRPr="006F40C5">
        <w:rPr>
          <w:i/>
        </w:rPr>
        <w:t>Policy rationales for providing industry specific assistance to the automotive industry are weak.</w:t>
      </w:r>
      <w:r w:rsidR="006F40C5">
        <w:t>”</w:t>
      </w:r>
      <w:r w:rsidR="006F40C5" w:rsidRPr="006F40C5">
        <w:t xml:space="preserve"> </w:t>
      </w:r>
      <w:r w:rsidR="006F40C5" w:rsidRPr="004B5BE8">
        <w:rPr>
          <w:u w:val="single"/>
        </w:rPr>
        <w:t>But they are not insignificant.</w:t>
      </w:r>
    </w:p>
    <w:p w:rsidR="0063154B" w:rsidRDefault="0063154B" w:rsidP="00E43D2A">
      <w:pPr>
        <w:pStyle w:val="ListParagraph"/>
        <w:spacing w:line="276" w:lineRule="auto"/>
      </w:pPr>
    </w:p>
    <w:p w:rsidR="006F40C5" w:rsidRDefault="006F40C5" w:rsidP="004B5BE8">
      <w:pPr>
        <w:pStyle w:val="ListParagraph"/>
        <w:spacing w:line="276" w:lineRule="auto"/>
      </w:pPr>
      <w:r>
        <w:t xml:space="preserve">It is difficult to quantify spillover benefits where there is no direct monetary value attached. </w:t>
      </w:r>
      <w:r w:rsidR="0063154B">
        <w:t>There is a direct monetary cost reduction such as the cutting of</w:t>
      </w:r>
      <w:r>
        <w:t xml:space="preserve"> $500 million from </w:t>
      </w:r>
      <w:r w:rsidR="0063154B">
        <w:t xml:space="preserve">ATS, whereas it is more difficult to </w:t>
      </w:r>
      <w:r>
        <w:t>work ou</w:t>
      </w:r>
      <w:r w:rsidR="004B5BE8">
        <w:t xml:space="preserve">t the true cost associated with say, </w:t>
      </w:r>
      <w:r>
        <w:t>m</w:t>
      </w:r>
      <w:r w:rsidRPr="006F40C5">
        <w:t>ultiplier benefits</w:t>
      </w:r>
      <w:r>
        <w:t xml:space="preserve">. </w:t>
      </w:r>
    </w:p>
    <w:p w:rsidR="0063154B" w:rsidRDefault="0063154B" w:rsidP="004B5BE8">
      <w:pPr>
        <w:pStyle w:val="ListParagraph"/>
        <w:spacing w:line="276" w:lineRule="auto"/>
      </w:pPr>
    </w:p>
    <w:p w:rsidR="0063154B" w:rsidRDefault="0063154B" w:rsidP="004B5BE8">
      <w:pPr>
        <w:pStyle w:val="ListParagraph"/>
        <w:spacing w:line="276" w:lineRule="auto"/>
      </w:pPr>
      <w:r>
        <w:t xml:space="preserve">That is why I believe that the argument to continue government assistance up to and beyond 2020 should </w:t>
      </w:r>
      <w:r w:rsidR="009C6827">
        <w:t xml:space="preserve">be </w:t>
      </w:r>
      <w:r>
        <w:t xml:space="preserve">based around “export dollars” that provide a </w:t>
      </w:r>
      <w:r w:rsidR="009C6827">
        <w:t xml:space="preserve">tangible </w:t>
      </w:r>
      <w:r>
        <w:t xml:space="preserve">and </w:t>
      </w:r>
      <w:r w:rsidR="009C6827">
        <w:t>measurable</w:t>
      </w:r>
      <w:r>
        <w:t xml:space="preserve"> monetary </w:t>
      </w:r>
      <w:r w:rsidR="009C6827">
        <w:t>benefit</w:t>
      </w:r>
      <w:r>
        <w:t xml:space="preserve"> to the community</w:t>
      </w:r>
      <w:r w:rsidR="009C6827">
        <w:t>,</w:t>
      </w:r>
      <w:r>
        <w:t xml:space="preserve"> rather than spillover and multiplier affects.</w:t>
      </w:r>
    </w:p>
    <w:p w:rsidR="006F40C5" w:rsidRDefault="006F40C5" w:rsidP="00E43D2A">
      <w:pPr>
        <w:pStyle w:val="ListParagraph"/>
        <w:spacing w:line="276" w:lineRule="auto"/>
      </w:pPr>
    </w:p>
    <w:p w:rsidR="0063154B" w:rsidRDefault="0063154B" w:rsidP="00E43D2A">
      <w:pPr>
        <w:pStyle w:val="ListParagraph"/>
        <w:spacing w:line="276" w:lineRule="auto"/>
      </w:pPr>
    </w:p>
    <w:p w:rsidR="0063154B" w:rsidRDefault="0063154B" w:rsidP="00E43D2A">
      <w:pPr>
        <w:pStyle w:val="ListParagraph"/>
        <w:spacing w:line="276" w:lineRule="auto"/>
      </w:pPr>
    </w:p>
    <w:p w:rsidR="006F40C5" w:rsidRDefault="00F44AE7" w:rsidP="00E43D2A">
      <w:pPr>
        <w:pStyle w:val="ListParagraph"/>
        <w:spacing w:line="276" w:lineRule="auto"/>
      </w:pPr>
      <w:r>
        <w:lastRenderedPageBreak/>
        <w:t xml:space="preserve">The statement, </w:t>
      </w:r>
      <w:r w:rsidRPr="00F44AE7">
        <w:rPr>
          <w:i/>
        </w:rPr>
        <w:t>“Decades of transitional assistance have forestalled but not prevented the structural adjustment now being faced by the industry”</w:t>
      </w:r>
      <w:r>
        <w:rPr>
          <w:i/>
        </w:rPr>
        <w:t xml:space="preserve"> </w:t>
      </w:r>
      <w:r>
        <w:t>holds true to a certain extent.</w:t>
      </w:r>
      <w:r w:rsidR="00FC533C">
        <w:br/>
      </w:r>
    </w:p>
    <w:p w:rsidR="006F40C5" w:rsidRDefault="00C53F75" w:rsidP="00E43D2A">
      <w:pPr>
        <w:pStyle w:val="ListParagraph"/>
        <w:spacing w:line="276" w:lineRule="auto"/>
      </w:pPr>
      <w:r>
        <w:t>It’s</w:t>
      </w:r>
      <w:r w:rsidR="00F44AE7">
        <w:t xml:space="preserve"> not </w:t>
      </w:r>
      <w:r>
        <w:t>because</w:t>
      </w:r>
      <w:r w:rsidR="00F44AE7">
        <w:t xml:space="preserve"> the industry is complacent about </w:t>
      </w:r>
      <w:r>
        <w:t>this</w:t>
      </w:r>
      <w:r w:rsidR="00F44AE7">
        <w:t xml:space="preserve"> subject, </w:t>
      </w:r>
      <w:r>
        <w:t>it’s</w:t>
      </w:r>
      <w:r w:rsidR="00F44AE7">
        <w:t xml:space="preserve"> </w:t>
      </w:r>
      <w:r>
        <w:t>because</w:t>
      </w:r>
      <w:r w:rsidR="00F44AE7">
        <w:t xml:space="preserve"> there really isn’t much out there to transition into.</w:t>
      </w:r>
    </w:p>
    <w:p w:rsidR="009C6827" w:rsidRDefault="009C6827" w:rsidP="00E43D2A">
      <w:pPr>
        <w:pStyle w:val="ListParagraph"/>
        <w:spacing w:line="276" w:lineRule="auto"/>
      </w:pPr>
    </w:p>
    <w:p w:rsidR="009C6827" w:rsidRDefault="00C53F75" w:rsidP="00E43D2A">
      <w:pPr>
        <w:pStyle w:val="ListParagraph"/>
        <w:spacing w:line="276" w:lineRule="auto"/>
      </w:pPr>
      <w:r>
        <w:t xml:space="preserve">For </w:t>
      </w:r>
      <w:r w:rsidR="00F44AE7">
        <w:t xml:space="preserve">example, </w:t>
      </w:r>
      <w:r>
        <w:t>cons</w:t>
      </w:r>
      <w:r w:rsidR="00F44AE7">
        <w:t>ider the manufacturing structure of a</w:t>
      </w:r>
      <w:r w:rsidR="009C6827">
        <w:t xml:space="preserve">n automotive </w:t>
      </w:r>
      <w:r>
        <w:t>supplier</w:t>
      </w:r>
      <w:r w:rsidR="009C6827">
        <w:t xml:space="preserve"> </w:t>
      </w:r>
      <w:r w:rsidR="00F44AE7">
        <w:t xml:space="preserve">whom is </w:t>
      </w:r>
      <w:r>
        <w:t>geared</w:t>
      </w:r>
      <w:r w:rsidR="00F44AE7">
        <w:t xml:space="preserve"> up for fast paced high volume production. </w:t>
      </w:r>
    </w:p>
    <w:p w:rsidR="009C6827" w:rsidRDefault="00F44AE7" w:rsidP="00E43D2A">
      <w:pPr>
        <w:pStyle w:val="ListParagraph"/>
        <w:spacing w:line="276" w:lineRule="auto"/>
      </w:pPr>
      <w:r>
        <w:t xml:space="preserve">Diversifying into other industries </w:t>
      </w:r>
      <w:r w:rsidR="004B5BE8">
        <w:t xml:space="preserve">utilising </w:t>
      </w:r>
      <w:r w:rsidR="009C6827">
        <w:t xml:space="preserve">one’s </w:t>
      </w:r>
      <w:r w:rsidR="004B5BE8">
        <w:t xml:space="preserve">current capabilities </w:t>
      </w:r>
      <w:r>
        <w:t xml:space="preserve">is </w:t>
      </w:r>
      <w:r w:rsidR="002963B8">
        <w:t xml:space="preserve">well </w:t>
      </w:r>
      <w:r>
        <w:t>nigh impossible</w:t>
      </w:r>
      <w:r w:rsidR="002963B8">
        <w:t xml:space="preserve"> because there </w:t>
      </w:r>
      <w:r w:rsidR="009C6827">
        <w:t xml:space="preserve">are limited </w:t>
      </w:r>
      <w:r w:rsidR="002963B8">
        <w:t xml:space="preserve">numbers of </w:t>
      </w:r>
      <w:r w:rsidR="00C53F75">
        <w:t>similar industries</w:t>
      </w:r>
      <w:r w:rsidR="002963B8">
        <w:t>.  And,</w:t>
      </w:r>
      <w:r w:rsidR="00C53F75">
        <w:t xml:space="preserve"> if there </w:t>
      </w:r>
      <w:r w:rsidR="004B5BE8">
        <w:t>are</w:t>
      </w:r>
      <w:r w:rsidR="002963B8">
        <w:t xml:space="preserve"> such industries,</w:t>
      </w:r>
      <w:r w:rsidR="00C53F75">
        <w:t xml:space="preserve"> </w:t>
      </w:r>
    </w:p>
    <w:p w:rsidR="00C53F75" w:rsidRDefault="008D5CD3" w:rsidP="00E43D2A">
      <w:pPr>
        <w:pStyle w:val="ListParagraph"/>
        <w:spacing w:line="276" w:lineRule="auto"/>
      </w:pPr>
      <w:r>
        <w:t>t</w:t>
      </w:r>
      <w:r w:rsidR="002963B8">
        <w:t xml:space="preserve">hey don’t offer the </w:t>
      </w:r>
      <w:r w:rsidR="004B5BE8">
        <w:t>volume</w:t>
      </w:r>
      <w:r w:rsidR="009C6827">
        <w:t xml:space="preserve">s </w:t>
      </w:r>
      <w:r>
        <w:t xml:space="preserve">available in the car industry. </w:t>
      </w:r>
    </w:p>
    <w:p w:rsidR="00FC533C" w:rsidRDefault="00FC533C" w:rsidP="00E43D2A">
      <w:pPr>
        <w:pStyle w:val="ListParagraph"/>
        <w:spacing w:line="276" w:lineRule="auto"/>
      </w:pPr>
    </w:p>
    <w:p w:rsidR="009C6827" w:rsidRDefault="00C53F75" w:rsidP="00E43D2A">
      <w:pPr>
        <w:pStyle w:val="ListParagraph"/>
        <w:spacing w:line="276" w:lineRule="auto"/>
      </w:pPr>
      <w:r>
        <w:t>It will take decades for transitioning to happen</w:t>
      </w:r>
      <w:r w:rsidR="009C6827">
        <w:t xml:space="preserve"> and </w:t>
      </w:r>
      <w:r>
        <w:t xml:space="preserve">not all of the industry has commenced this process from ‘the starting line”. </w:t>
      </w:r>
    </w:p>
    <w:p w:rsidR="004B5BE8" w:rsidRDefault="004B5BE8" w:rsidP="00E43D2A">
      <w:pPr>
        <w:pStyle w:val="ListParagraph"/>
        <w:spacing w:line="276" w:lineRule="auto"/>
      </w:pPr>
      <w:r>
        <w:t>Some will take longer than others.</w:t>
      </w:r>
      <w:r w:rsidR="008D5CD3">
        <w:t xml:space="preserve"> </w:t>
      </w:r>
      <w:r w:rsidR="00C53F75">
        <w:t xml:space="preserve">Those </w:t>
      </w:r>
      <w:r>
        <w:t>companies</w:t>
      </w:r>
      <w:r w:rsidR="00C53F75">
        <w:t xml:space="preserve"> that have transitioned rely upon Toyota as the</w:t>
      </w:r>
      <w:r w:rsidR="008D5CD3">
        <w:t>ir</w:t>
      </w:r>
      <w:r w:rsidR="00C53F75">
        <w:t xml:space="preserve"> </w:t>
      </w:r>
      <w:r w:rsidR="00FD4776">
        <w:t>“core base”</w:t>
      </w:r>
      <w:r>
        <w:t>.</w:t>
      </w:r>
    </w:p>
    <w:p w:rsidR="009C6827" w:rsidRDefault="009C6827" w:rsidP="00E43D2A">
      <w:pPr>
        <w:pStyle w:val="ListParagraph"/>
        <w:spacing w:line="276" w:lineRule="auto"/>
      </w:pPr>
    </w:p>
    <w:p w:rsidR="00FD4776" w:rsidRDefault="004B5BE8" w:rsidP="00E43D2A">
      <w:pPr>
        <w:pStyle w:val="ListParagraph"/>
        <w:spacing w:line="276" w:lineRule="auto"/>
      </w:pPr>
      <w:r>
        <w:t>It is imperative that Toyota remain so that the hard work conducted so far by industry to transition is not wasted.</w:t>
      </w:r>
    </w:p>
    <w:p w:rsidR="004B5BE8" w:rsidRDefault="004B5BE8" w:rsidP="00E43D2A">
      <w:pPr>
        <w:pStyle w:val="ListParagraph"/>
        <w:spacing w:line="276" w:lineRule="auto"/>
      </w:pPr>
    </w:p>
    <w:p w:rsidR="004B5BE8" w:rsidRDefault="004B5BE8" w:rsidP="00E43D2A">
      <w:pPr>
        <w:pStyle w:val="ListParagraph"/>
        <w:spacing w:line="276" w:lineRule="auto"/>
        <w:rPr>
          <w:i/>
        </w:rPr>
      </w:pPr>
      <w:r w:rsidRPr="004B5BE8">
        <w:rPr>
          <w:i/>
        </w:rPr>
        <w:t>“</w:t>
      </w:r>
      <w:r>
        <w:rPr>
          <w:i/>
        </w:rPr>
        <w:t>A</w:t>
      </w:r>
      <w:r w:rsidRPr="004B5BE8">
        <w:rPr>
          <w:i/>
        </w:rPr>
        <w:t>ssistance imposes costs on the community and dulls incentives to improve productivity, seek export opportunities, and diversify into other industries”.</w:t>
      </w:r>
    </w:p>
    <w:p w:rsidR="009C6827" w:rsidRPr="004B5BE8" w:rsidRDefault="009C6827" w:rsidP="00E43D2A">
      <w:pPr>
        <w:pStyle w:val="ListParagraph"/>
        <w:spacing w:line="276" w:lineRule="auto"/>
        <w:rPr>
          <w:i/>
        </w:rPr>
      </w:pPr>
    </w:p>
    <w:p w:rsidR="00C53F75" w:rsidRDefault="004B5BE8" w:rsidP="00E43D2A">
      <w:pPr>
        <w:pStyle w:val="ListParagraph"/>
        <w:spacing w:line="276" w:lineRule="auto"/>
      </w:pPr>
      <w:r>
        <w:t xml:space="preserve">Yes, there is </w:t>
      </w:r>
      <w:r w:rsidR="00C91175">
        <w:t>cost</w:t>
      </w:r>
      <w:r>
        <w:t xml:space="preserve"> associated </w:t>
      </w:r>
      <w:r w:rsidR="00C91175">
        <w:t>with</w:t>
      </w:r>
      <w:r>
        <w:t xml:space="preserve"> assistance, but if the return on that investment is </w:t>
      </w:r>
      <w:r w:rsidR="00C91175">
        <w:t>greater</w:t>
      </w:r>
      <w:r>
        <w:t xml:space="preserve"> than the cost then it is justified.</w:t>
      </w:r>
      <w:r w:rsidR="00FC533C">
        <w:t xml:space="preserve"> As per </w:t>
      </w:r>
      <w:r w:rsidR="009C6827">
        <w:t>A</w:t>
      </w:r>
      <w:r w:rsidR="00FC533C">
        <w:t>rgument 1.</w:t>
      </w:r>
    </w:p>
    <w:p w:rsidR="009C6827" w:rsidRDefault="009C6827" w:rsidP="00E43D2A">
      <w:pPr>
        <w:pStyle w:val="ListParagraph"/>
        <w:spacing w:line="276" w:lineRule="auto"/>
      </w:pPr>
    </w:p>
    <w:p w:rsidR="009C6827" w:rsidRDefault="00C91175" w:rsidP="00E43D2A">
      <w:pPr>
        <w:pStyle w:val="ListParagraph"/>
        <w:spacing w:line="276" w:lineRule="auto"/>
        <w:rPr>
          <w:i/>
        </w:rPr>
      </w:pPr>
      <w:r>
        <w:t xml:space="preserve">On page 7 of the ‘Overview’ paragraph two states that </w:t>
      </w:r>
      <w:r w:rsidRPr="00C91175">
        <w:rPr>
          <w:i/>
        </w:rPr>
        <w:t>“As a consequence of changing market conditions, some component manufacturers have already closed or have undergone considerable structural adjustment by diversifying into other industries or into export markets”.</w:t>
      </w:r>
      <w:r>
        <w:rPr>
          <w:i/>
        </w:rPr>
        <w:t xml:space="preserve"> </w:t>
      </w:r>
    </w:p>
    <w:p w:rsidR="00C91175" w:rsidRDefault="00A31C62" w:rsidP="00E43D2A">
      <w:pPr>
        <w:pStyle w:val="ListParagraph"/>
        <w:spacing w:line="276" w:lineRule="auto"/>
      </w:pPr>
      <w:r>
        <w:t>It is evident from the commission</w:t>
      </w:r>
      <w:r w:rsidR="008D5CD3">
        <w:t>’s</w:t>
      </w:r>
      <w:r>
        <w:t xml:space="preserve"> own findings that it</w:t>
      </w:r>
      <w:r w:rsidR="008D5CD3">
        <w:t>,</w:t>
      </w:r>
      <w:r>
        <w:t xml:space="preserve"> too</w:t>
      </w:r>
      <w:r w:rsidR="008D5CD3">
        <w:t>,</w:t>
      </w:r>
      <w:r>
        <w:t xml:space="preserve"> recognises that some component manufacturers have already sought new markets. I am sure that most will embrace better productivity, most will seek new markets and are willing to diversify.</w:t>
      </w:r>
    </w:p>
    <w:p w:rsidR="00C91175" w:rsidRDefault="00C91175" w:rsidP="00E43D2A">
      <w:pPr>
        <w:pStyle w:val="ListParagraph"/>
        <w:spacing w:line="276" w:lineRule="auto"/>
      </w:pPr>
    </w:p>
    <w:p w:rsidR="00550871" w:rsidRDefault="00095C7A" w:rsidP="00F44152">
      <w:pPr>
        <w:pStyle w:val="ListParagraph"/>
        <w:spacing w:line="276" w:lineRule="auto"/>
      </w:pPr>
      <w:r w:rsidRPr="00095C7A">
        <w:t>In summary, a</w:t>
      </w:r>
      <w:r w:rsidR="00F44152" w:rsidRPr="00095C7A">
        <w:t>lthough</w:t>
      </w:r>
      <w:r w:rsidR="00F44152" w:rsidRPr="00A31C62">
        <w:t xml:space="preserve"> the rationale for industry specific assistance may seem weak to some there is substance in the argument </w:t>
      </w:r>
      <w:r w:rsidR="00550871">
        <w:t xml:space="preserve">from a </w:t>
      </w:r>
      <w:r w:rsidR="00F44152" w:rsidRPr="00A31C62">
        <w:t xml:space="preserve">holistic </w:t>
      </w:r>
      <w:r w:rsidR="00550871">
        <w:t>perspective</w:t>
      </w:r>
      <w:r w:rsidR="00F44152" w:rsidRPr="00A31C62">
        <w:t>.</w:t>
      </w:r>
      <w:r w:rsidR="00550871">
        <w:t xml:space="preserve"> </w:t>
      </w:r>
    </w:p>
    <w:p w:rsidR="00F44152" w:rsidRPr="00A31C62" w:rsidRDefault="00550871" w:rsidP="00F44152">
      <w:pPr>
        <w:pStyle w:val="ListParagraph"/>
        <w:spacing w:line="276" w:lineRule="auto"/>
      </w:pPr>
      <w:r>
        <w:t>Determining a “</w:t>
      </w:r>
      <w:r w:rsidR="00095C7A">
        <w:t>return</w:t>
      </w:r>
      <w:r>
        <w:t xml:space="preserve">” on </w:t>
      </w:r>
      <w:r w:rsidR="00095C7A">
        <w:t xml:space="preserve">spillover/multiplier affects to offset the cost of </w:t>
      </w:r>
      <w:r>
        <w:t>Government assistance is harder</w:t>
      </w:r>
      <w:r w:rsidR="00095C7A">
        <w:t xml:space="preserve"> than herding cats</w:t>
      </w:r>
      <w:r>
        <w:t xml:space="preserve">. </w:t>
      </w:r>
    </w:p>
    <w:p w:rsidR="00550871" w:rsidRDefault="00F44152" w:rsidP="00F44152">
      <w:pPr>
        <w:pStyle w:val="ListParagraph"/>
        <w:spacing w:line="276" w:lineRule="auto"/>
      </w:pPr>
      <w:r w:rsidRPr="00A31C62">
        <w:t xml:space="preserve">Please reconsider the continuation of assistance </w:t>
      </w:r>
      <w:r w:rsidR="005A2450">
        <w:t xml:space="preserve">to </w:t>
      </w:r>
      <w:r w:rsidR="00550871">
        <w:t>Toyota and its supplier base be</w:t>
      </w:r>
      <w:r w:rsidRPr="00A31C62">
        <w:t xml:space="preserve">yond 2020 given that the </w:t>
      </w:r>
      <w:r w:rsidR="00550871">
        <w:t>export dollars are real and give rise to just cause.</w:t>
      </w:r>
    </w:p>
    <w:p w:rsidR="00550871" w:rsidRDefault="00F44152" w:rsidP="00F44152">
      <w:pPr>
        <w:pStyle w:val="ListParagraph"/>
        <w:spacing w:line="276" w:lineRule="auto"/>
      </w:pPr>
      <w:r w:rsidRPr="00A31C62">
        <w:t xml:space="preserve">Also please recognise that suppliers are at different levels of transitioning and that </w:t>
      </w:r>
      <w:r w:rsidR="005A2450">
        <w:t xml:space="preserve">ample </w:t>
      </w:r>
      <w:r w:rsidRPr="00A31C62">
        <w:t xml:space="preserve">time is required for reliance upon government assistance to </w:t>
      </w:r>
      <w:r w:rsidR="00550871">
        <w:t>wean off</w:t>
      </w:r>
      <w:r w:rsidRPr="00A31C62">
        <w:t xml:space="preserve">. </w:t>
      </w:r>
    </w:p>
    <w:p w:rsidR="00F44152" w:rsidRPr="00A31C62" w:rsidRDefault="00F44152" w:rsidP="00F44152">
      <w:pPr>
        <w:pStyle w:val="ListParagraph"/>
        <w:spacing w:line="276" w:lineRule="auto"/>
      </w:pPr>
      <w:r w:rsidRPr="00A31C62">
        <w:t>Some suppliers rely upon Toyota as the</w:t>
      </w:r>
      <w:r w:rsidR="00550871">
        <w:t xml:space="preserve"> foundation of their business to </w:t>
      </w:r>
      <w:r w:rsidR="005A2450">
        <w:t>build upon and expand i</w:t>
      </w:r>
      <w:r w:rsidRPr="00A31C62">
        <w:t xml:space="preserve">nto other </w:t>
      </w:r>
      <w:r w:rsidR="005A2450">
        <w:t xml:space="preserve">products and </w:t>
      </w:r>
      <w:r w:rsidRPr="00A31C62">
        <w:t>markets.</w:t>
      </w:r>
    </w:p>
    <w:p w:rsidR="009C6827" w:rsidRDefault="009C6827" w:rsidP="00E43D2A">
      <w:pPr>
        <w:pStyle w:val="ListParagraph"/>
        <w:spacing w:line="276" w:lineRule="auto"/>
      </w:pPr>
    </w:p>
    <w:p w:rsidR="008D5CD3" w:rsidRDefault="005A2450" w:rsidP="00F44152">
      <w:pPr>
        <w:spacing w:line="276" w:lineRule="auto"/>
        <w:rPr>
          <w:b/>
        </w:rPr>
      </w:pPr>
      <w:r w:rsidRPr="005A2450">
        <w:rPr>
          <w:b/>
        </w:rPr>
        <w:tab/>
      </w:r>
    </w:p>
    <w:p w:rsidR="00516EF6" w:rsidRDefault="008D5CD3" w:rsidP="00F44152">
      <w:pPr>
        <w:spacing w:line="276" w:lineRule="auto"/>
        <w:rPr>
          <w:b/>
        </w:rPr>
      </w:pPr>
      <w:r>
        <w:rPr>
          <w:b/>
        </w:rPr>
        <w:lastRenderedPageBreak/>
        <w:tab/>
      </w:r>
      <w:r w:rsidR="00F44152" w:rsidRPr="006949F5">
        <w:rPr>
          <w:b/>
          <w:u w:val="single"/>
        </w:rPr>
        <w:t xml:space="preserve">Argument </w:t>
      </w:r>
      <w:r w:rsidR="00F44152">
        <w:rPr>
          <w:b/>
          <w:u w:val="single"/>
        </w:rPr>
        <w:t>3:</w:t>
      </w:r>
      <w:r w:rsidR="00F44152">
        <w:rPr>
          <w:b/>
        </w:rPr>
        <w:t xml:space="preserve">  </w:t>
      </w:r>
    </w:p>
    <w:p w:rsidR="00F44152" w:rsidRDefault="00516EF6" w:rsidP="00F44152">
      <w:pPr>
        <w:spacing w:line="276" w:lineRule="auto"/>
        <w:rPr>
          <w:b/>
        </w:rPr>
      </w:pPr>
      <w:r>
        <w:rPr>
          <w:b/>
        </w:rPr>
        <w:tab/>
      </w:r>
      <w:r w:rsidR="00214851">
        <w:rPr>
          <w:b/>
        </w:rPr>
        <w:t xml:space="preserve">Is in support of the procurement of </w:t>
      </w:r>
      <w:r>
        <w:rPr>
          <w:b/>
        </w:rPr>
        <w:t>Australian</w:t>
      </w:r>
      <w:r w:rsidR="008D5CD3">
        <w:rPr>
          <w:b/>
        </w:rPr>
        <w:t>-</w:t>
      </w:r>
      <w:r w:rsidR="00214851">
        <w:rPr>
          <w:b/>
        </w:rPr>
        <w:t xml:space="preserve">made Toyota vehicles – </w:t>
      </w:r>
      <w:r w:rsidR="00214851">
        <w:rPr>
          <w:b/>
        </w:rPr>
        <w:tab/>
        <w:t>against the r</w:t>
      </w:r>
      <w:r w:rsidR="00670AF6">
        <w:rPr>
          <w:b/>
        </w:rPr>
        <w:t xml:space="preserve">emoval </w:t>
      </w:r>
      <w:r>
        <w:rPr>
          <w:b/>
        </w:rPr>
        <w:tab/>
        <w:t>of fleet</w:t>
      </w:r>
      <w:r w:rsidR="00670AF6">
        <w:rPr>
          <w:b/>
        </w:rPr>
        <w:t xml:space="preserve"> procurement policies.</w:t>
      </w:r>
    </w:p>
    <w:p w:rsidR="00670AF6" w:rsidRDefault="00670AF6" w:rsidP="00670AF6">
      <w:pPr>
        <w:tabs>
          <w:tab w:val="left" w:pos="709"/>
        </w:tabs>
        <w:spacing w:line="276" w:lineRule="auto"/>
      </w:pPr>
      <w:r>
        <w:rPr>
          <w:b/>
        </w:rPr>
        <w:tab/>
      </w:r>
      <w:r w:rsidR="002E6B20">
        <w:t>I ask the commission to reconsider the proposal to remove this policy.</w:t>
      </w:r>
    </w:p>
    <w:p w:rsidR="002E6B20" w:rsidRDefault="002E6B20" w:rsidP="00670AF6">
      <w:pPr>
        <w:tabs>
          <w:tab w:val="left" w:pos="709"/>
        </w:tabs>
        <w:spacing w:line="276" w:lineRule="auto"/>
      </w:pPr>
      <w:r>
        <w:tab/>
      </w:r>
    </w:p>
    <w:p w:rsidR="002E6B20" w:rsidRPr="002E6B20" w:rsidRDefault="002E6B20" w:rsidP="002E6B20">
      <w:pPr>
        <w:tabs>
          <w:tab w:val="left" w:pos="709"/>
        </w:tabs>
        <w:spacing w:line="276" w:lineRule="auto"/>
        <w:ind w:left="709"/>
        <w:rPr>
          <w:u w:val="single"/>
        </w:rPr>
      </w:pPr>
      <w:r w:rsidRPr="002E6B20">
        <w:rPr>
          <w:u w:val="single"/>
        </w:rPr>
        <w:tab/>
        <w:t xml:space="preserve">In fact I take this opportunity to ask the commission </w:t>
      </w:r>
      <w:r w:rsidR="00FC533C">
        <w:rPr>
          <w:u w:val="single"/>
        </w:rPr>
        <w:t>to propose that the Australian G</w:t>
      </w:r>
      <w:r w:rsidRPr="002E6B20">
        <w:rPr>
          <w:u w:val="single"/>
        </w:rPr>
        <w:t>overnment</w:t>
      </w:r>
      <w:r w:rsidR="00214851">
        <w:rPr>
          <w:u w:val="single"/>
        </w:rPr>
        <w:t>,</w:t>
      </w:r>
      <w:r w:rsidRPr="002E6B20">
        <w:rPr>
          <w:u w:val="single"/>
        </w:rPr>
        <w:t xml:space="preserve"> including its states and territories make it </w:t>
      </w:r>
      <w:r w:rsidRPr="00214851">
        <w:rPr>
          <w:b/>
          <w:u w:val="single"/>
        </w:rPr>
        <w:t>mandatory</w:t>
      </w:r>
      <w:r w:rsidRPr="002E6B20">
        <w:rPr>
          <w:u w:val="single"/>
        </w:rPr>
        <w:t xml:space="preserve"> to purchase Australian made vehicles where practicable.</w:t>
      </w:r>
    </w:p>
    <w:p w:rsidR="00214851" w:rsidRDefault="002E6B20" w:rsidP="00214851">
      <w:pPr>
        <w:shd w:val="clear" w:color="auto" w:fill="FFFFFF"/>
        <w:spacing w:before="100" w:beforeAutospacing="1" w:after="100" w:afterAutospacing="1" w:line="276" w:lineRule="auto"/>
        <w:ind w:left="720"/>
        <w:rPr>
          <w:rFonts w:eastAsia="Times New Roman" w:cstheme="minorHAnsi"/>
          <w:lang w:eastAsia="en-AU"/>
        </w:rPr>
      </w:pPr>
      <w:r w:rsidRPr="003143A9">
        <w:rPr>
          <w:rFonts w:eastAsia="Times New Roman" w:cstheme="minorHAnsi"/>
          <w:lang w:eastAsia="en-AU"/>
        </w:rPr>
        <w:t xml:space="preserve">There is a direct correlation between consumer purchasing behaviour and employment, local economic development and prosperity </w:t>
      </w:r>
      <w:r w:rsidR="00214851">
        <w:rPr>
          <w:rFonts w:eastAsia="Times New Roman" w:cstheme="minorHAnsi"/>
          <w:lang w:eastAsia="en-AU"/>
        </w:rPr>
        <w:t>(</w:t>
      </w:r>
      <w:hyperlink r:id="rId7" w:history="1">
        <w:r w:rsidR="00214851" w:rsidRPr="005C3470">
          <w:rPr>
            <w:rStyle w:val="Hyperlink"/>
            <w:rFonts w:eastAsia="Times New Roman" w:cstheme="minorHAnsi"/>
            <w:lang w:eastAsia="en-AU"/>
          </w:rPr>
          <w:t>www.icn.org.au</w:t>
        </w:r>
      </w:hyperlink>
      <w:r w:rsidR="00214851">
        <w:rPr>
          <w:rFonts w:eastAsia="Times New Roman" w:cstheme="minorHAnsi"/>
          <w:lang w:eastAsia="en-AU"/>
        </w:rPr>
        <w:t xml:space="preserve">). </w:t>
      </w:r>
    </w:p>
    <w:p w:rsidR="00516EF6" w:rsidRDefault="002E6B20" w:rsidP="00214851">
      <w:pPr>
        <w:shd w:val="clear" w:color="auto" w:fill="FFFFFF"/>
        <w:spacing w:after="100" w:afterAutospacing="1" w:line="276" w:lineRule="auto"/>
        <w:ind w:left="720"/>
        <w:contextualSpacing/>
        <w:rPr>
          <w:rFonts w:eastAsia="Times New Roman" w:cstheme="minorHAnsi"/>
          <w:lang w:eastAsia="en-AU"/>
        </w:rPr>
      </w:pPr>
      <w:r w:rsidRPr="003143A9">
        <w:rPr>
          <w:rFonts w:eastAsia="Times New Roman" w:cstheme="minorHAnsi"/>
          <w:lang w:eastAsia="en-AU"/>
        </w:rPr>
        <w:t>When you buy Australian-made products, you can be sure you are keeping your family members and friends employed</w:t>
      </w:r>
      <w:r w:rsidR="008D5CD3">
        <w:rPr>
          <w:rFonts w:eastAsia="Times New Roman" w:cstheme="minorHAnsi"/>
          <w:lang w:eastAsia="en-AU"/>
        </w:rPr>
        <w:t>,</w:t>
      </w:r>
      <w:r w:rsidR="003143A9">
        <w:rPr>
          <w:rFonts w:eastAsia="Times New Roman" w:cstheme="minorHAnsi"/>
          <w:lang w:eastAsia="en-AU"/>
        </w:rPr>
        <w:t xml:space="preserve"> which is </w:t>
      </w:r>
      <w:r w:rsidR="008D5CD3">
        <w:rPr>
          <w:rFonts w:eastAsia="Times New Roman" w:cstheme="minorHAnsi"/>
          <w:lang w:eastAsia="en-AU"/>
        </w:rPr>
        <w:t xml:space="preserve">in </w:t>
      </w:r>
      <w:r w:rsidR="003143A9">
        <w:rPr>
          <w:rFonts w:eastAsia="Times New Roman" w:cstheme="minorHAnsi"/>
          <w:lang w:eastAsia="en-AU"/>
        </w:rPr>
        <w:t>the best interest of the community.</w:t>
      </w:r>
    </w:p>
    <w:p w:rsidR="002E6B20" w:rsidRPr="003143A9" w:rsidRDefault="002E6B20" w:rsidP="00214851">
      <w:pPr>
        <w:shd w:val="clear" w:color="auto" w:fill="FFFFFF"/>
        <w:spacing w:after="100" w:afterAutospacing="1" w:line="276" w:lineRule="auto"/>
        <w:ind w:left="720"/>
        <w:contextualSpacing/>
        <w:rPr>
          <w:rFonts w:eastAsia="Times New Roman" w:cstheme="minorHAnsi"/>
          <w:lang w:eastAsia="en-AU"/>
        </w:rPr>
      </w:pPr>
      <w:r w:rsidRPr="003143A9">
        <w:rPr>
          <w:rFonts w:eastAsia="Times New Roman" w:cstheme="minorHAnsi"/>
          <w:lang w:eastAsia="en-AU"/>
        </w:rPr>
        <w:br/>
        <w:t xml:space="preserve">Research published by the Industry Capability </w:t>
      </w:r>
      <w:r w:rsidR="003143A9" w:rsidRPr="003143A9">
        <w:rPr>
          <w:rFonts w:eastAsia="Times New Roman" w:cstheme="minorHAnsi"/>
          <w:lang w:eastAsia="en-AU"/>
        </w:rPr>
        <w:t>Network</w:t>
      </w:r>
      <w:r w:rsidR="00214851">
        <w:rPr>
          <w:rFonts w:eastAsia="Times New Roman" w:cstheme="minorHAnsi"/>
          <w:lang w:eastAsia="en-AU"/>
        </w:rPr>
        <w:t xml:space="preserve"> (ICN)</w:t>
      </w:r>
      <w:r w:rsidRPr="003143A9">
        <w:rPr>
          <w:rFonts w:eastAsia="Times New Roman" w:cstheme="minorHAnsi"/>
          <w:lang w:eastAsia="en-AU"/>
        </w:rPr>
        <w:t xml:space="preserve"> </w:t>
      </w:r>
      <w:r w:rsidR="00516EF6">
        <w:rPr>
          <w:rFonts w:eastAsia="Times New Roman" w:cstheme="minorHAnsi"/>
          <w:lang w:eastAsia="en-AU"/>
        </w:rPr>
        <w:t xml:space="preserve">states that </w:t>
      </w:r>
      <w:r w:rsidRPr="003143A9">
        <w:rPr>
          <w:rFonts w:eastAsia="Times New Roman" w:cstheme="minorHAnsi"/>
          <w:lang w:eastAsia="en-AU"/>
        </w:rPr>
        <w:t xml:space="preserve">for every $1 million of new or retained manufacturing business in Australia, the following effects flow through </w:t>
      </w:r>
      <w:r w:rsidR="00516EF6">
        <w:rPr>
          <w:rFonts w:eastAsia="Times New Roman" w:cstheme="minorHAnsi"/>
          <w:lang w:eastAsia="en-AU"/>
        </w:rPr>
        <w:t xml:space="preserve">to </w:t>
      </w:r>
      <w:r w:rsidRPr="003143A9">
        <w:rPr>
          <w:rFonts w:eastAsia="Times New Roman" w:cstheme="minorHAnsi"/>
          <w:lang w:eastAsia="en-AU"/>
        </w:rPr>
        <w:t>the economy:</w:t>
      </w:r>
    </w:p>
    <w:p w:rsidR="002E6B20" w:rsidRPr="003143A9" w:rsidRDefault="002E6B20" w:rsidP="00214851">
      <w:pPr>
        <w:numPr>
          <w:ilvl w:val="0"/>
          <w:numId w:val="4"/>
        </w:numPr>
        <w:shd w:val="clear" w:color="auto" w:fill="FFFFFF"/>
        <w:tabs>
          <w:tab w:val="clear" w:pos="865"/>
          <w:tab w:val="num" w:pos="851"/>
        </w:tabs>
        <w:spacing w:after="100" w:afterAutospacing="1" w:line="276" w:lineRule="auto"/>
        <w:ind w:left="1418"/>
        <w:contextualSpacing/>
        <w:rPr>
          <w:rFonts w:eastAsia="Times New Roman" w:cstheme="minorHAnsi"/>
          <w:lang w:eastAsia="en-AU"/>
        </w:rPr>
      </w:pPr>
      <w:r w:rsidRPr="003143A9">
        <w:rPr>
          <w:rFonts w:eastAsia="Times New Roman" w:cstheme="minorHAnsi"/>
          <w:lang w:eastAsia="en-AU"/>
        </w:rPr>
        <w:t>$333,900 worth of tax revenue generated</w:t>
      </w:r>
    </w:p>
    <w:p w:rsidR="002E6B20" w:rsidRPr="003143A9" w:rsidRDefault="002E6B20" w:rsidP="00214851">
      <w:pPr>
        <w:numPr>
          <w:ilvl w:val="0"/>
          <w:numId w:val="4"/>
        </w:numPr>
        <w:shd w:val="clear" w:color="auto" w:fill="FFFFFF"/>
        <w:spacing w:after="100" w:afterAutospacing="1" w:line="276" w:lineRule="auto"/>
        <w:ind w:left="1418"/>
        <w:contextualSpacing/>
        <w:rPr>
          <w:rFonts w:eastAsia="Times New Roman" w:cstheme="minorHAnsi"/>
          <w:lang w:eastAsia="en-AU"/>
        </w:rPr>
      </w:pPr>
      <w:r w:rsidRPr="003143A9">
        <w:rPr>
          <w:rFonts w:eastAsia="Times New Roman" w:cstheme="minorHAnsi"/>
          <w:lang w:eastAsia="en-AU"/>
        </w:rPr>
        <w:t>$985,000 worth of value-added generated</w:t>
      </w:r>
    </w:p>
    <w:p w:rsidR="002E6B20" w:rsidRPr="003143A9" w:rsidRDefault="002E6B20" w:rsidP="00214851">
      <w:pPr>
        <w:numPr>
          <w:ilvl w:val="0"/>
          <w:numId w:val="4"/>
        </w:numPr>
        <w:shd w:val="clear" w:color="auto" w:fill="FFFFFF"/>
        <w:spacing w:after="100" w:afterAutospacing="1" w:line="276" w:lineRule="auto"/>
        <w:ind w:left="1418"/>
        <w:contextualSpacing/>
        <w:rPr>
          <w:rFonts w:eastAsia="Times New Roman" w:cstheme="minorHAnsi"/>
          <w:lang w:eastAsia="en-AU"/>
        </w:rPr>
      </w:pPr>
      <w:r w:rsidRPr="003143A9">
        <w:rPr>
          <w:rFonts w:eastAsia="Times New Roman" w:cstheme="minorHAnsi"/>
          <w:lang w:eastAsia="en-AU"/>
        </w:rPr>
        <w:t>$95,000 worth of welfare benefits saved</w:t>
      </w:r>
    </w:p>
    <w:p w:rsidR="002E6B20" w:rsidRPr="003143A9" w:rsidRDefault="002E6B20" w:rsidP="00214851">
      <w:pPr>
        <w:numPr>
          <w:ilvl w:val="0"/>
          <w:numId w:val="4"/>
        </w:numPr>
        <w:shd w:val="clear" w:color="auto" w:fill="FFFFFF"/>
        <w:spacing w:after="100" w:afterAutospacing="1" w:line="276" w:lineRule="auto"/>
        <w:ind w:left="1418"/>
        <w:contextualSpacing/>
        <w:rPr>
          <w:rFonts w:eastAsia="Times New Roman" w:cstheme="minorHAnsi"/>
          <w:lang w:eastAsia="en-AU"/>
        </w:rPr>
      </w:pPr>
      <w:r w:rsidRPr="003143A9">
        <w:rPr>
          <w:rFonts w:eastAsia="Times New Roman" w:cstheme="minorHAnsi"/>
          <w:lang w:eastAsia="en-AU"/>
        </w:rPr>
        <w:t>10 full-time jobs created</w:t>
      </w:r>
    </w:p>
    <w:p w:rsidR="00516EF6" w:rsidRDefault="00516EF6" w:rsidP="00214851">
      <w:pPr>
        <w:spacing w:line="276" w:lineRule="auto"/>
        <w:contextualSpacing/>
        <w:rPr>
          <w:b/>
        </w:rPr>
      </w:pPr>
      <w:r w:rsidRPr="00516EF6">
        <w:rPr>
          <w:b/>
        </w:rPr>
        <w:tab/>
      </w:r>
    </w:p>
    <w:p w:rsidR="00516EF6" w:rsidRDefault="00516EF6" w:rsidP="00214851">
      <w:pPr>
        <w:spacing w:line="276" w:lineRule="auto"/>
        <w:contextualSpacing/>
        <w:rPr>
          <w:b/>
        </w:rPr>
      </w:pPr>
      <w:r>
        <w:rPr>
          <w:b/>
        </w:rPr>
        <w:tab/>
      </w:r>
      <w:r w:rsidR="003143A9" w:rsidRPr="006949F5">
        <w:rPr>
          <w:b/>
          <w:u w:val="single"/>
        </w:rPr>
        <w:t xml:space="preserve">Argument </w:t>
      </w:r>
      <w:r w:rsidR="003143A9">
        <w:rPr>
          <w:b/>
          <w:u w:val="single"/>
        </w:rPr>
        <w:t>4:</w:t>
      </w:r>
      <w:r w:rsidR="003143A9">
        <w:rPr>
          <w:b/>
        </w:rPr>
        <w:t xml:space="preserve">  </w:t>
      </w:r>
    </w:p>
    <w:p w:rsidR="003143A9" w:rsidRDefault="008D5CD3" w:rsidP="00214851">
      <w:pPr>
        <w:spacing w:line="276" w:lineRule="auto"/>
        <w:contextualSpacing/>
        <w:rPr>
          <w:b/>
        </w:rPr>
      </w:pPr>
      <w:r>
        <w:rPr>
          <w:b/>
        </w:rPr>
        <w:tab/>
      </w:r>
      <w:r w:rsidR="00516EF6">
        <w:rPr>
          <w:b/>
        </w:rPr>
        <w:t xml:space="preserve">Is </w:t>
      </w:r>
      <w:r>
        <w:rPr>
          <w:b/>
        </w:rPr>
        <w:t>against the unrestricted importing of used vehicles</w:t>
      </w:r>
      <w:r w:rsidR="005B0DE2">
        <w:rPr>
          <w:b/>
        </w:rPr>
        <w:t xml:space="preserve"> on a large scale.</w:t>
      </w:r>
    </w:p>
    <w:p w:rsidR="00E43D2A" w:rsidRDefault="005B0DE2" w:rsidP="00214851">
      <w:pPr>
        <w:pStyle w:val="ListParagraph"/>
        <w:spacing w:line="276" w:lineRule="auto"/>
      </w:pPr>
      <w:r>
        <w:t>I ask the commission to reconsider this proposal and maintain resistance towards the importation of second hand vehicle</w:t>
      </w:r>
      <w:r w:rsidR="00516EF6">
        <w:t>s</w:t>
      </w:r>
      <w:r>
        <w:t xml:space="preserve"> on </w:t>
      </w:r>
      <w:r w:rsidR="00516EF6">
        <w:t>a large scale</w:t>
      </w:r>
      <w:r>
        <w:t>.</w:t>
      </w:r>
    </w:p>
    <w:p w:rsidR="005B0DE2" w:rsidRDefault="005B0DE2" w:rsidP="00214851">
      <w:pPr>
        <w:pStyle w:val="ListParagraph"/>
        <w:spacing w:line="276" w:lineRule="auto"/>
      </w:pPr>
    </w:p>
    <w:p w:rsidR="00531DB4" w:rsidRDefault="005B0DE2" w:rsidP="00214851">
      <w:pPr>
        <w:pStyle w:val="ListParagraph"/>
        <w:spacing w:line="276" w:lineRule="auto"/>
      </w:pPr>
      <w:r>
        <w:t>As suggested in the commission</w:t>
      </w:r>
      <w:r w:rsidR="008D5CD3">
        <w:t>’</w:t>
      </w:r>
      <w:r>
        <w:t>s paper, removal of restrictions and thereby increasing the level of importation of second hand vehicles “</w:t>
      </w:r>
      <w:r>
        <w:rPr>
          <w:i/>
        </w:rPr>
        <w:t xml:space="preserve">may have put downward pressure on second-hand car prices and increased consumer choice in the second-hand vehicle market” </w:t>
      </w:r>
      <w:r>
        <w:t>in New Zealand.</w:t>
      </w:r>
    </w:p>
    <w:p w:rsidR="00952F05" w:rsidRDefault="00952F05" w:rsidP="00952F05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952F05" w:rsidRDefault="00952F05" w:rsidP="00E211D9">
      <w:pPr>
        <w:spacing w:line="276" w:lineRule="auto"/>
        <w:rPr>
          <w:rFonts w:eastAsia="Times New Roman"/>
        </w:rPr>
      </w:pPr>
      <w:r>
        <w:rPr>
          <w:rFonts w:eastAsia="Times New Roman"/>
        </w:rPr>
        <w:tab/>
        <w:t xml:space="preserve">If an influx of cheap second hand vehicles enters Australia there would be instances of poor </w:t>
      </w:r>
      <w:r>
        <w:rPr>
          <w:rFonts w:eastAsia="Times New Roman"/>
        </w:rPr>
        <w:tab/>
        <w:t>quality that would result in:</w:t>
      </w:r>
    </w:p>
    <w:p w:rsidR="00952F05" w:rsidRDefault="00952F05" w:rsidP="00E211D9">
      <w:pPr>
        <w:spacing w:line="276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1) Cars with altered odometers </w:t>
      </w:r>
    </w:p>
    <w:p w:rsidR="00952F05" w:rsidRDefault="00952F05" w:rsidP="00E211D9">
      <w:pPr>
        <w:spacing w:line="276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2) Cars with no service history  </w:t>
      </w:r>
    </w:p>
    <w:p w:rsidR="00952F05" w:rsidRDefault="00952F05" w:rsidP="00E211D9">
      <w:pPr>
        <w:spacing w:line="276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3) Cars with different specifications to cars made for Australia: for example, an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imported used Mazda3 may not have the airbags that were fitted to all the new cars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brought to Australia by Mazda. </w:t>
      </w:r>
    </w:p>
    <w:p w:rsidR="00952F05" w:rsidRDefault="00952F05" w:rsidP="00E211D9">
      <w:pPr>
        <w:spacing w:line="276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4) Imported used cars may be welded up from two different halves from wrecked </w:t>
      </w:r>
      <w:r>
        <w:rPr>
          <w:rFonts w:eastAsia="Times New Roman"/>
        </w:rPr>
        <w:tab/>
      </w:r>
      <w:r>
        <w:rPr>
          <w:rFonts w:eastAsia="Times New Roman"/>
        </w:rPr>
        <w:tab/>
        <w:t>cars</w:t>
      </w:r>
    </w:p>
    <w:p w:rsidR="00952F05" w:rsidRDefault="00952F05" w:rsidP="00E211D9">
      <w:pPr>
        <w:spacing w:line="276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5) Cars that have been badly repaired after an accident.</w:t>
      </w:r>
    </w:p>
    <w:p w:rsidR="00952F05" w:rsidRDefault="00952F05" w:rsidP="00E211D9">
      <w:pPr>
        <w:spacing w:line="276" w:lineRule="auto"/>
        <w:rPr>
          <w:rFonts w:eastAsia="Times New Roman"/>
        </w:rPr>
      </w:pPr>
      <w:r>
        <w:rPr>
          <w:rFonts w:eastAsia="Times New Roman"/>
        </w:rPr>
        <w:tab/>
        <w:t xml:space="preserve">Allowing such cars into the country would put consumers' lives at risk. They could also </w:t>
      </w:r>
      <w:r>
        <w:rPr>
          <w:rFonts w:eastAsia="Times New Roman"/>
        </w:rPr>
        <w:tab/>
        <w:t xml:space="preserve">undermine the value of millions of used cars owned by Australians and dealers. This could </w:t>
      </w:r>
      <w:r>
        <w:rPr>
          <w:rFonts w:eastAsia="Times New Roman"/>
        </w:rPr>
        <w:tab/>
        <w:t xml:space="preserve">result in the loss of billions of dollars of value to Australian car owners because the value of </w:t>
      </w:r>
      <w:r>
        <w:rPr>
          <w:rFonts w:eastAsia="Times New Roman"/>
        </w:rPr>
        <w:tab/>
        <w:t>their used cars would drop.</w:t>
      </w:r>
    </w:p>
    <w:p w:rsidR="00952F05" w:rsidRDefault="00952F05" w:rsidP="00E211D9">
      <w:pPr>
        <w:pStyle w:val="ListParagraph"/>
        <w:spacing w:line="276" w:lineRule="auto"/>
      </w:pPr>
    </w:p>
    <w:p w:rsidR="00516EF6" w:rsidRDefault="00516EF6" w:rsidP="00E211D9">
      <w:pPr>
        <w:spacing w:line="276" w:lineRule="auto"/>
        <w:contextualSpacing/>
        <w:rPr>
          <w:b/>
        </w:rPr>
      </w:pPr>
      <w:r w:rsidRPr="00516EF6">
        <w:rPr>
          <w:b/>
        </w:rPr>
        <w:tab/>
      </w:r>
      <w:r w:rsidR="00D23238" w:rsidRPr="006949F5">
        <w:rPr>
          <w:b/>
          <w:u w:val="single"/>
        </w:rPr>
        <w:t xml:space="preserve">Argument </w:t>
      </w:r>
      <w:r w:rsidR="00D23238">
        <w:rPr>
          <w:b/>
          <w:u w:val="single"/>
        </w:rPr>
        <w:t>5:</w:t>
      </w:r>
      <w:r w:rsidR="00D23238">
        <w:rPr>
          <w:b/>
        </w:rPr>
        <w:t xml:space="preserve">  </w:t>
      </w:r>
    </w:p>
    <w:p w:rsidR="00D23238" w:rsidRDefault="00516EF6" w:rsidP="00E211D9">
      <w:pPr>
        <w:spacing w:line="276" w:lineRule="auto"/>
        <w:contextualSpacing/>
        <w:rPr>
          <w:b/>
        </w:rPr>
      </w:pPr>
      <w:r>
        <w:rPr>
          <w:b/>
        </w:rPr>
        <w:tab/>
        <w:t xml:space="preserve">Is in support of the </w:t>
      </w:r>
      <w:r w:rsidR="003F3726">
        <w:rPr>
          <w:b/>
        </w:rPr>
        <w:t>Effective Rate of A</w:t>
      </w:r>
      <w:r w:rsidR="00414264">
        <w:rPr>
          <w:b/>
        </w:rPr>
        <w:t>ssistance</w:t>
      </w:r>
      <w:r>
        <w:rPr>
          <w:b/>
        </w:rPr>
        <w:t xml:space="preserve"> </w:t>
      </w:r>
      <w:r w:rsidR="003F3726">
        <w:rPr>
          <w:b/>
        </w:rPr>
        <w:t xml:space="preserve">(ERA) </w:t>
      </w:r>
      <w:r>
        <w:rPr>
          <w:b/>
        </w:rPr>
        <w:t>given to the automotive industry</w:t>
      </w:r>
      <w:r w:rsidR="00414264">
        <w:rPr>
          <w:b/>
        </w:rPr>
        <w:t>.</w:t>
      </w:r>
    </w:p>
    <w:p w:rsidR="00414264" w:rsidRDefault="00414264" w:rsidP="00E211D9">
      <w:pPr>
        <w:tabs>
          <w:tab w:val="left" w:pos="709"/>
        </w:tabs>
        <w:spacing w:line="276" w:lineRule="auto"/>
        <w:contextualSpacing/>
        <w:rPr>
          <w:b/>
        </w:rPr>
      </w:pPr>
      <w:r>
        <w:rPr>
          <w:b/>
        </w:rPr>
        <w:tab/>
      </w:r>
    </w:p>
    <w:p w:rsidR="00414264" w:rsidRDefault="00A754DC" w:rsidP="00E211D9">
      <w:pPr>
        <w:tabs>
          <w:tab w:val="left" w:pos="709"/>
        </w:tabs>
        <w:spacing w:line="276" w:lineRule="auto"/>
        <w:ind w:left="709"/>
        <w:contextualSpacing/>
      </w:pPr>
      <w:r w:rsidRPr="00A754DC">
        <w:t xml:space="preserve">Please </w:t>
      </w:r>
      <w:r w:rsidR="00414264">
        <w:t xml:space="preserve">consider the following argument supporting the </w:t>
      </w:r>
      <w:r w:rsidR="0011698F">
        <w:t xml:space="preserve">current </w:t>
      </w:r>
      <w:r w:rsidR="003F3726">
        <w:t xml:space="preserve">ERA </w:t>
      </w:r>
      <w:r w:rsidR="00AA4A58">
        <w:t xml:space="preserve">to the automotive industry. It also helps support the </w:t>
      </w:r>
      <w:r w:rsidR="003F3726">
        <w:t>continuation of G</w:t>
      </w:r>
      <w:r w:rsidR="00414264">
        <w:t>overnment assistance to Toyota and its suppliers beyond 2020.</w:t>
      </w:r>
    </w:p>
    <w:p w:rsidR="00330FFD" w:rsidRDefault="00330FFD" w:rsidP="00E211D9">
      <w:pPr>
        <w:tabs>
          <w:tab w:val="left" w:pos="709"/>
        </w:tabs>
        <w:spacing w:line="276" w:lineRule="auto"/>
        <w:ind w:left="709"/>
        <w:contextualSpacing/>
      </w:pPr>
    </w:p>
    <w:p w:rsidR="003F3726" w:rsidRDefault="00330FFD" w:rsidP="00E211D9">
      <w:pPr>
        <w:tabs>
          <w:tab w:val="left" w:pos="709"/>
        </w:tabs>
        <w:spacing w:line="276" w:lineRule="auto"/>
        <w:ind w:left="709"/>
        <w:contextualSpacing/>
      </w:pPr>
      <w:r>
        <w:t>Th</w:t>
      </w:r>
      <w:r w:rsidR="003F3726">
        <w:t xml:space="preserve">e chart </w:t>
      </w:r>
      <w:r w:rsidR="00AA4A58">
        <w:t>below shows the difference in drop of ERA between</w:t>
      </w:r>
      <w:r w:rsidR="003F3726">
        <w:t xml:space="preserve"> 1</w:t>
      </w:r>
      <w:r>
        <w:t>993/4 and 2011/12.</w:t>
      </w:r>
      <w:r w:rsidR="003F3726">
        <w:t xml:space="preserve"> </w:t>
      </w:r>
    </w:p>
    <w:p w:rsidR="003F3726" w:rsidRPr="00A754DC" w:rsidRDefault="003F3726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 xml:space="preserve">Example: </w:t>
      </w:r>
    </w:p>
    <w:p w:rsidR="003F3726" w:rsidRPr="00A754DC" w:rsidRDefault="003F3726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 xml:space="preserve">In 1993/4 the ERA to the Dairy cattle industry was 56 per cent. </w:t>
      </w:r>
    </w:p>
    <w:p w:rsidR="003F3726" w:rsidRPr="00A754DC" w:rsidRDefault="003F3726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 xml:space="preserve">In 2011/12 it was 1.8 per cent. </w:t>
      </w:r>
    </w:p>
    <w:p w:rsidR="003F3726" w:rsidRPr="00A754DC" w:rsidRDefault="003F3726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 xml:space="preserve">A difference </w:t>
      </w:r>
      <w:r w:rsidR="00AA4A58">
        <w:rPr>
          <w:b/>
        </w:rPr>
        <w:t xml:space="preserve">(drop) </w:t>
      </w:r>
      <w:r w:rsidRPr="00A754DC">
        <w:rPr>
          <w:b/>
        </w:rPr>
        <w:t xml:space="preserve">of 54.2 per cent. </w:t>
      </w:r>
    </w:p>
    <w:p w:rsidR="003F3726" w:rsidRPr="00A754DC" w:rsidRDefault="003F3726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 xml:space="preserve">This number was plotted on </w:t>
      </w:r>
      <w:r w:rsidR="0011698F" w:rsidRPr="00A754DC">
        <w:rPr>
          <w:b/>
        </w:rPr>
        <w:t>the chart as others.</w:t>
      </w:r>
    </w:p>
    <w:p w:rsidR="00330FFD" w:rsidRDefault="006B70AD" w:rsidP="00E211D9">
      <w:pPr>
        <w:tabs>
          <w:tab w:val="left" w:pos="709"/>
        </w:tabs>
        <w:spacing w:line="276" w:lineRule="auto"/>
        <w:ind w:left="709"/>
        <w:contextualSpacing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24765</wp:posOffset>
                </wp:positionV>
                <wp:extent cx="5279390" cy="333819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390" cy="333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CD3" w:rsidRDefault="008D5CD3">
                            <w:r w:rsidRPr="0011698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4744108" cy="3079630"/>
                                  <wp:effectExtent l="19050" t="0" r="18392" b="6470"/>
                                  <wp:docPr id="6" name="Chart 2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.3pt;margin-top:1.95pt;width:415.7pt;height:26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CDgwIAABA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" stroked="f">
                <v:textbox>
                  <w:txbxContent>
                    <w:p w:rsidR="008D5CD3" w:rsidRDefault="008D5CD3">
                      <w:r w:rsidRPr="0011698F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4744108" cy="3079630"/>
                            <wp:effectExtent l="19050" t="0" r="18392" b="6470"/>
                            <wp:docPr id="6" name="Chart 2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0FFD" w:rsidRDefault="00330FFD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2060BE" w:rsidRDefault="006B70AD" w:rsidP="00E211D9">
      <w:pPr>
        <w:tabs>
          <w:tab w:val="left" w:pos="709"/>
        </w:tabs>
        <w:spacing w:line="276" w:lineRule="auto"/>
        <w:ind w:left="709"/>
        <w:contextualSpacing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7620</wp:posOffset>
                </wp:positionV>
                <wp:extent cx="4744720" cy="217805"/>
                <wp:effectExtent l="0" t="0" r="17780" b="107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72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D3" w:rsidRPr="00AA4A58" w:rsidRDefault="008D5C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Chart 1: Derived from PC trades and assistance reviews and PC positions Paper January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5.8pt;margin-top:.6pt;width:373.6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">
                <v:textbox>
                  <w:txbxContent>
                    <w:p w:rsidR="008D5CD3" w:rsidRPr="00AA4A58" w:rsidRDefault="008D5CD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Chart 1: Derived from PC trades and assistance reviews and PC positions Paper January 2014.</w:t>
                      </w:r>
                    </w:p>
                  </w:txbxContent>
                </v:textbox>
              </v:shape>
            </w:pict>
          </mc:Fallback>
        </mc:AlternateContent>
      </w:r>
    </w:p>
    <w:p w:rsidR="002060BE" w:rsidRDefault="002060BE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tbl>
      <w:tblPr>
        <w:tblW w:w="7655" w:type="dxa"/>
        <w:tblInd w:w="675" w:type="dxa"/>
        <w:tblLook w:val="04A0" w:firstRow="1" w:lastRow="0" w:firstColumn="1" w:lastColumn="0" w:noHBand="0" w:noVBand="1"/>
      </w:tblPr>
      <w:tblGrid>
        <w:gridCol w:w="3720"/>
        <w:gridCol w:w="1329"/>
        <w:gridCol w:w="1330"/>
        <w:gridCol w:w="1276"/>
      </w:tblGrid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ERA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1993-4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2011-12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 </w:t>
            </w:r>
            <w:r w:rsidR="00AA4A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Difference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Horticulture and Fruit growing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0.7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Sheep, Beef cattle &amp; Grain.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1.5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Dairy cattle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54.2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Other livestock farming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2.9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Other crop growing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9.4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Mining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-0.6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-0.9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Food, beverages and tobacco.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-0.3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Textiles, clothing and footwear.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57.7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Wood and paper products.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7.5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2.9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Petroleum, coal and chemicals.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3.2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Non-metallic products.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3.5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0.7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Fabricated and metal products.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7.3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Motor vehicles &amp; parts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28.6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Other transport equipment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25.1</w:t>
            </w:r>
          </w:p>
        </w:tc>
      </w:tr>
      <w:tr w:rsidR="0011698F" w:rsidRPr="0011698F" w:rsidTr="00AA4A58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98F" w:rsidRPr="0011698F" w:rsidRDefault="0011698F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Machinery and equipment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F" w:rsidRPr="0011698F" w:rsidRDefault="0011698F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1169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8</w:t>
            </w:r>
          </w:p>
        </w:tc>
      </w:tr>
    </w:tbl>
    <w:p w:rsidR="00550E5D" w:rsidRDefault="00550E5D" w:rsidP="00E211D9">
      <w:pPr>
        <w:tabs>
          <w:tab w:val="left" w:pos="709"/>
        </w:tabs>
        <w:spacing w:line="276" w:lineRule="auto"/>
        <w:ind w:left="709"/>
        <w:contextualSpacing/>
      </w:pPr>
      <w:r>
        <w:lastRenderedPageBreak/>
        <w:t>There are 4 industries which have had their ERA reduced by a significant amount over the period outlined, they are:</w:t>
      </w:r>
    </w:p>
    <w:p w:rsidR="00550E5D" w:rsidRDefault="00550E5D" w:rsidP="00E211D9">
      <w:pPr>
        <w:pStyle w:val="ListParagraph"/>
        <w:numPr>
          <w:ilvl w:val="0"/>
          <w:numId w:val="6"/>
        </w:numPr>
        <w:tabs>
          <w:tab w:val="left" w:pos="709"/>
        </w:tabs>
        <w:spacing w:line="276" w:lineRule="auto"/>
      </w:pPr>
      <w:r>
        <w:t>Dairy Cattle.</w:t>
      </w:r>
    </w:p>
    <w:p w:rsidR="00550E5D" w:rsidRDefault="00550E5D" w:rsidP="00E211D9">
      <w:pPr>
        <w:pStyle w:val="ListParagraph"/>
        <w:numPr>
          <w:ilvl w:val="0"/>
          <w:numId w:val="6"/>
        </w:numPr>
        <w:tabs>
          <w:tab w:val="left" w:pos="709"/>
        </w:tabs>
        <w:spacing w:line="276" w:lineRule="auto"/>
      </w:pPr>
      <w:r>
        <w:t>Textiles clothing and footwear.</w:t>
      </w:r>
    </w:p>
    <w:p w:rsidR="00550E5D" w:rsidRDefault="00550E5D" w:rsidP="00E211D9">
      <w:pPr>
        <w:pStyle w:val="ListParagraph"/>
        <w:numPr>
          <w:ilvl w:val="0"/>
          <w:numId w:val="6"/>
        </w:numPr>
        <w:tabs>
          <w:tab w:val="left" w:pos="709"/>
        </w:tabs>
        <w:spacing w:line="276" w:lineRule="auto"/>
      </w:pPr>
      <w:r>
        <w:t>Motor vehicles and parts.</w:t>
      </w:r>
    </w:p>
    <w:p w:rsidR="00550E5D" w:rsidRDefault="00550E5D" w:rsidP="00E211D9">
      <w:pPr>
        <w:pStyle w:val="ListParagraph"/>
        <w:numPr>
          <w:ilvl w:val="0"/>
          <w:numId w:val="6"/>
        </w:numPr>
        <w:tabs>
          <w:tab w:val="left" w:pos="709"/>
        </w:tabs>
        <w:spacing w:line="276" w:lineRule="auto"/>
      </w:pPr>
      <w:r>
        <w:t>Other transportation equipment.</w:t>
      </w:r>
    </w:p>
    <w:p w:rsidR="00550E5D" w:rsidRDefault="00550E5D" w:rsidP="00E211D9">
      <w:pPr>
        <w:tabs>
          <w:tab w:val="left" w:pos="709"/>
        </w:tabs>
        <w:spacing w:line="276" w:lineRule="auto"/>
      </w:pPr>
    </w:p>
    <w:p w:rsidR="00550E5D" w:rsidRDefault="00550E5D" w:rsidP="00E211D9">
      <w:pPr>
        <w:tabs>
          <w:tab w:val="left" w:pos="709"/>
        </w:tabs>
        <w:spacing w:line="276" w:lineRule="auto"/>
        <w:ind w:left="709"/>
        <w:contextualSpacing/>
      </w:pPr>
      <w:r>
        <w:tab/>
        <w:t>This next chart s</w:t>
      </w:r>
      <w:r w:rsidR="008D5CD3">
        <w:t>hows the difference in drop in t</w:t>
      </w:r>
      <w:r>
        <w:t xml:space="preserve">ariff rates between 1998 and 2008. </w:t>
      </w:r>
    </w:p>
    <w:p w:rsidR="00550E5D" w:rsidRPr="00A754DC" w:rsidRDefault="00550E5D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 xml:space="preserve">Example: </w:t>
      </w:r>
    </w:p>
    <w:p w:rsidR="00550E5D" w:rsidRPr="00A754DC" w:rsidRDefault="00550E5D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>In 199</w:t>
      </w:r>
      <w:r>
        <w:rPr>
          <w:b/>
        </w:rPr>
        <w:t>8</w:t>
      </w:r>
      <w:r w:rsidRPr="00A754DC">
        <w:rPr>
          <w:b/>
        </w:rPr>
        <w:t xml:space="preserve"> the </w:t>
      </w:r>
      <w:r w:rsidR="008D5CD3">
        <w:rPr>
          <w:b/>
        </w:rPr>
        <w:t>t</w:t>
      </w:r>
      <w:r>
        <w:rPr>
          <w:b/>
        </w:rPr>
        <w:t xml:space="preserve">ariffs for the motor vehicles and parts was industry </w:t>
      </w:r>
      <w:r w:rsidRPr="00A754DC">
        <w:rPr>
          <w:b/>
        </w:rPr>
        <w:t>was 56</w:t>
      </w:r>
      <w:r>
        <w:rPr>
          <w:b/>
        </w:rPr>
        <w:t>.1</w:t>
      </w:r>
      <w:r w:rsidRPr="00A754DC">
        <w:rPr>
          <w:b/>
        </w:rPr>
        <w:t xml:space="preserve"> per cent. </w:t>
      </w:r>
    </w:p>
    <w:p w:rsidR="00550E5D" w:rsidRPr="00A754DC" w:rsidRDefault="00550E5D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>In 20</w:t>
      </w:r>
      <w:r>
        <w:rPr>
          <w:b/>
        </w:rPr>
        <w:t>08</w:t>
      </w:r>
      <w:r w:rsidRPr="00A754DC">
        <w:rPr>
          <w:b/>
        </w:rPr>
        <w:t xml:space="preserve"> it was </w:t>
      </w:r>
      <w:r>
        <w:rPr>
          <w:b/>
        </w:rPr>
        <w:t>4.1</w:t>
      </w:r>
      <w:r w:rsidRPr="00A754DC">
        <w:rPr>
          <w:b/>
        </w:rPr>
        <w:t xml:space="preserve"> per cent. </w:t>
      </w:r>
    </w:p>
    <w:p w:rsidR="00550E5D" w:rsidRPr="00A754DC" w:rsidRDefault="00550E5D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 xml:space="preserve">A difference </w:t>
      </w:r>
      <w:r>
        <w:rPr>
          <w:b/>
        </w:rPr>
        <w:t xml:space="preserve">(drop) </w:t>
      </w:r>
      <w:r w:rsidRPr="00A754DC">
        <w:rPr>
          <w:b/>
        </w:rPr>
        <w:t>of 5</w:t>
      </w:r>
      <w:r>
        <w:rPr>
          <w:b/>
        </w:rPr>
        <w:t>2</w:t>
      </w:r>
      <w:r w:rsidRPr="00A754DC">
        <w:rPr>
          <w:b/>
        </w:rPr>
        <w:t xml:space="preserve"> per cent. </w:t>
      </w:r>
    </w:p>
    <w:p w:rsidR="00550E5D" w:rsidRPr="00A754DC" w:rsidRDefault="00550E5D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  <w:r w:rsidRPr="00A754DC">
        <w:rPr>
          <w:b/>
        </w:rPr>
        <w:t>This number was plotted on the chart as others.</w:t>
      </w:r>
    </w:p>
    <w:p w:rsidR="00550E5D" w:rsidRDefault="006B70AD" w:rsidP="00E211D9">
      <w:pPr>
        <w:tabs>
          <w:tab w:val="left" w:pos="709"/>
        </w:tabs>
        <w:spacing w:line="276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48260</wp:posOffset>
                </wp:positionV>
                <wp:extent cx="5331460" cy="3433445"/>
                <wp:effectExtent l="0" t="0" r="254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343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CD3" w:rsidRDefault="008D5CD3">
                            <w:r w:rsidRPr="00550E5D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4949190" cy="3239181"/>
                                  <wp:effectExtent l="19050" t="0" r="22860" b="0"/>
                                  <wp:docPr id="7" name="Chart 3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1.05pt;margin-top:3.8pt;width:419.8pt;height:27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" stroked="f">
                <v:textbox>
                  <w:txbxContent>
                    <w:p w:rsidR="008D5CD3" w:rsidRDefault="008D5CD3">
                      <w:r w:rsidRPr="00550E5D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4949190" cy="3239181"/>
                            <wp:effectExtent l="19050" t="0" r="22860" b="0"/>
                            <wp:docPr id="7" name="Chart 3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362832" w:rsidRDefault="00362832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6B70AD" w:rsidP="00E211D9">
      <w:pPr>
        <w:tabs>
          <w:tab w:val="left" w:pos="709"/>
        </w:tabs>
        <w:spacing w:line="276" w:lineRule="auto"/>
        <w:ind w:left="709"/>
        <w:contextualSpacing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1270</wp:posOffset>
                </wp:positionV>
                <wp:extent cx="4965700" cy="483235"/>
                <wp:effectExtent l="0" t="0" r="25400" b="1206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D3" w:rsidRPr="00362832" w:rsidRDefault="008D5CD3" w:rsidP="00362832">
                            <w:pPr>
                              <w:pStyle w:val="SourceChar"/>
                              <w:spacing w:before="0" w:after="0" w:line="240" w:lineRule="auto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36283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Chart2: derived from CIE (Centre for International Economics – Benefits of trade liberalisation May 2009)</w:t>
                            </w:r>
                            <w:r w:rsidRPr="00362832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D5CD3" w:rsidRPr="00362832" w:rsidRDefault="008D5CD3" w:rsidP="00362832">
                            <w:pPr>
                              <w:pStyle w:val="SourceChar"/>
                              <w:spacing w:before="0" w:after="0" w:line="240" w:lineRule="auto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362832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Source:</w:t>
                            </w:r>
                            <w:r w:rsidRPr="0036283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GTAP Database, Industry Commission Annual Report 1988-89, Australian Government, </w:t>
                            </w:r>
                            <w:r w:rsidRPr="00362832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Custom Tariff Amendment Act 1987.</w:t>
                            </w:r>
                          </w:p>
                          <w:p w:rsidR="008D5CD3" w:rsidRDefault="008D5CD3" w:rsidP="00043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9.45pt;margin-top:.1pt;width:391pt;height:3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">
                <v:textbox>
                  <w:txbxContent>
                    <w:p w:rsidR="008D5CD3" w:rsidRPr="00362832" w:rsidRDefault="008D5CD3" w:rsidP="00362832">
                      <w:pPr>
                        <w:pStyle w:val="SourceChar"/>
                        <w:spacing w:before="0" w:after="0" w:line="240" w:lineRule="auto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 w:rsidRPr="0036283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Chart2: derived from CIE (Centre for International Economics – Benefits of trade liberalisation May 2009)</w:t>
                      </w:r>
                      <w:r w:rsidRPr="00362832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8D5CD3" w:rsidRPr="00362832" w:rsidRDefault="008D5CD3" w:rsidP="00362832">
                      <w:pPr>
                        <w:pStyle w:val="SourceChar"/>
                        <w:spacing w:before="0" w:after="0" w:line="240" w:lineRule="auto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 w:rsidRPr="00362832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Source:</w:t>
                      </w:r>
                      <w:r w:rsidRPr="0036283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GTAP Database, Industry Commission Annual Report 1988-89, Australian Government, </w:t>
                      </w:r>
                      <w:r w:rsidRPr="00362832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Custom Tariff Amendment Act 1987.</w:t>
                      </w:r>
                    </w:p>
                    <w:p w:rsidR="008D5CD3" w:rsidRDefault="008D5CD3" w:rsidP="00043F9B"/>
                  </w:txbxContent>
                </v:textbox>
              </v:shape>
            </w:pict>
          </mc:Fallback>
        </mc:AlternateContent>
      </w: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p w:rsidR="0011698F" w:rsidRDefault="0011698F" w:rsidP="00E211D9">
      <w:pPr>
        <w:tabs>
          <w:tab w:val="left" w:pos="709"/>
        </w:tabs>
        <w:spacing w:line="276" w:lineRule="auto"/>
        <w:ind w:left="709"/>
        <w:contextualSpacing/>
      </w:pPr>
    </w:p>
    <w:tbl>
      <w:tblPr>
        <w:tblW w:w="7261" w:type="dxa"/>
        <w:tblInd w:w="675" w:type="dxa"/>
        <w:tblLook w:val="04A0" w:firstRow="1" w:lastRow="0" w:firstColumn="1" w:lastColumn="0" w:noHBand="0" w:noVBand="1"/>
      </w:tblPr>
      <w:tblGrid>
        <w:gridCol w:w="3720"/>
        <w:gridCol w:w="1228"/>
        <w:gridCol w:w="1228"/>
        <w:gridCol w:w="1085"/>
      </w:tblGrid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Tariff reduction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1988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2008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Difference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Horticulture and Fruit growing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1.7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Sheep, Beef cattle &amp; Grain.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Dairy cattle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16.3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Other livestock farming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1.9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Other crop growing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1.8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Mining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0.7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Food, beverages and tobacco.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12.2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Textiles, clothing and footwear.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6.1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17.9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Wood and paper products.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14.2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Petroleum, coal and chemicals.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15.5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Non-metallic products.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3.3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2.4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0.9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Fabricated and metal products.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3.3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11.7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Motor vehicles &amp; parts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56.1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4.1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52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Other transport equipment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20.7</w:t>
            </w:r>
          </w:p>
        </w:tc>
      </w:tr>
      <w:tr w:rsidR="00550E5D" w:rsidRPr="00550E5D" w:rsidTr="00550E5D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E5D" w:rsidRPr="00550E5D" w:rsidRDefault="00550E5D" w:rsidP="00E211D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Machinery and equipment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1.8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5D" w:rsidRPr="00550E5D" w:rsidRDefault="00550E5D" w:rsidP="00E211D9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50E5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12.2</w:t>
            </w:r>
          </w:p>
        </w:tc>
      </w:tr>
    </w:tbl>
    <w:p w:rsidR="00550E5D" w:rsidRDefault="007E4EF8" w:rsidP="00E211D9">
      <w:pPr>
        <w:tabs>
          <w:tab w:val="left" w:pos="709"/>
        </w:tabs>
        <w:spacing w:line="276" w:lineRule="auto"/>
        <w:ind w:left="709"/>
        <w:contextualSpacing/>
      </w:pPr>
      <w:r>
        <w:lastRenderedPageBreak/>
        <w:t>From the information provided above it is clear that although the current effective rate of assistance to the automotive industry is 9.4%</w:t>
      </w:r>
      <w:r w:rsidR="007C4B51">
        <w:t>,</w:t>
      </w:r>
      <w:r>
        <w:t xml:space="preserve"> this industry has suffered the most with major cuts to its ERA and the highest reduction in tariff protection of any industry.</w:t>
      </w:r>
    </w:p>
    <w:p w:rsidR="007E4EF8" w:rsidRDefault="00952F05" w:rsidP="00E211D9">
      <w:pPr>
        <w:tabs>
          <w:tab w:val="left" w:pos="709"/>
        </w:tabs>
        <w:spacing w:line="276" w:lineRule="auto"/>
        <w:ind w:left="709"/>
        <w:contextualSpacing/>
      </w:pPr>
      <w:r>
        <w:t>Therefore one could argue that the assistance given is fair and reasonable considering the detrimental effects of decisions from the past.</w:t>
      </w:r>
    </w:p>
    <w:p w:rsidR="00952F05" w:rsidRDefault="00952F05" w:rsidP="00E211D9">
      <w:pPr>
        <w:tabs>
          <w:tab w:val="left" w:pos="709"/>
        </w:tabs>
        <w:spacing w:line="276" w:lineRule="auto"/>
        <w:ind w:left="709"/>
        <w:contextualSpacing/>
      </w:pPr>
    </w:p>
    <w:p w:rsidR="00E44899" w:rsidRDefault="00E44899" w:rsidP="00E211D9">
      <w:pPr>
        <w:tabs>
          <w:tab w:val="left" w:pos="709"/>
        </w:tabs>
        <w:spacing w:line="276" w:lineRule="auto"/>
        <w:ind w:left="709"/>
        <w:contextualSpacing/>
      </w:pPr>
    </w:p>
    <w:p w:rsidR="00E44899" w:rsidRDefault="00E44899" w:rsidP="00E211D9">
      <w:pPr>
        <w:tabs>
          <w:tab w:val="left" w:pos="709"/>
        </w:tabs>
        <w:spacing w:line="276" w:lineRule="auto"/>
        <w:ind w:left="709"/>
        <w:contextualSpacing/>
      </w:pPr>
    </w:p>
    <w:p w:rsidR="00DC6B9A" w:rsidRDefault="00DC6B9A" w:rsidP="00E211D9">
      <w:pPr>
        <w:tabs>
          <w:tab w:val="left" w:pos="709"/>
        </w:tabs>
        <w:spacing w:line="276" w:lineRule="auto"/>
        <w:ind w:left="709"/>
        <w:contextualSpacing/>
      </w:pPr>
    </w:p>
    <w:p w:rsidR="00952F05" w:rsidRPr="00DC6B9A" w:rsidRDefault="00952F05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  <w:sz w:val="24"/>
          <w:szCs w:val="24"/>
          <w:u w:val="single"/>
        </w:rPr>
      </w:pPr>
      <w:r w:rsidRPr="00DC6B9A">
        <w:rPr>
          <w:b/>
          <w:i/>
          <w:sz w:val="24"/>
          <w:szCs w:val="24"/>
          <w:u w:val="single"/>
        </w:rPr>
        <w:t>Summary:</w:t>
      </w:r>
      <w:r w:rsidR="00FD02E1" w:rsidRPr="00DC6B9A">
        <w:rPr>
          <w:b/>
          <w:i/>
          <w:sz w:val="24"/>
          <w:szCs w:val="24"/>
          <w:u w:val="single"/>
        </w:rPr>
        <w:t xml:space="preserve"> (written on Tuesday the 11</w:t>
      </w:r>
      <w:r w:rsidR="00FD02E1" w:rsidRPr="00DC6B9A">
        <w:rPr>
          <w:b/>
          <w:i/>
          <w:sz w:val="24"/>
          <w:szCs w:val="24"/>
          <w:u w:val="single"/>
          <w:vertAlign w:val="superscript"/>
        </w:rPr>
        <w:t>th</w:t>
      </w:r>
      <w:r w:rsidR="00FD02E1" w:rsidRPr="00DC6B9A">
        <w:rPr>
          <w:b/>
          <w:i/>
          <w:sz w:val="24"/>
          <w:szCs w:val="24"/>
          <w:u w:val="single"/>
        </w:rPr>
        <w:t xml:space="preserve"> of February, one day after the announcement from Toyota – to cease manufacturing of Camry’s in Australia).</w:t>
      </w:r>
    </w:p>
    <w:p w:rsidR="00FD02E1" w:rsidRPr="00DC6B9A" w:rsidRDefault="00FD02E1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</w:p>
    <w:p w:rsidR="00952F05" w:rsidRDefault="00FD02E1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  <w:r w:rsidRPr="00DC6B9A">
        <w:rPr>
          <w:b/>
          <w:i/>
        </w:rPr>
        <w:t xml:space="preserve">I was going to end this submission by cautioning the Commission about “sending the wrong message to </w:t>
      </w:r>
      <w:r w:rsidR="00DC6B9A">
        <w:rPr>
          <w:b/>
          <w:i/>
        </w:rPr>
        <w:t>Toyota</w:t>
      </w:r>
      <w:r w:rsidRPr="00DC6B9A">
        <w:rPr>
          <w:b/>
          <w:i/>
        </w:rPr>
        <w:t>” and that the</w:t>
      </w:r>
      <w:r w:rsidR="00DC6B9A">
        <w:rPr>
          <w:b/>
          <w:i/>
        </w:rPr>
        <w:t xml:space="preserve">ir (PC) proposals </w:t>
      </w:r>
      <w:r w:rsidRPr="00DC6B9A">
        <w:rPr>
          <w:b/>
          <w:i/>
        </w:rPr>
        <w:t xml:space="preserve">may be interpreted by Toyota as a clear sign that Australia </w:t>
      </w:r>
      <w:r w:rsidR="00E211D9">
        <w:rPr>
          <w:b/>
          <w:i/>
        </w:rPr>
        <w:t xml:space="preserve">will not support </w:t>
      </w:r>
      <w:r w:rsidRPr="00DC6B9A">
        <w:rPr>
          <w:b/>
          <w:i/>
        </w:rPr>
        <w:t>a</w:t>
      </w:r>
      <w:r w:rsidR="00E211D9">
        <w:rPr>
          <w:b/>
          <w:i/>
        </w:rPr>
        <w:t>n automotive</w:t>
      </w:r>
      <w:r w:rsidRPr="00DC6B9A">
        <w:rPr>
          <w:b/>
          <w:i/>
        </w:rPr>
        <w:t xml:space="preserve"> manufacturing industry</w:t>
      </w:r>
      <w:r w:rsidR="00E12F79">
        <w:rPr>
          <w:b/>
          <w:i/>
        </w:rPr>
        <w:t>.</w:t>
      </w:r>
    </w:p>
    <w:p w:rsidR="00E211D9" w:rsidRDefault="00E211D9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</w:p>
    <w:p w:rsidR="00E211D9" w:rsidRDefault="00E211D9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  <w:r>
        <w:rPr>
          <w:b/>
          <w:i/>
        </w:rPr>
        <w:t>But i wasn’t able to.</w:t>
      </w:r>
    </w:p>
    <w:p w:rsidR="00DC6B9A" w:rsidRDefault="00DC6B9A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</w:p>
    <w:p w:rsidR="00FD02E1" w:rsidRPr="00DC6B9A" w:rsidRDefault="00E44899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  <w:r>
        <w:rPr>
          <w:b/>
          <w:i/>
        </w:rPr>
        <w:t>“</w:t>
      </w:r>
      <w:r w:rsidR="00FD02E1" w:rsidRPr="00DC6B9A">
        <w:rPr>
          <w:b/>
          <w:i/>
        </w:rPr>
        <w:t xml:space="preserve">The Australian and Victorian Governments should provide Toyota Australia as the only outstanding automotive vehicle manufacturer with assistance due to their unique export program which benefits the Australian </w:t>
      </w:r>
      <w:r w:rsidR="00DC6B9A" w:rsidRPr="00DC6B9A">
        <w:rPr>
          <w:b/>
          <w:i/>
        </w:rPr>
        <w:t xml:space="preserve">economy </w:t>
      </w:r>
      <w:r w:rsidR="00FD02E1" w:rsidRPr="00DC6B9A">
        <w:rPr>
          <w:b/>
          <w:i/>
        </w:rPr>
        <w:t>and community.</w:t>
      </w:r>
    </w:p>
    <w:p w:rsidR="00E12F79" w:rsidRDefault="00DC6B9A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  <w:r w:rsidRPr="00DC6B9A">
        <w:rPr>
          <w:b/>
          <w:i/>
        </w:rPr>
        <w:t xml:space="preserve">We </w:t>
      </w:r>
      <w:r w:rsidR="00FD02E1" w:rsidRPr="00DC6B9A">
        <w:rPr>
          <w:b/>
          <w:i/>
        </w:rPr>
        <w:t xml:space="preserve">are </w:t>
      </w:r>
      <w:r w:rsidRPr="00DC6B9A">
        <w:rPr>
          <w:b/>
          <w:i/>
        </w:rPr>
        <w:t>confident</w:t>
      </w:r>
      <w:r w:rsidR="00FD02E1" w:rsidRPr="00DC6B9A">
        <w:rPr>
          <w:b/>
          <w:i/>
        </w:rPr>
        <w:t xml:space="preserve"> that </w:t>
      </w:r>
      <w:r w:rsidR="00E12F79">
        <w:rPr>
          <w:b/>
          <w:i/>
        </w:rPr>
        <w:t>with some support</w:t>
      </w:r>
      <w:r w:rsidR="00FD02E1" w:rsidRPr="00DC6B9A">
        <w:rPr>
          <w:b/>
          <w:i/>
        </w:rPr>
        <w:t xml:space="preserve"> they will</w:t>
      </w:r>
      <w:r w:rsidRPr="00DC6B9A">
        <w:rPr>
          <w:b/>
          <w:i/>
        </w:rPr>
        <w:t xml:space="preserve"> </w:t>
      </w:r>
      <w:r w:rsidR="00E12F79">
        <w:rPr>
          <w:b/>
          <w:i/>
        </w:rPr>
        <w:t xml:space="preserve">be able to </w:t>
      </w:r>
      <w:r w:rsidRPr="00DC6B9A">
        <w:rPr>
          <w:b/>
          <w:i/>
        </w:rPr>
        <w:t>“we</w:t>
      </w:r>
      <w:r w:rsidR="002C4D3D">
        <w:rPr>
          <w:b/>
          <w:i/>
        </w:rPr>
        <w:t>a</w:t>
      </w:r>
      <w:r w:rsidRPr="00DC6B9A">
        <w:rPr>
          <w:b/>
          <w:i/>
        </w:rPr>
        <w:t>ther this storm”</w:t>
      </w:r>
      <w:r w:rsidR="00E12F79">
        <w:rPr>
          <w:b/>
          <w:i/>
        </w:rPr>
        <w:t xml:space="preserve"> and come out for the better maintaining </w:t>
      </w:r>
      <w:r w:rsidRPr="00DC6B9A">
        <w:rPr>
          <w:b/>
          <w:i/>
        </w:rPr>
        <w:t xml:space="preserve">manufacturing in Victoria, </w:t>
      </w:r>
      <w:r w:rsidR="00E12F79">
        <w:rPr>
          <w:b/>
          <w:i/>
        </w:rPr>
        <w:t xml:space="preserve">Australia. </w:t>
      </w:r>
    </w:p>
    <w:p w:rsidR="00FD02E1" w:rsidRPr="00DC6B9A" w:rsidRDefault="00E12F79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  <w:r>
        <w:rPr>
          <w:b/>
          <w:i/>
        </w:rPr>
        <w:t>Which would be in the best interests of the community.</w:t>
      </w:r>
      <w:r w:rsidR="00E44899">
        <w:rPr>
          <w:b/>
          <w:i/>
        </w:rPr>
        <w:t>”</w:t>
      </w:r>
    </w:p>
    <w:p w:rsidR="00FD02E1" w:rsidRPr="00FD02E1" w:rsidRDefault="00FD02E1" w:rsidP="00E211D9">
      <w:pPr>
        <w:tabs>
          <w:tab w:val="left" w:pos="709"/>
        </w:tabs>
        <w:spacing w:line="276" w:lineRule="auto"/>
        <w:ind w:left="709"/>
        <w:contextualSpacing/>
        <w:rPr>
          <w:b/>
        </w:rPr>
      </w:pPr>
    </w:p>
    <w:p w:rsidR="007E4EF8" w:rsidRDefault="00E44899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  <w:r>
        <w:rPr>
          <w:b/>
          <w:i/>
        </w:rPr>
        <w:t>Murat Kiremitciyan.</w:t>
      </w:r>
    </w:p>
    <w:p w:rsidR="00E44899" w:rsidRPr="00E44899" w:rsidRDefault="00E44899" w:rsidP="00E211D9">
      <w:pPr>
        <w:tabs>
          <w:tab w:val="left" w:pos="709"/>
        </w:tabs>
        <w:spacing w:line="276" w:lineRule="auto"/>
        <w:ind w:left="709"/>
        <w:contextualSpacing/>
        <w:rPr>
          <w:b/>
          <w:i/>
        </w:rPr>
      </w:pPr>
      <w:r>
        <w:rPr>
          <w:b/>
          <w:i/>
        </w:rPr>
        <w:t>Metalsa Australia Pty Ltd.</w:t>
      </w:r>
    </w:p>
    <w:p w:rsidR="00C72320" w:rsidRDefault="00C72320" w:rsidP="00E211D9">
      <w:pPr>
        <w:pStyle w:val="ListParagraph"/>
        <w:spacing w:line="276" w:lineRule="auto"/>
        <w:rPr>
          <w:rFonts w:cstheme="minorHAnsi"/>
        </w:rPr>
      </w:pPr>
    </w:p>
    <w:p w:rsidR="009C6B22" w:rsidRDefault="009C6B22" w:rsidP="00E211D9">
      <w:pPr>
        <w:pStyle w:val="ListParagraph"/>
        <w:spacing w:line="276" w:lineRule="auto"/>
        <w:rPr>
          <w:rFonts w:cstheme="minorHAnsi"/>
        </w:rPr>
      </w:pPr>
    </w:p>
    <w:sectPr w:rsidR="009C6B22" w:rsidSect="00D6695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4FF"/>
    <w:multiLevelType w:val="hybridMultilevel"/>
    <w:tmpl w:val="28BAAE8E"/>
    <w:lvl w:ilvl="0" w:tplc="0C09000F">
      <w:start w:val="1"/>
      <w:numFmt w:val="decimal"/>
      <w:lvlText w:val="%1."/>
      <w:lvlJc w:val="left"/>
      <w:pPr>
        <w:ind w:left="1449" w:hanging="360"/>
      </w:pPr>
    </w:lvl>
    <w:lvl w:ilvl="1" w:tplc="0C090019" w:tentative="1">
      <w:start w:val="1"/>
      <w:numFmt w:val="lowerLetter"/>
      <w:lvlText w:val="%2."/>
      <w:lvlJc w:val="left"/>
      <w:pPr>
        <w:ind w:left="2169" w:hanging="360"/>
      </w:pPr>
    </w:lvl>
    <w:lvl w:ilvl="2" w:tplc="0C09001B" w:tentative="1">
      <w:start w:val="1"/>
      <w:numFmt w:val="lowerRoman"/>
      <w:lvlText w:val="%3."/>
      <w:lvlJc w:val="right"/>
      <w:pPr>
        <w:ind w:left="2889" w:hanging="180"/>
      </w:pPr>
    </w:lvl>
    <w:lvl w:ilvl="3" w:tplc="0C09000F" w:tentative="1">
      <w:start w:val="1"/>
      <w:numFmt w:val="decimal"/>
      <w:lvlText w:val="%4."/>
      <w:lvlJc w:val="left"/>
      <w:pPr>
        <w:ind w:left="3609" w:hanging="360"/>
      </w:pPr>
    </w:lvl>
    <w:lvl w:ilvl="4" w:tplc="0C090019" w:tentative="1">
      <w:start w:val="1"/>
      <w:numFmt w:val="lowerLetter"/>
      <w:lvlText w:val="%5."/>
      <w:lvlJc w:val="left"/>
      <w:pPr>
        <w:ind w:left="4329" w:hanging="360"/>
      </w:pPr>
    </w:lvl>
    <w:lvl w:ilvl="5" w:tplc="0C09001B" w:tentative="1">
      <w:start w:val="1"/>
      <w:numFmt w:val="lowerRoman"/>
      <w:lvlText w:val="%6."/>
      <w:lvlJc w:val="right"/>
      <w:pPr>
        <w:ind w:left="5049" w:hanging="180"/>
      </w:pPr>
    </w:lvl>
    <w:lvl w:ilvl="6" w:tplc="0C09000F" w:tentative="1">
      <w:start w:val="1"/>
      <w:numFmt w:val="decimal"/>
      <w:lvlText w:val="%7."/>
      <w:lvlJc w:val="left"/>
      <w:pPr>
        <w:ind w:left="5769" w:hanging="360"/>
      </w:pPr>
    </w:lvl>
    <w:lvl w:ilvl="7" w:tplc="0C090019" w:tentative="1">
      <w:start w:val="1"/>
      <w:numFmt w:val="lowerLetter"/>
      <w:lvlText w:val="%8."/>
      <w:lvlJc w:val="left"/>
      <w:pPr>
        <w:ind w:left="6489" w:hanging="360"/>
      </w:pPr>
    </w:lvl>
    <w:lvl w:ilvl="8" w:tplc="0C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21242242"/>
    <w:multiLevelType w:val="hybridMultilevel"/>
    <w:tmpl w:val="1B8628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65977"/>
    <w:multiLevelType w:val="multilevel"/>
    <w:tmpl w:val="04DCEE62"/>
    <w:lvl w:ilvl="0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5"/>
        </w:tabs>
        <w:ind w:left="30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5"/>
        </w:tabs>
        <w:ind w:left="37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5"/>
        </w:tabs>
        <w:ind w:left="51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5"/>
        </w:tabs>
        <w:ind w:left="59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  <w:sz w:val="20"/>
      </w:rPr>
    </w:lvl>
  </w:abstractNum>
  <w:abstractNum w:abstractNumId="3">
    <w:nsid w:val="34A61359"/>
    <w:multiLevelType w:val="hybridMultilevel"/>
    <w:tmpl w:val="F5D69A4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A80981"/>
    <w:multiLevelType w:val="hybridMultilevel"/>
    <w:tmpl w:val="DF94D4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13B49"/>
    <w:multiLevelType w:val="hybridMultilevel"/>
    <w:tmpl w:val="4266BF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35"/>
    <w:rsid w:val="000278C8"/>
    <w:rsid w:val="00043F9B"/>
    <w:rsid w:val="00095C7A"/>
    <w:rsid w:val="000C3FBF"/>
    <w:rsid w:val="000E2294"/>
    <w:rsid w:val="0011698F"/>
    <w:rsid w:val="00117E60"/>
    <w:rsid w:val="00147671"/>
    <w:rsid w:val="0015011A"/>
    <w:rsid w:val="00151D5B"/>
    <w:rsid w:val="001649A3"/>
    <w:rsid w:val="00167FCA"/>
    <w:rsid w:val="0018395D"/>
    <w:rsid w:val="0018507C"/>
    <w:rsid w:val="001A4838"/>
    <w:rsid w:val="001A7549"/>
    <w:rsid w:val="001C54FE"/>
    <w:rsid w:val="002060BE"/>
    <w:rsid w:val="00214851"/>
    <w:rsid w:val="002963B8"/>
    <w:rsid w:val="002C4D3D"/>
    <w:rsid w:val="002E6B20"/>
    <w:rsid w:val="003143A9"/>
    <w:rsid w:val="00316890"/>
    <w:rsid w:val="00330FFD"/>
    <w:rsid w:val="00337109"/>
    <w:rsid w:val="00347735"/>
    <w:rsid w:val="00362832"/>
    <w:rsid w:val="00382072"/>
    <w:rsid w:val="003C1949"/>
    <w:rsid w:val="003C7AE2"/>
    <w:rsid w:val="003D21B1"/>
    <w:rsid w:val="003E0109"/>
    <w:rsid w:val="003F3726"/>
    <w:rsid w:val="00414264"/>
    <w:rsid w:val="00446727"/>
    <w:rsid w:val="004B5BE8"/>
    <w:rsid w:val="004D0590"/>
    <w:rsid w:val="00512116"/>
    <w:rsid w:val="00516EF6"/>
    <w:rsid w:val="00531DB4"/>
    <w:rsid w:val="00550871"/>
    <w:rsid w:val="00550E5D"/>
    <w:rsid w:val="005A2450"/>
    <w:rsid w:val="005B0DE2"/>
    <w:rsid w:val="006024EC"/>
    <w:rsid w:val="0063154B"/>
    <w:rsid w:val="00670AF6"/>
    <w:rsid w:val="00681598"/>
    <w:rsid w:val="006949F5"/>
    <w:rsid w:val="006A7E93"/>
    <w:rsid w:val="006B70AD"/>
    <w:rsid w:val="006C5946"/>
    <w:rsid w:val="006C61F5"/>
    <w:rsid w:val="006F40C5"/>
    <w:rsid w:val="006F5B48"/>
    <w:rsid w:val="007946DA"/>
    <w:rsid w:val="007C4B51"/>
    <w:rsid w:val="007E4EF8"/>
    <w:rsid w:val="00841F71"/>
    <w:rsid w:val="0086509A"/>
    <w:rsid w:val="00892035"/>
    <w:rsid w:val="008D5CD3"/>
    <w:rsid w:val="00907786"/>
    <w:rsid w:val="00907F6D"/>
    <w:rsid w:val="00952F05"/>
    <w:rsid w:val="009C6827"/>
    <w:rsid w:val="009C6B22"/>
    <w:rsid w:val="00A31C62"/>
    <w:rsid w:val="00A610D6"/>
    <w:rsid w:val="00A64861"/>
    <w:rsid w:val="00A754DC"/>
    <w:rsid w:val="00A930B3"/>
    <w:rsid w:val="00A96431"/>
    <w:rsid w:val="00AA4A58"/>
    <w:rsid w:val="00AC0F6D"/>
    <w:rsid w:val="00AE09F5"/>
    <w:rsid w:val="00B00F21"/>
    <w:rsid w:val="00B52743"/>
    <w:rsid w:val="00B75874"/>
    <w:rsid w:val="00C53F75"/>
    <w:rsid w:val="00C72320"/>
    <w:rsid w:val="00C742A2"/>
    <w:rsid w:val="00C91175"/>
    <w:rsid w:val="00CD4A21"/>
    <w:rsid w:val="00CF0A4A"/>
    <w:rsid w:val="00D23238"/>
    <w:rsid w:val="00D34C2C"/>
    <w:rsid w:val="00D65256"/>
    <w:rsid w:val="00D6695C"/>
    <w:rsid w:val="00DA6698"/>
    <w:rsid w:val="00DB0891"/>
    <w:rsid w:val="00DB0C03"/>
    <w:rsid w:val="00DC6B9A"/>
    <w:rsid w:val="00DD59B3"/>
    <w:rsid w:val="00DF0A46"/>
    <w:rsid w:val="00E12F79"/>
    <w:rsid w:val="00E211D9"/>
    <w:rsid w:val="00E3721F"/>
    <w:rsid w:val="00E43D2A"/>
    <w:rsid w:val="00E44899"/>
    <w:rsid w:val="00E8318F"/>
    <w:rsid w:val="00E963BB"/>
    <w:rsid w:val="00EB1438"/>
    <w:rsid w:val="00F44152"/>
    <w:rsid w:val="00F44AE7"/>
    <w:rsid w:val="00F73B23"/>
    <w:rsid w:val="00F878B7"/>
    <w:rsid w:val="00F87FA2"/>
    <w:rsid w:val="00FB6E70"/>
    <w:rsid w:val="00FC533C"/>
    <w:rsid w:val="00FD02E1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B20"/>
    <w:rPr>
      <w:color w:val="007A5E"/>
      <w:u w:val="single"/>
    </w:rPr>
  </w:style>
  <w:style w:type="paragraph" w:customStyle="1" w:styleId="blacktitle1">
    <w:name w:val="blacktitle1"/>
    <w:basedOn w:val="Normal"/>
    <w:rsid w:val="002E6B2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666666"/>
      <w:sz w:val="27"/>
      <w:szCs w:val="27"/>
      <w:lang w:eastAsia="en-AU"/>
    </w:rPr>
  </w:style>
  <w:style w:type="paragraph" w:customStyle="1" w:styleId="Default">
    <w:name w:val="Default"/>
    <w:rsid w:val="00F878B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62">
    <w:name w:val="CM62"/>
    <w:basedOn w:val="Default"/>
    <w:next w:val="Default"/>
    <w:uiPriority w:val="99"/>
    <w:rsid w:val="00F878B7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E"/>
    <w:rPr>
      <w:rFonts w:ascii="Tahoma" w:hAnsi="Tahoma" w:cs="Tahoma"/>
      <w:sz w:val="16"/>
      <w:szCs w:val="16"/>
    </w:rPr>
  </w:style>
  <w:style w:type="paragraph" w:customStyle="1" w:styleId="SourceChar">
    <w:name w:val="Source Char"/>
    <w:link w:val="SourceCharChar"/>
    <w:uiPriority w:val="99"/>
    <w:rsid w:val="00C72320"/>
    <w:pPr>
      <w:spacing w:before="40" w:after="60" w:line="180" w:lineRule="exact"/>
    </w:pPr>
    <w:rPr>
      <w:rFonts w:ascii="Arial" w:eastAsia="Times New Roman" w:hAnsi="Arial" w:cs="Times New Roman"/>
      <w:sz w:val="14"/>
      <w:szCs w:val="21"/>
    </w:rPr>
  </w:style>
  <w:style w:type="character" w:customStyle="1" w:styleId="SourceCharChar">
    <w:name w:val="Source Char Char"/>
    <w:basedOn w:val="DefaultParagraphFont"/>
    <w:link w:val="SourceChar"/>
    <w:uiPriority w:val="99"/>
    <w:locked/>
    <w:rsid w:val="00C72320"/>
    <w:rPr>
      <w:rFonts w:ascii="Arial" w:eastAsia="Times New Roman" w:hAnsi="Arial" w:cs="Times New Roman"/>
      <w:sz w:val="14"/>
      <w:szCs w:val="21"/>
    </w:rPr>
  </w:style>
  <w:style w:type="paragraph" w:styleId="BodyText">
    <w:name w:val="Body Text"/>
    <w:link w:val="BodyTextChar"/>
    <w:uiPriority w:val="99"/>
    <w:semiHidden/>
    <w:unhideWhenUsed/>
    <w:rsid w:val="00C723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B20"/>
    <w:rPr>
      <w:color w:val="007A5E"/>
      <w:u w:val="single"/>
    </w:rPr>
  </w:style>
  <w:style w:type="paragraph" w:customStyle="1" w:styleId="blacktitle1">
    <w:name w:val="blacktitle1"/>
    <w:basedOn w:val="Normal"/>
    <w:rsid w:val="002E6B2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666666"/>
      <w:sz w:val="27"/>
      <w:szCs w:val="27"/>
      <w:lang w:eastAsia="en-AU"/>
    </w:rPr>
  </w:style>
  <w:style w:type="paragraph" w:customStyle="1" w:styleId="Default">
    <w:name w:val="Default"/>
    <w:rsid w:val="00F878B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62">
    <w:name w:val="CM62"/>
    <w:basedOn w:val="Default"/>
    <w:next w:val="Default"/>
    <w:uiPriority w:val="99"/>
    <w:rsid w:val="00F878B7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E"/>
    <w:rPr>
      <w:rFonts w:ascii="Tahoma" w:hAnsi="Tahoma" w:cs="Tahoma"/>
      <w:sz w:val="16"/>
      <w:szCs w:val="16"/>
    </w:rPr>
  </w:style>
  <w:style w:type="paragraph" w:customStyle="1" w:styleId="SourceChar">
    <w:name w:val="Source Char"/>
    <w:link w:val="SourceCharChar"/>
    <w:uiPriority w:val="99"/>
    <w:rsid w:val="00C72320"/>
    <w:pPr>
      <w:spacing w:before="40" w:after="60" w:line="180" w:lineRule="exact"/>
    </w:pPr>
    <w:rPr>
      <w:rFonts w:ascii="Arial" w:eastAsia="Times New Roman" w:hAnsi="Arial" w:cs="Times New Roman"/>
      <w:sz w:val="14"/>
      <w:szCs w:val="21"/>
    </w:rPr>
  </w:style>
  <w:style w:type="character" w:customStyle="1" w:styleId="SourceCharChar">
    <w:name w:val="Source Char Char"/>
    <w:basedOn w:val="DefaultParagraphFont"/>
    <w:link w:val="SourceChar"/>
    <w:uiPriority w:val="99"/>
    <w:locked/>
    <w:rsid w:val="00C72320"/>
    <w:rPr>
      <w:rFonts w:ascii="Arial" w:eastAsia="Times New Roman" w:hAnsi="Arial" w:cs="Times New Roman"/>
      <w:sz w:val="14"/>
      <w:szCs w:val="21"/>
    </w:rPr>
  </w:style>
  <w:style w:type="paragraph" w:styleId="BodyText">
    <w:name w:val="Body Text"/>
    <w:link w:val="BodyTextChar"/>
    <w:uiPriority w:val="99"/>
    <w:semiHidden/>
    <w:unhideWhenUsed/>
    <w:rsid w:val="00C723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2084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1050">
                  <w:marLeft w:val="204"/>
                  <w:marRight w:val="204"/>
                  <w:marTop w:val="163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www.icn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ductivity%20Commission\Book1%20(Autosaved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ductivity%20Commission\Book1%20(Autosaved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Difference in ERA between 1993/4 and 2011/12. </a:t>
            </a:r>
          </a:p>
        </c:rich>
      </c:tx>
      <c:layout>
        <c:manualLayout>
          <c:xMode val="edge"/>
          <c:yMode val="edge"/>
          <c:x val="0.27717539314029122"/>
          <c:y val="4.407282693050794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invertIfNegative val="0"/>
          <c:cat>
            <c:strRef>
              <c:f>Sheet1!$B$3:$B$17</c:f>
              <c:strCache>
                <c:ptCount val="15"/>
                <c:pt idx="0">
                  <c:v>Horticulture and Fruit growing</c:v>
                </c:pt>
                <c:pt idx="1">
                  <c:v>Sheep, Beef cattle &amp; Grain.</c:v>
                </c:pt>
                <c:pt idx="2">
                  <c:v>Dairy cattle</c:v>
                </c:pt>
                <c:pt idx="3">
                  <c:v>Other livestock farming</c:v>
                </c:pt>
                <c:pt idx="4">
                  <c:v>Other crop growing</c:v>
                </c:pt>
                <c:pt idx="5">
                  <c:v>Mining</c:v>
                </c:pt>
                <c:pt idx="6">
                  <c:v>Food, beverages and tobacco.</c:v>
                </c:pt>
                <c:pt idx="7">
                  <c:v>Textiles, clothing and footwear.</c:v>
                </c:pt>
                <c:pt idx="8">
                  <c:v>Wood and paper products.</c:v>
                </c:pt>
                <c:pt idx="9">
                  <c:v>Petroleum, coal and chemicals.</c:v>
                </c:pt>
                <c:pt idx="10">
                  <c:v>Non-metallic products.</c:v>
                </c:pt>
                <c:pt idx="11">
                  <c:v>Fabricated and metal products.</c:v>
                </c:pt>
                <c:pt idx="12">
                  <c:v>Motor vehicles &amp; parts</c:v>
                </c:pt>
                <c:pt idx="13">
                  <c:v>Other transport equipment </c:v>
                </c:pt>
                <c:pt idx="14">
                  <c:v>Machinery and equipment</c:v>
                </c:pt>
              </c:strCache>
            </c:strRef>
          </c:cat>
          <c:val>
            <c:numRef>
              <c:f>Sheet1!$E$3:$E$17</c:f>
              <c:numCache>
                <c:formatCode>General</c:formatCode>
                <c:ptCount val="15"/>
                <c:pt idx="0">
                  <c:v>0.7000000000000004</c:v>
                </c:pt>
                <c:pt idx="1">
                  <c:v>1.5</c:v>
                </c:pt>
                <c:pt idx="2">
                  <c:v>54.2</c:v>
                </c:pt>
                <c:pt idx="3">
                  <c:v>2.9</c:v>
                </c:pt>
                <c:pt idx="4">
                  <c:v>9.4</c:v>
                </c:pt>
                <c:pt idx="5">
                  <c:v>-0.9</c:v>
                </c:pt>
                <c:pt idx="6">
                  <c:v>-0.30000000000000021</c:v>
                </c:pt>
                <c:pt idx="7">
                  <c:v>57.7</c:v>
                </c:pt>
                <c:pt idx="8">
                  <c:v>2.9</c:v>
                </c:pt>
                <c:pt idx="9">
                  <c:v>3.2</c:v>
                </c:pt>
                <c:pt idx="10">
                  <c:v>0.7000000000000004</c:v>
                </c:pt>
                <c:pt idx="11">
                  <c:v>7.3</c:v>
                </c:pt>
                <c:pt idx="12">
                  <c:v>28.6</c:v>
                </c:pt>
                <c:pt idx="13">
                  <c:v>25.1</c:v>
                </c:pt>
                <c:pt idx="1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077760"/>
        <c:axId val="59079296"/>
      </c:barChart>
      <c:catAx>
        <c:axId val="590777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5400000" vert="horz"/>
          <a:lstStyle/>
          <a:p>
            <a:pPr>
              <a:defRPr sz="700"/>
            </a:pPr>
            <a:endParaRPr lang="en-US"/>
          </a:p>
        </c:txPr>
        <c:crossAx val="59079296"/>
        <c:crosses val="autoZero"/>
        <c:auto val="1"/>
        <c:lblAlgn val="ctr"/>
        <c:lblOffset val="0"/>
        <c:noMultiLvlLbl val="0"/>
      </c:catAx>
      <c:valAx>
        <c:axId val="590792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Drop in ERA (percentage)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90777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en-US" sz="800"/>
              <a:t>Equivalent tariff rates 1988 - 2008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5"/>
          <c:order val="0"/>
          <c:invertIfNegative val="0"/>
          <c:cat>
            <c:strRef>
              <c:f>Sheet1!$B$3:$B$17</c:f>
              <c:strCache>
                <c:ptCount val="15"/>
                <c:pt idx="0">
                  <c:v>Horticulture and Fruit growing</c:v>
                </c:pt>
                <c:pt idx="1">
                  <c:v>Sheep, Beef cattle &amp; Grain.</c:v>
                </c:pt>
                <c:pt idx="2">
                  <c:v>Dairy cattle</c:v>
                </c:pt>
                <c:pt idx="3">
                  <c:v>Other livestock farming</c:v>
                </c:pt>
                <c:pt idx="4">
                  <c:v>Other crop growing</c:v>
                </c:pt>
                <c:pt idx="5">
                  <c:v>Mining</c:v>
                </c:pt>
                <c:pt idx="6">
                  <c:v>Food, beverages and tobacco.</c:v>
                </c:pt>
                <c:pt idx="7">
                  <c:v>Textiles, clothing and footwear.</c:v>
                </c:pt>
                <c:pt idx="8">
                  <c:v>Wood and paper products.</c:v>
                </c:pt>
                <c:pt idx="9">
                  <c:v>Petroleum, coal and chemicals.</c:v>
                </c:pt>
                <c:pt idx="10">
                  <c:v>Non-metallic products.</c:v>
                </c:pt>
                <c:pt idx="11">
                  <c:v>Fabricated and metal products.</c:v>
                </c:pt>
                <c:pt idx="12">
                  <c:v>Motor vehicles &amp; parts</c:v>
                </c:pt>
                <c:pt idx="13">
                  <c:v>Other transport equipment </c:v>
                </c:pt>
                <c:pt idx="14">
                  <c:v>Machinery and equipment</c:v>
                </c:pt>
              </c:strCache>
            </c:strRef>
          </c:cat>
          <c:val>
            <c:numRef>
              <c:f>Sheet1!$H$3:$H$17</c:f>
              <c:numCache>
                <c:formatCode>General</c:formatCode>
                <c:ptCount val="15"/>
                <c:pt idx="0">
                  <c:v>1.7</c:v>
                </c:pt>
                <c:pt idx="1">
                  <c:v>2</c:v>
                </c:pt>
                <c:pt idx="2">
                  <c:v>16.3</c:v>
                </c:pt>
                <c:pt idx="3">
                  <c:v>1.9000000000000001</c:v>
                </c:pt>
                <c:pt idx="4">
                  <c:v>1.8</c:v>
                </c:pt>
                <c:pt idx="5">
                  <c:v>0.7000000000000004</c:v>
                </c:pt>
                <c:pt idx="6">
                  <c:v>12.2</c:v>
                </c:pt>
                <c:pt idx="7">
                  <c:v>17.899999999999999</c:v>
                </c:pt>
                <c:pt idx="8">
                  <c:v>14.2</c:v>
                </c:pt>
                <c:pt idx="9">
                  <c:v>15.5</c:v>
                </c:pt>
                <c:pt idx="10">
                  <c:v>0.9</c:v>
                </c:pt>
                <c:pt idx="11">
                  <c:v>11.7</c:v>
                </c:pt>
                <c:pt idx="12">
                  <c:v>52</c:v>
                </c:pt>
                <c:pt idx="13">
                  <c:v>20.7</c:v>
                </c:pt>
                <c:pt idx="14">
                  <c:v>12.2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723328"/>
        <c:axId val="58729216"/>
      </c:barChart>
      <c:catAx>
        <c:axId val="58723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/>
          <a:lstStyle/>
          <a:p>
            <a:pPr>
              <a:defRPr sz="700"/>
            </a:pPr>
            <a:endParaRPr lang="en-US"/>
          </a:p>
        </c:txPr>
        <c:crossAx val="58729216"/>
        <c:crosses val="autoZero"/>
        <c:auto val="1"/>
        <c:lblAlgn val="ctr"/>
        <c:lblOffset val="100"/>
        <c:noMultiLvlLbl val="0"/>
      </c:catAx>
      <c:valAx>
        <c:axId val="58729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Drop in tariff rates between 1988 and 2008 (percentage)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87233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EAA3-E391-4B9B-A846-C6E7F829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1932</Words>
  <Characters>11019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PP238 - Murat Kiremitciyan - Australia's Automotive Manufacturing Industry - Public inquiry</dc:title>
  <dc:creator>Murat Kiremitciyan</dc:creator>
  <cp:lastModifiedBy>Productivity Commission</cp:lastModifiedBy>
  <cp:revision>2</cp:revision>
  <dcterms:created xsi:type="dcterms:W3CDTF">2014-02-12T02:50:00Z</dcterms:created>
  <dcterms:modified xsi:type="dcterms:W3CDTF">2014-02-12T02:50:00Z</dcterms:modified>
</cp:coreProperties>
</file>