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25" w:rsidRDefault="00D5198B" w:rsidP="00C90825">
      <w:pPr>
        <w:pStyle w:val="Heading2"/>
        <w:spacing w:before="0" w:line="240" w:lineRule="auto"/>
      </w:pPr>
      <w:bookmarkStart w:id="0" w:name="_Toc377723478"/>
      <w:bookmarkStart w:id="1" w:name="_GoBack"/>
      <w:bookmarkEnd w:id="1"/>
      <w:r>
        <w:t>ApPENDIX</w:t>
      </w:r>
      <w:r w:rsidR="00C90825">
        <w:t xml:space="preserve"> B -</w:t>
      </w:r>
      <w:r w:rsidR="00C90825" w:rsidRPr="00A62399">
        <w:t xml:space="preserve"> </w:t>
      </w:r>
      <w:r w:rsidR="00C90825">
        <w:t>L</w:t>
      </w:r>
      <w:r w:rsidR="00C90825" w:rsidRPr="00A62399">
        <w:t xml:space="preserve">essons </w:t>
      </w:r>
      <w:r w:rsidR="00C90825">
        <w:t>L</w:t>
      </w:r>
      <w:r w:rsidR="00C90825" w:rsidRPr="00A62399">
        <w:t xml:space="preserve">earnt </w:t>
      </w:r>
      <w:r w:rsidR="00C90825">
        <w:t>in Previous Re-Skilling Support Programs</w:t>
      </w:r>
      <w:bookmarkEnd w:id="0"/>
    </w:p>
    <w:p w:rsidR="00C90825" w:rsidRPr="00DE17B4" w:rsidRDefault="00C90825" w:rsidP="00C90825">
      <w:pPr>
        <w:spacing w:before="0" w:after="0" w:line="240" w:lineRule="auto"/>
      </w:pPr>
    </w:p>
    <w:tbl>
      <w:tblPr>
        <w:tblW w:w="9889"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57" w:type="dxa"/>
          <w:bottom w:w="57" w:type="dxa"/>
        </w:tblCellMar>
        <w:tblLook w:val="04A0" w:firstRow="1" w:lastRow="0" w:firstColumn="1" w:lastColumn="0" w:noHBand="0" w:noVBand="1"/>
      </w:tblPr>
      <w:tblGrid>
        <w:gridCol w:w="1624"/>
        <w:gridCol w:w="2745"/>
        <w:gridCol w:w="3252"/>
        <w:gridCol w:w="2268"/>
      </w:tblGrid>
      <w:tr w:rsidR="00C90825" w:rsidRPr="00FA1259" w:rsidTr="00032A96">
        <w:trPr>
          <w:tblHeader/>
        </w:trPr>
        <w:tc>
          <w:tcPr>
            <w:tcW w:w="1624" w:type="dxa"/>
            <w:shd w:val="clear" w:color="auto" w:fill="DBE5F1"/>
          </w:tcPr>
          <w:p w:rsidR="00C90825" w:rsidRPr="002B150B" w:rsidRDefault="00C90825" w:rsidP="00303470">
            <w:pPr>
              <w:spacing w:before="40" w:after="40" w:line="240" w:lineRule="auto"/>
              <w:rPr>
                <w:rFonts w:eastAsia="Calibri"/>
                <w:b/>
              </w:rPr>
            </w:pPr>
            <w:r w:rsidRPr="002B150B">
              <w:rPr>
                <w:rFonts w:eastAsia="Calibri"/>
                <w:b/>
              </w:rPr>
              <w:t>Program / Incident</w:t>
            </w:r>
          </w:p>
        </w:tc>
        <w:tc>
          <w:tcPr>
            <w:tcW w:w="2745" w:type="dxa"/>
            <w:shd w:val="clear" w:color="auto" w:fill="DBE5F1"/>
          </w:tcPr>
          <w:p w:rsidR="00C90825" w:rsidRPr="002B150B" w:rsidRDefault="00C90825" w:rsidP="00303470">
            <w:pPr>
              <w:spacing w:before="40" w:after="40" w:line="240" w:lineRule="auto"/>
              <w:rPr>
                <w:rFonts w:eastAsia="Calibri"/>
                <w:b/>
              </w:rPr>
            </w:pPr>
            <w:r w:rsidRPr="002B150B">
              <w:rPr>
                <w:rFonts w:eastAsia="Calibri"/>
                <w:b/>
              </w:rPr>
              <w:t>Program Details</w:t>
            </w:r>
          </w:p>
        </w:tc>
        <w:tc>
          <w:tcPr>
            <w:tcW w:w="3252" w:type="dxa"/>
            <w:shd w:val="clear" w:color="auto" w:fill="DBE5F1"/>
          </w:tcPr>
          <w:p w:rsidR="00C90825" w:rsidRPr="002B150B" w:rsidRDefault="00C90825" w:rsidP="00303470">
            <w:pPr>
              <w:spacing w:before="40" w:after="40" w:line="240" w:lineRule="auto"/>
              <w:rPr>
                <w:rFonts w:eastAsia="Calibri"/>
                <w:b/>
              </w:rPr>
            </w:pPr>
            <w:r w:rsidRPr="002B150B">
              <w:rPr>
                <w:rFonts w:eastAsia="Calibri"/>
                <w:b/>
              </w:rPr>
              <w:t>Lessons Learnt</w:t>
            </w:r>
          </w:p>
        </w:tc>
        <w:tc>
          <w:tcPr>
            <w:tcW w:w="2268" w:type="dxa"/>
            <w:shd w:val="clear" w:color="auto" w:fill="DBE5F1"/>
          </w:tcPr>
          <w:p w:rsidR="00C90825" w:rsidRPr="002B150B" w:rsidRDefault="00C90825" w:rsidP="00303470">
            <w:pPr>
              <w:spacing w:before="40" w:after="40" w:line="240" w:lineRule="auto"/>
              <w:rPr>
                <w:rFonts w:eastAsia="Calibri"/>
                <w:b/>
              </w:rPr>
            </w:pPr>
            <w:r w:rsidRPr="002B150B">
              <w:rPr>
                <w:rFonts w:eastAsia="Calibri"/>
                <w:b/>
              </w:rPr>
              <w:t>Proposed Victorian Response</w:t>
            </w:r>
          </w:p>
        </w:tc>
      </w:tr>
      <w:tr w:rsidR="00C90825" w:rsidRPr="00C717A5" w:rsidTr="00032A96">
        <w:tc>
          <w:tcPr>
            <w:tcW w:w="1624" w:type="dxa"/>
            <w:vMerge w:val="restart"/>
            <w:shd w:val="clear" w:color="auto" w:fill="auto"/>
          </w:tcPr>
          <w:p w:rsidR="00C90825" w:rsidRPr="00FA1259" w:rsidRDefault="00C90825" w:rsidP="00303470">
            <w:pPr>
              <w:spacing w:before="60" w:after="60" w:line="240" w:lineRule="auto"/>
              <w:rPr>
                <w:rFonts w:eastAsia="Calibri"/>
                <w:b/>
                <w:bCs/>
                <w:sz w:val="18"/>
                <w:szCs w:val="18"/>
              </w:rPr>
            </w:pPr>
            <w:r w:rsidRPr="00FA1259">
              <w:rPr>
                <w:rFonts w:eastAsia="Calibri"/>
                <w:b/>
                <w:bCs/>
                <w:sz w:val="18"/>
                <w:szCs w:val="18"/>
              </w:rPr>
              <w:t xml:space="preserve">Victorian Government Workers in Transition (WiT) program </w:t>
            </w:r>
          </w:p>
          <w:p w:rsidR="00C90825" w:rsidRPr="00FA1259" w:rsidRDefault="00C90825" w:rsidP="00303470">
            <w:pPr>
              <w:spacing w:before="60" w:after="60" w:line="240" w:lineRule="auto"/>
              <w:rPr>
                <w:rFonts w:eastAsia="Calibri"/>
                <w:b/>
                <w:bCs/>
                <w:sz w:val="18"/>
                <w:szCs w:val="18"/>
              </w:rPr>
            </w:pPr>
          </w:p>
          <w:p w:rsidR="00C90825" w:rsidRPr="00FA1259" w:rsidRDefault="00C90825" w:rsidP="00303470">
            <w:pPr>
              <w:spacing w:before="60" w:after="60" w:line="240" w:lineRule="auto"/>
              <w:rPr>
                <w:rFonts w:eastAsia="Calibri"/>
                <w:b/>
                <w:bCs/>
                <w:sz w:val="18"/>
                <w:szCs w:val="18"/>
              </w:rPr>
            </w:pPr>
            <w:r w:rsidRPr="00FA1259">
              <w:rPr>
                <w:rFonts w:eastAsia="Calibri"/>
                <w:b/>
                <w:bCs/>
                <w:sz w:val="18"/>
                <w:szCs w:val="18"/>
              </w:rPr>
              <w:t>(eg. BlueScope Steel)</w:t>
            </w:r>
          </w:p>
        </w:tc>
        <w:tc>
          <w:tcPr>
            <w:tcW w:w="2745" w:type="dxa"/>
            <w:vMerge w:val="restart"/>
            <w:shd w:val="clear" w:color="auto" w:fill="auto"/>
          </w:tcPr>
          <w:p w:rsidR="00C90825" w:rsidRPr="00FA1259" w:rsidRDefault="00C90825" w:rsidP="00303470">
            <w:pPr>
              <w:tabs>
                <w:tab w:val="left" w:pos="426"/>
              </w:tabs>
              <w:spacing w:before="60" w:after="60" w:line="240" w:lineRule="auto"/>
              <w:rPr>
                <w:rFonts w:eastAsia="Calibri"/>
                <w:sz w:val="18"/>
                <w:szCs w:val="18"/>
              </w:rPr>
            </w:pPr>
            <w:r w:rsidRPr="00FA1259">
              <w:rPr>
                <w:rFonts w:eastAsia="Calibri"/>
                <w:sz w:val="18"/>
                <w:szCs w:val="18"/>
              </w:rPr>
              <w:t xml:space="preserve">The WiT program was initiated in 2011 to respond to incidences of retrenchment across the </w:t>
            </w:r>
            <w:r>
              <w:rPr>
                <w:rFonts w:eastAsia="Calibri"/>
                <w:sz w:val="18"/>
                <w:szCs w:val="18"/>
              </w:rPr>
              <w:t>S</w:t>
            </w:r>
            <w:r w:rsidRPr="00FA1259">
              <w:rPr>
                <w:rFonts w:eastAsia="Calibri"/>
                <w:sz w:val="18"/>
                <w:szCs w:val="18"/>
              </w:rPr>
              <w:t>tate. The program aims to assist affected employees make an effective transition to new employment in the Victorian workforce, through careers advice, Recognition of Prior Learning (RPL) and/or a government-subsidised training place (through a waiver to the usual up-skilling eligibility criteria under the VTG).</w:t>
            </w:r>
          </w:p>
          <w:p w:rsidR="00C90825" w:rsidRPr="00FA1259" w:rsidRDefault="00C90825" w:rsidP="00303470">
            <w:pPr>
              <w:tabs>
                <w:tab w:val="left" w:pos="426"/>
              </w:tabs>
              <w:spacing w:before="60" w:after="60" w:line="240" w:lineRule="auto"/>
              <w:rPr>
                <w:rFonts w:eastAsia="Calibri"/>
                <w:sz w:val="18"/>
                <w:szCs w:val="18"/>
              </w:rPr>
            </w:pPr>
            <w:r w:rsidRPr="00FA1259">
              <w:rPr>
                <w:rFonts w:eastAsia="Calibri"/>
                <w:sz w:val="18"/>
                <w:szCs w:val="18"/>
              </w:rPr>
              <w:t xml:space="preserve">For example, in response to BlueScope Steel’s retrenchment of approximately 200 employees in 2011, the Victorian Government, together with Chisholm Institute of TAFE and working closely with BlueScope Steel, mobilised to support affected employees through: </w:t>
            </w:r>
          </w:p>
          <w:p w:rsidR="00C90825" w:rsidRPr="00FA1259" w:rsidRDefault="00C90825" w:rsidP="00303470">
            <w:pPr>
              <w:tabs>
                <w:tab w:val="left" w:pos="426"/>
              </w:tabs>
              <w:spacing w:before="60" w:after="60" w:line="240" w:lineRule="auto"/>
              <w:ind w:left="360"/>
              <w:contextualSpacing/>
              <w:rPr>
                <w:rFonts w:eastAsia="Calibri"/>
                <w:sz w:val="18"/>
                <w:szCs w:val="18"/>
              </w:rPr>
            </w:pPr>
            <w:r>
              <w:rPr>
                <w:rFonts w:eastAsia="Calibri"/>
                <w:sz w:val="18"/>
                <w:szCs w:val="18"/>
              </w:rPr>
              <w:t>e</w:t>
            </w:r>
            <w:r w:rsidRPr="00FA1259">
              <w:rPr>
                <w:rFonts w:eastAsia="Calibri"/>
                <w:sz w:val="18"/>
                <w:szCs w:val="18"/>
              </w:rPr>
              <w:t xml:space="preserve">stablishing a temporary on-site Job Centre to provide support services and access to training; </w:t>
            </w:r>
          </w:p>
          <w:p w:rsidR="00C90825" w:rsidRPr="00FA1259" w:rsidRDefault="00C90825" w:rsidP="00303470">
            <w:pPr>
              <w:numPr>
                <w:ilvl w:val="0"/>
                <w:numId w:val="1"/>
              </w:numPr>
              <w:autoSpaceDE w:val="0"/>
              <w:autoSpaceDN w:val="0"/>
              <w:spacing w:before="60" w:after="60" w:line="240" w:lineRule="auto"/>
              <w:rPr>
                <w:rFonts w:eastAsia="Calibri"/>
                <w:sz w:val="18"/>
                <w:szCs w:val="18"/>
              </w:rPr>
            </w:pPr>
            <w:r>
              <w:rPr>
                <w:rFonts w:eastAsia="Calibri"/>
                <w:sz w:val="18"/>
                <w:szCs w:val="18"/>
              </w:rPr>
              <w:t>p</w:t>
            </w:r>
            <w:r w:rsidRPr="00FA1259">
              <w:rPr>
                <w:rFonts w:eastAsia="Calibri"/>
                <w:sz w:val="18"/>
                <w:szCs w:val="18"/>
              </w:rPr>
              <w:t>roviding employment broking services by connecting local prospective employers with affected employees;</w:t>
            </w:r>
          </w:p>
          <w:p w:rsidR="00C90825" w:rsidRPr="00FA1259" w:rsidRDefault="00C90825" w:rsidP="00303470">
            <w:pPr>
              <w:tabs>
                <w:tab w:val="left" w:pos="426"/>
              </w:tabs>
              <w:spacing w:before="60" w:after="60" w:line="240" w:lineRule="auto"/>
              <w:ind w:left="360"/>
              <w:contextualSpacing/>
              <w:rPr>
                <w:rFonts w:eastAsia="Calibri"/>
                <w:sz w:val="18"/>
                <w:szCs w:val="18"/>
              </w:rPr>
            </w:pPr>
            <w:r>
              <w:rPr>
                <w:rFonts w:eastAsia="Calibri"/>
                <w:sz w:val="18"/>
                <w:szCs w:val="18"/>
              </w:rPr>
              <w:t>r</w:t>
            </w:r>
            <w:r w:rsidRPr="00FA1259">
              <w:rPr>
                <w:rFonts w:eastAsia="Calibri"/>
                <w:sz w:val="18"/>
                <w:szCs w:val="18"/>
              </w:rPr>
              <w:t>egularly communicating with other state and federal agencies and local industry and employers to provide an appropriate and coordinated response.</w:t>
            </w:r>
          </w:p>
        </w:tc>
        <w:tc>
          <w:tcPr>
            <w:tcW w:w="3252" w:type="dxa"/>
            <w:shd w:val="clear" w:color="auto" w:fill="auto"/>
          </w:tcPr>
          <w:p w:rsidR="00C90825" w:rsidRPr="00FA1259" w:rsidRDefault="00C90825" w:rsidP="00303470">
            <w:pPr>
              <w:spacing w:before="60" w:after="60" w:line="240" w:lineRule="auto"/>
              <w:rPr>
                <w:rFonts w:ascii="Arial" w:eastAsia="Calibri" w:hAnsi="Arial" w:cs="Arial"/>
                <w:sz w:val="18"/>
                <w:szCs w:val="18"/>
              </w:rPr>
            </w:pPr>
            <w:r w:rsidRPr="00FA1259">
              <w:rPr>
                <w:rFonts w:eastAsia="Calibri"/>
                <w:sz w:val="18"/>
                <w:szCs w:val="18"/>
              </w:rPr>
              <w:t>Close collaboration with industry and employers (both the affected employer(s) and potential future employers) is critical to providing smooth employment transitions</w:t>
            </w:r>
            <w:r>
              <w:rPr>
                <w:rFonts w:eastAsia="Calibri"/>
                <w:sz w:val="18"/>
                <w:szCs w:val="18"/>
              </w:rPr>
              <w:t>.</w:t>
            </w:r>
          </w:p>
        </w:tc>
        <w:tc>
          <w:tcPr>
            <w:tcW w:w="2268" w:type="dxa"/>
            <w:shd w:val="clear" w:color="auto" w:fill="auto"/>
          </w:tcPr>
          <w:p w:rsidR="00C90825" w:rsidRPr="00515BFE" w:rsidRDefault="00C90825" w:rsidP="00303470">
            <w:pPr>
              <w:spacing w:before="60" w:after="60" w:line="240" w:lineRule="auto"/>
              <w:rPr>
                <w:rFonts w:eastAsia="Calibri"/>
                <w:sz w:val="18"/>
                <w:szCs w:val="18"/>
              </w:rPr>
            </w:pPr>
            <w:r w:rsidRPr="00515BFE">
              <w:rPr>
                <w:rFonts w:eastAsia="Calibri"/>
                <w:sz w:val="18"/>
                <w:szCs w:val="18"/>
              </w:rPr>
              <w:t>Workforce Development Centres (WDCs) and the Victorian Industry Participation Model (IPM)</w:t>
            </w:r>
          </w:p>
        </w:tc>
      </w:tr>
      <w:tr w:rsidR="00C90825" w:rsidRPr="00C717A5" w:rsidTr="00032A96">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tabs>
                <w:tab w:val="left" w:pos="426"/>
              </w:tabs>
              <w:spacing w:before="60" w:after="60" w:line="240" w:lineRule="auto"/>
              <w:jc w:val="both"/>
              <w:rPr>
                <w:rFonts w:eastAsia="Calibri"/>
                <w:sz w:val="18"/>
                <w:szCs w:val="18"/>
              </w:rPr>
            </w:pPr>
          </w:p>
        </w:tc>
        <w:tc>
          <w:tcPr>
            <w:tcW w:w="3252" w:type="dxa"/>
            <w:shd w:val="clear" w:color="auto" w:fill="auto"/>
          </w:tcPr>
          <w:p w:rsidR="00C90825" w:rsidRPr="00FA1259" w:rsidRDefault="00C90825" w:rsidP="00303470">
            <w:pPr>
              <w:spacing w:before="60" w:after="60" w:line="240" w:lineRule="auto"/>
              <w:rPr>
                <w:rFonts w:ascii="Arial" w:eastAsia="Calibri" w:hAnsi="Arial" w:cs="Arial"/>
                <w:sz w:val="18"/>
                <w:szCs w:val="18"/>
              </w:rPr>
            </w:pPr>
            <w:r w:rsidRPr="00FA1259">
              <w:rPr>
                <w:rFonts w:eastAsia="Calibri"/>
                <w:sz w:val="18"/>
                <w:szCs w:val="18"/>
              </w:rPr>
              <w:t>The provision of quality career advice by professional career counsellors is important to support retrenched employees to make appropriate training and career choices</w:t>
            </w:r>
            <w:r>
              <w:rPr>
                <w:rFonts w:eastAsia="Calibri"/>
                <w:sz w:val="18"/>
                <w:szCs w:val="18"/>
              </w:rPr>
              <w:t>.</w:t>
            </w:r>
          </w:p>
        </w:tc>
        <w:tc>
          <w:tcPr>
            <w:tcW w:w="2268" w:type="dxa"/>
            <w:shd w:val="clear" w:color="auto" w:fill="auto"/>
          </w:tcPr>
          <w:p w:rsidR="00C90825" w:rsidRPr="00515BFE" w:rsidRDefault="00C90825" w:rsidP="00303470">
            <w:pPr>
              <w:spacing w:before="60" w:after="60" w:line="240" w:lineRule="auto"/>
              <w:rPr>
                <w:rFonts w:eastAsia="Calibri"/>
                <w:sz w:val="18"/>
                <w:szCs w:val="18"/>
              </w:rPr>
            </w:pPr>
            <w:r w:rsidRPr="00515BFE">
              <w:rPr>
                <w:rFonts w:eastAsia="Calibri"/>
                <w:sz w:val="18"/>
                <w:szCs w:val="18"/>
              </w:rPr>
              <w:t>Careers Advice Entitlement (CAE)</w:t>
            </w:r>
          </w:p>
        </w:tc>
      </w:tr>
      <w:tr w:rsidR="00C90825" w:rsidRPr="00C717A5" w:rsidTr="00032A96">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tabs>
                <w:tab w:val="left" w:pos="426"/>
              </w:tabs>
              <w:spacing w:before="60" w:after="60" w:line="240" w:lineRule="auto"/>
              <w:jc w:val="both"/>
              <w:rPr>
                <w:rFonts w:eastAsia="Calibri"/>
                <w:sz w:val="18"/>
                <w:szCs w:val="18"/>
              </w:rPr>
            </w:pPr>
          </w:p>
        </w:tc>
        <w:tc>
          <w:tcPr>
            <w:tcW w:w="3252" w:type="dxa"/>
            <w:shd w:val="clear" w:color="auto" w:fill="auto"/>
          </w:tcPr>
          <w:p w:rsidR="00C90825" w:rsidRPr="00FA1259" w:rsidRDefault="00C90825" w:rsidP="00303470">
            <w:pPr>
              <w:spacing w:before="60" w:after="60" w:line="240" w:lineRule="auto"/>
              <w:rPr>
                <w:rFonts w:eastAsia="Calibri"/>
                <w:sz w:val="18"/>
                <w:szCs w:val="18"/>
              </w:rPr>
            </w:pPr>
            <w:r w:rsidRPr="00FA1259">
              <w:rPr>
                <w:rFonts w:eastAsia="Calibri"/>
                <w:sz w:val="18"/>
                <w:szCs w:val="18"/>
              </w:rPr>
              <w:t xml:space="preserve">Stakeholder coordination is needed to provide holistic solutions for retrenched employees. The VTG is an effective mechanism to bring training providers, current and prospective employers, Commonwealth jobs services and Centrelink services together to support employees. </w:t>
            </w:r>
          </w:p>
        </w:tc>
        <w:tc>
          <w:tcPr>
            <w:tcW w:w="2268" w:type="dxa"/>
            <w:shd w:val="clear" w:color="auto" w:fill="auto"/>
          </w:tcPr>
          <w:p w:rsidR="00C90825" w:rsidRPr="00515BFE" w:rsidRDefault="00C90825" w:rsidP="00303470">
            <w:pPr>
              <w:spacing w:before="60" w:after="60" w:line="240" w:lineRule="auto"/>
              <w:contextualSpacing/>
              <w:rPr>
                <w:rFonts w:eastAsia="Calibri"/>
                <w:sz w:val="18"/>
                <w:szCs w:val="18"/>
              </w:rPr>
            </w:pPr>
            <w:r w:rsidRPr="00515BFE">
              <w:rPr>
                <w:rFonts w:eastAsia="Calibri"/>
                <w:sz w:val="18"/>
                <w:szCs w:val="18"/>
              </w:rPr>
              <w:t>Employee in Transition Entitlement (ETE)</w:t>
            </w:r>
          </w:p>
        </w:tc>
      </w:tr>
      <w:tr w:rsidR="00C90825" w:rsidRPr="00C717A5" w:rsidTr="00032A96">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tabs>
                <w:tab w:val="left" w:pos="426"/>
              </w:tabs>
              <w:spacing w:before="60" w:after="60" w:line="240" w:lineRule="auto"/>
              <w:jc w:val="both"/>
              <w:rPr>
                <w:rFonts w:eastAsia="Calibri"/>
                <w:sz w:val="18"/>
                <w:szCs w:val="18"/>
              </w:rPr>
            </w:pPr>
          </w:p>
        </w:tc>
        <w:tc>
          <w:tcPr>
            <w:tcW w:w="3252" w:type="dxa"/>
            <w:shd w:val="clear" w:color="auto" w:fill="auto"/>
          </w:tcPr>
          <w:p w:rsidR="00C90825" w:rsidRPr="00FA1259" w:rsidRDefault="00C90825" w:rsidP="00303470">
            <w:pPr>
              <w:spacing w:before="60" w:after="60" w:line="240" w:lineRule="auto"/>
              <w:rPr>
                <w:rFonts w:eastAsia="Calibri"/>
                <w:sz w:val="18"/>
                <w:szCs w:val="18"/>
              </w:rPr>
            </w:pPr>
            <w:r w:rsidRPr="00FA1259">
              <w:rPr>
                <w:rFonts w:eastAsia="Calibri"/>
                <w:sz w:val="18"/>
                <w:szCs w:val="18"/>
              </w:rPr>
              <w:t xml:space="preserve">Given their contact with and knowledge of local industry, employers and training providers, the Victorian Regional Market Facilitation Manager(s) in the affected region(s) are well placed to monitor and coordinate stakeholders, regularly check progress of program and provide early intervention to prevent poor service provision, as well as providing a single point of contact for retrenched employees.  </w:t>
            </w:r>
          </w:p>
        </w:tc>
        <w:tc>
          <w:tcPr>
            <w:tcW w:w="2268" w:type="dxa"/>
            <w:shd w:val="clear" w:color="auto" w:fill="auto"/>
          </w:tcPr>
          <w:p w:rsidR="00C90825" w:rsidRPr="00515BFE" w:rsidRDefault="00C90825" w:rsidP="00303470">
            <w:pPr>
              <w:spacing w:before="60" w:after="60" w:line="240" w:lineRule="auto"/>
              <w:rPr>
                <w:rFonts w:eastAsia="Calibri"/>
                <w:sz w:val="18"/>
                <w:szCs w:val="18"/>
              </w:rPr>
            </w:pPr>
            <w:r w:rsidRPr="00515BFE">
              <w:rPr>
                <w:rFonts w:eastAsia="Calibri"/>
                <w:sz w:val="18"/>
                <w:szCs w:val="18"/>
              </w:rPr>
              <w:t>IPM</w:t>
            </w:r>
          </w:p>
        </w:tc>
      </w:tr>
      <w:tr w:rsidR="00C90825" w:rsidRPr="00C717A5" w:rsidTr="00032A96">
        <w:trPr>
          <w:trHeight w:val="1335"/>
        </w:trPr>
        <w:tc>
          <w:tcPr>
            <w:tcW w:w="1624" w:type="dxa"/>
            <w:vMerge w:val="restart"/>
            <w:shd w:val="clear" w:color="auto" w:fill="auto"/>
          </w:tcPr>
          <w:p w:rsidR="00C90825" w:rsidRPr="00FA1259" w:rsidRDefault="00C90825" w:rsidP="00303470">
            <w:pPr>
              <w:spacing w:before="60" w:after="60" w:line="240" w:lineRule="auto"/>
              <w:rPr>
                <w:rFonts w:eastAsia="Calibri"/>
                <w:b/>
                <w:bCs/>
                <w:sz w:val="18"/>
                <w:szCs w:val="18"/>
              </w:rPr>
            </w:pPr>
            <w:r w:rsidRPr="00FA1259">
              <w:rPr>
                <w:rFonts w:eastAsia="Calibri"/>
                <w:b/>
                <w:bCs/>
                <w:sz w:val="18"/>
                <w:szCs w:val="18"/>
              </w:rPr>
              <w:t xml:space="preserve">Victorian Government Skill Up program </w:t>
            </w:r>
          </w:p>
          <w:p w:rsidR="00C90825" w:rsidRPr="00FA1259" w:rsidRDefault="00C90825" w:rsidP="00303470">
            <w:pPr>
              <w:spacing w:before="60" w:after="60" w:line="240" w:lineRule="auto"/>
              <w:rPr>
                <w:rFonts w:eastAsia="Calibri"/>
                <w:b/>
                <w:bCs/>
                <w:sz w:val="18"/>
                <w:szCs w:val="18"/>
              </w:rPr>
            </w:pPr>
          </w:p>
          <w:p w:rsidR="00C90825" w:rsidRPr="00FA1259" w:rsidRDefault="00C90825" w:rsidP="00303470">
            <w:pPr>
              <w:spacing w:before="60" w:after="60" w:line="240" w:lineRule="auto"/>
              <w:rPr>
                <w:rFonts w:eastAsia="Calibri"/>
                <w:b/>
                <w:bCs/>
                <w:sz w:val="18"/>
                <w:szCs w:val="18"/>
              </w:rPr>
            </w:pPr>
          </w:p>
        </w:tc>
        <w:tc>
          <w:tcPr>
            <w:tcW w:w="2745" w:type="dxa"/>
            <w:vMerge w:val="restart"/>
            <w:shd w:val="clear" w:color="auto" w:fill="auto"/>
          </w:tcPr>
          <w:p w:rsidR="00C90825" w:rsidRPr="00FA1259" w:rsidRDefault="00C90825" w:rsidP="00303470">
            <w:pPr>
              <w:spacing w:before="60" w:after="60" w:line="240" w:lineRule="auto"/>
              <w:rPr>
                <w:rFonts w:eastAsia="Calibri"/>
                <w:sz w:val="18"/>
                <w:szCs w:val="18"/>
              </w:rPr>
            </w:pPr>
            <w:r w:rsidRPr="00FA1259">
              <w:rPr>
                <w:rFonts w:eastAsia="Calibri"/>
                <w:bCs/>
                <w:sz w:val="18"/>
                <w:szCs w:val="18"/>
              </w:rPr>
              <w:t xml:space="preserve">The Skill Up program was initiated in 2003 to support groups of retrenched employees to develop skills that would help them re-enter the workforce as soon as possible through short-term training and support services (case management, pre-enrolment counselling, training plans etc).  </w:t>
            </w:r>
          </w:p>
          <w:p w:rsidR="00C90825" w:rsidRPr="00FA1259" w:rsidRDefault="00C90825" w:rsidP="00303470">
            <w:pPr>
              <w:spacing w:before="60" w:after="60" w:line="240" w:lineRule="auto"/>
              <w:rPr>
                <w:rFonts w:eastAsia="Calibri"/>
                <w:bCs/>
                <w:sz w:val="18"/>
                <w:szCs w:val="18"/>
              </w:rPr>
            </w:pPr>
          </w:p>
          <w:p w:rsidR="00C90825" w:rsidRPr="00FA1259" w:rsidRDefault="00C90825" w:rsidP="00303470">
            <w:pPr>
              <w:spacing w:before="60" w:after="60" w:line="240" w:lineRule="auto"/>
              <w:rPr>
                <w:rFonts w:eastAsia="Calibri"/>
                <w:sz w:val="18"/>
                <w:szCs w:val="18"/>
              </w:rPr>
            </w:pPr>
          </w:p>
        </w:tc>
        <w:tc>
          <w:tcPr>
            <w:tcW w:w="3252" w:type="dxa"/>
            <w:shd w:val="clear" w:color="auto" w:fill="auto"/>
          </w:tcPr>
          <w:p w:rsidR="00C90825" w:rsidRPr="00FA1259" w:rsidRDefault="00C90825" w:rsidP="00303470">
            <w:pPr>
              <w:spacing w:before="60" w:after="60" w:line="240" w:lineRule="auto"/>
              <w:rPr>
                <w:rFonts w:eastAsia="Calibri"/>
                <w:sz w:val="18"/>
                <w:szCs w:val="18"/>
              </w:rPr>
            </w:pPr>
            <w:r w:rsidRPr="00FA1259">
              <w:rPr>
                <w:rFonts w:eastAsia="Calibri"/>
                <w:sz w:val="18"/>
                <w:szCs w:val="18"/>
              </w:rPr>
              <w:lastRenderedPageBreak/>
              <w:t>Early intervention to engage employees as soon as possible, preferably before the retrenchment occurs, is a key success factor</w:t>
            </w:r>
            <w:r>
              <w:rPr>
                <w:rFonts w:eastAsia="Calibri"/>
                <w:sz w:val="18"/>
                <w:szCs w:val="18"/>
              </w:rPr>
              <w:t>.</w:t>
            </w:r>
            <w:r w:rsidRPr="00FA1259">
              <w:rPr>
                <w:rFonts w:eastAsia="Calibri"/>
                <w:sz w:val="18"/>
                <w:szCs w:val="18"/>
              </w:rPr>
              <w:t xml:space="preserve"> </w:t>
            </w:r>
          </w:p>
        </w:tc>
        <w:tc>
          <w:tcPr>
            <w:tcW w:w="2268" w:type="dxa"/>
            <w:shd w:val="clear" w:color="auto" w:fill="auto"/>
          </w:tcPr>
          <w:p w:rsidR="00C90825" w:rsidRPr="00515BFE" w:rsidRDefault="00C90825" w:rsidP="00303470">
            <w:pPr>
              <w:spacing w:before="60" w:after="60" w:line="240" w:lineRule="auto"/>
              <w:rPr>
                <w:rFonts w:eastAsia="Calibri"/>
                <w:sz w:val="18"/>
                <w:szCs w:val="18"/>
              </w:rPr>
            </w:pPr>
            <w:r w:rsidRPr="00515BFE">
              <w:rPr>
                <w:rFonts w:eastAsia="Calibri"/>
                <w:sz w:val="18"/>
                <w:szCs w:val="18"/>
              </w:rPr>
              <w:t>CAE and ETE</w:t>
            </w:r>
          </w:p>
          <w:p w:rsidR="00C90825" w:rsidRPr="00515BFE" w:rsidRDefault="00C90825" w:rsidP="00303470">
            <w:pPr>
              <w:spacing w:before="60" w:after="60" w:line="240" w:lineRule="auto"/>
              <w:rPr>
                <w:rFonts w:eastAsia="Calibri"/>
                <w:sz w:val="18"/>
                <w:szCs w:val="18"/>
              </w:rPr>
            </w:pPr>
          </w:p>
          <w:p w:rsidR="00C90825" w:rsidRPr="00515BFE" w:rsidRDefault="00C90825" w:rsidP="00303470">
            <w:pPr>
              <w:spacing w:before="60" w:after="60" w:line="240" w:lineRule="auto"/>
              <w:rPr>
                <w:rFonts w:eastAsia="Calibri"/>
                <w:sz w:val="18"/>
                <w:szCs w:val="18"/>
              </w:rPr>
            </w:pPr>
          </w:p>
          <w:p w:rsidR="00C90825" w:rsidRPr="00515BFE" w:rsidRDefault="00C90825" w:rsidP="00303470">
            <w:pPr>
              <w:spacing w:before="60" w:after="60" w:line="240" w:lineRule="auto"/>
              <w:rPr>
                <w:rFonts w:eastAsia="Calibri"/>
                <w:sz w:val="18"/>
                <w:szCs w:val="18"/>
              </w:rPr>
            </w:pPr>
          </w:p>
        </w:tc>
      </w:tr>
      <w:tr w:rsidR="00C90825" w:rsidRPr="00C717A5" w:rsidTr="00032A96">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spacing w:before="60" w:after="60" w:line="240" w:lineRule="auto"/>
              <w:rPr>
                <w:rFonts w:eastAsia="Calibri"/>
                <w:bCs/>
                <w:sz w:val="18"/>
                <w:szCs w:val="18"/>
              </w:rPr>
            </w:pPr>
          </w:p>
        </w:tc>
        <w:tc>
          <w:tcPr>
            <w:tcW w:w="3252" w:type="dxa"/>
            <w:shd w:val="clear" w:color="auto" w:fill="auto"/>
          </w:tcPr>
          <w:p w:rsidR="00C90825" w:rsidRPr="00FA1259" w:rsidRDefault="00C90825" w:rsidP="00303470">
            <w:pPr>
              <w:spacing w:before="60" w:after="60" w:line="240" w:lineRule="auto"/>
              <w:rPr>
                <w:rFonts w:eastAsia="Calibri"/>
                <w:sz w:val="18"/>
                <w:szCs w:val="18"/>
              </w:rPr>
            </w:pPr>
            <w:r w:rsidRPr="00FA1259">
              <w:rPr>
                <w:rFonts w:eastAsia="Calibri"/>
                <w:sz w:val="18"/>
                <w:szCs w:val="18"/>
              </w:rPr>
              <w:t xml:space="preserve">Case managed support provides flexibility to ensure training and other support services meet the needs of employees, employers and industry – there </w:t>
            </w:r>
            <w:r w:rsidRPr="00FA1259">
              <w:rPr>
                <w:rFonts w:eastAsia="Calibri"/>
                <w:bCs/>
                <w:sz w:val="18"/>
                <w:szCs w:val="18"/>
              </w:rPr>
              <w:t>is no one-size-fits-all solution</w:t>
            </w:r>
          </w:p>
        </w:tc>
        <w:tc>
          <w:tcPr>
            <w:tcW w:w="2268" w:type="dxa"/>
            <w:shd w:val="clear" w:color="auto" w:fill="auto"/>
          </w:tcPr>
          <w:p w:rsidR="00C90825" w:rsidRPr="00515BFE" w:rsidRDefault="00C90825" w:rsidP="00303470">
            <w:pPr>
              <w:spacing w:before="60" w:after="60" w:line="240" w:lineRule="auto"/>
              <w:contextualSpacing/>
              <w:rPr>
                <w:rFonts w:eastAsia="Calibri"/>
                <w:sz w:val="18"/>
                <w:szCs w:val="18"/>
              </w:rPr>
            </w:pPr>
            <w:r w:rsidRPr="00515BFE">
              <w:rPr>
                <w:rFonts w:eastAsia="Calibri"/>
                <w:sz w:val="18"/>
                <w:szCs w:val="18"/>
              </w:rPr>
              <w:t>CAE</w:t>
            </w:r>
          </w:p>
        </w:tc>
      </w:tr>
      <w:tr w:rsidR="00C90825" w:rsidRPr="00C717A5" w:rsidTr="00032A96">
        <w:trPr>
          <w:trHeight w:val="2257"/>
        </w:trPr>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spacing w:before="60" w:after="60" w:line="240" w:lineRule="auto"/>
              <w:rPr>
                <w:rFonts w:eastAsia="Calibri"/>
                <w:bCs/>
                <w:sz w:val="18"/>
                <w:szCs w:val="18"/>
              </w:rPr>
            </w:pPr>
          </w:p>
        </w:tc>
        <w:tc>
          <w:tcPr>
            <w:tcW w:w="3252" w:type="dxa"/>
            <w:shd w:val="clear" w:color="auto" w:fill="auto"/>
          </w:tcPr>
          <w:p w:rsidR="00C90825" w:rsidRPr="00FA1259" w:rsidRDefault="00C90825" w:rsidP="00303470">
            <w:pPr>
              <w:spacing w:before="60" w:after="60" w:line="240" w:lineRule="auto"/>
              <w:rPr>
                <w:rFonts w:eastAsia="Calibri"/>
                <w:sz w:val="18"/>
                <w:szCs w:val="18"/>
              </w:rPr>
            </w:pPr>
            <w:r w:rsidRPr="00FA1259">
              <w:rPr>
                <w:rFonts w:eastAsia="Calibri"/>
                <w:sz w:val="18"/>
                <w:szCs w:val="18"/>
              </w:rPr>
              <w:t>A cohort based approach enables the response to be tailored to affected employees’ shared circumstances and needs (eg. low educational attainment, low-skilled, may not have been in a learning environment for many years, may need financial assistance to undertake training)</w:t>
            </w:r>
            <w:r>
              <w:rPr>
                <w:rFonts w:eastAsia="Calibri"/>
                <w:sz w:val="18"/>
                <w:szCs w:val="18"/>
              </w:rPr>
              <w:t>.</w:t>
            </w:r>
            <w:r w:rsidRPr="00FA1259">
              <w:rPr>
                <w:rFonts w:eastAsia="Calibri"/>
                <w:sz w:val="18"/>
                <w:szCs w:val="18"/>
              </w:rPr>
              <w:t xml:space="preserve"> </w:t>
            </w:r>
          </w:p>
        </w:tc>
        <w:tc>
          <w:tcPr>
            <w:tcW w:w="2268" w:type="dxa"/>
            <w:shd w:val="clear" w:color="auto" w:fill="auto"/>
          </w:tcPr>
          <w:p w:rsidR="00C90825" w:rsidRPr="00515BFE" w:rsidRDefault="00C90825" w:rsidP="00303470">
            <w:pPr>
              <w:spacing w:before="60" w:after="60" w:line="240" w:lineRule="auto"/>
              <w:contextualSpacing/>
              <w:rPr>
                <w:rFonts w:eastAsia="Calibri"/>
                <w:sz w:val="18"/>
                <w:szCs w:val="18"/>
              </w:rPr>
            </w:pPr>
            <w:r w:rsidRPr="00515BFE">
              <w:rPr>
                <w:rFonts w:eastAsia="Calibri"/>
                <w:sz w:val="18"/>
                <w:szCs w:val="18"/>
              </w:rPr>
              <w:t>CAE and ETE</w:t>
            </w:r>
          </w:p>
        </w:tc>
      </w:tr>
      <w:tr w:rsidR="00C90825" w:rsidRPr="00C717A5" w:rsidTr="00032A96">
        <w:trPr>
          <w:trHeight w:val="1714"/>
        </w:trPr>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spacing w:before="60" w:after="60" w:line="240" w:lineRule="auto"/>
              <w:rPr>
                <w:rFonts w:eastAsia="Calibri"/>
                <w:bCs/>
                <w:sz w:val="18"/>
                <w:szCs w:val="18"/>
              </w:rPr>
            </w:pPr>
          </w:p>
        </w:tc>
        <w:tc>
          <w:tcPr>
            <w:tcW w:w="3252" w:type="dxa"/>
            <w:shd w:val="clear" w:color="auto" w:fill="auto"/>
          </w:tcPr>
          <w:p w:rsidR="00C90825" w:rsidRPr="00515BFE" w:rsidRDefault="00C90825" w:rsidP="00303470">
            <w:pPr>
              <w:spacing w:before="60" w:after="60" w:line="240" w:lineRule="auto"/>
              <w:rPr>
                <w:rFonts w:eastAsia="Calibri"/>
                <w:sz w:val="18"/>
                <w:szCs w:val="18"/>
              </w:rPr>
            </w:pPr>
            <w:r w:rsidRPr="00FA1259">
              <w:rPr>
                <w:rFonts w:eastAsia="Calibri"/>
                <w:bCs/>
                <w:sz w:val="18"/>
                <w:szCs w:val="18"/>
              </w:rPr>
              <w:t>Engaging employees as a group reduces isolation caused by redundancy and enables colleagues to encourage each other to realistically assess capability and transferability of existing skills</w:t>
            </w:r>
            <w:r>
              <w:rPr>
                <w:rFonts w:eastAsia="Calibri"/>
                <w:bCs/>
                <w:sz w:val="18"/>
                <w:szCs w:val="18"/>
              </w:rPr>
              <w:t>.</w:t>
            </w:r>
            <w:r w:rsidRPr="00FA1259">
              <w:rPr>
                <w:rFonts w:eastAsia="Calibri"/>
                <w:bCs/>
                <w:sz w:val="18"/>
                <w:szCs w:val="18"/>
              </w:rPr>
              <w:t> </w:t>
            </w:r>
          </w:p>
        </w:tc>
        <w:tc>
          <w:tcPr>
            <w:tcW w:w="2268" w:type="dxa"/>
            <w:shd w:val="clear" w:color="auto" w:fill="auto"/>
          </w:tcPr>
          <w:p w:rsidR="00C90825" w:rsidRPr="00515BFE" w:rsidRDefault="00C90825" w:rsidP="00303470">
            <w:pPr>
              <w:spacing w:before="60" w:after="60" w:line="240" w:lineRule="auto"/>
              <w:rPr>
                <w:rFonts w:eastAsia="Calibri"/>
                <w:sz w:val="18"/>
                <w:szCs w:val="18"/>
              </w:rPr>
            </w:pPr>
            <w:r w:rsidRPr="00515BFE">
              <w:rPr>
                <w:rFonts w:eastAsia="Calibri"/>
                <w:sz w:val="18"/>
                <w:szCs w:val="18"/>
              </w:rPr>
              <w:t>CAE</w:t>
            </w:r>
          </w:p>
        </w:tc>
      </w:tr>
      <w:tr w:rsidR="00C90825" w:rsidRPr="00C717A5" w:rsidTr="00032A96">
        <w:tc>
          <w:tcPr>
            <w:tcW w:w="1624" w:type="dxa"/>
            <w:vMerge w:val="restart"/>
            <w:shd w:val="clear" w:color="auto" w:fill="auto"/>
          </w:tcPr>
          <w:p w:rsidR="00C90825" w:rsidRPr="00FA1259" w:rsidRDefault="00C90825" w:rsidP="00303470">
            <w:pPr>
              <w:spacing w:before="60" w:after="60" w:line="240" w:lineRule="auto"/>
              <w:rPr>
                <w:rFonts w:eastAsia="Calibri"/>
                <w:b/>
                <w:bCs/>
                <w:sz w:val="18"/>
                <w:szCs w:val="18"/>
              </w:rPr>
            </w:pPr>
            <w:r w:rsidRPr="00FA1259">
              <w:rPr>
                <w:rFonts w:eastAsia="Calibri"/>
                <w:b/>
                <w:bCs/>
                <w:sz w:val="18"/>
                <w:szCs w:val="18"/>
              </w:rPr>
              <w:t>Mitsubishi, South Australia</w:t>
            </w:r>
          </w:p>
          <w:p w:rsidR="00C90825" w:rsidRPr="00FA1259" w:rsidRDefault="00C90825" w:rsidP="00303470">
            <w:pPr>
              <w:autoSpaceDE w:val="0"/>
              <w:autoSpaceDN w:val="0"/>
              <w:adjustRightInd w:val="0"/>
              <w:spacing w:before="60" w:after="60" w:line="240" w:lineRule="auto"/>
              <w:rPr>
                <w:rFonts w:eastAsia="Calibri"/>
                <w:b/>
                <w:bCs/>
                <w:sz w:val="18"/>
                <w:szCs w:val="18"/>
              </w:rPr>
            </w:pPr>
            <w:r w:rsidRPr="00FA1259">
              <w:rPr>
                <w:rFonts w:eastAsia="Calibri"/>
                <w:bCs/>
                <w:sz w:val="18"/>
                <w:szCs w:val="18"/>
              </w:rPr>
              <w:t>In 2004, Mitsubishi announced the closure of its</w:t>
            </w:r>
          </w:p>
          <w:p w:rsidR="00C90825" w:rsidRPr="00FA1259" w:rsidRDefault="00C90825" w:rsidP="00303470">
            <w:pPr>
              <w:autoSpaceDE w:val="0"/>
              <w:autoSpaceDN w:val="0"/>
              <w:adjustRightInd w:val="0"/>
              <w:spacing w:before="60" w:after="60" w:line="240" w:lineRule="auto"/>
              <w:rPr>
                <w:rFonts w:eastAsia="Calibri"/>
                <w:b/>
                <w:bCs/>
                <w:sz w:val="18"/>
                <w:szCs w:val="18"/>
              </w:rPr>
            </w:pPr>
            <w:r w:rsidRPr="00FA1259">
              <w:rPr>
                <w:rFonts w:eastAsia="Calibri"/>
                <w:bCs/>
                <w:sz w:val="18"/>
                <w:szCs w:val="18"/>
              </w:rPr>
              <w:t>engine foundry at Lonsdale with approximately 700 involuntary redundancies, and 400 voluntary redundancies from its Tonsley Park assembly site</w:t>
            </w:r>
            <w:r>
              <w:rPr>
                <w:rFonts w:eastAsia="Calibri"/>
                <w:bCs/>
                <w:sz w:val="18"/>
                <w:szCs w:val="18"/>
              </w:rPr>
              <w:t>.</w:t>
            </w:r>
          </w:p>
          <w:p w:rsidR="00C90825" w:rsidRPr="00FA1259" w:rsidRDefault="00C90825" w:rsidP="00303470">
            <w:pPr>
              <w:spacing w:before="60" w:after="60" w:line="240" w:lineRule="auto"/>
              <w:rPr>
                <w:rFonts w:eastAsia="Calibri"/>
                <w:b/>
                <w:bCs/>
                <w:sz w:val="18"/>
                <w:szCs w:val="18"/>
              </w:rPr>
            </w:pPr>
          </w:p>
          <w:p w:rsidR="00C90825" w:rsidRPr="00FA1259" w:rsidRDefault="00C90825" w:rsidP="00303470">
            <w:pPr>
              <w:spacing w:before="60" w:after="60" w:line="240" w:lineRule="auto"/>
              <w:rPr>
                <w:rFonts w:eastAsia="Calibri"/>
                <w:b/>
                <w:bCs/>
                <w:sz w:val="18"/>
                <w:szCs w:val="18"/>
              </w:rPr>
            </w:pPr>
          </w:p>
        </w:tc>
        <w:tc>
          <w:tcPr>
            <w:tcW w:w="2745" w:type="dxa"/>
            <w:vMerge w:val="restart"/>
            <w:shd w:val="clear" w:color="auto" w:fill="auto"/>
          </w:tcPr>
          <w:p w:rsidR="00C90825" w:rsidRPr="00FA1259" w:rsidRDefault="00C90825" w:rsidP="00303470">
            <w:pPr>
              <w:autoSpaceDE w:val="0"/>
              <w:autoSpaceDN w:val="0"/>
              <w:adjustRightInd w:val="0"/>
              <w:spacing w:before="60" w:after="60" w:line="240" w:lineRule="auto"/>
              <w:rPr>
                <w:rFonts w:eastAsia="Calibri"/>
                <w:bCs/>
                <w:sz w:val="18"/>
                <w:szCs w:val="18"/>
              </w:rPr>
            </w:pPr>
            <w:r w:rsidRPr="00FA1259">
              <w:rPr>
                <w:rFonts w:eastAsia="Calibri"/>
                <w:bCs/>
                <w:sz w:val="18"/>
                <w:szCs w:val="18"/>
              </w:rPr>
              <w:t>As part of the Commonwealth Government funding for the Mitsubishi Labour Adjustment Package, all Mitsubishi employees facing redundancy were fast tracked on to the Intensive Support Customised Assistance (ISCA) scheme, an existing program used to ass</w:t>
            </w:r>
            <w:r>
              <w:rPr>
                <w:rFonts w:eastAsia="Calibri"/>
                <w:bCs/>
                <w:sz w:val="18"/>
                <w:szCs w:val="18"/>
              </w:rPr>
              <w:t>ist long-term unemployed people.</w:t>
            </w:r>
          </w:p>
          <w:p w:rsidR="00C90825" w:rsidRPr="00FA1259" w:rsidRDefault="00C90825" w:rsidP="00303470">
            <w:pPr>
              <w:autoSpaceDE w:val="0"/>
              <w:autoSpaceDN w:val="0"/>
              <w:adjustRightInd w:val="0"/>
              <w:spacing w:before="60" w:after="60" w:line="240" w:lineRule="auto"/>
              <w:rPr>
                <w:rFonts w:eastAsia="Calibri"/>
                <w:bCs/>
                <w:sz w:val="18"/>
                <w:szCs w:val="18"/>
              </w:rPr>
            </w:pPr>
          </w:p>
          <w:p w:rsidR="00C90825" w:rsidRPr="00FA1259" w:rsidRDefault="00C90825" w:rsidP="00303470">
            <w:pPr>
              <w:autoSpaceDE w:val="0"/>
              <w:autoSpaceDN w:val="0"/>
              <w:adjustRightInd w:val="0"/>
              <w:spacing w:before="60" w:after="60" w:line="240" w:lineRule="auto"/>
              <w:rPr>
                <w:rFonts w:ascii="TimesNewRoman" w:eastAsia="Calibri" w:hAnsi="TimesNewRoman" w:cs="TimesNewRoman"/>
                <w:i/>
                <w:sz w:val="18"/>
                <w:szCs w:val="18"/>
              </w:rPr>
            </w:pPr>
          </w:p>
        </w:tc>
        <w:tc>
          <w:tcPr>
            <w:tcW w:w="3252" w:type="dxa"/>
            <w:shd w:val="clear" w:color="auto" w:fill="auto"/>
          </w:tcPr>
          <w:p w:rsidR="00C90825" w:rsidRPr="00515BFE" w:rsidRDefault="00C90825" w:rsidP="00303470">
            <w:pPr>
              <w:autoSpaceDE w:val="0"/>
              <w:autoSpaceDN w:val="0"/>
              <w:adjustRightInd w:val="0"/>
              <w:spacing w:before="60" w:after="60" w:line="240" w:lineRule="auto"/>
              <w:rPr>
                <w:rFonts w:eastAsia="Calibri"/>
                <w:sz w:val="18"/>
                <w:szCs w:val="18"/>
              </w:rPr>
            </w:pPr>
            <w:r w:rsidRPr="00FA1259">
              <w:rPr>
                <w:rFonts w:eastAsia="Calibri"/>
                <w:sz w:val="18"/>
                <w:szCs w:val="18"/>
              </w:rPr>
              <w:t>With respect to skills, an evaluation study of the impact of retrenchment at Mitsubishi focussing on affected employees, their families and communities:</w:t>
            </w:r>
          </w:p>
        </w:tc>
        <w:tc>
          <w:tcPr>
            <w:tcW w:w="2268" w:type="dxa"/>
            <w:shd w:val="clear" w:color="auto" w:fill="auto"/>
          </w:tcPr>
          <w:p w:rsidR="00C90825" w:rsidRPr="00515BFE" w:rsidRDefault="00C90825" w:rsidP="00303470">
            <w:pPr>
              <w:autoSpaceDE w:val="0"/>
              <w:autoSpaceDN w:val="0"/>
              <w:adjustRightInd w:val="0"/>
              <w:spacing w:before="60" w:after="60" w:line="240" w:lineRule="auto"/>
              <w:rPr>
                <w:rFonts w:eastAsia="Calibri"/>
                <w:sz w:val="18"/>
                <w:szCs w:val="18"/>
              </w:rPr>
            </w:pPr>
          </w:p>
        </w:tc>
      </w:tr>
      <w:tr w:rsidR="00C90825" w:rsidRPr="00C717A5" w:rsidTr="00032A96">
        <w:trPr>
          <w:trHeight w:val="1738"/>
        </w:trPr>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autoSpaceDE w:val="0"/>
              <w:autoSpaceDN w:val="0"/>
              <w:adjustRightInd w:val="0"/>
              <w:spacing w:before="60" w:after="60" w:line="240" w:lineRule="auto"/>
              <w:rPr>
                <w:rFonts w:eastAsia="Calibri"/>
                <w:bCs/>
                <w:sz w:val="18"/>
                <w:szCs w:val="18"/>
              </w:rPr>
            </w:pPr>
          </w:p>
        </w:tc>
        <w:tc>
          <w:tcPr>
            <w:tcW w:w="3252" w:type="dxa"/>
            <w:shd w:val="clear" w:color="auto" w:fill="auto"/>
          </w:tcPr>
          <w:p w:rsidR="00C90825" w:rsidRPr="00FA1259" w:rsidRDefault="00C90825" w:rsidP="00303470">
            <w:pPr>
              <w:autoSpaceDE w:val="0"/>
              <w:autoSpaceDN w:val="0"/>
              <w:adjustRightInd w:val="0"/>
              <w:spacing w:before="60" w:after="60" w:line="240" w:lineRule="auto"/>
              <w:contextualSpacing/>
              <w:rPr>
                <w:rFonts w:eastAsia="Calibri"/>
                <w:bCs/>
                <w:sz w:val="18"/>
                <w:szCs w:val="18"/>
              </w:rPr>
            </w:pPr>
            <w:r w:rsidRPr="00FA1259">
              <w:rPr>
                <w:rFonts w:eastAsia="Calibri"/>
                <w:bCs/>
                <w:sz w:val="18"/>
                <w:szCs w:val="18"/>
              </w:rPr>
              <w:t>Found that support provided by JobNetwork providers was often inappropriate for the affected employees as the providers were accustomed to dealing with long-term unskilled unemployed, whereas many of the Mit</w:t>
            </w:r>
            <w:r>
              <w:rPr>
                <w:rFonts w:eastAsia="Calibri"/>
                <w:bCs/>
                <w:sz w:val="18"/>
                <w:szCs w:val="18"/>
              </w:rPr>
              <w:t>subishi employees were skilled.</w:t>
            </w:r>
          </w:p>
        </w:tc>
        <w:tc>
          <w:tcPr>
            <w:tcW w:w="2268" w:type="dxa"/>
            <w:shd w:val="clear" w:color="auto" w:fill="auto"/>
          </w:tcPr>
          <w:p w:rsidR="00C90825" w:rsidRPr="00515BFE" w:rsidRDefault="00C90825" w:rsidP="00303470">
            <w:pPr>
              <w:autoSpaceDE w:val="0"/>
              <w:autoSpaceDN w:val="0"/>
              <w:adjustRightInd w:val="0"/>
              <w:spacing w:before="60" w:after="60" w:line="240" w:lineRule="auto"/>
              <w:contextualSpacing/>
              <w:rPr>
                <w:rFonts w:eastAsia="Calibri"/>
                <w:sz w:val="18"/>
                <w:szCs w:val="18"/>
              </w:rPr>
            </w:pPr>
            <w:r w:rsidRPr="00515BFE">
              <w:rPr>
                <w:rFonts w:eastAsia="Calibri"/>
                <w:sz w:val="18"/>
                <w:szCs w:val="18"/>
              </w:rPr>
              <w:t>Liberalised JSAs and CAE</w:t>
            </w:r>
          </w:p>
        </w:tc>
      </w:tr>
      <w:tr w:rsidR="00C90825" w:rsidRPr="00C717A5" w:rsidTr="00032A96">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autoSpaceDE w:val="0"/>
              <w:autoSpaceDN w:val="0"/>
              <w:adjustRightInd w:val="0"/>
              <w:spacing w:before="60" w:after="60" w:line="240" w:lineRule="auto"/>
              <w:rPr>
                <w:rFonts w:eastAsia="Calibri"/>
                <w:bCs/>
                <w:sz w:val="18"/>
                <w:szCs w:val="18"/>
              </w:rPr>
            </w:pPr>
          </w:p>
        </w:tc>
        <w:tc>
          <w:tcPr>
            <w:tcW w:w="3252" w:type="dxa"/>
            <w:shd w:val="clear" w:color="auto" w:fill="auto"/>
          </w:tcPr>
          <w:p w:rsidR="00C90825" w:rsidRPr="00515BFE" w:rsidRDefault="00C90825" w:rsidP="00303470">
            <w:pPr>
              <w:autoSpaceDE w:val="0"/>
              <w:autoSpaceDN w:val="0"/>
              <w:adjustRightInd w:val="0"/>
              <w:spacing w:before="60" w:after="60" w:line="240" w:lineRule="auto"/>
              <w:contextualSpacing/>
              <w:rPr>
                <w:rFonts w:eastAsia="Calibri"/>
                <w:bCs/>
                <w:sz w:val="18"/>
                <w:szCs w:val="18"/>
              </w:rPr>
            </w:pPr>
            <w:r w:rsidRPr="00FA1259">
              <w:rPr>
                <w:rFonts w:eastAsia="Calibri"/>
                <w:bCs/>
                <w:sz w:val="18"/>
                <w:szCs w:val="18"/>
              </w:rPr>
              <w:t>Recommended that funding could have been redirected to assist displaced employees gain additional vocational training via liaison with RTOs, universities and other education providers to develop appropriate skills and training packages, including strategies for marketing the</w:t>
            </w:r>
            <w:r>
              <w:rPr>
                <w:rFonts w:eastAsia="Calibri"/>
                <w:bCs/>
                <w:sz w:val="18"/>
                <w:szCs w:val="18"/>
              </w:rPr>
              <w:t xml:space="preserve"> courses to affected employees.</w:t>
            </w:r>
          </w:p>
        </w:tc>
        <w:tc>
          <w:tcPr>
            <w:tcW w:w="2268" w:type="dxa"/>
            <w:shd w:val="clear" w:color="auto" w:fill="auto"/>
          </w:tcPr>
          <w:p w:rsidR="00C90825" w:rsidRPr="00515BFE" w:rsidRDefault="00C90825" w:rsidP="00303470">
            <w:pPr>
              <w:autoSpaceDE w:val="0"/>
              <w:autoSpaceDN w:val="0"/>
              <w:adjustRightInd w:val="0"/>
              <w:spacing w:before="60" w:after="60" w:line="240" w:lineRule="auto"/>
              <w:contextualSpacing/>
              <w:rPr>
                <w:rFonts w:eastAsia="Calibri"/>
                <w:sz w:val="18"/>
                <w:szCs w:val="18"/>
              </w:rPr>
            </w:pPr>
            <w:r w:rsidRPr="00515BFE">
              <w:rPr>
                <w:rFonts w:eastAsia="Calibri"/>
                <w:sz w:val="18"/>
                <w:szCs w:val="18"/>
              </w:rPr>
              <w:t>ETEs and IPM</w:t>
            </w:r>
          </w:p>
        </w:tc>
      </w:tr>
      <w:tr w:rsidR="00C90825" w:rsidRPr="00C717A5" w:rsidTr="00032A96">
        <w:tc>
          <w:tcPr>
            <w:tcW w:w="1624" w:type="dxa"/>
            <w:vMerge/>
            <w:shd w:val="clear" w:color="auto" w:fill="auto"/>
          </w:tcPr>
          <w:p w:rsidR="00C90825" w:rsidRPr="00FA1259" w:rsidRDefault="00C90825" w:rsidP="00303470">
            <w:pPr>
              <w:spacing w:before="60" w:after="60" w:line="240" w:lineRule="auto"/>
              <w:rPr>
                <w:rFonts w:eastAsia="Calibri"/>
                <w:b/>
                <w:bCs/>
                <w:sz w:val="18"/>
                <w:szCs w:val="18"/>
              </w:rPr>
            </w:pPr>
          </w:p>
        </w:tc>
        <w:tc>
          <w:tcPr>
            <w:tcW w:w="2745" w:type="dxa"/>
            <w:vMerge/>
            <w:shd w:val="clear" w:color="auto" w:fill="auto"/>
          </w:tcPr>
          <w:p w:rsidR="00C90825" w:rsidRPr="00FA1259" w:rsidRDefault="00C90825" w:rsidP="00303470">
            <w:pPr>
              <w:autoSpaceDE w:val="0"/>
              <w:autoSpaceDN w:val="0"/>
              <w:adjustRightInd w:val="0"/>
              <w:spacing w:before="60" w:after="60" w:line="240" w:lineRule="auto"/>
              <w:rPr>
                <w:rFonts w:eastAsia="Calibri"/>
                <w:bCs/>
                <w:sz w:val="18"/>
                <w:szCs w:val="18"/>
              </w:rPr>
            </w:pPr>
          </w:p>
        </w:tc>
        <w:tc>
          <w:tcPr>
            <w:tcW w:w="3252" w:type="dxa"/>
            <w:shd w:val="clear" w:color="auto" w:fill="auto"/>
          </w:tcPr>
          <w:p w:rsidR="00C90825" w:rsidRPr="00FA1259" w:rsidRDefault="00C90825" w:rsidP="00303470">
            <w:pPr>
              <w:autoSpaceDE w:val="0"/>
              <w:autoSpaceDN w:val="0"/>
              <w:adjustRightInd w:val="0"/>
              <w:spacing w:before="60" w:after="60" w:line="240" w:lineRule="auto"/>
              <w:contextualSpacing/>
              <w:rPr>
                <w:rFonts w:eastAsia="Calibri"/>
                <w:bCs/>
                <w:sz w:val="18"/>
                <w:szCs w:val="18"/>
              </w:rPr>
            </w:pPr>
            <w:r w:rsidRPr="00FA1259">
              <w:rPr>
                <w:rFonts w:eastAsia="Calibri"/>
                <w:bCs/>
                <w:sz w:val="18"/>
                <w:szCs w:val="18"/>
              </w:rPr>
              <w:t xml:space="preserve">Recommended establishing an education and skills forum specifically focused on the needs of displaced employees. </w:t>
            </w:r>
          </w:p>
        </w:tc>
        <w:tc>
          <w:tcPr>
            <w:tcW w:w="2268" w:type="dxa"/>
            <w:shd w:val="clear" w:color="auto" w:fill="auto"/>
          </w:tcPr>
          <w:p w:rsidR="00C90825" w:rsidRPr="00515BFE" w:rsidRDefault="00C90825" w:rsidP="00303470">
            <w:pPr>
              <w:autoSpaceDE w:val="0"/>
              <w:autoSpaceDN w:val="0"/>
              <w:adjustRightInd w:val="0"/>
              <w:spacing w:before="60" w:after="60" w:line="240" w:lineRule="auto"/>
              <w:contextualSpacing/>
              <w:rPr>
                <w:rFonts w:eastAsia="Calibri"/>
                <w:sz w:val="18"/>
                <w:szCs w:val="18"/>
              </w:rPr>
            </w:pPr>
            <w:r w:rsidRPr="00515BFE">
              <w:rPr>
                <w:rFonts w:eastAsia="Calibri"/>
                <w:sz w:val="18"/>
                <w:szCs w:val="18"/>
              </w:rPr>
              <w:t>IPM</w:t>
            </w:r>
          </w:p>
        </w:tc>
      </w:tr>
    </w:tbl>
    <w:p w:rsidR="00E86B95" w:rsidRDefault="003C0FF4"/>
    <w:sectPr w:rsidR="00E86B95" w:rsidSect="00E86B9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5322F"/>
    <w:multiLevelType w:val="hybridMultilevel"/>
    <w:tmpl w:val="C3B69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25"/>
    <w:rsid w:val="001565A1"/>
    <w:rsid w:val="003375E6"/>
    <w:rsid w:val="003C0FF4"/>
    <w:rsid w:val="00511170"/>
    <w:rsid w:val="0064725C"/>
    <w:rsid w:val="00BA54C8"/>
    <w:rsid w:val="00C70B83"/>
    <w:rsid w:val="00C90825"/>
    <w:rsid w:val="00D5198B"/>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25"/>
    <w:pPr>
      <w:spacing w:before="200" w:after="200" w:line="276" w:lineRule="auto"/>
    </w:pPr>
    <w:rPr>
      <w:rFonts w:ascii="Calibri" w:eastAsia="Times New Roman" w:hAnsi="Calibri" w:cs="Times New Roman"/>
      <w:sz w:val="20"/>
      <w:szCs w:val="20"/>
      <w:lang w:val="en-AU" w:eastAsia="en-AU"/>
    </w:rPr>
  </w:style>
  <w:style w:type="paragraph" w:styleId="Heading2">
    <w:name w:val="heading 2"/>
    <w:basedOn w:val="Normal"/>
    <w:next w:val="Normal"/>
    <w:link w:val="Heading2Char"/>
    <w:uiPriority w:val="9"/>
    <w:unhideWhenUsed/>
    <w:qFormat/>
    <w:rsid w:val="00C9082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0825"/>
    <w:rPr>
      <w:rFonts w:ascii="Calibri" w:eastAsia="Times New Roman" w:hAnsi="Calibri" w:cs="Times New Roman"/>
      <w:caps/>
      <w:spacing w:val="15"/>
      <w:sz w:val="22"/>
      <w:szCs w:val="22"/>
      <w:shd w:val="clear" w:color="auto" w:fill="DBE5F1"/>
      <w:lang w:val="en-AU" w:eastAsia="en-AU"/>
    </w:rPr>
  </w:style>
  <w:style w:type="character" w:styleId="BookTitle">
    <w:name w:val="Book Title"/>
    <w:uiPriority w:val="33"/>
    <w:qFormat/>
    <w:rsid w:val="00C90825"/>
    <w:rPr>
      <w:b/>
      <w:bCs/>
      <w:i/>
      <w:iCs/>
      <w:spacing w:val="9"/>
    </w:rPr>
  </w:style>
  <w:style w:type="paragraph" w:styleId="FootnoteText">
    <w:name w:val="footnote text"/>
    <w:basedOn w:val="Normal"/>
    <w:link w:val="FootnoteTextChar"/>
    <w:unhideWhenUsed/>
    <w:rsid w:val="00C90825"/>
  </w:style>
  <w:style w:type="character" w:customStyle="1" w:styleId="FootnoteTextChar">
    <w:name w:val="Footnote Text Char"/>
    <w:basedOn w:val="DefaultParagraphFont"/>
    <w:link w:val="FootnoteText"/>
    <w:rsid w:val="00C90825"/>
    <w:rPr>
      <w:rFonts w:ascii="Calibri" w:eastAsia="Times New Roman" w:hAnsi="Calibri" w:cs="Times New Roman"/>
      <w:sz w:val="20"/>
      <w:szCs w:val="20"/>
      <w:lang w:val="en-AU" w:eastAsia="en-AU"/>
    </w:rPr>
  </w:style>
  <w:style w:type="character" w:styleId="FootnoteReference">
    <w:name w:val="footnote reference"/>
    <w:unhideWhenUsed/>
    <w:rsid w:val="00C908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25"/>
    <w:pPr>
      <w:spacing w:before="200" w:after="200" w:line="276" w:lineRule="auto"/>
    </w:pPr>
    <w:rPr>
      <w:rFonts w:ascii="Calibri" w:eastAsia="Times New Roman" w:hAnsi="Calibri" w:cs="Times New Roman"/>
      <w:sz w:val="20"/>
      <w:szCs w:val="20"/>
      <w:lang w:val="en-AU" w:eastAsia="en-AU"/>
    </w:rPr>
  </w:style>
  <w:style w:type="paragraph" w:styleId="Heading2">
    <w:name w:val="heading 2"/>
    <w:basedOn w:val="Normal"/>
    <w:next w:val="Normal"/>
    <w:link w:val="Heading2Char"/>
    <w:uiPriority w:val="9"/>
    <w:unhideWhenUsed/>
    <w:qFormat/>
    <w:rsid w:val="00C9082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0825"/>
    <w:rPr>
      <w:rFonts w:ascii="Calibri" w:eastAsia="Times New Roman" w:hAnsi="Calibri" w:cs="Times New Roman"/>
      <w:caps/>
      <w:spacing w:val="15"/>
      <w:sz w:val="22"/>
      <w:szCs w:val="22"/>
      <w:shd w:val="clear" w:color="auto" w:fill="DBE5F1"/>
      <w:lang w:val="en-AU" w:eastAsia="en-AU"/>
    </w:rPr>
  </w:style>
  <w:style w:type="character" w:styleId="BookTitle">
    <w:name w:val="Book Title"/>
    <w:uiPriority w:val="33"/>
    <w:qFormat/>
    <w:rsid w:val="00C90825"/>
    <w:rPr>
      <w:b/>
      <w:bCs/>
      <w:i/>
      <w:iCs/>
      <w:spacing w:val="9"/>
    </w:rPr>
  </w:style>
  <w:style w:type="paragraph" w:styleId="FootnoteText">
    <w:name w:val="footnote text"/>
    <w:basedOn w:val="Normal"/>
    <w:link w:val="FootnoteTextChar"/>
    <w:unhideWhenUsed/>
    <w:rsid w:val="00C90825"/>
  </w:style>
  <w:style w:type="character" w:customStyle="1" w:styleId="FootnoteTextChar">
    <w:name w:val="Footnote Text Char"/>
    <w:basedOn w:val="DefaultParagraphFont"/>
    <w:link w:val="FootnoteText"/>
    <w:rsid w:val="00C90825"/>
    <w:rPr>
      <w:rFonts w:ascii="Calibri" w:eastAsia="Times New Roman" w:hAnsi="Calibri" w:cs="Times New Roman"/>
      <w:sz w:val="20"/>
      <w:szCs w:val="20"/>
      <w:lang w:val="en-AU" w:eastAsia="en-AU"/>
    </w:rPr>
  </w:style>
  <w:style w:type="character" w:styleId="FootnoteReference">
    <w:name w:val="footnote reference"/>
    <w:unhideWhenUsed/>
    <w:rsid w:val="00C90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PP284 - Attachment B - Victorian Government - Australia's Automotive Manufacturing Industry - Public inquiry</vt:lpstr>
    </vt:vector>
  </TitlesOfParts>
  <Company>Victorian Government</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PP284 - Attachment B - Victorian Government - Australia's Automotive Manufacturing Industry - Public inquiry</dc:title>
  <dc:creator>Victorian Government</dc:creator>
  <cp:lastModifiedBy>Productivity Commission</cp:lastModifiedBy>
  <cp:revision>2</cp:revision>
  <cp:lastPrinted>2014-03-27T03:38:00Z</cp:lastPrinted>
  <dcterms:created xsi:type="dcterms:W3CDTF">2014-03-28T02:42:00Z</dcterms:created>
  <dcterms:modified xsi:type="dcterms:W3CDTF">2014-03-28T02:42:00Z</dcterms:modified>
</cp:coreProperties>
</file>