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8de15e5a91304a99"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A84F28" w:rsidP="00A84F28">
      <w:pPr>
        <w:pStyle w:val="Heading1"/>
        <w:spacing w:before="0"/>
      </w:pPr>
      <w:bookmarkStart w:id="0" w:name="ChapterNumber"/>
      <w:bookmarkStart w:id="1" w:name="_GoBack"/>
      <w:bookmarkEnd w:id="1"/>
      <w:r>
        <w:t>2</w:t>
      </w:r>
      <w:bookmarkEnd w:id="0"/>
      <w:r>
        <w:tab/>
      </w:r>
      <w:bookmarkStart w:id="2" w:name="ChapterTitle"/>
      <w:r>
        <w:t>Estimated longer-run effects of the closure of passenger motor vehicle manufacturing plants</w:t>
      </w:r>
      <w:bookmarkEnd w:id="2"/>
    </w:p>
    <w:p w:rsidR="00A84F28" w:rsidRDefault="00A84F28" w:rsidP="00A84F28">
      <w:pPr>
        <w:pStyle w:val="BodyText"/>
      </w:pPr>
      <w:bookmarkStart w:id="3" w:name="begin"/>
      <w:bookmarkEnd w:id="3"/>
      <w:r>
        <w:t>This chapter explores th</w:t>
      </w:r>
      <w:r w:rsidRPr="00F94823">
        <w:t xml:space="preserve">e longer-run </w:t>
      </w:r>
      <w:r>
        <w:t>economic effects</w:t>
      </w:r>
      <w:r w:rsidRPr="00F94823">
        <w:t xml:space="preserve"> of </w:t>
      </w:r>
      <w:r>
        <w:t>the exit of the three major passenger motor vehicle manufacturers</w:t>
      </w:r>
      <w:r w:rsidDel="00CC0488">
        <w:t xml:space="preserve"> </w:t>
      </w:r>
      <w:r w:rsidRPr="00033A38">
        <w:t>and consequential reductions in</w:t>
      </w:r>
      <w:r>
        <w:t xml:space="preserve"> </w:t>
      </w:r>
      <w:r w:rsidRPr="00033A38">
        <w:t>supply chains</w:t>
      </w:r>
      <w:r>
        <w:t xml:space="preserve"> in Australia using a comparative</w:t>
      </w:r>
      <w:r>
        <w:noBreakHyphen/>
        <w:t xml:space="preserve">static modelling approach. This modelling abstracts from transition and adjustment issues to focus on the longer-term impacts after full adjustment is simulated to have occurred. The timescale over which these impacts are projected to occur is explored in chapter 3 using a dynamic modelling approach, while </w:t>
      </w:r>
      <w:r>
        <w:rPr>
          <w:lang w:eastAsia="en-US"/>
        </w:rPr>
        <w:t>sensitivity of the results to some alternative modelling assumptions is reported in chapter 4</w:t>
      </w:r>
      <w:r>
        <w:t>.</w:t>
      </w:r>
    </w:p>
    <w:p w:rsidR="00A84F28" w:rsidRDefault="00A84F28" w:rsidP="00A84F28">
      <w:pPr>
        <w:pStyle w:val="BodyText"/>
      </w:pPr>
      <w:r>
        <w:t>As noted in chapter 1, the analysis does not seek to assess the potential costs of assistance that would be required to retain the industry nor to estimate the flow-on effects of these costs to the community.</w:t>
      </w:r>
    </w:p>
    <w:p w:rsidR="00A84F28" w:rsidRDefault="00A84F28" w:rsidP="00A84F28">
      <w:pPr>
        <w:pStyle w:val="BodyText"/>
        <w:rPr>
          <w:lang w:eastAsia="en-US"/>
        </w:rPr>
      </w:pPr>
      <w:r>
        <w:t>Details of the model and database used are outlined in appendixes A and B, respectively.</w:t>
      </w:r>
      <w:r w:rsidRPr="00C2732D">
        <w:t xml:space="preserve"> </w:t>
      </w:r>
      <w:r>
        <w:t>Details of the modelling of the exit scenario are outlined in appendix C.</w:t>
      </w:r>
    </w:p>
    <w:p w:rsidR="00A84F28" w:rsidRDefault="00CF27B1" w:rsidP="00A84F28">
      <w:pPr>
        <w:pStyle w:val="Heading2"/>
      </w:pPr>
      <w:r>
        <w:fldChar w:fldCharType="begin"/>
      </w:r>
      <w:r>
        <w:instrText xml:space="preserve"> COMMENTS  \* MERGEFORMAT </w:instrText>
      </w:r>
      <w:r>
        <w:fldChar w:fldCharType="separate"/>
      </w:r>
      <w:r w:rsidR="00A84F28">
        <w:t>2.</w:t>
      </w:r>
      <w:r>
        <w:fldChar w:fldCharType="end"/>
      </w:r>
      <w:r>
        <w:fldChar w:fldCharType="begin"/>
      </w:r>
      <w:r>
        <w:instrText xml:space="preserve"> SEQ Heading2 </w:instrText>
      </w:r>
      <w:r>
        <w:fldChar w:fldCharType="separate"/>
      </w:r>
      <w:r w:rsidR="00A84F28">
        <w:rPr>
          <w:noProof/>
        </w:rPr>
        <w:t>1</w:t>
      </w:r>
      <w:r>
        <w:rPr>
          <w:noProof/>
        </w:rPr>
        <w:fldChar w:fldCharType="end"/>
      </w:r>
      <w:r w:rsidR="00A84F28">
        <w:tab/>
        <w:t>Wider industry effects</w:t>
      </w:r>
    </w:p>
    <w:p w:rsidR="00A84F28" w:rsidRDefault="00A84F28" w:rsidP="00A84F28">
      <w:pPr>
        <w:pStyle w:val="BodyText"/>
      </w:pPr>
      <w:r>
        <w:t>Modelled changes in the industry composition of the economy arise primarily from the exit of the passenger vehicle manufacturers, the associated supply chain adjustment and the flow on effects of these changes on activity levels across industries. The mechanisms bringing about these adjustments are outlined in box 2.1. Industry composition is also influenced, albeit to a lesser degree, by the assumed reallocation of industry-specific budgetary assistance from eligible passenger motor vehicle manufacturers and their suppliers to households.</w:t>
      </w:r>
    </w:p>
    <w:p w:rsidR="00A84F28" w:rsidRDefault="00A84F28" w:rsidP="00A84F2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84F28" w:rsidTr="00167537">
        <w:tc>
          <w:tcPr>
            <w:tcW w:w="8771" w:type="dxa"/>
            <w:tcBorders>
              <w:top w:val="single" w:sz="6" w:space="0" w:color="auto"/>
              <w:bottom w:val="nil"/>
            </w:tcBorders>
          </w:tcPr>
          <w:p w:rsidR="00A84F28" w:rsidRDefault="00A84F28" w:rsidP="00167537">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2.</w:t>
            </w:r>
            <w:r>
              <w:rPr>
                <w:b w:val="0"/>
              </w:rPr>
              <w:fldChar w:fldCharType="end"/>
            </w:r>
            <w:r>
              <w:rPr>
                <w:b w:val="0"/>
              </w:rPr>
              <w:fldChar w:fldCharType="begin"/>
            </w:r>
            <w:r>
              <w:rPr>
                <w:b w:val="0"/>
              </w:rPr>
              <w:instrText xml:space="preserve"> SEQ Box \* ARABIC </w:instrText>
            </w:r>
            <w:r>
              <w:rPr>
                <w:b w:val="0"/>
              </w:rPr>
              <w:fldChar w:fldCharType="separate"/>
            </w:r>
            <w:r>
              <w:rPr>
                <w:b w:val="0"/>
                <w:noProof/>
              </w:rPr>
              <w:t>1</w:t>
            </w:r>
            <w:r>
              <w:rPr>
                <w:b w:val="0"/>
              </w:rPr>
              <w:fldChar w:fldCharType="end"/>
            </w:r>
            <w:r>
              <w:tab/>
              <w:t>How the closure of passenger motor vehicle manufacturing plants affects the broader economy</w:t>
            </w:r>
          </w:p>
        </w:tc>
      </w:tr>
      <w:tr w:rsidR="00A84F28" w:rsidTr="00167537">
        <w:trPr>
          <w:cantSplit/>
        </w:trPr>
        <w:tc>
          <w:tcPr>
            <w:tcW w:w="8771" w:type="dxa"/>
            <w:tcBorders>
              <w:top w:val="nil"/>
              <w:left w:val="single" w:sz="6" w:space="0" w:color="auto"/>
              <w:bottom w:val="nil"/>
              <w:right w:val="single" w:sz="6" w:space="0" w:color="auto"/>
            </w:tcBorders>
          </w:tcPr>
          <w:p w:rsidR="00A84F28" w:rsidRPr="00F7384F" w:rsidRDefault="00A84F28" w:rsidP="00167537">
            <w:pPr>
              <w:pStyle w:val="Box"/>
            </w:pPr>
            <w:r w:rsidRPr="00F7384F">
              <w:t xml:space="preserve">The closure of the three major Australian passenger motor vehicle plants will affect the broader economy through a variety of mechanisms. The main mechanisms are captured in a stylised way in the </w:t>
            </w:r>
            <w:proofErr w:type="spellStart"/>
            <w:r w:rsidRPr="00F7384F">
              <w:t>MMRF</w:t>
            </w:r>
            <w:proofErr w:type="spellEnd"/>
            <w:r w:rsidRPr="00F7384F">
              <w:t xml:space="preserve"> model, although no model can capture all of the linkages and processes of the real world.</w:t>
            </w:r>
          </w:p>
          <w:p w:rsidR="00A84F28" w:rsidRPr="003F13A9" w:rsidRDefault="00A84F28" w:rsidP="00167537">
            <w:pPr>
              <w:pStyle w:val="Box"/>
            </w:pPr>
            <w:r w:rsidRPr="00F7384F">
              <w:t xml:space="preserve">After the closure, Australian demand for passenger motor vehicles will be met through imports, rather than a mix of domestic production and imports as is currently the case. The initial effects of </w:t>
            </w:r>
            <w:r w:rsidRPr="009E4E8F">
              <w:t>passenger motor vehicle manufacturing</w:t>
            </w:r>
            <w:r>
              <w:t xml:space="preserve"> </w:t>
            </w:r>
            <w:r w:rsidRPr="00F7384F">
              <w:t>ceasing in Australia are a loss in employment in that industry and a decrease in net exports, as exports of passenger motor vehicles decrease and imports increase to meet consumer demand. This affects industries that rely on sales to vehicle manufacturing, with output and employment also falling in</w:t>
            </w:r>
            <w:r>
              <w:t xml:space="preserve"> these supply chain industries.</w:t>
            </w:r>
          </w:p>
          <w:p w:rsidR="00A84F28" w:rsidRPr="003F13A9" w:rsidRDefault="00A84F28" w:rsidP="00167537">
            <w:pPr>
              <w:pStyle w:val="Box"/>
            </w:pPr>
            <w:r w:rsidRPr="00F7384F">
              <w:t>These initial effects trigger changes in prices of products, labour and capital which lead to output changes throughout the economy. First, the decrease in net exports moves the trade balance into deficit, reducing demand for the Australian dollar and increasing demand for foreign currencies. The resulting depreciation of the Australian dollar will increase the cost of foreign goods relative to the cost of domestic production and increase the international competitiveness of Australian exports and domestic firms that compete with imports. Australian export volumes will increase and the volume of imports of goods and services (other than passenger motor vehicles) will decrease, resulting in an expansion of output and employment in domestic traded goods industries. Even without any further adjustments in factor prices or industry capital, this absorbs some of the workers displaced from auto assembly a</w:t>
            </w:r>
            <w:r>
              <w:t>nd the supply chain industries.</w:t>
            </w:r>
          </w:p>
          <w:p w:rsidR="00A84F28" w:rsidRPr="003F13A9" w:rsidRDefault="00A84F28" w:rsidP="00167537">
            <w:pPr>
              <w:pStyle w:val="Box"/>
            </w:pPr>
            <w:r w:rsidRPr="00F7384F">
              <w:t>Second, and in the longer run, there is pressure on factor prices to adjust to factor surpluses or shortages. In particular, if the expanding industries do not fully absorb the labour from contracting industries at the prevailing wage, then downward pressure on real wages increases the profitability of expanding employment and output across a range of industries.</w:t>
            </w:r>
            <w:r w:rsidRPr="00F7384F" w:rsidDel="00467D20">
              <w:t xml:space="preserve"> </w:t>
            </w:r>
            <w:r w:rsidRPr="00F7384F">
              <w:t xml:space="preserve">These demand responses and effects will depend on demand for industry output, the labour intensity of different industries, and the impact of changes in the cost of labour on the price of inputs. The demand for other inputs, including capital, will increase as returns from productive activity </w:t>
            </w:r>
            <w:r>
              <w:t>rise and firms increase output.</w:t>
            </w:r>
          </w:p>
        </w:tc>
      </w:tr>
      <w:tr w:rsidR="00A84F28" w:rsidTr="00167537">
        <w:trPr>
          <w:cantSplit/>
        </w:trPr>
        <w:tc>
          <w:tcPr>
            <w:tcW w:w="8771" w:type="dxa"/>
            <w:tcBorders>
              <w:top w:val="nil"/>
              <w:left w:val="single" w:sz="6" w:space="0" w:color="auto"/>
              <w:bottom w:val="single" w:sz="6" w:space="0" w:color="auto"/>
              <w:right w:val="single" w:sz="6" w:space="0" w:color="auto"/>
            </w:tcBorders>
          </w:tcPr>
          <w:p w:rsidR="00A84F28" w:rsidRDefault="00A84F28" w:rsidP="00167537">
            <w:pPr>
              <w:pStyle w:val="Box"/>
              <w:spacing w:before="0" w:line="120" w:lineRule="exact"/>
            </w:pPr>
          </w:p>
        </w:tc>
      </w:tr>
      <w:tr w:rsidR="00A84F28" w:rsidRPr="000863A5" w:rsidTr="00167537">
        <w:tc>
          <w:tcPr>
            <w:tcW w:w="8771" w:type="dxa"/>
            <w:tcBorders>
              <w:top w:val="nil"/>
              <w:left w:val="nil"/>
              <w:bottom w:val="nil"/>
              <w:right w:val="nil"/>
            </w:tcBorders>
          </w:tcPr>
          <w:p w:rsidR="00A84F28" w:rsidRPr="00626D32" w:rsidRDefault="00A84F28" w:rsidP="00167537">
            <w:pPr>
              <w:pStyle w:val="BoxSpaceBelow"/>
            </w:pPr>
          </w:p>
        </w:tc>
      </w:tr>
    </w:tbl>
    <w:p w:rsidR="00A84F28" w:rsidRDefault="00A84F28" w:rsidP="00A84F28">
      <w:pPr>
        <w:pStyle w:val="BodyText"/>
      </w:pPr>
      <w:r>
        <w:t>The primary effect of the exit of the major passenger motor vehicle manufacturers will be to reduce the output of, and employment in the automotive manufacturing industry (table 2.1, column 1).</w:t>
      </w:r>
      <w:r>
        <w:footnoteReference w:id="1"/>
      </w:r>
      <w:r>
        <w:t xml:space="preserve"> The estimated reduction in industry output and employment is less than 100 per cent to account for the retention of small-scale </w:t>
      </w:r>
      <w:r>
        <w:lastRenderedPageBreak/>
        <w:t>specialist and bespoke vehicle manufacturers (assumed to be 2 per cent of the current industry). However, moderating the effects of passenger motor vehicle plant closures to an extent, some current activities relating to marketing, design and head office functions (and associated jobs) are assumed to continue, which are reclassified as business services in Victoria.</w:t>
      </w:r>
    </w:p>
    <w:p w:rsidR="00A84F28" w:rsidRDefault="00A84F28" w:rsidP="00A84F28">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Pr>
          <w:b w:val="0"/>
        </w:rPr>
        <w:t>2.</w:t>
      </w:r>
      <w:r>
        <w:rPr>
          <w:b w:val="0"/>
        </w:rPr>
        <w:fldChar w:fldCharType="end"/>
      </w:r>
      <w:r>
        <w:rPr>
          <w:b w:val="0"/>
        </w:rPr>
        <w:fldChar w:fldCharType="begin"/>
      </w:r>
      <w:r>
        <w:rPr>
          <w:b w:val="0"/>
        </w:rPr>
        <w:instrText xml:space="preserve"> SEQ Table \* ARABIC </w:instrText>
      </w:r>
      <w:r>
        <w:rPr>
          <w:b w:val="0"/>
        </w:rPr>
        <w:fldChar w:fldCharType="separate"/>
      </w:r>
      <w:r>
        <w:rPr>
          <w:b w:val="0"/>
          <w:noProof/>
        </w:rPr>
        <w:t>1</w:t>
      </w:r>
      <w:r>
        <w:rPr>
          <w:b w:val="0"/>
        </w:rPr>
        <w:fldChar w:fldCharType="end"/>
      </w:r>
      <w:r>
        <w:tab/>
        <w:t>E</w:t>
      </w:r>
      <w:r w:rsidRPr="00F75CC8">
        <w:t>stimate</w:t>
      </w:r>
      <w:r>
        <w:t xml:space="preserve">d </w:t>
      </w:r>
      <w:r w:rsidRPr="00F75CC8">
        <w:t xml:space="preserve">longer-run </w:t>
      </w:r>
      <w:r>
        <w:t xml:space="preserve">industry </w:t>
      </w:r>
      <w:r w:rsidRPr="00F75CC8">
        <w:t xml:space="preserve">effects of </w:t>
      </w:r>
      <w:r>
        <w:t>the closure of passenger motor vehicle manufacturing plants in Australia</w:t>
      </w:r>
      <w:r w:rsidRPr="00580024">
        <w:rPr>
          <w:rStyle w:val="NoteLabel"/>
        </w:rPr>
        <w:t>a</w:t>
      </w:r>
    </w:p>
    <w:p w:rsidR="00A84F28" w:rsidRDefault="00A84F28" w:rsidP="00A84F28">
      <w:pPr>
        <w:pStyle w:val="Subtitle"/>
      </w:pPr>
      <w:r>
        <w:t>Percentage change</w:t>
      </w:r>
    </w:p>
    <w:tbl>
      <w:tblPr>
        <w:tblW w:w="5000" w:type="pct"/>
        <w:tblLayout w:type="fixed"/>
        <w:tblCellMar>
          <w:left w:w="0" w:type="dxa"/>
          <w:right w:w="0" w:type="dxa"/>
        </w:tblCellMar>
        <w:tblLook w:val="0000" w:firstRow="0" w:lastRow="0" w:firstColumn="0" w:lastColumn="0" w:noHBand="0" w:noVBand="0"/>
      </w:tblPr>
      <w:tblGrid>
        <w:gridCol w:w="3828"/>
        <w:gridCol w:w="1985"/>
        <w:gridCol w:w="1489"/>
        <w:gridCol w:w="1487"/>
      </w:tblGrid>
      <w:tr w:rsidR="00A84F28" w:rsidTr="00167537">
        <w:tc>
          <w:tcPr>
            <w:tcW w:w="2178" w:type="pct"/>
            <w:tcBorders>
              <w:top w:val="single" w:sz="6" w:space="0" w:color="auto"/>
              <w:bottom w:val="single" w:sz="6" w:space="0" w:color="auto"/>
            </w:tcBorders>
            <w:shd w:val="clear" w:color="auto" w:fill="auto"/>
            <w:vAlign w:val="bottom"/>
          </w:tcPr>
          <w:p w:rsidR="00A84F28" w:rsidRDefault="00A84F28" w:rsidP="00167537">
            <w:pPr>
              <w:pStyle w:val="TableColumnHeading"/>
              <w:jc w:val="left"/>
            </w:pPr>
            <w:r>
              <w:t>Variable</w:t>
            </w:r>
          </w:p>
        </w:tc>
        <w:tc>
          <w:tcPr>
            <w:tcW w:w="1129" w:type="pct"/>
            <w:tcBorders>
              <w:top w:val="single" w:sz="6" w:space="0" w:color="auto"/>
              <w:bottom w:val="single" w:sz="6" w:space="0" w:color="auto"/>
            </w:tcBorders>
            <w:shd w:val="clear" w:color="auto" w:fill="auto"/>
            <w:vAlign w:val="bottom"/>
          </w:tcPr>
          <w:p w:rsidR="00A84F28" w:rsidRPr="00033A38" w:rsidRDefault="00A84F28" w:rsidP="00167537">
            <w:pPr>
              <w:pStyle w:val="TableColumnHeading"/>
            </w:pPr>
            <w:r w:rsidRPr="004A3E92">
              <w:t xml:space="preserve">Exit of passenger motor </w:t>
            </w:r>
            <w:r w:rsidRPr="00033A38">
              <w:t>vehicle manufacturers and consequential reductions in</w:t>
            </w:r>
            <w:r w:rsidRPr="00033A38">
              <w:br/>
              <w:t>supply chains</w:t>
            </w:r>
          </w:p>
        </w:tc>
        <w:tc>
          <w:tcPr>
            <w:tcW w:w="847" w:type="pct"/>
            <w:tcBorders>
              <w:top w:val="single" w:sz="6" w:space="0" w:color="auto"/>
              <w:bottom w:val="single" w:sz="6" w:space="0" w:color="auto"/>
            </w:tcBorders>
            <w:vAlign w:val="bottom"/>
          </w:tcPr>
          <w:p w:rsidR="00A84F28" w:rsidRPr="00033A38" w:rsidRDefault="00A84F28" w:rsidP="00167537">
            <w:pPr>
              <w:pStyle w:val="TableColumnHeading"/>
            </w:pPr>
            <w:r>
              <w:t>Reallocation</w:t>
            </w:r>
            <w:r>
              <w:br/>
              <w:t xml:space="preserve"> of </w:t>
            </w:r>
            <w:r w:rsidRPr="00033A38">
              <w:t>budgetary assistance</w:t>
            </w:r>
            <w:r w:rsidRPr="00033A38">
              <w:br/>
              <w:t>outlays</w:t>
            </w:r>
          </w:p>
        </w:tc>
        <w:tc>
          <w:tcPr>
            <w:tcW w:w="846" w:type="pct"/>
            <w:tcBorders>
              <w:top w:val="single" w:sz="6" w:space="0" w:color="auto"/>
              <w:bottom w:val="single" w:sz="6" w:space="0" w:color="auto"/>
            </w:tcBorders>
            <w:vAlign w:val="bottom"/>
          </w:tcPr>
          <w:p w:rsidR="00A84F28" w:rsidRPr="00033A38" w:rsidRDefault="00A84F28" w:rsidP="00167537">
            <w:pPr>
              <w:pStyle w:val="TableColumnHeading"/>
            </w:pPr>
            <w:r w:rsidRPr="00033A38">
              <w:t>Total</w:t>
            </w:r>
            <w:r w:rsidRPr="00033A38">
              <w:br/>
              <w:t>effects</w:t>
            </w:r>
          </w:p>
        </w:tc>
      </w:tr>
      <w:tr w:rsidR="00A84F28" w:rsidRPr="00F34E46" w:rsidTr="00167537">
        <w:tc>
          <w:tcPr>
            <w:tcW w:w="2178" w:type="pct"/>
            <w:shd w:val="clear" w:color="auto" w:fill="auto"/>
          </w:tcPr>
          <w:p w:rsidR="00A84F28" w:rsidRPr="00F34E46" w:rsidRDefault="00A84F28" w:rsidP="00167537">
            <w:pPr>
              <w:pStyle w:val="TableBodyText"/>
              <w:spacing w:before="120"/>
              <w:jc w:val="left"/>
              <w:rPr>
                <w:b/>
              </w:rPr>
            </w:pPr>
            <w:r w:rsidRPr="00F34E46">
              <w:rPr>
                <w:b/>
              </w:rPr>
              <w:t>Value added (at factor cost)</w:t>
            </w:r>
          </w:p>
        </w:tc>
        <w:tc>
          <w:tcPr>
            <w:tcW w:w="1129" w:type="pct"/>
            <w:shd w:val="clear" w:color="auto" w:fill="auto"/>
            <w:vAlign w:val="center"/>
          </w:tcPr>
          <w:p w:rsidR="00A84F28" w:rsidRPr="00D24ABA" w:rsidRDefault="00A84F28" w:rsidP="00167537">
            <w:pPr>
              <w:pStyle w:val="TableBodyText"/>
            </w:pPr>
          </w:p>
        </w:tc>
        <w:tc>
          <w:tcPr>
            <w:tcW w:w="847" w:type="pct"/>
            <w:vAlign w:val="center"/>
          </w:tcPr>
          <w:p w:rsidR="00A84F28" w:rsidRPr="00D24ABA" w:rsidRDefault="00A84F28" w:rsidP="00167537">
            <w:pPr>
              <w:pStyle w:val="TableBodyText"/>
            </w:pPr>
          </w:p>
        </w:tc>
        <w:tc>
          <w:tcPr>
            <w:tcW w:w="846" w:type="pct"/>
            <w:vAlign w:val="center"/>
          </w:tcPr>
          <w:p w:rsidR="00A84F28" w:rsidRPr="00D24ABA" w:rsidRDefault="00A84F28" w:rsidP="00167537">
            <w:pPr>
              <w:pStyle w:val="TableBodyText"/>
            </w:pPr>
          </w:p>
        </w:tc>
      </w:tr>
      <w:tr w:rsidR="00A84F28" w:rsidRPr="00F34E46" w:rsidTr="00167537">
        <w:tc>
          <w:tcPr>
            <w:tcW w:w="2178" w:type="pct"/>
            <w:shd w:val="clear" w:color="auto" w:fill="auto"/>
          </w:tcPr>
          <w:p w:rsidR="00A84F28" w:rsidRPr="00F34E46" w:rsidRDefault="00A84F28" w:rsidP="00167537">
            <w:pPr>
              <w:pStyle w:val="TableBodyText"/>
              <w:jc w:val="left"/>
            </w:pPr>
            <w:r w:rsidRPr="00F34E46">
              <w:t>Agriculture</w:t>
            </w:r>
          </w:p>
        </w:tc>
        <w:tc>
          <w:tcPr>
            <w:tcW w:w="1129" w:type="pct"/>
            <w:shd w:val="clear" w:color="auto" w:fill="auto"/>
            <w:vAlign w:val="bottom"/>
          </w:tcPr>
          <w:p w:rsidR="00A84F28" w:rsidRPr="004A3E92" w:rsidRDefault="00A84F28" w:rsidP="00167537">
            <w:pPr>
              <w:pStyle w:val="TableBodyText"/>
            </w:pPr>
            <w:r w:rsidRPr="00BC79A5">
              <w:t>0.9</w:t>
            </w:r>
          </w:p>
        </w:tc>
        <w:tc>
          <w:tcPr>
            <w:tcW w:w="847" w:type="pct"/>
            <w:vAlign w:val="bottom"/>
          </w:tcPr>
          <w:p w:rsidR="00A84F28" w:rsidRPr="004A3E92" w:rsidRDefault="00A84F28" w:rsidP="00167537">
            <w:pPr>
              <w:pStyle w:val="TableBodyText"/>
            </w:pPr>
            <w:r>
              <w:t>(</w:t>
            </w:r>
            <w:r w:rsidRPr="004A3E92">
              <w:t>-</w:t>
            </w:r>
            <w:r>
              <w:t>)</w:t>
            </w:r>
          </w:p>
        </w:tc>
        <w:tc>
          <w:tcPr>
            <w:tcW w:w="846" w:type="pct"/>
            <w:vAlign w:val="bottom"/>
          </w:tcPr>
          <w:p w:rsidR="00A84F28" w:rsidRPr="00033A38" w:rsidRDefault="00A84F28" w:rsidP="00167537">
            <w:pPr>
              <w:pStyle w:val="TableBodyText"/>
            </w:pPr>
            <w:r w:rsidRPr="00BC79A5">
              <w:t>0.8</w:t>
            </w:r>
          </w:p>
        </w:tc>
      </w:tr>
      <w:tr w:rsidR="00A84F28" w:rsidRPr="00F34E46" w:rsidTr="00167537">
        <w:tc>
          <w:tcPr>
            <w:tcW w:w="2178" w:type="pct"/>
            <w:shd w:val="clear" w:color="auto" w:fill="auto"/>
          </w:tcPr>
          <w:p w:rsidR="00A84F28" w:rsidRPr="00F34E46" w:rsidRDefault="00A84F28" w:rsidP="00167537">
            <w:pPr>
              <w:pStyle w:val="TableBodyText"/>
              <w:jc w:val="left"/>
            </w:pPr>
            <w:r w:rsidRPr="00F34E46">
              <w:t>Mining</w:t>
            </w:r>
          </w:p>
        </w:tc>
        <w:tc>
          <w:tcPr>
            <w:tcW w:w="1129" w:type="pct"/>
            <w:shd w:val="clear" w:color="auto" w:fill="auto"/>
            <w:vAlign w:val="bottom"/>
          </w:tcPr>
          <w:p w:rsidR="00A84F28" w:rsidRPr="004A3E92" w:rsidRDefault="00A84F28" w:rsidP="00167537">
            <w:pPr>
              <w:pStyle w:val="TableBodyText"/>
            </w:pPr>
            <w:r w:rsidRPr="00BC79A5">
              <w:t>2.6</w:t>
            </w:r>
          </w:p>
        </w:tc>
        <w:tc>
          <w:tcPr>
            <w:tcW w:w="847" w:type="pct"/>
            <w:vAlign w:val="bottom"/>
          </w:tcPr>
          <w:p w:rsidR="00A84F28" w:rsidRPr="004A3E92" w:rsidRDefault="00A84F28" w:rsidP="00167537">
            <w:pPr>
              <w:pStyle w:val="TableBodyText"/>
            </w:pPr>
            <w:r w:rsidRPr="00BC79A5">
              <w:t>-0.2</w:t>
            </w:r>
          </w:p>
        </w:tc>
        <w:tc>
          <w:tcPr>
            <w:tcW w:w="846" w:type="pct"/>
            <w:vAlign w:val="bottom"/>
          </w:tcPr>
          <w:p w:rsidR="00A84F28" w:rsidRPr="00033A38" w:rsidRDefault="00A84F28" w:rsidP="00167537">
            <w:pPr>
              <w:pStyle w:val="TableBodyText"/>
            </w:pPr>
            <w:r w:rsidRPr="00BC79A5">
              <w:t>2.</w:t>
            </w:r>
            <w:r>
              <w:t>4</w:t>
            </w:r>
          </w:p>
        </w:tc>
      </w:tr>
      <w:tr w:rsidR="00A84F28" w:rsidRPr="00F34E46" w:rsidTr="00167537">
        <w:tc>
          <w:tcPr>
            <w:tcW w:w="2178" w:type="pct"/>
            <w:shd w:val="clear" w:color="auto" w:fill="auto"/>
          </w:tcPr>
          <w:p w:rsidR="00A84F28" w:rsidRPr="00F34E46" w:rsidRDefault="00A84F28" w:rsidP="00167537">
            <w:pPr>
              <w:pStyle w:val="TableBodyText"/>
              <w:jc w:val="left"/>
            </w:pPr>
            <w:r w:rsidRPr="00F34E46">
              <w:t>Manufacturing</w:t>
            </w:r>
          </w:p>
        </w:tc>
        <w:tc>
          <w:tcPr>
            <w:tcW w:w="1129" w:type="pct"/>
            <w:shd w:val="clear" w:color="auto" w:fill="auto"/>
            <w:vAlign w:val="bottom"/>
          </w:tcPr>
          <w:p w:rsidR="00A84F28" w:rsidRPr="004A3E92" w:rsidRDefault="00A84F28" w:rsidP="00167537">
            <w:pPr>
              <w:pStyle w:val="TableBodyText"/>
            </w:pPr>
            <w:r w:rsidRPr="00BC79A5">
              <w:t>-1.</w:t>
            </w:r>
            <w:r>
              <w:t>6</w:t>
            </w:r>
          </w:p>
        </w:tc>
        <w:tc>
          <w:tcPr>
            <w:tcW w:w="847" w:type="pct"/>
            <w:vAlign w:val="bottom"/>
          </w:tcPr>
          <w:p w:rsidR="00A84F28" w:rsidRPr="004A3E92" w:rsidRDefault="00A84F28" w:rsidP="00167537">
            <w:pPr>
              <w:pStyle w:val="TableBodyText"/>
            </w:pPr>
            <w:r>
              <w:t>(</w:t>
            </w:r>
            <w:r w:rsidRPr="004A3E92">
              <w:t>-</w:t>
            </w:r>
            <w:r>
              <w:t>)</w:t>
            </w:r>
          </w:p>
        </w:tc>
        <w:tc>
          <w:tcPr>
            <w:tcW w:w="846" w:type="pct"/>
            <w:vAlign w:val="bottom"/>
          </w:tcPr>
          <w:p w:rsidR="00A84F28" w:rsidRPr="00033A38" w:rsidRDefault="00A84F28" w:rsidP="00167537">
            <w:pPr>
              <w:pStyle w:val="TableBodyText"/>
            </w:pPr>
            <w:r w:rsidRPr="00BC79A5">
              <w:t>-1.6</w:t>
            </w:r>
          </w:p>
        </w:tc>
      </w:tr>
      <w:tr w:rsidR="00A84F28" w:rsidRPr="004A3E92" w:rsidTr="00167537">
        <w:tc>
          <w:tcPr>
            <w:tcW w:w="2178" w:type="pct"/>
            <w:shd w:val="clear" w:color="auto" w:fill="auto"/>
          </w:tcPr>
          <w:p w:rsidR="00A84F28" w:rsidRPr="00BC79A5" w:rsidRDefault="00A84F28" w:rsidP="00167537">
            <w:pPr>
              <w:pStyle w:val="TableBodyText"/>
              <w:jc w:val="left"/>
              <w:rPr>
                <w:i/>
              </w:rPr>
            </w:pPr>
            <w:r w:rsidRPr="004A3E92">
              <w:rPr>
                <w:i/>
              </w:rPr>
              <w:t>of which:</w:t>
            </w:r>
          </w:p>
        </w:tc>
        <w:tc>
          <w:tcPr>
            <w:tcW w:w="1129" w:type="pct"/>
            <w:shd w:val="clear" w:color="auto" w:fill="auto"/>
            <w:vAlign w:val="bottom"/>
          </w:tcPr>
          <w:p w:rsidR="00A84F28" w:rsidRPr="004A3E92" w:rsidRDefault="00A84F28" w:rsidP="00167537">
            <w:pPr>
              <w:pStyle w:val="TableBodyText"/>
            </w:pPr>
          </w:p>
        </w:tc>
        <w:tc>
          <w:tcPr>
            <w:tcW w:w="847" w:type="pct"/>
            <w:vAlign w:val="bottom"/>
          </w:tcPr>
          <w:p w:rsidR="00A84F28" w:rsidRPr="00033A38" w:rsidRDefault="00A84F28" w:rsidP="00167537">
            <w:pPr>
              <w:pStyle w:val="TableBodyText"/>
            </w:pPr>
          </w:p>
        </w:tc>
        <w:tc>
          <w:tcPr>
            <w:tcW w:w="846" w:type="pct"/>
            <w:vAlign w:val="bottom"/>
          </w:tcPr>
          <w:p w:rsidR="00A84F28" w:rsidRPr="00033A38" w:rsidRDefault="00A84F28" w:rsidP="00167537">
            <w:pPr>
              <w:pStyle w:val="TableBodyText"/>
            </w:pPr>
          </w:p>
        </w:tc>
      </w:tr>
      <w:tr w:rsidR="00A84F28" w:rsidRPr="00F34E46" w:rsidTr="00167537">
        <w:tc>
          <w:tcPr>
            <w:tcW w:w="2178" w:type="pct"/>
            <w:shd w:val="clear" w:color="auto" w:fill="auto"/>
          </w:tcPr>
          <w:p w:rsidR="00A84F28" w:rsidRPr="00F34E46" w:rsidRDefault="00A84F28" w:rsidP="00167537">
            <w:pPr>
              <w:pStyle w:val="TableBodyText"/>
              <w:tabs>
                <w:tab w:val="left" w:pos="315"/>
              </w:tabs>
              <w:ind w:left="284"/>
              <w:jc w:val="left"/>
            </w:pPr>
            <w:proofErr w:type="spellStart"/>
            <w:r>
              <w:t>PMV</w:t>
            </w:r>
            <w:proofErr w:type="spellEnd"/>
            <w:r>
              <w:t xml:space="preserve"> manufacturing</w:t>
            </w:r>
          </w:p>
        </w:tc>
        <w:tc>
          <w:tcPr>
            <w:tcW w:w="1129" w:type="pct"/>
            <w:tcBorders>
              <w:left w:val="nil"/>
            </w:tcBorders>
            <w:shd w:val="clear" w:color="auto" w:fill="auto"/>
            <w:vAlign w:val="bottom"/>
          </w:tcPr>
          <w:p w:rsidR="00A84F28" w:rsidRPr="00BC79A5" w:rsidRDefault="00A84F28" w:rsidP="00167537">
            <w:pPr>
              <w:pStyle w:val="TableBodyText"/>
              <w:framePr w:w="2155" w:hSpace="227" w:vSpace="181" w:wrap="around" w:vAnchor="text" w:hAnchor="page" w:xAlign="outside" w:y="1"/>
            </w:pPr>
            <w:r w:rsidRPr="00BC79A5">
              <w:t>-98</w:t>
            </w:r>
          </w:p>
        </w:tc>
        <w:tc>
          <w:tcPr>
            <w:tcW w:w="847" w:type="pct"/>
            <w:vAlign w:val="bottom"/>
          </w:tcPr>
          <w:p w:rsidR="00A84F28" w:rsidRPr="004A3E92" w:rsidRDefault="00A84F28" w:rsidP="00167537">
            <w:pPr>
              <w:pStyle w:val="TableBodyText"/>
            </w:pPr>
            <w:r>
              <w:t>(</w:t>
            </w:r>
            <w:r w:rsidRPr="004A3E92">
              <w:t>-</w:t>
            </w:r>
            <w:r>
              <w:t>)</w:t>
            </w:r>
          </w:p>
        </w:tc>
        <w:tc>
          <w:tcPr>
            <w:tcW w:w="846" w:type="pct"/>
            <w:vAlign w:val="bottom"/>
          </w:tcPr>
          <w:p w:rsidR="00A84F28" w:rsidRPr="00BC79A5" w:rsidRDefault="00A84F28" w:rsidP="00167537">
            <w:pPr>
              <w:pStyle w:val="TableBodyText"/>
              <w:framePr w:w="2155" w:hSpace="227" w:vSpace="181" w:wrap="around" w:vAnchor="text" w:hAnchor="page" w:xAlign="outside" w:y="1"/>
            </w:pPr>
            <w:r w:rsidRPr="00BC79A5">
              <w:t>-98</w:t>
            </w:r>
          </w:p>
        </w:tc>
      </w:tr>
      <w:tr w:rsidR="00A84F28" w:rsidRPr="00F34E46" w:rsidTr="00167537">
        <w:tc>
          <w:tcPr>
            <w:tcW w:w="2178" w:type="pct"/>
            <w:shd w:val="clear" w:color="auto" w:fill="auto"/>
          </w:tcPr>
          <w:p w:rsidR="00A84F28" w:rsidRPr="00F34E46" w:rsidRDefault="00A84F28" w:rsidP="00167537">
            <w:pPr>
              <w:pStyle w:val="TableBodyText"/>
              <w:ind w:left="284"/>
              <w:jc w:val="left"/>
            </w:pPr>
            <w:r w:rsidRPr="00F34E46">
              <w:t>Automotive components</w:t>
            </w:r>
          </w:p>
        </w:tc>
        <w:tc>
          <w:tcPr>
            <w:tcW w:w="1129" w:type="pct"/>
            <w:tcBorders>
              <w:left w:val="nil"/>
            </w:tcBorders>
            <w:shd w:val="clear" w:color="auto" w:fill="auto"/>
            <w:vAlign w:val="bottom"/>
          </w:tcPr>
          <w:p w:rsidR="00A84F28" w:rsidRPr="00BC79A5" w:rsidRDefault="00A84F28" w:rsidP="00167537">
            <w:pPr>
              <w:pStyle w:val="TableBodyText"/>
              <w:framePr w:w="2155" w:hSpace="227" w:vSpace="181" w:wrap="around" w:vAnchor="text" w:hAnchor="page" w:xAlign="outside" w:y="1"/>
            </w:pPr>
            <w:r w:rsidRPr="00BC79A5">
              <w:t>-4</w:t>
            </w:r>
            <w:r>
              <w:t>6</w:t>
            </w:r>
          </w:p>
        </w:tc>
        <w:tc>
          <w:tcPr>
            <w:tcW w:w="847" w:type="pct"/>
            <w:vAlign w:val="bottom"/>
          </w:tcPr>
          <w:p w:rsidR="00A84F28" w:rsidRPr="004A3E92" w:rsidRDefault="00A84F28" w:rsidP="00167537">
            <w:pPr>
              <w:pStyle w:val="TableBodyText"/>
            </w:pPr>
            <w:r w:rsidRPr="00BC79A5" w:rsidDel="00FD4565">
              <w:t xml:space="preserve"> </w:t>
            </w:r>
            <w:r>
              <w:t>(</w:t>
            </w:r>
            <w:r w:rsidRPr="004A3E92">
              <w:t>-</w:t>
            </w:r>
            <w:r>
              <w:t>)</w:t>
            </w:r>
          </w:p>
        </w:tc>
        <w:tc>
          <w:tcPr>
            <w:tcW w:w="846" w:type="pct"/>
            <w:vAlign w:val="bottom"/>
          </w:tcPr>
          <w:p w:rsidR="00A84F28" w:rsidRPr="00BC79A5" w:rsidRDefault="00A84F28" w:rsidP="00167537">
            <w:pPr>
              <w:pStyle w:val="TableBodyText"/>
              <w:framePr w:w="2155" w:hSpace="227" w:vSpace="181" w:wrap="around" w:vAnchor="text" w:hAnchor="page" w:xAlign="outside" w:y="1"/>
            </w:pPr>
            <w:r w:rsidRPr="00BC79A5">
              <w:t>-4</w:t>
            </w:r>
            <w:r>
              <w:t>6</w:t>
            </w:r>
          </w:p>
        </w:tc>
      </w:tr>
      <w:tr w:rsidR="00A84F28" w:rsidRPr="00F34E46" w:rsidTr="00167537">
        <w:tc>
          <w:tcPr>
            <w:tcW w:w="2178" w:type="pct"/>
            <w:shd w:val="clear" w:color="auto" w:fill="auto"/>
          </w:tcPr>
          <w:p w:rsidR="00A84F28" w:rsidRPr="00F34E46" w:rsidRDefault="00A84F28" w:rsidP="00167537">
            <w:pPr>
              <w:pStyle w:val="TableBodyText"/>
              <w:ind w:left="284"/>
              <w:jc w:val="left"/>
            </w:pPr>
            <w:r>
              <w:t>Other manufacturing</w:t>
            </w:r>
          </w:p>
        </w:tc>
        <w:tc>
          <w:tcPr>
            <w:tcW w:w="1129" w:type="pct"/>
            <w:tcBorders>
              <w:left w:val="nil"/>
            </w:tcBorders>
            <w:shd w:val="clear" w:color="auto" w:fill="auto"/>
            <w:vAlign w:val="bottom"/>
          </w:tcPr>
          <w:p w:rsidR="00A84F28" w:rsidRPr="004A3E92" w:rsidRDefault="00A84F28" w:rsidP="00167537">
            <w:pPr>
              <w:pStyle w:val="TableBodyText"/>
            </w:pPr>
            <w:r w:rsidRPr="00BC79A5">
              <w:t>0.5</w:t>
            </w:r>
          </w:p>
        </w:tc>
        <w:tc>
          <w:tcPr>
            <w:tcW w:w="847" w:type="pct"/>
            <w:vAlign w:val="bottom"/>
          </w:tcPr>
          <w:p w:rsidR="00A84F28" w:rsidRPr="004A3E92" w:rsidRDefault="00A84F28" w:rsidP="00167537">
            <w:pPr>
              <w:pStyle w:val="TableBodyText"/>
            </w:pPr>
            <w:r>
              <w:t>(</w:t>
            </w:r>
            <w:r w:rsidRPr="004A3E92">
              <w:t>-</w:t>
            </w:r>
            <w:r>
              <w:t>)</w:t>
            </w:r>
          </w:p>
        </w:tc>
        <w:tc>
          <w:tcPr>
            <w:tcW w:w="846" w:type="pct"/>
            <w:vAlign w:val="bottom"/>
          </w:tcPr>
          <w:p w:rsidR="00A84F28" w:rsidRPr="004A3E92" w:rsidRDefault="00A84F28" w:rsidP="00167537">
            <w:pPr>
              <w:pStyle w:val="TableBodyText"/>
            </w:pPr>
            <w:r w:rsidRPr="00BC79A5">
              <w:t>0.5</w:t>
            </w:r>
          </w:p>
        </w:tc>
      </w:tr>
      <w:tr w:rsidR="00A84F28" w:rsidRPr="00F34E46" w:rsidTr="00167537">
        <w:tc>
          <w:tcPr>
            <w:tcW w:w="2178" w:type="pct"/>
            <w:shd w:val="clear" w:color="auto" w:fill="auto"/>
          </w:tcPr>
          <w:p w:rsidR="00A84F28" w:rsidRPr="00F34E46" w:rsidRDefault="00A84F28" w:rsidP="00167537">
            <w:pPr>
              <w:pStyle w:val="TableBodyText"/>
              <w:jc w:val="left"/>
            </w:pPr>
            <w:r w:rsidRPr="00F34E46">
              <w:t>Services</w:t>
            </w:r>
          </w:p>
        </w:tc>
        <w:tc>
          <w:tcPr>
            <w:tcW w:w="1129" w:type="pct"/>
            <w:shd w:val="clear" w:color="auto" w:fill="auto"/>
            <w:vAlign w:val="bottom"/>
          </w:tcPr>
          <w:p w:rsidR="00A84F28" w:rsidRPr="004A3E92" w:rsidRDefault="00A84F28" w:rsidP="00167537">
            <w:pPr>
              <w:pStyle w:val="TableBodyText"/>
            </w:pPr>
            <w:r w:rsidRPr="00BC79A5">
              <w:t>-0.1</w:t>
            </w:r>
          </w:p>
        </w:tc>
        <w:tc>
          <w:tcPr>
            <w:tcW w:w="847" w:type="pct"/>
            <w:vAlign w:val="bottom"/>
          </w:tcPr>
          <w:p w:rsidR="00A84F28" w:rsidRPr="004A3E92" w:rsidRDefault="00A84F28" w:rsidP="00167537">
            <w:pPr>
              <w:pStyle w:val="TableBodyText"/>
            </w:pPr>
            <w:r>
              <w:t>(</w:t>
            </w:r>
            <w:r w:rsidRPr="004A3E92">
              <w:t>+</w:t>
            </w:r>
            <w:r>
              <w:t>)</w:t>
            </w:r>
          </w:p>
        </w:tc>
        <w:tc>
          <w:tcPr>
            <w:tcW w:w="846" w:type="pct"/>
            <w:vAlign w:val="bottom"/>
          </w:tcPr>
          <w:p w:rsidR="00A84F28" w:rsidRPr="00033A38" w:rsidRDefault="00A84F28" w:rsidP="00167537">
            <w:pPr>
              <w:pStyle w:val="TableBodyText"/>
            </w:pPr>
            <w:r>
              <w:t>(</w:t>
            </w:r>
            <w:r w:rsidRPr="004A3E92">
              <w:t>-</w:t>
            </w:r>
            <w:r>
              <w:t>)</w:t>
            </w:r>
          </w:p>
        </w:tc>
      </w:tr>
      <w:tr w:rsidR="00A84F28" w:rsidRPr="00F34E46" w:rsidTr="00167537">
        <w:tc>
          <w:tcPr>
            <w:tcW w:w="2178" w:type="pct"/>
            <w:shd w:val="clear" w:color="auto" w:fill="auto"/>
          </w:tcPr>
          <w:p w:rsidR="00A84F28" w:rsidRPr="00F34E46" w:rsidRDefault="00A84F28" w:rsidP="00167537">
            <w:pPr>
              <w:pStyle w:val="TableBodyText"/>
              <w:spacing w:before="120"/>
              <w:jc w:val="left"/>
              <w:rPr>
                <w:b/>
                <w:szCs w:val="24"/>
              </w:rPr>
            </w:pPr>
            <w:r w:rsidRPr="00F34E46">
              <w:rPr>
                <w:b/>
              </w:rPr>
              <w:t>Employment (persons)</w:t>
            </w:r>
            <w:r w:rsidRPr="00D55C4E">
              <w:rPr>
                <w:rStyle w:val="NoteLabel"/>
                <w:b w:val="0"/>
              </w:rPr>
              <w:t>b</w:t>
            </w:r>
          </w:p>
        </w:tc>
        <w:tc>
          <w:tcPr>
            <w:tcW w:w="1129" w:type="pct"/>
            <w:shd w:val="clear" w:color="auto" w:fill="auto"/>
            <w:vAlign w:val="bottom"/>
          </w:tcPr>
          <w:p w:rsidR="00A84F28" w:rsidRPr="004A3E92" w:rsidRDefault="00A84F28" w:rsidP="00167537">
            <w:pPr>
              <w:pStyle w:val="TableBodyText"/>
            </w:pPr>
          </w:p>
        </w:tc>
        <w:tc>
          <w:tcPr>
            <w:tcW w:w="847" w:type="pct"/>
            <w:vAlign w:val="bottom"/>
          </w:tcPr>
          <w:p w:rsidR="00A84F28" w:rsidRPr="00033A38" w:rsidRDefault="00A84F28" w:rsidP="00167537">
            <w:pPr>
              <w:pStyle w:val="TableBodyText"/>
            </w:pPr>
          </w:p>
        </w:tc>
        <w:tc>
          <w:tcPr>
            <w:tcW w:w="846" w:type="pct"/>
            <w:vAlign w:val="bottom"/>
          </w:tcPr>
          <w:p w:rsidR="00A84F28" w:rsidRPr="00033A38" w:rsidRDefault="00A84F28" w:rsidP="00167537">
            <w:pPr>
              <w:pStyle w:val="TableBodyText"/>
            </w:pPr>
          </w:p>
        </w:tc>
      </w:tr>
      <w:tr w:rsidR="00A84F28" w:rsidRPr="00F34E46" w:rsidTr="00167537">
        <w:tc>
          <w:tcPr>
            <w:tcW w:w="2178" w:type="pct"/>
            <w:shd w:val="clear" w:color="auto" w:fill="auto"/>
          </w:tcPr>
          <w:p w:rsidR="00A84F28" w:rsidRPr="00F34E46" w:rsidRDefault="00A84F28" w:rsidP="00167537">
            <w:pPr>
              <w:pStyle w:val="TableBodyText"/>
              <w:jc w:val="left"/>
            </w:pPr>
            <w:r w:rsidRPr="00F34E46">
              <w:t>Agriculture</w:t>
            </w:r>
          </w:p>
        </w:tc>
        <w:tc>
          <w:tcPr>
            <w:tcW w:w="1129" w:type="pct"/>
            <w:shd w:val="clear" w:color="auto" w:fill="auto"/>
            <w:vAlign w:val="bottom"/>
          </w:tcPr>
          <w:p w:rsidR="00A84F28" w:rsidRPr="004A3E92" w:rsidRDefault="00A84F28" w:rsidP="00167537">
            <w:pPr>
              <w:pStyle w:val="TableBodyText"/>
            </w:pPr>
            <w:r w:rsidRPr="00BC79A5">
              <w:t>1.3</w:t>
            </w:r>
          </w:p>
        </w:tc>
        <w:tc>
          <w:tcPr>
            <w:tcW w:w="847" w:type="pct"/>
            <w:vAlign w:val="bottom"/>
          </w:tcPr>
          <w:p w:rsidR="00A84F28" w:rsidRPr="004A3E92" w:rsidRDefault="00A84F28" w:rsidP="00167537">
            <w:pPr>
              <w:pStyle w:val="TableBodyText"/>
            </w:pPr>
            <w:r w:rsidRPr="00BC79A5">
              <w:t>-0.1</w:t>
            </w:r>
          </w:p>
        </w:tc>
        <w:tc>
          <w:tcPr>
            <w:tcW w:w="846" w:type="pct"/>
            <w:vAlign w:val="bottom"/>
          </w:tcPr>
          <w:p w:rsidR="00A84F28" w:rsidRPr="00033A38" w:rsidRDefault="00A84F28" w:rsidP="00167537">
            <w:pPr>
              <w:pStyle w:val="TableBodyText"/>
            </w:pPr>
            <w:r w:rsidRPr="00BC79A5">
              <w:t>1.3</w:t>
            </w:r>
          </w:p>
        </w:tc>
      </w:tr>
      <w:tr w:rsidR="00A84F28" w:rsidRPr="00F34E46" w:rsidTr="00167537">
        <w:tc>
          <w:tcPr>
            <w:tcW w:w="2178" w:type="pct"/>
            <w:shd w:val="clear" w:color="auto" w:fill="auto"/>
          </w:tcPr>
          <w:p w:rsidR="00A84F28" w:rsidRPr="00F34E46" w:rsidRDefault="00A84F28" w:rsidP="00167537">
            <w:pPr>
              <w:pStyle w:val="TableBodyText"/>
              <w:jc w:val="left"/>
            </w:pPr>
            <w:r w:rsidRPr="00F34E46">
              <w:t>Mining</w:t>
            </w:r>
          </w:p>
        </w:tc>
        <w:tc>
          <w:tcPr>
            <w:tcW w:w="1129" w:type="pct"/>
            <w:shd w:val="clear" w:color="auto" w:fill="auto"/>
            <w:vAlign w:val="bottom"/>
          </w:tcPr>
          <w:p w:rsidR="00A84F28" w:rsidRPr="004A3E92" w:rsidRDefault="00A84F28" w:rsidP="00167537">
            <w:pPr>
              <w:pStyle w:val="TableBodyText"/>
            </w:pPr>
            <w:r w:rsidRPr="00BC79A5">
              <w:t>2.7</w:t>
            </w:r>
          </w:p>
        </w:tc>
        <w:tc>
          <w:tcPr>
            <w:tcW w:w="847" w:type="pct"/>
            <w:vAlign w:val="bottom"/>
          </w:tcPr>
          <w:p w:rsidR="00A84F28" w:rsidRPr="004A3E92" w:rsidRDefault="00A84F28" w:rsidP="00167537">
            <w:pPr>
              <w:pStyle w:val="TableBodyText"/>
            </w:pPr>
            <w:r w:rsidRPr="00BC79A5">
              <w:t>-0.2</w:t>
            </w:r>
          </w:p>
        </w:tc>
        <w:tc>
          <w:tcPr>
            <w:tcW w:w="846" w:type="pct"/>
            <w:vAlign w:val="bottom"/>
          </w:tcPr>
          <w:p w:rsidR="00A84F28" w:rsidRPr="00033A38" w:rsidRDefault="00A84F28" w:rsidP="00167537">
            <w:pPr>
              <w:pStyle w:val="TableBodyText"/>
            </w:pPr>
            <w:r w:rsidRPr="00BC79A5">
              <w:t>2.5</w:t>
            </w:r>
          </w:p>
        </w:tc>
      </w:tr>
      <w:tr w:rsidR="00A84F28" w:rsidRPr="00F34E46" w:rsidTr="00167537">
        <w:tc>
          <w:tcPr>
            <w:tcW w:w="2178" w:type="pct"/>
            <w:shd w:val="clear" w:color="auto" w:fill="auto"/>
          </w:tcPr>
          <w:p w:rsidR="00A84F28" w:rsidRPr="00F34E46" w:rsidRDefault="00A84F28" w:rsidP="00167537">
            <w:pPr>
              <w:pStyle w:val="TableBodyText"/>
              <w:jc w:val="left"/>
            </w:pPr>
            <w:r w:rsidRPr="00F34E46">
              <w:t>Manufacturing</w:t>
            </w:r>
          </w:p>
        </w:tc>
        <w:tc>
          <w:tcPr>
            <w:tcW w:w="1129" w:type="pct"/>
            <w:shd w:val="clear" w:color="auto" w:fill="auto"/>
            <w:vAlign w:val="bottom"/>
          </w:tcPr>
          <w:p w:rsidR="00A84F28" w:rsidRPr="004A3E92" w:rsidRDefault="00A84F28" w:rsidP="00167537">
            <w:pPr>
              <w:pStyle w:val="TableBodyText"/>
            </w:pPr>
            <w:r w:rsidRPr="00BC79A5">
              <w:t>-1.1</w:t>
            </w:r>
          </w:p>
        </w:tc>
        <w:tc>
          <w:tcPr>
            <w:tcW w:w="847" w:type="pct"/>
            <w:vAlign w:val="bottom"/>
          </w:tcPr>
          <w:p w:rsidR="00A84F28" w:rsidRPr="004A3E92" w:rsidRDefault="00A84F28" w:rsidP="00167537">
            <w:pPr>
              <w:pStyle w:val="TableBodyText"/>
            </w:pPr>
            <w:r>
              <w:t>(</w:t>
            </w:r>
            <w:r w:rsidRPr="004A3E92">
              <w:t>-</w:t>
            </w:r>
            <w:r>
              <w:t>)</w:t>
            </w:r>
          </w:p>
        </w:tc>
        <w:tc>
          <w:tcPr>
            <w:tcW w:w="846" w:type="pct"/>
            <w:vAlign w:val="bottom"/>
          </w:tcPr>
          <w:p w:rsidR="00A84F28" w:rsidRPr="00033A38" w:rsidRDefault="00A84F28" w:rsidP="00167537">
            <w:pPr>
              <w:pStyle w:val="TableBodyText"/>
            </w:pPr>
            <w:r w:rsidRPr="00BC79A5">
              <w:t>-1.2</w:t>
            </w:r>
          </w:p>
        </w:tc>
      </w:tr>
      <w:tr w:rsidR="00A84F28" w:rsidRPr="004A3E92" w:rsidTr="00167537">
        <w:tc>
          <w:tcPr>
            <w:tcW w:w="2178" w:type="pct"/>
            <w:shd w:val="clear" w:color="auto" w:fill="auto"/>
          </w:tcPr>
          <w:p w:rsidR="00A84F28" w:rsidRPr="00BC79A5" w:rsidRDefault="00A84F28" w:rsidP="00167537">
            <w:pPr>
              <w:pStyle w:val="TableBodyText"/>
              <w:jc w:val="left"/>
              <w:rPr>
                <w:i/>
              </w:rPr>
            </w:pPr>
            <w:r w:rsidRPr="004A3E92">
              <w:rPr>
                <w:i/>
              </w:rPr>
              <w:t>of which:</w:t>
            </w:r>
          </w:p>
        </w:tc>
        <w:tc>
          <w:tcPr>
            <w:tcW w:w="1129" w:type="pct"/>
            <w:shd w:val="clear" w:color="auto" w:fill="auto"/>
            <w:vAlign w:val="bottom"/>
          </w:tcPr>
          <w:p w:rsidR="00A84F28" w:rsidRPr="004A3E92" w:rsidRDefault="00A84F28" w:rsidP="00167537">
            <w:pPr>
              <w:pStyle w:val="TableBodyText"/>
            </w:pPr>
          </w:p>
        </w:tc>
        <w:tc>
          <w:tcPr>
            <w:tcW w:w="847" w:type="pct"/>
            <w:vAlign w:val="bottom"/>
          </w:tcPr>
          <w:p w:rsidR="00A84F28" w:rsidRPr="00033A38" w:rsidRDefault="00A84F28" w:rsidP="00167537">
            <w:pPr>
              <w:pStyle w:val="TableBodyText"/>
            </w:pPr>
          </w:p>
        </w:tc>
        <w:tc>
          <w:tcPr>
            <w:tcW w:w="846" w:type="pct"/>
            <w:vAlign w:val="bottom"/>
          </w:tcPr>
          <w:p w:rsidR="00A84F28" w:rsidRPr="00033A38" w:rsidRDefault="00A84F28" w:rsidP="00167537">
            <w:pPr>
              <w:pStyle w:val="TableBodyText"/>
            </w:pPr>
          </w:p>
        </w:tc>
      </w:tr>
      <w:tr w:rsidR="00A84F28" w:rsidRPr="00F34E46" w:rsidTr="00167537">
        <w:tc>
          <w:tcPr>
            <w:tcW w:w="2178" w:type="pct"/>
            <w:shd w:val="clear" w:color="auto" w:fill="auto"/>
          </w:tcPr>
          <w:p w:rsidR="00A84F28" w:rsidRPr="00F34E46" w:rsidRDefault="00A84F28" w:rsidP="00167537">
            <w:pPr>
              <w:pStyle w:val="TableBodyText"/>
              <w:ind w:left="284"/>
              <w:jc w:val="left"/>
            </w:pPr>
            <w:proofErr w:type="spellStart"/>
            <w:r>
              <w:t>PMV</w:t>
            </w:r>
            <w:proofErr w:type="spellEnd"/>
            <w:r>
              <w:t xml:space="preserve"> manufacturing</w:t>
            </w:r>
          </w:p>
        </w:tc>
        <w:tc>
          <w:tcPr>
            <w:tcW w:w="1129" w:type="pct"/>
            <w:tcBorders>
              <w:left w:val="nil"/>
            </w:tcBorders>
            <w:shd w:val="clear" w:color="auto" w:fill="auto"/>
            <w:vAlign w:val="bottom"/>
          </w:tcPr>
          <w:p w:rsidR="00A84F28" w:rsidRPr="00BC79A5" w:rsidRDefault="00A84F28" w:rsidP="00167537">
            <w:pPr>
              <w:pStyle w:val="TableBodyText"/>
              <w:framePr w:w="2155" w:hSpace="227" w:vSpace="181" w:wrap="around" w:vAnchor="text" w:hAnchor="page" w:xAlign="outside" w:y="1"/>
            </w:pPr>
            <w:r w:rsidRPr="00BC79A5">
              <w:t>-98</w:t>
            </w:r>
          </w:p>
        </w:tc>
        <w:tc>
          <w:tcPr>
            <w:tcW w:w="847" w:type="pct"/>
            <w:vAlign w:val="bottom"/>
          </w:tcPr>
          <w:p w:rsidR="00A84F28" w:rsidRPr="004A3E92" w:rsidRDefault="00A84F28" w:rsidP="00167537">
            <w:pPr>
              <w:pStyle w:val="TableBodyText"/>
            </w:pPr>
            <w:r>
              <w:t>(</w:t>
            </w:r>
            <w:r w:rsidRPr="004A3E92">
              <w:t>-</w:t>
            </w:r>
            <w:r>
              <w:t>)</w:t>
            </w:r>
          </w:p>
        </w:tc>
        <w:tc>
          <w:tcPr>
            <w:tcW w:w="846" w:type="pct"/>
            <w:vAlign w:val="bottom"/>
          </w:tcPr>
          <w:p w:rsidR="00A84F28" w:rsidRPr="00BC79A5" w:rsidRDefault="00A84F28" w:rsidP="00167537">
            <w:pPr>
              <w:pStyle w:val="TableBodyText"/>
              <w:framePr w:w="2155" w:hSpace="227" w:vSpace="181" w:wrap="around" w:vAnchor="text" w:hAnchor="page" w:xAlign="outside" w:y="1"/>
            </w:pPr>
            <w:r w:rsidRPr="00BC79A5">
              <w:t>-98</w:t>
            </w:r>
          </w:p>
        </w:tc>
      </w:tr>
      <w:tr w:rsidR="00A84F28" w:rsidRPr="00F34E46" w:rsidTr="00167537">
        <w:tc>
          <w:tcPr>
            <w:tcW w:w="2178" w:type="pct"/>
            <w:shd w:val="clear" w:color="auto" w:fill="auto"/>
          </w:tcPr>
          <w:p w:rsidR="00A84F28" w:rsidRPr="00F34E46" w:rsidRDefault="00A84F28" w:rsidP="00167537">
            <w:pPr>
              <w:pStyle w:val="TableBodyText"/>
              <w:tabs>
                <w:tab w:val="left" w:pos="315"/>
              </w:tabs>
              <w:ind w:left="284"/>
              <w:jc w:val="left"/>
            </w:pPr>
            <w:r w:rsidRPr="00F34E46">
              <w:t>Automotive components</w:t>
            </w:r>
          </w:p>
        </w:tc>
        <w:tc>
          <w:tcPr>
            <w:tcW w:w="1129" w:type="pct"/>
            <w:tcBorders>
              <w:left w:val="nil"/>
            </w:tcBorders>
            <w:shd w:val="clear" w:color="auto" w:fill="auto"/>
            <w:vAlign w:val="bottom"/>
          </w:tcPr>
          <w:p w:rsidR="00A84F28" w:rsidRPr="00BC79A5" w:rsidRDefault="00A84F28" w:rsidP="00167537">
            <w:pPr>
              <w:pStyle w:val="TableBodyText"/>
              <w:framePr w:w="2155" w:hSpace="227" w:vSpace="181" w:wrap="around" w:vAnchor="text" w:hAnchor="page" w:xAlign="outside" w:y="1"/>
            </w:pPr>
            <w:r w:rsidRPr="00BC79A5">
              <w:t>-40</w:t>
            </w:r>
          </w:p>
        </w:tc>
        <w:tc>
          <w:tcPr>
            <w:tcW w:w="847" w:type="pct"/>
            <w:vAlign w:val="bottom"/>
          </w:tcPr>
          <w:p w:rsidR="00A84F28" w:rsidRPr="004A3E92" w:rsidRDefault="00A84F28" w:rsidP="00167537">
            <w:pPr>
              <w:pStyle w:val="TableBodyText"/>
            </w:pPr>
            <w:r>
              <w:t>(</w:t>
            </w:r>
            <w:r w:rsidRPr="004A3E92">
              <w:t>-</w:t>
            </w:r>
            <w:r>
              <w:t>)</w:t>
            </w:r>
          </w:p>
        </w:tc>
        <w:tc>
          <w:tcPr>
            <w:tcW w:w="846" w:type="pct"/>
            <w:vAlign w:val="bottom"/>
          </w:tcPr>
          <w:p w:rsidR="00A84F28" w:rsidRPr="00BC79A5" w:rsidRDefault="00A84F28" w:rsidP="00167537">
            <w:pPr>
              <w:pStyle w:val="TableBodyText"/>
              <w:framePr w:w="2155" w:hSpace="227" w:vSpace="181" w:wrap="around" w:vAnchor="text" w:hAnchor="page" w:xAlign="outside" w:y="1"/>
            </w:pPr>
            <w:r w:rsidRPr="00BC79A5">
              <w:t>-40</w:t>
            </w:r>
          </w:p>
        </w:tc>
      </w:tr>
      <w:tr w:rsidR="00A84F28" w:rsidRPr="00F34E46" w:rsidTr="00167537">
        <w:tc>
          <w:tcPr>
            <w:tcW w:w="2178" w:type="pct"/>
            <w:shd w:val="clear" w:color="auto" w:fill="auto"/>
          </w:tcPr>
          <w:p w:rsidR="00A84F28" w:rsidRPr="00F34E46" w:rsidRDefault="00A84F28" w:rsidP="00167537">
            <w:pPr>
              <w:pStyle w:val="TableBodyText"/>
              <w:ind w:left="284"/>
              <w:jc w:val="left"/>
            </w:pPr>
            <w:r>
              <w:t>Other manufacturing</w:t>
            </w:r>
          </w:p>
        </w:tc>
        <w:tc>
          <w:tcPr>
            <w:tcW w:w="1129" w:type="pct"/>
            <w:tcBorders>
              <w:left w:val="nil"/>
            </w:tcBorders>
            <w:shd w:val="clear" w:color="auto" w:fill="auto"/>
            <w:vAlign w:val="bottom"/>
          </w:tcPr>
          <w:p w:rsidR="00A84F28" w:rsidRPr="004A3E92" w:rsidRDefault="00A84F28" w:rsidP="00167537">
            <w:pPr>
              <w:pStyle w:val="TableBodyText"/>
            </w:pPr>
            <w:r w:rsidRPr="00BC79A5">
              <w:t>0.6</w:t>
            </w:r>
          </w:p>
        </w:tc>
        <w:tc>
          <w:tcPr>
            <w:tcW w:w="847" w:type="pct"/>
            <w:vAlign w:val="bottom"/>
          </w:tcPr>
          <w:p w:rsidR="00A84F28" w:rsidRPr="004A3E92" w:rsidRDefault="00A84F28" w:rsidP="00167537">
            <w:pPr>
              <w:pStyle w:val="TableBodyText"/>
            </w:pPr>
            <w:r>
              <w:t>(</w:t>
            </w:r>
            <w:r w:rsidRPr="004A3E92">
              <w:t>-</w:t>
            </w:r>
            <w:r>
              <w:t>)</w:t>
            </w:r>
          </w:p>
        </w:tc>
        <w:tc>
          <w:tcPr>
            <w:tcW w:w="846" w:type="pct"/>
            <w:vAlign w:val="bottom"/>
          </w:tcPr>
          <w:p w:rsidR="00A84F28" w:rsidRPr="004A3E92" w:rsidRDefault="00A84F28" w:rsidP="00167537">
            <w:pPr>
              <w:pStyle w:val="TableBodyText"/>
            </w:pPr>
            <w:r w:rsidRPr="00BC79A5">
              <w:t>0.5</w:t>
            </w:r>
          </w:p>
        </w:tc>
      </w:tr>
      <w:tr w:rsidR="00A84F28" w:rsidRPr="00F34E46" w:rsidTr="00167537">
        <w:tc>
          <w:tcPr>
            <w:tcW w:w="2178" w:type="pct"/>
            <w:tcBorders>
              <w:bottom w:val="single" w:sz="4" w:space="0" w:color="auto"/>
            </w:tcBorders>
            <w:shd w:val="clear" w:color="auto" w:fill="auto"/>
          </w:tcPr>
          <w:p w:rsidR="00A84F28" w:rsidRPr="00F34E46" w:rsidRDefault="00A84F28" w:rsidP="00167537">
            <w:pPr>
              <w:pStyle w:val="TableBodyText"/>
              <w:jc w:val="left"/>
            </w:pPr>
            <w:r w:rsidRPr="00F34E46">
              <w:t>Services</w:t>
            </w:r>
          </w:p>
        </w:tc>
        <w:tc>
          <w:tcPr>
            <w:tcW w:w="1129" w:type="pct"/>
            <w:tcBorders>
              <w:bottom w:val="single" w:sz="4" w:space="0" w:color="auto"/>
            </w:tcBorders>
            <w:shd w:val="clear" w:color="auto" w:fill="auto"/>
            <w:vAlign w:val="bottom"/>
          </w:tcPr>
          <w:p w:rsidR="00A84F28" w:rsidRPr="004A3E92" w:rsidRDefault="00A84F28" w:rsidP="00167537">
            <w:pPr>
              <w:pStyle w:val="TableBodyText"/>
            </w:pPr>
            <w:r>
              <w:t>(</w:t>
            </w:r>
            <w:r w:rsidRPr="004A3E92">
              <w:t>+</w:t>
            </w:r>
            <w:r>
              <w:t>)</w:t>
            </w:r>
          </w:p>
        </w:tc>
        <w:tc>
          <w:tcPr>
            <w:tcW w:w="847" w:type="pct"/>
            <w:tcBorders>
              <w:bottom w:val="single" w:sz="4" w:space="0" w:color="auto"/>
            </w:tcBorders>
            <w:vAlign w:val="bottom"/>
          </w:tcPr>
          <w:p w:rsidR="00A84F28" w:rsidRPr="004A3E92" w:rsidRDefault="00A84F28" w:rsidP="00167537">
            <w:pPr>
              <w:pStyle w:val="TableBodyText"/>
            </w:pPr>
            <w:r>
              <w:t>(</w:t>
            </w:r>
            <w:r w:rsidRPr="004A3E92">
              <w:t>+</w:t>
            </w:r>
            <w:r>
              <w:t>)</w:t>
            </w:r>
          </w:p>
        </w:tc>
        <w:tc>
          <w:tcPr>
            <w:tcW w:w="846" w:type="pct"/>
            <w:tcBorders>
              <w:bottom w:val="single" w:sz="4" w:space="0" w:color="auto"/>
            </w:tcBorders>
            <w:vAlign w:val="bottom"/>
          </w:tcPr>
          <w:p w:rsidR="00A84F28" w:rsidRPr="00033A38" w:rsidRDefault="00A84F28" w:rsidP="00167537">
            <w:pPr>
              <w:pStyle w:val="TableBodyText"/>
            </w:pPr>
            <w:r>
              <w:t>(</w:t>
            </w:r>
            <w:r w:rsidRPr="004A3E92">
              <w:t>+</w:t>
            </w:r>
            <w:r>
              <w:t>)</w:t>
            </w:r>
          </w:p>
        </w:tc>
      </w:tr>
    </w:tbl>
    <w:p w:rsidR="00A84F28" w:rsidRDefault="00A84F28" w:rsidP="00A84F28">
      <w:pPr>
        <w:pStyle w:val="Note"/>
      </w:pPr>
      <w:r w:rsidRPr="00CF3680">
        <w:rPr>
          <w:b/>
        </w:rPr>
        <w:t>(+)</w:t>
      </w:r>
      <w:r>
        <w:t xml:space="preserve"> Positive, between 0 and 0.05. </w:t>
      </w:r>
      <w:r w:rsidRPr="00CF3680">
        <w:rPr>
          <w:b/>
        </w:rPr>
        <w:t>(-)</w:t>
      </w:r>
      <w:r>
        <w:t xml:space="preserve"> Negative, between -0.05 and 0. </w:t>
      </w:r>
      <w:r w:rsidRPr="00123244">
        <w:rPr>
          <w:rStyle w:val="NoteLabel"/>
        </w:rPr>
        <w:t>a</w:t>
      </w:r>
      <w:r>
        <w:t xml:space="preserve"> Longer-run impact after full adjustment relative to current </w:t>
      </w:r>
      <w:r w:rsidRPr="009E4E8F">
        <w:t>passenger motor vehicle manufacturing</w:t>
      </w:r>
      <w:r>
        <w:t xml:space="preserve"> operations. </w:t>
      </w:r>
      <w:r>
        <w:rPr>
          <w:rStyle w:val="NoteLabel"/>
        </w:rPr>
        <w:t>b</w:t>
      </w:r>
      <w:r>
        <w:t> Aggregate employment assumed unchanged from levels that would otherwise prevail.</w:t>
      </w:r>
    </w:p>
    <w:p w:rsidR="00A84F28" w:rsidRDefault="00A84F28" w:rsidP="00A84F28">
      <w:pPr>
        <w:pStyle w:val="Source"/>
      </w:pPr>
      <w:r>
        <w:rPr>
          <w:i/>
        </w:rPr>
        <w:t>Source</w:t>
      </w:r>
      <w:r>
        <w:t xml:space="preserve">: Commission estimates based on the </w:t>
      </w:r>
      <w:proofErr w:type="spellStart"/>
      <w:r>
        <w:t>MMRF</w:t>
      </w:r>
      <w:r>
        <w:noBreakHyphen/>
        <w:t>Auto14</w:t>
      </w:r>
      <w:proofErr w:type="spellEnd"/>
      <w:r>
        <w:t xml:space="preserve"> model.</w:t>
      </w:r>
    </w:p>
    <w:p w:rsidR="00A84F28" w:rsidRDefault="00A84F28" w:rsidP="00A84F28">
      <w:pPr>
        <w:pStyle w:val="BodyText"/>
      </w:pPr>
      <w:r>
        <w:t xml:space="preserve">In the Commission’s assessment, national employment in automotive components production could decline by up to 40 per cent (chapter 1). The decline in employment would be concentrated in the passenger motor vehicle producing states of Victoria and South Australia (58 per cent of jobs in component manufacturing are assumed to be lost in these two states) and would imply a decline in national value added of automotive components of nearly 50 per cent. This divergence between output and employment reflects higher value added per person employed </w:t>
      </w:r>
      <w:r>
        <w:lastRenderedPageBreak/>
        <w:t>by component manufacturers supplying the three major motor vehicle producers, mainly in Victoria and South Australia, compared to component manufacturers in other states. This reflects an input-output structure of the Victorian and South Australian suppliers that is characterised by production systems focused on higher-volume standardised lines more dependent on capital inputs compared to producers in other states that are, in some cases, producing small run length, customised parts for the aftermarket.</w:t>
      </w:r>
    </w:p>
    <w:p w:rsidR="00A84F28" w:rsidRDefault="00A84F28" w:rsidP="00A84F28">
      <w:pPr>
        <w:pStyle w:val="BodyText"/>
      </w:pPr>
      <w:r>
        <w:t>Nevertheless, the estimated decline in output and employment in automotive component manufacturing is smaller than that in passenger motor vehicle manufacturing, on account of sales of automotive components to other activities — in particular, to the aftermarket, to truck and bus manufacturing, and exports. Component manufacturing that is not directly linked to passenger motor vehicle production in Australia would not experience the direct reduction in demand for its output and would potentially benefit indirectly from the decline in real wages, the projected real depreciation of the Australian dollar associated with the exit of motor vehicle producers and expansion of activity levels more broadly.</w:t>
      </w:r>
    </w:p>
    <w:p w:rsidR="00A84F28" w:rsidRDefault="00A84F28" w:rsidP="00A84F28">
      <w:pPr>
        <w:pStyle w:val="BodyText"/>
      </w:pPr>
      <w:r>
        <w:t>With the decline in demand for intermediate inputs used in the production of passenger motor vehicles, the activities in the wider manufacturing industry (which includes automotive inputs such as metal, glass, plastic and rubber product manufacturing) are projected to decline.</w:t>
      </w:r>
    </w:p>
    <w:p w:rsidR="00A84F28" w:rsidRDefault="00A84F28" w:rsidP="00A84F28">
      <w:pPr>
        <w:pStyle w:val="BodyText"/>
      </w:pPr>
      <w:r>
        <w:t>The primary effect of the exit of the major passenger motor vehicle manufacturers and associated supply chain adjustment is to reduce the output of, and employment in, the automotive manufacturing industry (table 2.1, column 1). The changes are estimated to generate total job losses in the order of 33 000 from the industry and affected components and other suppliers. The Commission’s report conservatively rounds this up, and refers to ‘up to 40 000’ jobs lost.</w:t>
      </w:r>
    </w:p>
    <w:p w:rsidR="00A84F28" w:rsidRDefault="00A84F28" w:rsidP="00A84F28">
      <w:pPr>
        <w:pStyle w:val="BodyText"/>
      </w:pPr>
      <w:r>
        <w:t>In the longer-run environment modelled, national employment is assumed to be maintained through adjustment in real wages and the real depreciation of the exchange rate, which — after a period of adjustment to the direct and indirect effects of the modelled plant closures — lead to higher employment in a range of other activities. The activities projected to expand in the longer run from levels that would otherwise have prevailed include, in particular, the more capital–intensive, trade-exposed mining, agricultural and service industries, as well as other manufacturing activities not linked to passenger motor vehicle manufacturing.</w:t>
      </w:r>
    </w:p>
    <w:p w:rsidR="00A84F28" w:rsidRDefault="00A84F28" w:rsidP="00A84F28">
      <w:pPr>
        <w:pStyle w:val="BodyText"/>
      </w:pPr>
      <w:r>
        <w:t xml:space="preserve">Output from these activities is typically more responsive in the longer run to changes in the real exchange rate relative to other more labour-intensive domestically-oriented non-traded (mainly service) activities. On balance, the </w:t>
      </w:r>
      <w:r>
        <w:lastRenderedPageBreak/>
        <w:t>services sector is modelled to decline slightly, notwithstanding that some service industries expand to support trade-exposed activities (and the impact of reclassifying, as services, some design and engineering, head office, sales and marketing functions currently integrated into the manufacturing operations of Ford, Holden and Toyota).</w:t>
      </w:r>
    </w:p>
    <w:p w:rsidR="00A84F28" w:rsidRDefault="00A84F28" w:rsidP="00A84F28">
      <w:pPr>
        <w:pStyle w:val="BodyText"/>
      </w:pPr>
      <w:r>
        <w:t>The effect of industry-specific budgetary assistance on production and employment in the automotive manufacturing industry has not been modelled. However, the modelling assumes the freeing up of government funds following exit of the industry is reallocated as a lump-sum payment to Australian households. This is estimated to have a small effect on industry outputs (in automotive manufacturing and other industries) due to the increase in consumption expenditure. Increased consumption expenditure causes an expansion of the non-traded sector (services in particular) and some crowding out of activity in the traded sector — particularly in agriculture and mining — as resources are reallocated to the non-traded sector. These effects moderate somewhat the impacts of the real depreciation on broad industry composition triggered by passenger vehicle manufacturing closure.</w:t>
      </w:r>
    </w:p>
    <w:p w:rsidR="00A84F28" w:rsidRDefault="00CF27B1" w:rsidP="00A84F28">
      <w:pPr>
        <w:pStyle w:val="Heading2"/>
      </w:pPr>
      <w:r>
        <w:fldChar w:fldCharType="begin"/>
      </w:r>
      <w:r>
        <w:instrText xml:space="preserve"> COMMENTS  \* MERGEFORMAT </w:instrText>
      </w:r>
      <w:r>
        <w:fldChar w:fldCharType="separate"/>
      </w:r>
      <w:r w:rsidR="00A84F28">
        <w:t>2.</w:t>
      </w:r>
      <w:r>
        <w:fldChar w:fldCharType="end"/>
      </w:r>
      <w:r>
        <w:fldChar w:fldCharType="begin"/>
      </w:r>
      <w:r>
        <w:instrText xml:space="preserve"> SEQ Heading2 </w:instrText>
      </w:r>
      <w:r>
        <w:fldChar w:fldCharType="separate"/>
      </w:r>
      <w:r w:rsidR="00A84F28">
        <w:rPr>
          <w:noProof/>
        </w:rPr>
        <w:t>2</w:t>
      </w:r>
      <w:r>
        <w:rPr>
          <w:noProof/>
        </w:rPr>
        <w:fldChar w:fldCharType="end"/>
      </w:r>
      <w:r w:rsidR="00A84F28">
        <w:tab/>
        <w:t>Aggregate effects</w:t>
      </w:r>
    </w:p>
    <w:p w:rsidR="00A84F28" w:rsidRDefault="00A84F28" w:rsidP="00A84F28">
      <w:pPr>
        <w:pStyle w:val="BodyText"/>
      </w:pPr>
      <w:r>
        <w:t>The estimated aggregate effects of the closure of passenger motor vehicle manufacturing plants on the economy are presented in table 2.2. Overall, the results suggest that the aggregate effects will be small. For example, as modelled, t</w:t>
      </w:r>
      <w:r w:rsidRPr="00BC5704">
        <w:t xml:space="preserve">he </w:t>
      </w:r>
      <w:r>
        <w:t xml:space="preserve">estimated </w:t>
      </w:r>
      <w:r w:rsidRPr="00BC5704">
        <w:t xml:space="preserve">longer-run </w:t>
      </w:r>
      <w:r>
        <w:t xml:space="preserve">Australia-wide </w:t>
      </w:r>
      <w:r w:rsidRPr="00BC5704">
        <w:t xml:space="preserve">effects of the </w:t>
      </w:r>
      <w:r>
        <w:t>plant closures and cessation of subsidies could raise national output, after the economy has fully adjusted</w:t>
      </w:r>
      <w:r w:rsidRPr="00BC5704">
        <w:t>,</w:t>
      </w:r>
      <w:r>
        <w:t xml:space="preserve"> by</w:t>
      </w:r>
      <w:r w:rsidRPr="00BC5704">
        <w:t xml:space="preserve"> </w:t>
      </w:r>
      <w:r>
        <w:t xml:space="preserve">around </w:t>
      </w:r>
      <w:r w:rsidRPr="00BC5704">
        <w:t>0.1</w:t>
      </w:r>
      <w:r>
        <w:t> </w:t>
      </w:r>
      <w:r w:rsidRPr="00BC5704">
        <w:t>per cent</w:t>
      </w:r>
      <w:r>
        <w:t xml:space="preserve"> relative to the level it </w:t>
      </w:r>
      <w:r w:rsidRPr="00BC5704">
        <w:t xml:space="preserve">otherwise would </w:t>
      </w:r>
      <w:r>
        <w:t xml:space="preserve">have been if </w:t>
      </w:r>
      <w:r w:rsidRPr="009E4E8F">
        <w:t>manufacturing</w:t>
      </w:r>
      <w:r>
        <w:t xml:space="preserve"> operations had remained at current levels (table 2.2, column 3).</w:t>
      </w:r>
      <w:r w:rsidRPr="00BC5704">
        <w:t xml:space="preserve"> </w:t>
      </w:r>
      <w:r>
        <w:t>Real gross national expenditure and each component — domestic consumption, investment and government spending — could also increase fractionally.</w:t>
      </w:r>
    </w:p>
    <w:p w:rsidR="00A84F28" w:rsidRDefault="00A84F28" w:rsidP="00A84F28">
      <w:pPr>
        <w:pStyle w:val="BodyText"/>
      </w:pPr>
      <w:r>
        <w:t xml:space="preserve">However, notwithstanding that the effects on GDP and other aggregate variables will be small, the magnitude and even direction of change depends on factors such as the relative capital intensity of the rest of the economy and its ability to draw in additional capital and other influences. For example, sensitivity testing presented in chapter 4 confirms that, although modest, aggregate impacts are influenced by impediments to job mobility across states, and may be negative. It also should be borne in mind that an increase in GDP will not necessarily translate to an increase in net national income to the extent of terms of trade declines and changes in </w:t>
      </w:r>
      <w:r w:rsidRPr="00EF69A6">
        <w:rPr>
          <w:i/>
        </w:rPr>
        <w:t>net</w:t>
      </w:r>
      <w:r>
        <w:t xml:space="preserve"> investment income associated with additional capital accruing outside Australia (PC 2005).</w:t>
      </w:r>
    </w:p>
    <w:p w:rsidR="00A84F28" w:rsidRDefault="00A84F28" w:rsidP="00A84F28">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Pr>
          <w:b w:val="0"/>
        </w:rPr>
        <w:t>2.</w:t>
      </w:r>
      <w:r>
        <w:rPr>
          <w:b w:val="0"/>
        </w:rPr>
        <w:fldChar w:fldCharType="end"/>
      </w:r>
      <w:r>
        <w:rPr>
          <w:b w:val="0"/>
        </w:rPr>
        <w:fldChar w:fldCharType="begin"/>
      </w:r>
      <w:r>
        <w:rPr>
          <w:b w:val="0"/>
        </w:rPr>
        <w:instrText xml:space="preserve"> SEQ Table \* ARABIC </w:instrText>
      </w:r>
      <w:r>
        <w:rPr>
          <w:b w:val="0"/>
        </w:rPr>
        <w:fldChar w:fldCharType="separate"/>
      </w:r>
      <w:r>
        <w:rPr>
          <w:b w:val="0"/>
          <w:noProof/>
        </w:rPr>
        <w:t>2</w:t>
      </w:r>
      <w:r>
        <w:rPr>
          <w:b w:val="0"/>
        </w:rPr>
        <w:fldChar w:fldCharType="end"/>
      </w:r>
      <w:r>
        <w:tab/>
        <w:t>E</w:t>
      </w:r>
      <w:r w:rsidRPr="00F75CC8">
        <w:t>stimate</w:t>
      </w:r>
      <w:r>
        <w:t xml:space="preserve">d </w:t>
      </w:r>
      <w:r w:rsidRPr="00F75CC8">
        <w:t xml:space="preserve">longer-run </w:t>
      </w:r>
      <w:r>
        <w:t xml:space="preserve">economywide </w:t>
      </w:r>
      <w:r w:rsidRPr="00F75CC8">
        <w:t xml:space="preserve">effects of </w:t>
      </w:r>
      <w:r>
        <w:t>the closure of passenger motor vehicle manufacturing plants in Australia</w:t>
      </w:r>
      <w:r w:rsidRPr="00580024">
        <w:rPr>
          <w:rStyle w:val="NoteLabel"/>
        </w:rPr>
        <w:t>a</w:t>
      </w:r>
    </w:p>
    <w:p w:rsidR="00A84F28" w:rsidRDefault="00A84F28" w:rsidP="00A84F28">
      <w:pPr>
        <w:pStyle w:val="Subtitle"/>
      </w:pPr>
      <w:r>
        <w:t>Percentage change</w:t>
      </w:r>
    </w:p>
    <w:tbl>
      <w:tblPr>
        <w:tblW w:w="5000" w:type="pct"/>
        <w:tblCellMar>
          <w:left w:w="0" w:type="dxa"/>
          <w:right w:w="0" w:type="dxa"/>
        </w:tblCellMar>
        <w:tblLook w:val="0000" w:firstRow="0" w:lastRow="0" w:firstColumn="0" w:lastColumn="0" w:noHBand="0" w:noVBand="0"/>
      </w:tblPr>
      <w:tblGrid>
        <w:gridCol w:w="3686"/>
        <w:gridCol w:w="1793"/>
        <w:gridCol w:w="1656"/>
        <w:gridCol w:w="1654"/>
      </w:tblGrid>
      <w:tr w:rsidR="00A84F28" w:rsidTr="00167537">
        <w:tc>
          <w:tcPr>
            <w:tcW w:w="2097" w:type="pct"/>
            <w:tcBorders>
              <w:top w:val="single" w:sz="6" w:space="0" w:color="auto"/>
              <w:bottom w:val="single" w:sz="6" w:space="0" w:color="auto"/>
            </w:tcBorders>
            <w:shd w:val="clear" w:color="auto" w:fill="auto"/>
            <w:vAlign w:val="bottom"/>
          </w:tcPr>
          <w:p w:rsidR="00A84F28" w:rsidRDefault="00A84F28" w:rsidP="00167537">
            <w:pPr>
              <w:pStyle w:val="TableColumnHeading"/>
              <w:jc w:val="left"/>
            </w:pPr>
            <w:r w:rsidRPr="003C4094">
              <w:t>Variable</w:t>
            </w:r>
          </w:p>
        </w:tc>
        <w:tc>
          <w:tcPr>
            <w:tcW w:w="1020" w:type="pct"/>
            <w:tcBorders>
              <w:top w:val="single" w:sz="6" w:space="0" w:color="auto"/>
              <w:bottom w:val="single" w:sz="6" w:space="0" w:color="auto"/>
            </w:tcBorders>
            <w:shd w:val="clear" w:color="auto" w:fill="auto"/>
            <w:vAlign w:val="bottom"/>
          </w:tcPr>
          <w:p w:rsidR="00A84F28" w:rsidRDefault="00A84F28" w:rsidP="00167537">
            <w:pPr>
              <w:pStyle w:val="TableColumnHeading"/>
            </w:pPr>
            <w:r w:rsidRPr="003C4094">
              <w:t>Exit of passenger motor vehicle manufacturers and consequential reductions in</w:t>
            </w:r>
            <w:r>
              <w:t xml:space="preserve"> supply chains</w:t>
            </w:r>
          </w:p>
        </w:tc>
        <w:tc>
          <w:tcPr>
            <w:tcW w:w="942" w:type="pct"/>
            <w:tcBorders>
              <w:top w:val="single" w:sz="6" w:space="0" w:color="auto"/>
              <w:bottom w:val="single" w:sz="6" w:space="0" w:color="auto"/>
            </w:tcBorders>
            <w:shd w:val="clear" w:color="auto" w:fill="auto"/>
            <w:vAlign w:val="bottom"/>
          </w:tcPr>
          <w:p w:rsidR="00A84F28" w:rsidRDefault="00A84F28" w:rsidP="00167537">
            <w:pPr>
              <w:pStyle w:val="TableColumnHeading"/>
            </w:pPr>
            <w:r>
              <w:t>Reallocation of budgetary assistance outlays</w:t>
            </w:r>
          </w:p>
        </w:tc>
        <w:tc>
          <w:tcPr>
            <w:tcW w:w="941" w:type="pct"/>
            <w:tcBorders>
              <w:top w:val="single" w:sz="6" w:space="0" w:color="auto"/>
              <w:bottom w:val="single" w:sz="6" w:space="0" w:color="auto"/>
            </w:tcBorders>
            <w:shd w:val="clear" w:color="auto" w:fill="auto"/>
            <w:vAlign w:val="bottom"/>
          </w:tcPr>
          <w:p w:rsidR="00A84F28" w:rsidRDefault="00A84F28" w:rsidP="00167537">
            <w:pPr>
              <w:pStyle w:val="TableColumnHeading"/>
              <w:ind w:right="28"/>
            </w:pPr>
            <w:r>
              <w:t>Total</w:t>
            </w:r>
            <w:r>
              <w:br/>
              <w:t>effects</w:t>
            </w:r>
          </w:p>
        </w:tc>
      </w:tr>
      <w:tr w:rsidR="00A84F28" w:rsidTr="00167537">
        <w:tc>
          <w:tcPr>
            <w:tcW w:w="2097" w:type="pct"/>
          </w:tcPr>
          <w:p w:rsidR="00A84F28" w:rsidRDefault="00A84F28" w:rsidP="00167537">
            <w:pPr>
              <w:pStyle w:val="TableBodyText"/>
              <w:spacing w:before="120"/>
              <w:jc w:val="left"/>
            </w:pPr>
            <w:r w:rsidRPr="006E0593">
              <w:t>Real gross domestic product</w:t>
            </w:r>
          </w:p>
        </w:tc>
        <w:tc>
          <w:tcPr>
            <w:tcW w:w="1020" w:type="pct"/>
          </w:tcPr>
          <w:p w:rsidR="00A84F28" w:rsidRDefault="00A84F28" w:rsidP="00167537">
            <w:pPr>
              <w:pStyle w:val="TableBodyText"/>
              <w:spacing w:before="120"/>
              <w:rPr>
                <w:i/>
              </w:rPr>
            </w:pPr>
            <w:r w:rsidRPr="006E0593">
              <w:t>0.1</w:t>
            </w:r>
          </w:p>
        </w:tc>
        <w:tc>
          <w:tcPr>
            <w:tcW w:w="942" w:type="pct"/>
          </w:tcPr>
          <w:p w:rsidR="00A84F28" w:rsidRDefault="00A84F28" w:rsidP="00167537">
            <w:pPr>
              <w:pStyle w:val="TableBodyText"/>
              <w:spacing w:before="120"/>
              <w:rPr>
                <w:i/>
              </w:rPr>
            </w:pPr>
            <w:r w:rsidRPr="006E0593">
              <w:t>(+)</w:t>
            </w:r>
          </w:p>
        </w:tc>
        <w:tc>
          <w:tcPr>
            <w:tcW w:w="941" w:type="pct"/>
          </w:tcPr>
          <w:p w:rsidR="00A84F28" w:rsidRDefault="00A84F28" w:rsidP="00167537">
            <w:pPr>
              <w:pStyle w:val="TableBodyText"/>
              <w:spacing w:before="120"/>
              <w:ind w:right="28"/>
              <w:rPr>
                <w:i/>
              </w:rPr>
            </w:pPr>
            <w:r w:rsidRPr="006E0593">
              <w:t>0.1</w:t>
            </w:r>
          </w:p>
        </w:tc>
      </w:tr>
      <w:tr w:rsidR="00A84F28" w:rsidTr="00167537">
        <w:tc>
          <w:tcPr>
            <w:tcW w:w="2097" w:type="pct"/>
          </w:tcPr>
          <w:p w:rsidR="00A84F28" w:rsidRDefault="00A84F28" w:rsidP="00167537">
            <w:pPr>
              <w:pStyle w:val="TableBodyText"/>
              <w:jc w:val="left"/>
            </w:pPr>
            <w:r w:rsidRPr="006E0593">
              <w:t>Real gross national expenditure</w:t>
            </w:r>
          </w:p>
        </w:tc>
        <w:tc>
          <w:tcPr>
            <w:tcW w:w="1020" w:type="pct"/>
          </w:tcPr>
          <w:p w:rsidR="00A84F28" w:rsidRDefault="00A84F28" w:rsidP="00167537">
            <w:pPr>
              <w:pStyle w:val="TableBodyText"/>
              <w:rPr>
                <w:i/>
              </w:rPr>
            </w:pPr>
            <w:r w:rsidRPr="006E0593">
              <w:t>(-)</w:t>
            </w:r>
          </w:p>
        </w:tc>
        <w:tc>
          <w:tcPr>
            <w:tcW w:w="942" w:type="pct"/>
          </w:tcPr>
          <w:p w:rsidR="00A84F28" w:rsidRDefault="00A84F28" w:rsidP="00167537">
            <w:pPr>
              <w:pStyle w:val="TableBodyText"/>
              <w:rPr>
                <w:i/>
              </w:rPr>
            </w:pPr>
            <w:r w:rsidRPr="006E0593">
              <w:t>(+)</w:t>
            </w:r>
          </w:p>
        </w:tc>
        <w:tc>
          <w:tcPr>
            <w:tcW w:w="941" w:type="pct"/>
          </w:tcPr>
          <w:p w:rsidR="00A84F28" w:rsidRDefault="00A84F28" w:rsidP="00167537">
            <w:pPr>
              <w:pStyle w:val="TableBodyText"/>
              <w:ind w:right="28"/>
              <w:rPr>
                <w:i/>
              </w:rPr>
            </w:pPr>
            <w:r w:rsidRPr="006E0593">
              <w:t>(+)</w:t>
            </w:r>
          </w:p>
        </w:tc>
      </w:tr>
      <w:tr w:rsidR="00A84F28" w:rsidRPr="00A65102" w:rsidTr="00167537">
        <w:tc>
          <w:tcPr>
            <w:tcW w:w="2097" w:type="pct"/>
          </w:tcPr>
          <w:p w:rsidR="00A84F28" w:rsidRPr="00ED31F2" w:rsidRDefault="00A84F28" w:rsidP="00167537">
            <w:pPr>
              <w:pStyle w:val="TableBodyText"/>
              <w:jc w:val="left"/>
              <w:rPr>
                <w:i/>
              </w:rPr>
            </w:pPr>
            <w:r w:rsidRPr="00ED31F2">
              <w:rPr>
                <w:i/>
              </w:rPr>
              <w:t>of which:</w:t>
            </w:r>
          </w:p>
        </w:tc>
        <w:tc>
          <w:tcPr>
            <w:tcW w:w="1020" w:type="pct"/>
          </w:tcPr>
          <w:p w:rsidR="00A84F28" w:rsidRPr="00ED31F2" w:rsidRDefault="00A84F28" w:rsidP="00167537">
            <w:pPr>
              <w:pStyle w:val="TableBodyText"/>
              <w:rPr>
                <w:i/>
              </w:rPr>
            </w:pPr>
          </w:p>
        </w:tc>
        <w:tc>
          <w:tcPr>
            <w:tcW w:w="942" w:type="pct"/>
          </w:tcPr>
          <w:p w:rsidR="00A84F28" w:rsidRPr="00ED31F2" w:rsidRDefault="00A84F28" w:rsidP="00167537">
            <w:pPr>
              <w:pStyle w:val="TableBodyText"/>
              <w:rPr>
                <w:i/>
              </w:rPr>
            </w:pPr>
          </w:p>
        </w:tc>
        <w:tc>
          <w:tcPr>
            <w:tcW w:w="941" w:type="pct"/>
          </w:tcPr>
          <w:p w:rsidR="00A84F28" w:rsidRPr="00ED31F2" w:rsidRDefault="00A84F28" w:rsidP="00167537">
            <w:pPr>
              <w:pStyle w:val="TableBodyText"/>
              <w:ind w:right="28"/>
              <w:rPr>
                <w:i/>
              </w:rPr>
            </w:pPr>
          </w:p>
        </w:tc>
      </w:tr>
      <w:tr w:rsidR="00A84F28" w:rsidTr="00167537">
        <w:tc>
          <w:tcPr>
            <w:tcW w:w="2097" w:type="pct"/>
          </w:tcPr>
          <w:p w:rsidR="00A84F28" w:rsidRDefault="00A84F28" w:rsidP="00167537">
            <w:pPr>
              <w:pStyle w:val="TableBodyText"/>
              <w:ind w:left="284"/>
              <w:jc w:val="left"/>
            </w:pPr>
            <w:r w:rsidRPr="006E0593">
              <w:t>Real household consumption</w:t>
            </w:r>
          </w:p>
        </w:tc>
        <w:tc>
          <w:tcPr>
            <w:tcW w:w="1020" w:type="pct"/>
          </w:tcPr>
          <w:p w:rsidR="00A84F28" w:rsidRDefault="00A84F28" w:rsidP="00167537">
            <w:pPr>
              <w:pStyle w:val="TableBodyText"/>
              <w:rPr>
                <w:i/>
              </w:rPr>
            </w:pPr>
            <w:r w:rsidRPr="006E0593">
              <w:t>-0.1</w:t>
            </w:r>
          </w:p>
        </w:tc>
        <w:tc>
          <w:tcPr>
            <w:tcW w:w="942" w:type="pct"/>
          </w:tcPr>
          <w:p w:rsidR="00A84F28" w:rsidRDefault="00A84F28" w:rsidP="00167537">
            <w:pPr>
              <w:pStyle w:val="TableBodyText"/>
              <w:rPr>
                <w:i/>
              </w:rPr>
            </w:pPr>
            <w:r w:rsidRPr="006E0593">
              <w:t>0.1</w:t>
            </w:r>
          </w:p>
        </w:tc>
        <w:tc>
          <w:tcPr>
            <w:tcW w:w="941" w:type="pct"/>
          </w:tcPr>
          <w:p w:rsidR="00A84F28" w:rsidRDefault="00A84F28" w:rsidP="00167537">
            <w:pPr>
              <w:pStyle w:val="TableBodyText"/>
              <w:ind w:right="28"/>
              <w:rPr>
                <w:i/>
              </w:rPr>
            </w:pPr>
            <w:r w:rsidRPr="006E0593">
              <w:t>(+)</w:t>
            </w:r>
          </w:p>
        </w:tc>
      </w:tr>
      <w:tr w:rsidR="00A84F28" w:rsidTr="00167537">
        <w:tc>
          <w:tcPr>
            <w:tcW w:w="2097" w:type="pct"/>
          </w:tcPr>
          <w:p w:rsidR="00A84F28" w:rsidRDefault="00A84F28" w:rsidP="00167537">
            <w:pPr>
              <w:pStyle w:val="TableBodyText"/>
              <w:ind w:left="284"/>
              <w:jc w:val="left"/>
            </w:pPr>
            <w:r w:rsidRPr="006E0593">
              <w:t>Real investment</w:t>
            </w:r>
          </w:p>
        </w:tc>
        <w:tc>
          <w:tcPr>
            <w:tcW w:w="1020" w:type="pct"/>
          </w:tcPr>
          <w:p w:rsidR="00A84F28" w:rsidRDefault="00A84F28" w:rsidP="00167537">
            <w:pPr>
              <w:pStyle w:val="TableBodyText"/>
              <w:rPr>
                <w:i/>
              </w:rPr>
            </w:pPr>
            <w:r w:rsidRPr="006E0593">
              <w:t>0.1</w:t>
            </w:r>
          </w:p>
        </w:tc>
        <w:tc>
          <w:tcPr>
            <w:tcW w:w="942" w:type="pct"/>
          </w:tcPr>
          <w:p w:rsidR="00A84F28" w:rsidRDefault="00A84F28" w:rsidP="00167537">
            <w:pPr>
              <w:pStyle w:val="TableBodyText"/>
              <w:rPr>
                <w:i/>
              </w:rPr>
            </w:pPr>
            <w:r w:rsidRPr="006E0593">
              <w:t>(+)</w:t>
            </w:r>
          </w:p>
        </w:tc>
        <w:tc>
          <w:tcPr>
            <w:tcW w:w="941" w:type="pct"/>
          </w:tcPr>
          <w:p w:rsidR="00A84F28" w:rsidRDefault="00A84F28" w:rsidP="00167537">
            <w:pPr>
              <w:pStyle w:val="TableBodyText"/>
              <w:ind w:right="28"/>
              <w:rPr>
                <w:i/>
              </w:rPr>
            </w:pPr>
            <w:r w:rsidRPr="006E0593">
              <w:t>0.1</w:t>
            </w:r>
          </w:p>
        </w:tc>
      </w:tr>
      <w:tr w:rsidR="00A84F28" w:rsidTr="00167537">
        <w:tc>
          <w:tcPr>
            <w:tcW w:w="2097" w:type="pct"/>
          </w:tcPr>
          <w:p w:rsidR="00A84F28" w:rsidRDefault="00A84F28" w:rsidP="00167537">
            <w:pPr>
              <w:pStyle w:val="TableBodyText"/>
              <w:ind w:left="284"/>
              <w:jc w:val="left"/>
            </w:pPr>
            <w:r w:rsidRPr="006E0593">
              <w:t>Real government spending</w:t>
            </w:r>
          </w:p>
        </w:tc>
        <w:tc>
          <w:tcPr>
            <w:tcW w:w="1020" w:type="pct"/>
          </w:tcPr>
          <w:p w:rsidR="00A84F28" w:rsidRDefault="00A84F28" w:rsidP="00167537">
            <w:pPr>
              <w:pStyle w:val="TableBodyText"/>
              <w:rPr>
                <w:i/>
              </w:rPr>
            </w:pPr>
            <w:r w:rsidRPr="006E0593">
              <w:t>(-)</w:t>
            </w:r>
          </w:p>
        </w:tc>
        <w:tc>
          <w:tcPr>
            <w:tcW w:w="942" w:type="pct"/>
          </w:tcPr>
          <w:p w:rsidR="00A84F28" w:rsidRDefault="00A84F28" w:rsidP="00167537">
            <w:pPr>
              <w:pStyle w:val="TableBodyText"/>
              <w:rPr>
                <w:i/>
              </w:rPr>
            </w:pPr>
            <w:r w:rsidRPr="006E0593">
              <w:t>0.1</w:t>
            </w:r>
          </w:p>
        </w:tc>
        <w:tc>
          <w:tcPr>
            <w:tcW w:w="941" w:type="pct"/>
          </w:tcPr>
          <w:p w:rsidR="00A84F28" w:rsidRDefault="00A84F28" w:rsidP="00167537">
            <w:pPr>
              <w:pStyle w:val="TableBodyText"/>
              <w:ind w:right="28"/>
              <w:rPr>
                <w:i/>
              </w:rPr>
            </w:pPr>
            <w:r w:rsidRPr="006E0593">
              <w:t>(+)</w:t>
            </w:r>
          </w:p>
        </w:tc>
      </w:tr>
      <w:tr w:rsidR="00A84F28" w:rsidTr="00167537">
        <w:tc>
          <w:tcPr>
            <w:tcW w:w="2097" w:type="pct"/>
          </w:tcPr>
          <w:p w:rsidR="00A84F28" w:rsidRDefault="00A84F28" w:rsidP="00167537">
            <w:pPr>
              <w:pStyle w:val="TableBodyText"/>
              <w:jc w:val="left"/>
            </w:pPr>
            <w:r w:rsidRPr="006E0593">
              <w:t>Export volumes</w:t>
            </w:r>
          </w:p>
        </w:tc>
        <w:tc>
          <w:tcPr>
            <w:tcW w:w="1020" w:type="pct"/>
          </w:tcPr>
          <w:p w:rsidR="00A84F28" w:rsidRDefault="00A84F28" w:rsidP="00167537">
            <w:pPr>
              <w:pStyle w:val="TableBodyText"/>
              <w:rPr>
                <w:i/>
              </w:rPr>
            </w:pPr>
            <w:r w:rsidRPr="006E0593">
              <w:t>2.5</w:t>
            </w:r>
          </w:p>
        </w:tc>
        <w:tc>
          <w:tcPr>
            <w:tcW w:w="942" w:type="pct"/>
          </w:tcPr>
          <w:p w:rsidR="00A84F28" w:rsidRDefault="00A84F28" w:rsidP="00167537">
            <w:pPr>
              <w:pStyle w:val="TableBodyText"/>
              <w:rPr>
                <w:i/>
              </w:rPr>
            </w:pPr>
            <w:r w:rsidRPr="006E0593">
              <w:t>-0.2</w:t>
            </w:r>
          </w:p>
        </w:tc>
        <w:tc>
          <w:tcPr>
            <w:tcW w:w="941" w:type="pct"/>
          </w:tcPr>
          <w:p w:rsidR="00A84F28" w:rsidRDefault="00A84F28" w:rsidP="00167537">
            <w:pPr>
              <w:pStyle w:val="TableBodyText"/>
              <w:ind w:right="28"/>
              <w:rPr>
                <w:i/>
              </w:rPr>
            </w:pPr>
            <w:r w:rsidRPr="006E0593">
              <w:t>2.3</w:t>
            </w:r>
          </w:p>
        </w:tc>
      </w:tr>
      <w:tr w:rsidR="00A84F28" w:rsidTr="00167537">
        <w:tc>
          <w:tcPr>
            <w:tcW w:w="2097" w:type="pct"/>
          </w:tcPr>
          <w:p w:rsidR="00A84F28" w:rsidRDefault="00A84F28" w:rsidP="00167537">
            <w:pPr>
              <w:pStyle w:val="TableBodyText"/>
              <w:jc w:val="left"/>
            </w:pPr>
            <w:r w:rsidRPr="006E0593">
              <w:t>Import volumes</w:t>
            </w:r>
          </w:p>
        </w:tc>
        <w:tc>
          <w:tcPr>
            <w:tcW w:w="1020" w:type="pct"/>
          </w:tcPr>
          <w:p w:rsidR="00A84F28" w:rsidRDefault="00A84F28" w:rsidP="00167537">
            <w:pPr>
              <w:pStyle w:val="TableBodyText"/>
              <w:rPr>
                <w:i/>
              </w:rPr>
            </w:pPr>
            <w:r w:rsidRPr="006E0593">
              <w:t>2.0</w:t>
            </w:r>
          </w:p>
        </w:tc>
        <w:tc>
          <w:tcPr>
            <w:tcW w:w="942" w:type="pct"/>
          </w:tcPr>
          <w:p w:rsidR="00A84F28" w:rsidRDefault="00A84F28" w:rsidP="00167537">
            <w:pPr>
              <w:pStyle w:val="TableBodyText"/>
              <w:rPr>
                <w:i/>
              </w:rPr>
            </w:pPr>
            <w:r w:rsidRPr="006E0593">
              <w:t>(+)</w:t>
            </w:r>
          </w:p>
        </w:tc>
        <w:tc>
          <w:tcPr>
            <w:tcW w:w="941" w:type="pct"/>
          </w:tcPr>
          <w:p w:rsidR="00A84F28" w:rsidRDefault="00A84F28" w:rsidP="00167537">
            <w:pPr>
              <w:pStyle w:val="TableBodyText"/>
              <w:ind w:right="28"/>
              <w:rPr>
                <w:i/>
              </w:rPr>
            </w:pPr>
            <w:r w:rsidRPr="006E0593">
              <w:t>2.0</w:t>
            </w:r>
          </w:p>
        </w:tc>
      </w:tr>
      <w:tr w:rsidR="00A84F28" w:rsidTr="00167537">
        <w:tc>
          <w:tcPr>
            <w:tcW w:w="2097" w:type="pct"/>
          </w:tcPr>
          <w:p w:rsidR="00A84F28" w:rsidRDefault="00A84F28" w:rsidP="00167537">
            <w:pPr>
              <w:pStyle w:val="TableBodyText"/>
              <w:jc w:val="left"/>
            </w:pPr>
            <w:r w:rsidRPr="006E0593">
              <w:t>Real exchange rate</w:t>
            </w:r>
            <w:r w:rsidRPr="00ED31F2">
              <w:rPr>
                <w:rStyle w:val="NoteLabel"/>
              </w:rPr>
              <w:t>b</w:t>
            </w:r>
          </w:p>
        </w:tc>
        <w:tc>
          <w:tcPr>
            <w:tcW w:w="1020" w:type="pct"/>
          </w:tcPr>
          <w:p w:rsidR="00A84F28" w:rsidRDefault="00A84F28" w:rsidP="00167537">
            <w:pPr>
              <w:pStyle w:val="TableBodyText"/>
              <w:rPr>
                <w:i/>
              </w:rPr>
            </w:pPr>
            <w:r w:rsidRPr="006E0593">
              <w:t>0.4</w:t>
            </w:r>
          </w:p>
        </w:tc>
        <w:tc>
          <w:tcPr>
            <w:tcW w:w="942" w:type="pct"/>
          </w:tcPr>
          <w:p w:rsidR="00A84F28" w:rsidRDefault="00A84F28" w:rsidP="00167537">
            <w:pPr>
              <w:pStyle w:val="TableBodyText"/>
              <w:rPr>
                <w:i/>
              </w:rPr>
            </w:pPr>
            <w:r w:rsidRPr="006E0593">
              <w:t>(-)</w:t>
            </w:r>
          </w:p>
        </w:tc>
        <w:tc>
          <w:tcPr>
            <w:tcW w:w="941" w:type="pct"/>
          </w:tcPr>
          <w:p w:rsidR="00A84F28" w:rsidRDefault="00A84F28" w:rsidP="00167537">
            <w:pPr>
              <w:pStyle w:val="TableBodyText"/>
              <w:ind w:right="28"/>
              <w:rPr>
                <w:i/>
              </w:rPr>
            </w:pPr>
            <w:r w:rsidRPr="006E0593">
              <w:t>0.4</w:t>
            </w:r>
          </w:p>
        </w:tc>
      </w:tr>
      <w:tr w:rsidR="00A84F28" w:rsidTr="00167537">
        <w:tc>
          <w:tcPr>
            <w:tcW w:w="2097" w:type="pct"/>
          </w:tcPr>
          <w:p w:rsidR="00A84F28" w:rsidRDefault="00A84F28" w:rsidP="00167537">
            <w:pPr>
              <w:pStyle w:val="TableBodyText"/>
              <w:jc w:val="left"/>
            </w:pPr>
            <w:r w:rsidRPr="006E0593">
              <w:t>Terms of trade</w:t>
            </w:r>
          </w:p>
        </w:tc>
        <w:tc>
          <w:tcPr>
            <w:tcW w:w="1020" w:type="pct"/>
          </w:tcPr>
          <w:p w:rsidR="00A84F28" w:rsidRDefault="00A84F28" w:rsidP="00167537">
            <w:pPr>
              <w:pStyle w:val="TableBodyText"/>
              <w:rPr>
                <w:i/>
              </w:rPr>
            </w:pPr>
            <w:r w:rsidRPr="006E0593">
              <w:t>-0.3</w:t>
            </w:r>
          </w:p>
        </w:tc>
        <w:tc>
          <w:tcPr>
            <w:tcW w:w="942" w:type="pct"/>
          </w:tcPr>
          <w:p w:rsidR="00A84F28" w:rsidRDefault="00A84F28" w:rsidP="00167537">
            <w:pPr>
              <w:pStyle w:val="TableBodyText"/>
              <w:rPr>
                <w:i/>
              </w:rPr>
            </w:pPr>
            <w:r w:rsidRPr="006E0593">
              <w:t>(+)</w:t>
            </w:r>
          </w:p>
        </w:tc>
        <w:tc>
          <w:tcPr>
            <w:tcW w:w="941" w:type="pct"/>
          </w:tcPr>
          <w:p w:rsidR="00A84F28" w:rsidRDefault="00A84F28" w:rsidP="00167537">
            <w:pPr>
              <w:pStyle w:val="TableBodyText"/>
              <w:ind w:right="28"/>
              <w:rPr>
                <w:i/>
              </w:rPr>
            </w:pPr>
            <w:r w:rsidRPr="006E0593">
              <w:t>-0.3</w:t>
            </w:r>
          </w:p>
        </w:tc>
      </w:tr>
      <w:tr w:rsidR="00A84F28" w:rsidTr="00167537">
        <w:tc>
          <w:tcPr>
            <w:tcW w:w="2097" w:type="pct"/>
          </w:tcPr>
          <w:p w:rsidR="00A84F28" w:rsidRDefault="00A84F28" w:rsidP="00167537">
            <w:pPr>
              <w:pStyle w:val="TableBodyText"/>
              <w:jc w:val="left"/>
            </w:pPr>
            <w:r w:rsidRPr="006E0593">
              <w:t>Real unit labour cost</w:t>
            </w:r>
            <w:r w:rsidRPr="00ED31F2">
              <w:rPr>
                <w:rStyle w:val="NoteLabel"/>
              </w:rPr>
              <w:t>c</w:t>
            </w:r>
          </w:p>
        </w:tc>
        <w:tc>
          <w:tcPr>
            <w:tcW w:w="1020" w:type="pct"/>
          </w:tcPr>
          <w:p w:rsidR="00A84F28" w:rsidRDefault="00A84F28" w:rsidP="00167537">
            <w:pPr>
              <w:pStyle w:val="TableBodyText"/>
              <w:rPr>
                <w:i/>
              </w:rPr>
            </w:pPr>
            <w:r w:rsidRPr="006E0593">
              <w:t>-0.2</w:t>
            </w:r>
          </w:p>
        </w:tc>
        <w:tc>
          <w:tcPr>
            <w:tcW w:w="942" w:type="pct"/>
          </w:tcPr>
          <w:p w:rsidR="00A84F28" w:rsidRDefault="00A84F28" w:rsidP="00167537">
            <w:pPr>
              <w:pStyle w:val="TableBodyText"/>
              <w:rPr>
                <w:i/>
              </w:rPr>
            </w:pPr>
            <w:r w:rsidRPr="006E0593">
              <w:t>(+)</w:t>
            </w:r>
          </w:p>
        </w:tc>
        <w:tc>
          <w:tcPr>
            <w:tcW w:w="941" w:type="pct"/>
          </w:tcPr>
          <w:p w:rsidR="00A84F28" w:rsidRDefault="00A84F28" w:rsidP="00167537">
            <w:pPr>
              <w:pStyle w:val="TableBodyText"/>
              <w:ind w:right="28"/>
              <w:rPr>
                <w:i/>
              </w:rPr>
            </w:pPr>
            <w:r w:rsidRPr="006E0593">
              <w:t>-0.2</w:t>
            </w:r>
          </w:p>
        </w:tc>
      </w:tr>
      <w:tr w:rsidR="00A84F28" w:rsidTr="00167537">
        <w:tc>
          <w:tcPr>
            <w:tcW w:w="2097" w:type="pct"/>
            <w:tcBorders>
              <w:bottom w:val="single" w:sz="4" w:space="0" w:color="auto"/>
            </w:tcBorders>
          </w:tcPr>
          <w:p w:rsidR="00A84F28" w:rsidRDefault="00A84F28" w:rsidP="00167537">
            <w:pPr>
              <w:pStyle w:val="TableBodyText"/>
              <w:jc w:val="left"/>
            </w:pPr>
            <w:r w:rsidRPr="006E0593">
              <w:t>Consumer real wages</w:t>
            </w:r>
            <w:r w:rsidRPr="00ED31F2">
              <w:rPr>
                <w:rStyle w:val="NoteLabel"/>
              </w:rPr>
              <w:t>d</w:t>
            </w:r>
          </w:p>
        </w:tc>
        <w:tc>
          <w:tcPr>
            <w:tcW w:w="1020" w:type="pct"/>
            <w:tcBorders>
              <w:bottom w:val="single" w:sz="4" w:space="0" w:color="auto"/>
            </w:tcBorders>
          </w:tcPr>
          <w:p w:rsidR="00A84F28" w:rsidRDefault="00A84F28" w:rsidP="00167537">
            <w:pPr>
              <w:pStyle w:val="TableBodyText"/>
              <w:rPr>
                <w:i/>
              </w:rPr>
            </w:pPr>
            <w:r w:rsidRPr="006E0593">
              <w:t>-0.2</w:t>
            </w:r>
          </w:p>
        </w:tc>
        <w:tc>
          <w:tcPr>
            <w:tcW w:w="942" w:type="pct"/>
            <w:tcBorders>
              <w:bottom w:val="single" w:sz="4" w:space="0" w:color="auto"/>
            </w:tcBorders>
          </w:tcPr>
          <w:p w:rsidR="00A84F28" w:rsidRDefault="00A84F28" w:rsidP="00167537">
            <w:pPr>
              <w:pStyle w:val="TableBodyText"/>
              <w:rPr>
                <w:i/>
              </w:rPr>
            </w:pPr>
            <w:r w:rsidRPr="006E0593">
              <w:t>(+)</w:t>
            </w:r>
          </w:p>
        </w:tc>
        <w:tc>
          <w:tcPr>
            <w:tcW w:w="941" w:type="pct"/>
            <w:tcBorders>
              <w:bottom w:val="single" w:sz="4" w:space="0" w:color="auto"/>
            </w:tcBorders>
          </w:tcPr>
          <w:p w:rsidR="00A84F28" w:rsidRDefault="00A84F28" w:rsidP="00167537">
            <w:pPr>
              <w:pStyle w:val="TableBodyText"/>
              <w:ind w:right="28"/>
              <w:rPr>
                <w:i/>
              </w:rPr>
            </w:pPr>
            <w:r w:rsidRPr="006E0593">
              <w:t>-0.1</w:t>
            </w:r>
          </w:p>
        </w:tc>
      </w:tr>
    </w:tbl>
    <w:p w:rsidR="00A84F28" w:rsidRDefault="00A84F28" w:rsidP="00A84F28">
      <w:pPr>
        <w:pStyle w:val="Note"/>
      </w:pPr>
      <w:r w:rsidRPr="00CF3680">
        <w:rPr>
          <w:b/>
        </w:rPr>
        <w:t>(+)</w:t>
      </w:r>
      <w:r>
        <w:t xml:space="preserve"> Positive, between 0 and 0.05. </w:t>
      </w:r>
      <w:r w:rsidRPr="00CF3680">
        <w:rPr>
          <w:b/>
        </w:rPr>
        <w:t>(-)</w:t>
      </w:r>
      <w:r>
        <w:t xml:space="preserve"> Negative, between -0.05 and 0. </w:t>
      </w:r>
      <w:r w:rsidRPr="00123244">
        <w:rPr>
          <w:rStyle w:val="NoteLabel"/>
        </w:rPr>
        <w:t>a</w:t>
      </w:r>
      <w:r>
        <w:t xml:space="preserve"> Longer-run impact after full adjustment relative to current </w:t>
      </w:r>
      <w:r w:rsidRPr="009E4E8F">
        <w:t>passenger motor vehicle manufacturing</w:t>
      </w:r>
      <w:r>
        <w:t xml:space="preserve"> operations. </w:t>
      </w:r>
      <w:r>
        <w:rPr>
          <w:rStyle w:val="NoteLabel"/>
        </w:rPr>
        <w:t>b</w:t>
      </w:r>
      <w:r>
        <w:t xml:space="preserve"> Real depreciation of the Australian dollar (defined as the Australian dollar price of imports less the GDP(E) deflator). </w:t>
      </w:r>
      <w:r>
        <w:rPr>
          <w:rStyle w:val="NoteLabel"/>
        </w:rPr>
        <w:t>c</w:t>
      </w:r>
      <w:r>
        <w:t xml:space="preserve"> Real unit labour cost paid by producers inclusive of taxes on labour income used in production (such as payroll tax). </w:t>
      </w:r>
      <w:r>
        <w:rPr>
          <w:rStyle w:val="NoteLabel"/>
        </w:rPr>
        <w:t>d</w:t>
      </w:r>
      <w:r>
        <w:t> Real wage rate received by workers after the payment of any taxes on labour income used in production (such as payroll tax),</w:t>
      </w:r>
      <w:r w:rsidRPr="00930D8F">
        <w:t xml:space="preserve"> </w:t>
      </w:r>
      <w:r>
        <w:t>but before income tax.</w:t>
      </w:r>
    </w:p>
    <w:p w:rsidR="00A84F28" w:rsidRPr="00E0138B" w:rsidRDefault="00A84F28" w:rsidP="00A84F28">
      <w:pPr>
        <w:pStyle w:val="Source"/>
      </w:pPr>
      <w:r>
        <w:rPr>
          <w:i/>
        </w:rPr>
        <w:t>Source</w:t>
      </w:r>
      <w:r>
        <w:t xml:space="preserve">: Commission estimates based on the </w:t>
      </w:r>
      <w:proofErr w:type="spellStart"/>
      <w:r>
        <w:t>MMRF</w:t>
      </w:r>
      <w:r>
        <w:noBreakHyphen/>
        <w:t>Auto14</w:t>
      </w:r>
      <w:proofErr w:type="spellEnd"/>
      <w:r>
        <w:t xml:space="preserve"> model.</w:t>
      </w:r>
    </w:p>
    <w:p w:rsidR="00A84F28" w:rsidRDefault="00A84F28" w:rsidP="00A84F28">
      <w:pPr>
        <w:pStyle w:val="BodyText"/>
      </w:pPr>
      <w:r>
        <w:t xml:space="preserve">The estimated changes in trade flows are larger in magnitude than those for broader aggregates. This is because, as outlined in box 2.1, import volumes would increase to fill the gap in supply left by the reduction in the domestic production of cars, while the real depreciation of the Australian dollar promotes expansion of export industries. Imported </w:t>
      </w:r>
      <w:r w:rsidRPr="009E4E8F">
        <w:t>passenger motor vehicle</w:t>
      </w:r>
      <w:r>
        <w:t>s</w:t>
      </w:r>
      <w:r w:rsidRPr="009E4E8F">
        <w:t xml:space="preserve"> </w:t>
      </w:r>
      <w:r>
        <w:t>are projected to constitute the main part of the increase in imports.</w:t>
      </w:r>
    </w:p>
    <w:p w:rsidR="00A84F28" w:rsidRPr="00C60B10" w:rsidRDefault="00A84F28" w:rsidP="00A84F28">
      <w:pPr>
        <w:pStyle w:val="BodyText"/>
      </w:pPr>
      <w:r>
        <w:t>While downward pressure on real wages associated with the cessation of passenger motor vehicle assembly would lower household incomes (table 2.2, column 1), lower subsidy payments to passenger motor vehicle and component manufacturers would enable those funds to be redistributed — modelled as increasing household disposable incomes. This assumed reallocation increases household real consumption spending to levels above those that would otherwise have prevailed and would raise gross national expenditure (table 2.2, column 2).</w:t>
      </w:r>
    </w:p>
    <w:p w:rsidR="00A84F28" w:rsidRDefault="00CF27B1" w:rsidP="00A84F28">
      <w:pPr>
        <w:pStyle w:val="Heading2"/>
      </w:pPr>
      <w:r>
        <w:lastRenderedPageBreak/>
        <w:fldChar w:fldCharType="begin"/>
      </w:r>
      <w:r>
        <w:instrText xml:space="preserve"> COMMENTS  \* MERGEFORMAT </w:instrText>
      </w:r>
      <w:r>
        <w:fldChar w:fldCharType="separate"/>
      </w:r>
      <w:r w:rsidR="00A84F28">
        <w:t>2.</w:t>
      </w:r>
      <w:r>
        <w:fldChar w:fldCharType="end"/>
      </w:r>
      <w:r>
        <w:fldChar w:fldCharType="begin"/>
      </w:r>
      <w:r>
        <w:instrText xml:space="preserve"> SEQ Headin</w:instrText>
      </w:r>
      <w:r>
        <w:instrText xml:space="preserve">g2 </w:instrText>
      </w:r>
      <w:r>
        <w:fldChar w:fldCharType="separate"/>
      </w:r>
      <w:r w:rsidR="00A84F28">
        <w:rPr>
          <w:noProof/>
        </w:rPr>
        <w:t>3</w:t>
      </w:r>
      <w:r>
        <w:rPr>
          <w:noProof/>
        </w:rPr>
        <w:fldChar w:fldCharType="end"/>
      </w:r>
      <w:r w:rsidR="00A84F28">
        <w:tab/>
        <w:t>State and territory effects</w:t>
      </w:r>
    </w:p>
    <w:p w:rsidR="00A84F28" w:rsidRDefault="00A84F28" w:rsidP="00A84F28">
      <w:pPr>
        <w:pStyle w:val="BodyText"/>
      </w:pPr>
      <w:r>
        <w:t xml:space="preserve">The state and territory results reflect the location of the passenger motor vehicle manufacturing plants that are scheduled to close and their input suppliers — mainly in Victoria and South Australia — versus the location of activities that are projected to expand — which are generally located in other jurisdictions. While there would be some flow-on expansion in non-automotive industries in Victoria and South Australia, the outcomes for these jurisdictions are estimated to be dominated by the changes in the </w:t>
      </w:r>
      <w:r w:rsidRPr="009E4E8F">
        <w:t>passenger motor vehicle manufacturing</w:t>
      </w:r>
      <w:r>
        <w:t xml:space="preserve"> activities and their supply chains, all other things remaining equal.</w:t>
      </w:r>
    </w:p>
    <w:p w:rsidR="00A84F28" w:rsidRDefault="00A84F28" w:rsidP="00A84F28">
      <w:pPr>
        <w:pStyle w:val="BodyText"/>
      </w:pPr>
      <w:r>
        <w:t>With national employment assumed fixed in the longer run, activity and employment are projected to be lower than otherwise in Victoria and South Australia, and higher in all other jurisdictions, most notably in export-orientated industries in Western Australia, Queensland as well as New South Wales and other jurisdictions (table 2.3).</w:t>
      </w:r>
    </w:p>
    <w:p w:rsidR="00A84F28" w:rsidRDefault="00A84F28" w:rsidP="00A84F28">
      <w:pPr>
        <w:pStyle w:val="BodyText"/>
      </w:pPr>
      <w:r>
        <w:t xml:space="preserve">Other reductions in output and shifts in employment are also projected in Victoria and South Australia, as the effects of the closure of </w:t>
      </w:r>
      <w:r w:rsidRPr="009E4E8F">
        <w:t>passenger motor vehicle manufacturing</w:t>
      </w:r>
      <w:r>
        <w:t xml:space="preserve"> operations ripple through state economies. Affected activities include those that supply inputs indirectly to passenger motor vehicle producers and their suppliers, as well as those that supply consumer goods, such as trade and transport services. These flow-on effects are estimated to account for about one half of the total projected impacts for Victoria and South Australia.</w:t>
      </w:r>
    </w:p>
    <w:p w:rsidR="00A84F28" w:rsidRDefault="00A84F28" w:rsidP="00A84F28">
      <w:pPr>
        <w:pStyle w:val="TableTitle"/>
      </w:pPr>
      <w:r>
        <w:rPr>
          <w:b w:val="0"/>
        </w:rPr>
        <w:lastRenderedPageBreak/>
        <w:t xml:space="preserve">Table </w:t>
      </w:r>
      <w:bookmarkStart w:id="4" w:name="OLE_LINK11"/>
      <w:r>
        <w:rPr>
          <w:b w:val="0"/>
        </w:rPr>
        <w:fldChar w:fldCharType="begin"/>
      </w:r>
      <w:r>
        <w:rPr>
          <w:b w:val="0"/>
        </w:rPr>
        <w:instrText xml:space="preserve"> COMMENTS  \* MERGEFORMAT </w:instrText>
      </w:r>
      <w:r>
        <w:rPr>
          <w:b w:val="0"/>
        </w:rPr>
        <w:fldChar w:fldCharType="separate"/>
      </w:r>
      <w:r>
        <w:rPr>
          <w:b w:val="0"/>
        </w:rPr>
        <w:t>2.</w:t>
      </w:r>
      <w:r>
        <w:rPr>
          <w:b w:val="0"/>
        </w:rPr>
        <w:fldChar w:fldCharType="end"/>
      </w:r>
      <w:r>
        <w:rPr>
          <w:b w:val="0"/>
        </w:rPr>
        <w:fldChar w:fldCharType="begin"/>
      </w:r>
      <w:r>
        <w:rPr>
          <w:b w:val="0"/>
        </w:rPr>
        <w:instrText xml:space="preserve"> SEQ Table \* ARABIC </w:instrText>
      </w:r>
      <w:r>
        <w:rPr>
          <w:b w:val="0"/>
        </w:rPr>
        <w:fldChar w:fldCharType="separate"/>
      </w:r>
      <w:r>
        <w:rPr>
          <w:b w:val="0"/>
          <w:noProof/>
        </w:rPr>
        <w:t>3</w:t>
      </w:r>
      <w:r>
        <w:rPr>
          <w:b w:val="0"/>
        </w:rPr>
        <w:fldChar w:fldCharType="end"/>
      </w:r>
      <w:bookmarkEnd w:id="4"/>
      <w:r>
        <w:tab/>
        <w:t>E</w:t>
      </w:r>
      <w:r w:rsidRPr="00F75CC8">
        <w:t>stimate</w:t>
      </w:r>
      <w:r>
        <w:t xml:space="preserve">d </w:t>
      </w:r>
      <w:r w:rsidRPr="00F75CC8">
        <w:t xml:space="preserve">longer-run </w:t>
      </w:r>
      <w:r>
        <w:t>s</w:t>
      </w:r>
      <w:r w:rsidRPr="00DB152E">
        <w:t xml:space="preserve">tate and </w:t>
      </w:r>
      <w:r>
        <w:t>territory</w:t>
      </w:r>
      <w:r w:rsidRPr="00F75CC8">
        <w:t xml:space="preserve"> effects of </w:t>
      </w:r>
      <w:r>
        <w:t>the closure of passenger motor vehicle manufacturing plants in Australia</w:t>
      </w:r>
      <w:r w:rsidRPr="0074182C">
        <w:rPr>
          <w:rStyle w:val="NoteLabel"/>
        </w:rPr>
        <w:t>a</w:t>
      </w:r>
    </w:p>
    <w:p w:rsidR="00A84F28" w:rsidRDefault="00A84F28" w:rsidP="00A84F28">
      <w:pPr>
        <w:pStyle w:val="Subtitle"/>
      </w:pPr>
      <w:r>
        <w:t>Percentage change</w:t>
      </w:r>
    </w:p>
    <w:tbl>
      <w:tblPr>
        <w:tblW w:w="5000" w:type="pct"/>
        <w:tblLayout w:type="fixed"/>
        <w:tblCellMar>
          <w:left w:w="0" w:type="dxa"/>
          <w:right w:w="0" w:type="dxa"/>
        </w:tblCellMar>
        <w:tblLook w:val="0000" w:firstRow="0" w:lastRow="0" w:firstColumn="0" w:lastColumn="0" w:noHBand="0" w:noVBand="0"/>
      </w:tblPr>
      <w:tblGrid>
        <w:gridCol w:w="2871"/>
        <w:gridCol w:w="658"/>
        <w:gridCol w:w="658"/>
        <w:gridCol w:w="658"/>
        <w:gridCol w:w="657"/>
        <w:gridCol w:w="657"/>
        <w:gridCol w:w="657"/>
        <w:gridCol w:w="657"/>
        <w:gridCol w:w="657"/>
        <w:gridCol w:w="659"/>
      </w:tblGrid>
      <w:tr w:rsidR="00A84F28" w:rsidTr="00167537">
        <w:tc>
          <w:tcPr>
            <w:tcW w:w="1633" w:type="pct"/>
            <w:tcBorders>
              <w:top w:val="single" w:sz="6" w:space="0" w:color="auto"/>
              <w:bottom w:val="single" w:sz="6" w:space="0" w:color="auto"/>
            </w:tcBorders>
            <w:shd w:val="clear" w:color="auto" w:fill="auto"/>
          </w:tcPr>
          <w:p w:rsidR="00A84F28" w:rsidRDefault="00A84F28" w:rsidP="00167537">
            <w:pPr>
              <w:pStyle w:val="TableColumnHeading"/>
              <w:jc w:val="left"/>
            </w:pPr>
          </w:p>
        </w:tc>
        <w:tc>
          <w:tcPr>
            <w:tcW w:w="374" w:type="pct"/>
            <w:tcBorders>
              <w:top w:val="single" w:sz="6" w:space="0" w:color="auto"/>
              <w:bottom w:val="single" w:sz="6" w:space="0" w:color="auto"/>
            </w:tcBorders>
            <w:shd w:val="clear" w:color="auto" w:fill="auto"/>
          </w:tcPr>
          <w:p w:rsidR="00A84F28" w:rsidRDefault="00A84F28" w:rsidP="00167537">
            <w:pPr>
              <w:pStyle w:val="TableColumnHeading"/>
            </w:pPr>
            <w:r>
              <w:t>NSW</w:t>
            </w:r>
          </w:p>
        </w:tc>
        <w:tc>
          <w:tcPr>
            <w:tcW w:w="374" w:type="pct"/>
            <w:tcBorders>
              <w:top w:val="single" w:sz="6" w:space="0" w:color="auto"/>
              <w:bottom w:val="single" w:sz="6" w:space="0" w:color="auto"/>
            </w:tcBorders>
            <w:shd w:val="clear" w:color="auto" w:fill="auto"/>
          </w:tcPr>
          <w:p w:rsidR="00A84F28" w:rsidRDefault="00A84F28" w:rsidP="00167537">
            <w:pPr>
              <w:pStyle w:val="TableColumnHeading"/>
            </w:pPr>
            <w:r>
              <w:t>Vic</w:t>
            </w:r>
          </w:p>
        </w:tc>
        <w:tc>
          <w:tcPr>
            <w:tcW w:w="374" w:type="pct"/>
            <w:tcBorders>
              <w:top w:val="single" w:sz="6" w:space="0" w:color="auto"/>
              <w:bottom w:val="single" w:sz="6" w:space="0" w:color="auto"/>
            </w:tcBorders>
            <w:shd w:val="clear" w:color="auto" w:fill="auto"/>
          </w:tcPr>
          <w:p w:rsidR="00A84F28" w:rsidRDefault="00A84F28" w:rsidP="00167537">
            <w:pPr>
              <w:pStyle w:val="TableColumnHeading"/>
            </w:pPr>
            <w:r>
              <w:t>QLD</w:t>
            </w:r>
          </w:p>
        </w:tc>
        <w:tc>
          <w:tcPr>
            <w:tcW w:w="374" w:type="pct"/>
            <w:tcBorders>
              <w:top w:val="single" w:sz="6" w:space="0" w:color="auto"/>
              <w:bottom w:val="single" w:sz="6" w:space="0" w:color="auto"/>
            </w:tcBorders>
            <w:shd w:val="clear" w:color="auto" w:fill="auto"/>
          </w:tcPr>
          <w:p w:rsidR="00A84F28" w:rsidRDefault="00A84F28" w:rsidP="00167537">
            <w:pPr>
              <w:pStyle w:val="TableColumnHeading"/>
            </w:pPr>
            <w:r>
              <w:t>SA</w:t>
            </w:r>
          </w:p>
        </w:tc>
        <w:tc>
          <w:tcPr>
            <w:tcW w:w="374" w:type="pct"/>
            <w:tcBorders>
              <w:top w:val="single" w:sz="6" w:space="0" w:color="auto"/>
              <w:bottom w:val="single" w:sz="6" w:space="0" w:color="auto"/>
            </w:tcBorders>
            <w:shd w:val="clear" w:color="auto" w:fill="auto"/>
          </w:tcPr>
          <w:p w:rsidR="00A84F28" w:rsidRDefault="00A84F28" w:rsidP="00167537">
            <w:pPr>
              <w:pStyle w:val="TableColumnHeading"/>
            </w:pPr>
            <w:r>
              <w:t>WA</w:t>
            </w:r>
          </w:p>
        </w:tc>
        <w:tc>
          <w:tcPr>
            <w:tcW w:w="374" w:type="pct"/>
            <w:tcBorders>
              <w:top w:val="single" w:sz="6" w:space="0" w:color="auto"/>
              <w:bottom w:val="single" w:sz="6" w:space="0" w:color="auto"/>
            </w:tcBorders>
            <w:shd w:val="clear" w:color="auto" w:fill="auto"/>
          </w:tcPr>
          <w:p w:rsidR="00A84F28" w:rsidRDefault="00A84F28" w:rsidP="00167537">
            <w:pPr>
              <w:pStyle w:val="TableColumnHeading"/>
            </w:pPr>
            <w:r>
              <w:t>Tas</w:t>
            </w:r>
          </w:p>
        </w:tc>
        <w:tc>
          <w:tcPr>
            <w:tcW w:w="374" w:type="pct"/>
            <w:tcBorders>
              <w:top w:val="single" w:sz="6" w:space="0" w:color="auto"/>
              <w:bottom w:val="single" w:sz="6" w:space="0" w:color="auto"/>
            </w:tcBorders>
            <w:shd w:val="clear" w:color="auto" w:fill="auto"/>
          </w:tcPr>
          <w:p w:rsidR="00A84F28" w:rsidRDefault="00A84F28" w:rsidP="00167537">
            <w:pPr>
              <w:pStyle w:val="TableColumnHeading"/>
            </w:pPr>
            <w:r>
              <w:t>NT</w:t>
            </w:r>
          </w:p>
        </w:tc>
        <w:tc>
          <w:tcPr>
            <w:tcW w:w="374" w:type="pct"/>
            <w:tcBorders>
              <w:top w:val="single" w:sz="6" w:space="0" w:color="auto"/>
              <w:bottom w:val="single" w:sz="6" w:space="0" w:color="auto"/>
            </w:tcBorders>
            <w:shd w:val="clear" w:color="auto" w:fill="auto"/>
          </w:tcPr>
          <w:p w:rsidR="00A84F28" w:rsidRDefault="00A84F28" w:rsidP="00167537">
            <w:pPr>
              <w:pStyle w:val="TableColumnHeading"/>
            </w:pPr>
            <w:r>
              <w:t>ACT</w:t>
            </w:r>
          </w:p>
        </w:tc>
        <w:tc>
          <w:tcPr>
            <w:tcW w:w="375" w:type="pct"/>
            <w:tcBorders>
              <w:top w:val="single" w:sz="6" w:space="0" w:color="auto"/>
              <w:bottom w:val="single" w:sz="6" w:space="0" w:color="auto"/>
            </w:tcBorders>
            <w:shd w:val="clear" w:color="auto" w:fill="auto"/>
          </w:tcPr>
          <w:p w:rsidR="00A84F28" w:rsidRDefault="00A84F28" w:rsidP="00167537">
            <w:pPr>
              <w:pStyle w:val="TableColumnHeading"/>
            </w:pPr>
            <w:proofErr w:type="spellStart"/>
            <w:r>
              <w:t>Aust</w:t>
            </w:r>
            <w:proofErr w:type="spellEnd"/>
          </w:p>
        </w:tc>
      </w:tr>
      <w:tr w:rsidR="00A84F28" w:rsidRPr="00033A38" w:rsidTr="00167537">
        <w:tc>
          <w:tcPr>
            <w:tcW w:w="1633" w:type="pct"/>
          </w:tcPr>
          <w:p w:rsidR="00A84F28" w:rsidRPr="00033A38" w:rsidRDefault="00A84F28" w:rsidP="00167537">
            <w:pPr>
              <w:pStyle w:val="TableBodyText"/>
              <w:spacing w:before="120"/>
              <w:jc w:val="left"/>
            </w:pPr>
            <w:r w:rsidRPr="00033A38">
              <w:t>Real gross product</w:t>
            </w:r>
          </w:p>
        </w:tc>
        <w:tc>
          <w:tcPr>
            <w:tcW w:w="374" w:type="pct"/>
          </w:tcPr>
          <w:p w:rsidR="00A84F28" w:rsidRPr="00033A38" w:rsidRDefault="00A84F28" w:rsidP="00167537">
            <w:pPr>
              <w:pStyle w:val="TableBodyText"/>
              <w:spacing w:before="120"/>
              <w:rPr>
                <w:i/>
              </w:rPr>
            </w:pPr>
            <w:r w:rsidRPr="00033A38">
              <w:t>0.5</w:t>
            </w:r>
          </w:p>
        </w:tc>
        <w:tc>
          <w:tcPr>
            <w:tcW w:w="374" w:type="pct"/>
          </w:tcPr>
          <w:p w:rsidR="00A84F28" w:rsidRPr="00033A38" w:rsidRDefault="00A84F28" w:rsidP="00167537">
            <w:pPr>
              <w:pStyle w:val="TableBodyText"/>
              <w:spacing w:before="120"/>
              <w:rPr>
                <w:i/>
              </w:rPr>
            </w:pPr>
            <w:r w:rsidRPr="00033A38">
              <w:t>-</w:t>
            </w:r>
            <w:r>
              <w:t>1.9</w:t>
            </w:r>
          </w:p>
        </w:tc>
        <w:tc>
          <w:tcPr>
            <w:tcW w:w="374" w:type="pct"/>
          </w:tcPr>
          <w:p w:rsidR="00A84F28" w:rsidRPr="00033A38" w:rsidRDefault="00A84F28" w:rsidP="00167537">
            <w:pPr>
              <w:pStyle w:val="TableBodyText"/>
              <w:spacing w:before="120"/>
              <w:rPr>
                <w:i/>
              </w:rPr>
            </w:pPr>
            <w:r w:rsidRPr="00033A38">
              <w:t>1.1</w:t>
            </w:r>
          </w:p>
        </w:tc>
        <w:tc>
          <w:tcPr>
            <w:tcW w:w="374" w:type="pct"/>
          </w:tcPr>
          <w:p w:rsidR="00A84F28" w:rsidRPr="00033A38" w:rsidRDefault="00A84F28" w:rsidP="00167537">
            <w:pPr>
              <w:pStyle w:val="TableBodyText"/>
              <w:spacing w:before="120"/>
              <w:rPr>
                <w:i/>
              </w:rPr>
            </w:pPr>
            <w:r w:rsidRPr="00033A38">
              <w:t>-2.</w:t>
            </w:r>
            <w:r>
              <w:t>3</w:t>
            </w:r>
          </w:p>
        </w:tc>
        <w:tc>
          <w:tcPr>
            <w:tcW w:w="374" w:type="pct"/>
          </w:tcPr>
          <w:p w:rsidR="00A84F28" w:rsidRPr="00033A38" w:rsidRDefault="00A84F28" w:rsidP="00167537">
            <w:pPr>
              <w:pStyle w:val="TableBodyText"/>
              <w:spacing w:before="120"/>
              <w:rPr>
                <w:i/>
              </w:rPr>
            </w:pPr>
            <w:r w:rsidRPr="00033A38">
              <w:t>1.</w:t>
            </w:r>
            <w:r>
              <w:t>9</w:t>
            </w:r>
          </w:p>
        </w:tc>
        <w:tc>
          <w:tcPr>
            <w:tcW w:w="374" w:type="pct"/>
          </w:tcPr>
          <w:p w:rsidR="00A84F28" w:rsidRPr="00033A38" w:rsidRDefault="00A84F28" w:rsidP="00167537">
            <w:pPr>
              <w:pStyle w:val="TableBodyText"/>
              <w:spacing w:before="120"/>
              <w:rPr>
                <w:i/>
              </w:rPr>
            </w:pPr>
            <w:r w:rsidRPr="00033A38">
              <w:t>1.0</w:t>
            </w:r>
          </w:p>
        </w:tc>
        <w:tc>
          <w:tcPr>
            <w:tcW w:w="374" w:type="pct"/>
          </w:tcPr>
          <w:p w:rsidR="00A84F28" w:rsidRPr="00033A38" w:rsidRDefault="00A84F28" w:rsidP="00167537">
            <w:pPr>
              <w:pStyle w:val="TableBodyText"/>
              <w:spacing w:before="120"/>
              <w:rPr>
                <w:i/>
              </w:rPr>
            </w:pPr>
            <w:r w:rsidRPr="00033A38">
              <w:t>1.0</w:t>
            </w:r>
          </w:p>
        </w:tc>
        <w:tc>
          <w:tcPr>
            <w:tcW w:w="374" w:type="pct"/>
          </w:tcPr>
          <w:p w:rsidR="00A84F28" w:rsidRPr="00033A38" w:rsidRDefault="00A84F28" w:rsidP="00167537">
            <w:pPr>
              <w:pStyle w:val="TableBodyText"/>
              <w:spacing w:before="120"/>
              <w:rPr>
                <w:i/>
              </w:rPr>
            </w:pPr>
            <w:r w:rsidRPr="00033A38">
              <w:t>0.2</w:t>
            </w:r>
          </w:p>
        </w:tc>
        <w:tc>
          <w:tcPr>
            <w:tcW w:w="375" w:type="pct"/>
          </w:tcPr>
          <w:p w:rsidR="00A84F28" w:rsidRPr="00033A38" w:rsidRDefault="00A84F28" w:rsidP="00167537">
            <w:pPr>
              <w:pStyle w:val="TableBodyText"/>
              <w:spacing w:before="120"/>
              <w:rPr>
                <w:i/>
              </w:rPr>
            </w:pPr>
            <w:r w:rsidRPr="00033A38">
              <w:t>0.1</w:t>
            </w:r>
          </w:p>
        </w:tc>
      </w:tr>
      <w:tr w:rsidR="00A84F28" w:rsidRPr="00033A38" w:rsidTr="00167537">
        <w:tc>
          <w:tcPr>
            <w:tcW w:w="1633" w:type="pct"/>
          </w:tcPr>
          <w:p w:rsidR="00A84F28" w:rsidRPr="00033A38" w:rsidRDefault="00A84F28" w:rsidP="00167537">
            <w:pPr>
              <w:pStyle w:val="TableBodyText"/>
              <w:jc w:val="left"/>
            </w:pPr>
            <w:r w:rsidRPr="00033A38">
              <w:t>Employment</w:t>
            </w:r>
          </w:p>
        </w:tc>
        <w:tc>
          <w:tcPr>
            <w:tcW w:w="374" w:type="pct"/>
          </w:tcPr>
          <w:p w:rsidR="00A84F28" w:rsidRPr="00033A38" w:rsidRDefault="00A84F28" w:rsidP="00167537">
            <w:pPr>
              <w:pStyle w:val="TableBodyText"/>
              <w:rPr>
                <w:i/>
              </w:rPr>
            </w:pPr>
            <w:r w:rsidRPr="00033A38">
              <w:t>0.6</w:t>
            </w:r>
          </w:p>
        </w:tc>
        <w:tc>
          <w:tcPr>
            <w:tcW w:w="374" w:type="pct"/>
          </w:tcPr>
          <w:p w:rsidR="00A84F28" w:rsidRPr="00033A38" w:rsidRDefault="00A84F28" w:rsidP="00167537">
            <w:pPr>
              <w:pStyle w:val="TableBodyText"/>
              <w:rPr>
                <w:i/>
              </w:rPr>
            </w:pPr>
            <w:r w:rsidRPr="00033A38">
              <w:t>-1.</w:t>
            </w:r>
            <w:r>
              <w:t>8</w:t>
            </w:r>
          </w:p>
        </w:tc>
        <w:tc>
          <w:tcPr>
            <w:tcW w:w="374" w:type="pct"/>
          </w:tcPr>
          <w:p w:rsidR="00A84F28" w:rsidRPr="00033A38" w:rsidRDefault="00A84F28" w:rsidP="00167537">
            <w:pPr>
              <w:pStyle w:val="TableBodyText"/>
              <w:rPr>
                <w:i/>
              </w:rPr>
            </w:pPr>
            <w:r w:rsidRPr="00033A38">
              <w:t>1.1</w:t>
            </w:r>
          </w:p>
        </w:tc>
        <w:tc>
          <w:tcPr>
            <w:tcW w:w="374" w:type="pct"/>
          </w:tcPr>
          <w:p w:rsidR="00A84F28" w:rsidRPr="00033A38" w:rsidRDefault="00A84F28" w:rsidP="00167537">
            <w:pPr>
              <w:pStyle w:val="TableBodyText"/>
              <w:rPr>
                <w:i/>
              </w:rPr>
            </w:pPr>
            <w:r w:rsidRPr="00033A38">
              <w:t>-2.2</w:t>
            </w:r>
          </w:p>
        </w:tc>
        <w:tc>
          <w:tcPr>
            <w:tcW w:w="374" w:type="pct"/>
          </w:tcPr>
          <w:p w:rsidR="00A84F28" w:rsidRPr="00033A38" w:rsidRDefault="00A84F28" w:rsidP="00167537">
            <w:pPr>
              <w:pStyle w:val="TableBodyText"/>
              <w:rPr>
                <w:i/>
              </w:rPr>
            </w:pPr>
            <w:r w:rsidRPr="00033A38">
              <w:t>1.6</w:t>
            </w:r>
          </w:p>
        </w:tc>
        <w:tc>
          <w:tcPr>
            <w:tcW w:w="374" w:type="pct"/>
          </w:tcPr>
          <w:p w:rsidR="00A84F28" w:rsidRPr="00033A38" w:rsidRDefault="00A84F28" w:rsidP="00167537">
            <w:pPr>
              <w:pStyle w:val="TableBodyText"/>
              <w:rPr>
                <w:i/>
              </w:rPr>
            </w:pPr>
            <w:r w:rsidRPr="00033A38">
              <w:t>0.8</w:t>
            </w:r>
          </w:p>
        </w:tc>
        <w:tc>
          <w:tcPr>
            <w:tcW w:w="374" w:type="pct"/>
          </w:tcPr>
          <w:p w:rsidR="00A84F28" w:rsidRPr="00033A38" w:rsidRDefault="00A84F28" w:rsidP="00167537">
            <w:pPr>
              <w:pStyle w:val="TableBodyText"/>
              <w:rPr>
                <w:i/>
              </w:rPr>
            </w:pPr>
            <w:r w:rsidRPr="00033A38">
              <w:t>0.9</w:t>
            </w:r>
          </w:p>
        </w:tc>
        <w:tc>
          <w:tcPr>
            <w:tcW w:w="374" w:type="pct"/>
          </w:tcPr>
          <w:p w:rsidR="00A84F28" w:rsidRPr="00033A38" w:rsidRDefault="00A84F28" w:rsidP="00167537">
            <w:pPr>
              <w:pStyle w:val="TableBodyText"/>
              <w:rPr>
                <w:i/>
              </w:rPr>
            </w:pPr>
            <w:r w:rsidRPr="00033A38">
              <w:t>0.2</w:t>
            </w:r>
          </w:p>
        </w:tc>
        <w:tc>
          <w:tcPr>
            <w:tcW w:w="375" w:type="pct"/>
          </w:tcPr>
          <w:p w:rsidR="00A84F28" w:rsidRPr="00033A38" w:rsidRDefault="00A84F28" w:rsidP="00167537">
            <w:pPr>
              <w:pStyle w:val="TableBodyText"/>
              <w:ind w:right="11"/>
              <w:rPr>
                <w:i/>
              </w:rPr>
            </w:pPr>
            <w:r>
              <w:t>..</w:t>
            </w:r>
            <w:r w:rsidRPr="00033A38">
              <w:rPr>
                <w:rStyle w:val="NoteLabel"/>
              </w:rPr>
              <w:t>b</w:t>
            </w:r>
          </w:p>
        </w:tc>
      </w:tr>
      <w:tr w:rsidR="00A84F28" w:rsidRPr="00033A38" w:rsidTr="00167537">
        <w:tc>
          <w:tcPr>
            <w:tcW w:w="1633" w:type="pct"/>
          </w:tcPr>
          <w:p w:rsidR="00A84F28" w:rsidRPr="00033A38" w:rsidRDefault="00A84F28" w:rsidP="00167537">
            <w:pPr>
              <w:pStyle w:val="TableBodyText"/>
              <w:jc w:val="left"/>
            </w:pPr>
            <w:r w:rsidRPr="00033A38">
              <w:t>Real gross expenditure</w:t>
            </w:r>
            <w:r>
              <w:t xml:space="preserve"> per person</w:t>
            </w:r>
          </w:p>
        </w:tc>
        <w:tc>
          <w:tcPr>
            <w:tcW w:w="374" w:type="pct"/>
          </w:tcPr>
          <w:p w:rsidR="00A84F28" w:rsidRPr="00E0138B" w:rsidRDefault="00A84F28" w:rsidP="00167537">
            <w:pPr>
              <w:pStyle w:val="TableBodyText"/>
              <w:rPr>
                <w:rFonts w:cs="Arial"/>
                <w:i/>
              </w:rPr>
            </w:pPr>
            <w:r w:rsidRPr="00E0138B">
              <w:rPr>
                <w:rFonts w:cs="Arial"/>
              </w:rPr>
              <w:t>-0.2</w:t>
            </w:r>
          </w:p>
        </w:tc>
        <w:tc>
          <w:tcPr>
            <w:tcW w:w="374" w:type="pct"/>
          </w:tcPr>
          <w:p w:rsidR="00A84F28" w:rsidRPr="00E0138B" w:rsidRDefault="00A84F28" w:rsidP="00167537">
            <w:pPr>
              <w:pStyle w:val="TableBodyText"/>
              <w:rPr>
                <w:rFonts w:cs="Arial"/>
                <w:i/>
              </w:rPr>
            </w:pPr>
            <w:r w:rsidRPr="00E0138B">
              <w:rPr>
                <w:rFonts w:cs="Arial"/>
              </w:rPr>
              <w:t>0.</w:t>
            </w:r>
            <w:r>
              <w:rPr>
                <w:rFonts w:cs="Arial"/>
              </w:rPr>
              <w:t>4</w:t>
            </w:r>
          </w:p>
        </w:tc>
        <w:tc>
          <w:tcPr>
            <w:tcW w:w="374" w:type="pct"/>
          </w:tcPr>
          <w:p w:rsidR="00A84F28" w:rsidRPr="00E0138B" w:rsidRDefault="00A84F28" w:rsidP="00167537">
            <w:pPr>
              <w:pStyle w:val="TableBodyText"/>
              <w:rPr>
                <w:rFonts w:cs="Arial"/>
                <w:i/>
              </w:rPr>
            </w:pPr>
            <w:r w:rsidRPr="00E0138B">
              <w:rPr>
                <w:rFonts w:cs="Arial"/>
              </w:rPr>
              <w:t>-0.</w:t>
            </w:r>
            <w:r>
              <w:rPr>
                <w:rFonts w:cs="Arial"/>
              </w:rPr>
              <w:t>3</w:t>
            </w:r>
          </w:p>
        </w:tc>
        <w:tc>
          <w:tcPr>
            <w:tcW w:w="374" w:type="pct"/>
          </w:tcPr>
          <w:p w:rsidR="00A84F28" w:rsidRPr="00E0138B" w:rsidRDefault="00A84F28" w:rsidP="00167537">
            <w:pPr>
              <w:pStyle w:val="TableBodyText"/>
              <w:rPr>
                <w:rFonts w:cs="Arial"/>
                <w:i/>
              </w:rPr>
            </w:pPr>
            <w:r w:rsidRPr="00E0138B">
              <w:rPr>
                <w:rFonts w:cs="Arial"/>
              </w:rPr>
              <w:t>0.5</w:t>
            </w:r>
          </w:p>
        </w:tc>
        <w:tc>
          <w:tcPr>
            <w:tcW w:w="374" w:type="pct"/>
          </w:tcPr>
          <w:p w:rsidR="00A84F28" w:rsidRPr="00E0138B" w:rsidRDefault="00A84F28" w:rsidP="00167537">
            <w:pPr>
              <w:pStyle w:val="TableBodyText"/>
              <w:rPr>
                <w:rFonts w:cs="Arial"/>
                <w:i/>
              </w:rPr>
            </w:pPr>
            <w:r w:rsidRPr="00E0138B">
              <w:rPr>
                <w:rFonts w:cs="Arial"/>
              </w:rPr>
              <w:t>-0.2</w:t>
            </w:r>
          </w:p>
        </w:tc>
        <w:tc>
          <w:tcPr>
            <w:tcW w:w="374" w:type="pct"/>
          </w:tcPr>
          <w:p w:rsidR="00A84F28" w:rsidRPr="00E0138B" w:rsidRDefault="00A84F28" w:rsidP="00167537">
            <w:pPr>
              <w:pStyle w:val="TableBodyText"/>
              <w:rPr>
                <w:rFonts w:cs="Arial"/>
                <w:i/>
              </w:rPr>
            </w:pPr>
            <w:r w:rsidRPr="00E0138B">
              <w:rPr>
                <w:rFonts w:cs="Arial"/>
              </w:rPr>
              <w:t>-0.3</w:t>
            </w:r>
          </w:p>
        </w:tc>
        <w:tc>
          <w:tcPr>
            <w:tcW w:w="374" w:type="pct"/>
          </w:tcPr>
          <w:p w:rsidR="00A84F28" w:rsidRPr="00E0138B" w:rsidRDefault="00A84F28" w:rsidP="00167537">
            <w:pPr>
              <w:pStyle w:val="TableBodyText"/>
              <w:rPr>
                <w:rFonts w:cs="Arial"/>
                <w:i/>
              </w:rPr>
            </w:pPr>
            <w:r w:rsidRPr="00E0138B">
              <w:rPr>
                <w:rFonts w:cs="Arial"/>
              </w:rPr>
              <w:t>-0.3</w:t>
            </w:r>
          </w:p>
        </w:tc>
        <w:tc>
          <w:tcPr>
            <w:tcW w:w="374" w:type="pct"/>
          </w:tcPr>
          <w:p w:rsidR="00A84F28" w:rsidRPr="00E0138B" w:rsidRDefault="00A84F28" w:rsidP="00167537">
            <w:pPr>
              <w:pStyle w:val="TableBodyText"/>
              <w:rPr>
                <w:rFonts w:cs="Arial"/>
                <w:i/>
              </w:rPr>
            </w:pPr>
            <w:r w:rsidRPr="00E0138B">
              <w:rPr>
                <w:rFonts w:cs="Arial"/>
              </w:rPr>
              <w:t>-0.1</w:t>
            </w:r>
          </w:p>
        </w:tc>
        <w:tc>
          <w:tcPr>
            <w:tcW w:w="375" w:type="pct"/>
          </w:tcPr>
          <w:p w:rsidR="00A84F28" w:rsidRPr="00033A38" w:rsidRDefault="00A84F28" w:rsidP="00167537">
            <w:pPr>
              <w:pStyle w:val="TableBodyText"/>
            </w:pPr>
            <w:r w:rsidRPr="00033A38">
              <w:t>(+)</w:t>
            </w:r>
          </w:p>
        </w:tc>
      </w:tr>
      <w:tr w:rsidR="00A84F28" w:rsidTr="00167537">
        <w:tc>
          <w:tcPr>
            <w:tcW w:w="1633" w:type="pct"/>
            <w:vAlign w:val="bottom"/>
          </w:tcPr>
          <w:p w:rsidR="00A84F28" w:rsidRPr="008550C7" w:rsidRDefault="00A84F28" w:rsidP="00167537">
            <w:pPr>
              <w:pStyle w:val="TableBodyText"/>
              <w:spacing w:before="120"/>
              <w:jc w:val="left"/>
              <w:rPr>
                <w:b/>
                <w:szCs w:val="24"/>
              </w:rPr>
            </w:pPr>
            <w:r w:rsidRPr="008550C7">
              <w:rPr>
                <w:b/>
              </w:rPr>
              <w:t>Value added (at factor cost)</w:t>
            </w:r>
          </w:p>
        </w:tc>
        <w:tc>
          <w:tcPr>
            <w:tcW w:w="374" w:type="pct"/>
            <w:vAlign w:val="bottom"/>
          </w:tcPr>
          <w:p w:rsidR="00A84F28" w:rsidRPr="00D24ABA" w:rsidRDefault="00A84F28" w:rsidP="00167537">
            <w:pPr>
              <w:pStyle w:val="TableBodyText"/>
              <w:spacing w:before="120"/>
              <w:rPr>
                <w:szCs w:val="24"/>
              </w:rPr>
            </w:pPr>
          </w:p>
        </w:tc>
        <w:tc>
          <w:tcPr>
            <w:tcW w:w="374" w:type="pct"/>
            <w:vAlign w:val="bottom"/>
          </w:tcPr>
          <w:p w:rsidR="00A84F28" w:rsidRPr="00D24ABA" w:rsidRDefault="00A84F28" w:rsidP="00167537">
            <w:pPr>
              <w:pStyle w:val="TableBodyText"/>
              <w:spacing w:before="120"/>
              <w:rPr>
                <w:szCs w:val="24"/>
              </w:rPr>
            </w:pPr>
          </w:p>
        </w:tc>
        <w:tc>
          <w:tcPr>
            <w:tcW w:w="374" w:type="pct"/>
            <w:vAlign w:val="bottom"/>
          </w:tcPr>
          <w:p w:rsidR="00A84F28" w:rsidRPr="00D24ABA" w:rsidRDefault="00A84F28" w:rsidP="00167537">
            <w:pPr>
              <w:pStyle w:val="TableBodyText"/>
              <w:spacing w:before="120"/>
              <w:rPr>
                <w:szCs w:val="24"/>
              </w:rPr>
            </w:pPr>
          </w:p>
        </w:tc>
        <w:tc>
          <w:tcPr>
            <w:tcW w:w="374" w:type="pct"/>
            <w:vAlign w:val="bottom"/>
          </w:tcPr>
          <w:p w:rsidR="00A84F28" w:rsidRPr="00D24ABA" w:rsidRDefault="00A84F28" w:rsidP="00167537">
            <w:pPr>
              <w:pStyle w:val="TableBodyText"/>
              <w:spacing w:before="120"/>
              <w:rPr>
                <w:szCs w:val="24"/>
              </w:rPr>
            </w:pPr>
          </w:p>
        </w:tc>
        <w:tc>
          <w:tcPr>
            <w:tcW w:w="374" w:type="pct"/>
            <w:vAlign w:val="bottom"/>
          </w:tcPr>
          <w:p w:rsidR="00A84F28" w:rsidRPr="00D24ABA" w:rsidRDefault="00A84F28" w:rsidP="00167537">
            <w:pPr>
              <w:pStyle w:val="TableBodyText"/>
              <w:spacing w:before="120"/>
              <w:rPr>
                <w:szCs w:val="24"/>
              </w:rPr>
            </w:pPr>
          </w:p>
        </w:tc>
        <w:tc>
          <w:tcPr>
            <w:tcW w:w="374" w:type="pct"/>
            <w:vAlign w:val="bottom"/>
          </w:tcPr>
          <w:p w:rsidR="00A84F28" w:rsidRPr="00D24ABA" w:rsidRDefault="00A84F28" w:rsidP="00167537">
            <w:pPr>
              <w:pStyle w:val="TableBodyText"/>
              <w:spacing w:before="120"/>
              <w:rPr>
                <w:szCs w:val="24"/>
              </w:rPr>
            </w:pPr>
          </w:p>
        </w:tc>
        <w:tc>
          <w:tcPr>
            <w:tcW w:w="374" w:type="pct"/>
            <w:vAlign w:val="bottom"/>
          </w:tcPr>
          <w:p w:rsidR="00A84F28" w:rsidRPr="00D24ABA" w:rsidRDefault="00A84F28" w:rsidP="00167537">
            <w:pPr>
              <w:pStyle w:val="TableBodyText"/>
              <w:spacing w:before="120"/>
              <w:rPr>
                <w:szCs w:val="24"/>
              </w:rPr>
            </w:pPr>
          </w:p>
        </w:tc>
        <w:tc>
          <w:tcPr>
            <w:tcW w:w="374" w:type="pct"/>
            <w:vAlign w:val="bottom"/>
          </w:tcPr>
          <w:p w:rsidR="00A84F28" w:rsidRPr="00D24ABA" w:rsidRDefault="00A84F28" w:rsidP="00167537">
            <w:pPr>
              <w:pStyle w:val="TableBodyText"/>
              <w:spacing w:before="120"/>
              <w:rPr>
                <w:szCs w:val="24"/>
              </w:rPr>
            </w:pPr>
          </w:p>
        </w:tc>
        <w:tc>
          <w:tcPr>
            <w:tcW w:w="375" w:type="pct"/>
            <w:vAlign w:val="bottom"/>
          </w:tcPr>
          <w:p w:rsidR="00A84F28" w:rsidRPr="00D24ABA" w:rsidRDefault="00A84F28" w:rsidP="00167537">
            <w:pPr>
              <w:pStyle w:val="TableBodyText"/>
              <w:spacing w:before="120"/>
              <w:rPr>
                <w:szCs w:val="24"/>
              </w:rPr>
            </w:pPr>
          </w:p>
        </w:tc>
      </w:tr>
      <w:tr w:rsidR="00A84F28" w:rsidRPr="00033A38" w:rsidTr="00167537">
        <w:tc>
          <w:tcPr>
            <w:tcW w:w="1633" w:type="pct"/>
          </w:tcPr>
          <w:p w:rsidR="00A84F28" w:rsidRPr="00033A38" w:rsidRDefault="00A84F28" w:rsidP="00167537">
            <w:pPr>
              <w:pStyle w:val="TableBodyText"/>
              <w:jc w:val="left"/>
            </w:pPr>
            <w:r w:rsidRPr="00033A38">
              <w:t>Agriculture</w:t>
            </w:r>
          </w:p>
        </w:tc>
        <w:tc>
          <w:tcPr>
            <w:tcW w:w="374" w:type="pct"/>
          </w:tcPr>
          <w:p w:rsidR="00A84F28" w:rsidRPr="00033A38" w:rsidRDefault="00A84F28" w:rsidP="00167537">
            <w:pPr>
              <w:pStyle w:val="TableBodyText"/>
              <w:rPr>
                <w:i/>
              </w:rPr>
            </w:pPr>
            <w:r w:rsidRPr="00033A38">
              <w:t>0.9</w:t>
            </w:r>
          </w:p>
        </w:tc>
        <w:tc>
          <w:tcPr>
            <w:tcW w:w="374" w:type="pct"/>
          </w:tcPr>
          <w:p w:rsidR="00A84F28" w:rsidRPr="00033A38" w:rsidRDefault="00A84F28" w:rsidP="00167537">
            <w:pPr>
              <w:pStyle w:val="TableBodyText"/>
              <w:rPr>
                <w:i/>
              </w:rPr>
            </w:pPr>
            <w:r w:rsidRPr="00033A38">
              <w:t>0.6</w:t>
            </w:r>
          </w:p>
        </w:tc>
        <w:tc>
          <w:tcPr>
            <w:tcW w:w="374" w:type="pct"/>
          </w:tcPr>
          <w:p w:rsidR="00A84F28" w:rsidRPr="00033A38" w:rsidRDefault="00A84F28" w:rsidP="00167537">
            <w:pPr>
              <w:pStyle w:val="TableBodyText"/>
              <w:rPr>
                <w:i/>
              </w:rPr>
            </w:pPr>
            <w:r w:rsidRPr="00033A38">
              <w:t>1.0</w:t>
            </w:r>
          </w:p>
        </w:tc>
        <w:tc>
          <w:tcPr>
            <w:tcW w:w="374" w:type="pct"/>
          </w:tcPr>
          <w:p w:rsidR="00A84F28" w:rsidRPr="00033A38" w:rsidRDefault="00A84F28" w:rsidP="00167537">
            <w:pPr>
              <w:pStyle w:val="TableBodyText"/>
              <w:rPr>
                <w:i/>
              </w:rPr>
            </w:pPr>
            <w:r w:rsidRPr="00033A38">
              <w:t>0.7</w:t>
            </w:r>
          </w:p>
        </w:tc>
        <w:tc>
          <w:tcPr>
            <w:tcW w:w="374" w:type="pct"/>
          </w:tcPr>
          <w:p w:rsidR="00A84F28" w:rsidRPr="00033A38" w:rsidRDefault="00A84F28" w:rsidP="00167537">
            <w:pPr>
              <w:pStyle w:val="TableBodyText"/>
              <w:rPr>
                <w:i/>
              </w:rPr>
            </w:pPr>
            <w:r w:rsidRPr="00033A38">
              <w:t>0</w:t>
            </w:r>
            <w:r>
              <w:t>.9</w:t>
            </w:r>
          </w:p>
        </w:tc>
        <w:tc>
          <w:tcPr>
            <w:tcW w:w="374" w:type="pct"/>
          </w:tcPr>
          <w:p w:rsidR="00A84F28" w:rsidRPr="00033A38" w:rsidRDefault="00A84F28" w:rsidP="00167537">
            <w:pPr>
              <w:pStyle w:val="TableBodyText"/>
              <w:rPr>
                <w:i/>
              </w:rPr>
            </w:pPr>
            <w:r w:rsidRPr="00033A38">
              <w:t>0.8</w:t>
            </w:r>
          </w:p>
        </w:tc>
        <w:tc>
          <w:tcPr>
            <w:tcW w:w="374" w:type="pct"/>
          </w:tcPr>
          <w:p w:rsidR="00A84F28" w:rsidRPr="00033A38" w:rsidRDefault="00A84F28" w:rsidP="00167537">
            <w:pPr>
              <w:pStyle w:val="TableBodyText"/>
              <w:rPr>
                <w:i/>
              </w:rPr>
            </w:pPr>
            <w:r w:rsidRPr="00033A38">
              <w:t>0.9</w:t>
            </w:r>
          </w:p>
        </w:tc>
        <w:tc>
          <w:tcPr>
            <w:tcW w:w="374" w:type="pct"/>
          </w:tcPr>
          <w:p w:rsidR="00A84F28" w:rsidRPr="00033A38" w:rsidRDefault="00A84F28" w:rsidP="00167537">
            <w:pPr>
              <w:pStyle w:val="TableBodyText"/>
              <w:rPr>
                <w:i/>
              </w:rPr>
            </w:pPr>
            <w:r w:rsidRPr="00033A38">
              <w:t>0.4</w:t>
            </w:r>
          </w:p>
        </w:tc>
        <w:tc>
          <w:tcPr>
            <w:tcW w:w="375" w:type="pct"/>
          </w:tcPr>
          <w:p w:rsidR="00A84F28" w:rsidRPr="00033A38" w:rsidRDefault="00A84F28" w:rsidP="00167537">
            <w:pPr>
              <w:pStyle w:val="TableBodyText"/>
              <w:rPr>
                <w:i/>
              </w:rPr>
            </w:pPr>
            <w:r w:rsidRPr="00033A38">
              <w:t>0.8</w:t>
            </w:r>
          </w:p>
        </w:tc>
      </w:tr>
      <w:tr w:rsidR="00A84F28" w:rsidRPr="00033A38" w:rsidTr="00167537">
        <w:tc>
          <w:tcPr>
            <w:tcW w:w="1633" w:type="pct"/>
          </w:tcPr>
          <w:p w:rsidR="00A84F28" w:rsidRPr="00033A38" w:rsidRDefault="00A84F28" w:rsidP="00167537">
            <w:pPr>
              <w:pStyle w:val="TableBodyText"/>
              <w:jc w:val="left"/>
            </w:pPr>
            <w:r w:rsidRPr="00033A38">
              <w:t>Mining</w:t>
            </w:r>
          </w:p>
        </w:tc>
        <w:tc>
          <w:tcPr>
            <w:tcW w:w="374" w:type="pct"/>
          </w:tcPr>
          <w:p w:rsidR="00A84F28" w:rsidRPr="00033A38" w:rsidRDefault="00A84F28" w:rsidP="00167537">
            <w:pPr>
              <w:pStyle w:val="TableBodyText"/>
              <w:rPr>
                <w:i/>
              </w:rPr>
            </w:pPr>
            <w:r w:rsidRPr="00033A38">
              <w:t>2.1</w:t>
            </w:r>
          </w:p>
        </w:tc>
        <w:tc>
          <w:tcPr>
            <w:tcW w:w="374" w:type="pct"/>
          </w:tcPr>
          <w:p w:rsidR="00A84F28" w:rsidRPr="00033A38" w:rsidRDefault="00A84F28" w:rsidP="00167537">
            <w:pPr>
              <w:pStyle w:val="TableBodyText"/>
              <w:rPr>
                <w:i/>
              </w:rPr>
            </w:pPr>
            <w:r w:rsidRPr="00033A38">
              <w:t>0.1</w:t>
            </w:r>
          </w:p>
        </w:tc>
        <w:tc>
          <w:tcPr>
            <w:tcW w:w="374" w:type="pct"/>
          </w:tcPr>
          <w:p w:rsidR="00A84F28" w:rsidRPr="00033A38" w:rsidRDefault="00A84F28" w:rsidP="00167537">
            <w:pPr>
              <w:pStyle w:val="TableBodyText"/>
              <w:rPr>
                <w:i/>
              </w:rPr>
            </w:pPr>
            <w:r w:rsidRPr="00033A38">
              <w:t>2.6</w:t>
            </w:r>
          </w:p>
        </w:tc>
        <w:tc>
          <w:tcPr>
            <w:tcW w:w="374" w:type="pct"/>
          </w:tcPr>
          <w:p w:rsidR="00A84F28" w:rsidRPr="00033A38" w:rsidRDefault="00A84F28" w:rsidP="00167537">
            <w:pPr>
              <w:pStyle w:val="TableBodyText"/>
              <w:rPr>
                <w:i/>
              </w:rPr>
            </w:pPr>
            <w:r w:rsidRPr="00033A38">
              <w:t>0.</w:t>
            </w:r>
            <w:r>
              <w:t>8</w:t>
            </w:r>
          </w:p>
        </w:tc>
        <w:tc>
          <w:tcPr>
            <w:tcW w:w="374" w:type="pct"/>
          </w:tcPr>
          <w:p w:rsidR="00A84F28" w:rsidRPr="00033A38" w:rsidRDefault="00A84F28" w:rsidP="00167537">
            <w:pPr>
              <w:pStyle w:val="TableBodyText"/>
              <w:rPr>
                <w:i/>
              </w:rPr>
            </w:pPr>
            <w:r w:rsidRPr="00033A38">
              <w:t>2.7</w:t>
            </w:r>
          </w:p>
        </w:tc>
        <w:tc>
          <w:tcPr>
            <w:tcW w:w="374" w:type="pct"/>
          </w:tcPr>
          <w:p w:rsidR="00A84F28" w:rsidRPr="00033A38" w:rsidRDefault="00A84F28" w:rsidP="00167537">
            <w:pPr>
              <w:pStyle w:val="TableBodyText"/>
              <w:rPr>
                <w:i/>
              </w:rPr>
            </w:pPr>
            <w:r w:rsidRPr="00033A38">
              <w:t>2.2</w:t>
            </w:r>
          </w:p>
        </w:tc>
        <w:tc>
          <w:tcPr>
            <w:tcW w:w="374" w:type="pct"/>
          </w:tcPr>
          <w:p w:rsidR="00A84F28" w:rsidRPr="00033A38" w:rsidRDefault="00A84F28" w:rsidP="00167537">
            <w:pPr>
              <w:pStyle w:val="TableBodyText"/>
              <w:rPr>
                <w:i/>
              </w:rPr>
            </w:pPr>
            <w:r w:rsidRPr="00033A38">
              <w:t>2.</w:t>
            </w:r>
            <w:r>
              <w:t>2</w:t>
            </w:r>
          </w:p>
        </w:tc>
        <w:tc>
          <w:tcPr>
            <w:tcW w:w="374" w:type="pct"/>
          </w:tcPr>
          <w:p w:rsidR="00A84F28" w:rsidRPr="00033A38" w:rsidRDefault="00A84F28" w:rsidP="00167537">
            <w:pPr>
              <w:pStyle w:val="TableBodyText"/>
              <w:rPr>
                <w:i/>
              </w:rPr>
            </w:pPr>
            <w:r>
              <w:t>..</w:t>
            </w:r>
          </w:p>
        </w:tc>
        <w:tc>
          <w:tcPr>
            <w:tcW w:w="375" w:type="pct"/>
          </w:tcPr>
          <w:p w:rsidR="00A84F28" w:rsidRPr="00033A38" w:rsidRDefault="00A84F28" w:rsidP="00167537">
            <w:pPr>
              <w:pStyle w:val="TableBodyText"/>
              <w:rPr>
                <w:i/>
              </w:rPr>
            </w:pPr>
            <w:r w:rsidRPr="00033A38">
              <w:t>2.</w:t>
            </w:r>
            <w:r>
              <w:t>4</w:t>
            </w:r>
          </w:p>
        </w:tc>
      </w:tr>
      <w:tr w:rsidR="00A84F28" w:rsidRPr="00033A38" w:rsidTr="00167537">
        <w:tc>
          <w:tcPr>
            <w:tcW w:w="1633" w:type="pct"/>
          </w:tcPr>
          <w:p w:rsidR="00A84F28" w:rsidRPr="00033A38" w:rsidRDefault="00A84F28" w:rsidP="00167537">
            <w:pPr>
              <w:pStyle w:val="TableBodyText"/>
              <w:jc w:val="left"/>
            </w:pPr>
            <w:r w:rsidRPr="00033A38">
              <w:t>Manufacturing</w:t>
            </w:r>
          </w:p>
        </w:tc>
        <w:tc>
          <w:tcPr>
            <w:tcW w:w="374" w:type="pct"/>
          </w:tcPr>
          <w:p w:rsidR="00A84F28" w:rsidRPr="00033A38" w:rsidRDefault="00A84F28" w:rsidP="00167537">
            <w:pPr>
              <w:pStyle w:val="TableBodyText"/>
              <w:rPr>
                <w:i/>
              </w:rPr>
            </w:pPr>
            <w:r w:rsidRPr="00033A38">
              <w:t>0.</w:t>
            </w:r>
            <w:r>
              <w:t>7</w:t>
            </w:r>
          </w:p>
        </w:tc>
        <w:tc>
          <w:tcPr>
            <w:tcW w:w="374" w:type="pct"/>
          </w:tcPr>
          <w:p w:rsidR="00A84F28" w:rsidRPr="00033A38" w:rsidRDefault="00A84F28" w:rsidP="00167537">
            <w:pPr>
              <w:pStyle w:val="TableBodyText"/>
              <w:rPr>
                <w:i/>
              </w:rPr>
            </w:pPr>
            <w:r w:rsidRPr="00033A38">
              <w:t>-5.9</w:t>
            </w:r>
          </w:p>
        </w:tc>
        <w:tc>
          <w:tcPr>
            <w:tcW w:w="374" w:type="pct"/>
          </w:tcPr>
          <w:p w:rsidR="00A84F28" w:rsidRPr="00033A38" w:rsidRDefault="00A84F28" w:rsidP="00167537">
            <w:pPr>
              <w:pStyle w:val="TableBodyText"/>
              <w:rPr>
                <w:i/>
              </w:rPr>
            </w:pPr>
            <w:r w:rsidRPr="00033A38">
              <w:t>1.6</w:t>
            </w:r>
          </w:p>
        </w:tc>
        <w:tc>
          <w:tcPr>
            <w:tcW w:w="374" w:type="pct"/>
          </w:tcPr>
          <w:p w:rsidR="00A84F28" w:rsidRPr="00033A38" w:rsidRDefault="00A84F28" w:rsidP="00167537">
            <w:pPr>
              <w:pStyle w:val="TableBodyText"/>
              <w:rPr>
                <w:i/>
              </w:rPr>
            </w:pPr>
            <w:r w:rsidRPr="00033A38">
              <w:t>-6.</w:t>
            </w:r>
            <w:r>
              <w:t>4</w:t>
            </w:r>
          </w:p>
        </w:tc>
        <w:tc>
          <w:tcPr>
            <w:tcW w:w="374" w:type="pct"/>
          </w:tcPr>
          <w:p w:rsidR="00A84F28" w:rsidRPr="00033A38" w:rsidRDefault="00A84F28" w:rsidP="00167537">
            <w:pPr>
              <w:pStyle w:val="TableBodyText"/>
              <w:rPr>
                <w:i/>
              </w:rPr>
            </w:pPr>
            <w:r w:rsidRPr="00033A38">
              <w:t>2.0</w:t>
            </w:r>
          </w:p>
        </w:tc>
        <w:tc>
          <w:tcPr>
            <w:tcW w:w="374" w:type="pct"/>
          </w:tcPr>
          <w:p w:rsidR="00A84F28" w:rsidRPr="00033A38" w:rsidRDefault="00A84F28" w:rsidP="00167537">
            <w:pPr>
              <w:pStyle w:val="TableBodyText"/>
              <w:rPr>
                <w:i/>
              </w:rPr>
            </w:pPr>
            <w:r w:rsidRPr="00033A38">
              <w:t>1.3</w:t>
            </w:r>
          </w:p>
        </w:tc>
        <w:tc>
          <w:tcPr>
            <w:tcW w:w="374" w:type="pct"/>
          </w:tcPr>
          <w:p w:rsidR="00A84F28" w:rsidRPr="00033A38" w:rsidRDefault="00A84F28" w:rsidP="00167537">
            <w:pPr>
              <w:pStyle w:val="TableBodyText"/>
              <w:rPr>
                <w:i/>
              </w:rPr>
            </w:pPr>
            <w:r w:rsidRPr="00033A38">
              <w:t>1.</w:t>
            </w:r>
            <w:r>
              <w:t>8</w:t>
            </w:r>
          </w:p>
        </w:tc>
        <w:tc>
          <w:tcPr>
            <w:tcW w:w="374" w:type="pct"/>
          </w:tcPr>
          <w:p w:rsidR="00A84F28" w:rsidRPr="00033A38" w:rsidRDefault="00A84F28" w:rsidP="00167537">
            <w:pPr>
              <w:pStyle w:val="TableBodyText"/>
              <w:rPr>
                <w:i/>
              </w:rPr>
            </w:pPr>
            <w:r w:rsidRPr="00033A38">
              <w:t>0.5</w:t>
            </w:r>
          </w:p>
        </w:tc>
        <w:tc>
          <w:tcPr>
            <w:tcW w:w="375" w:type="pct"/>
          </w:tcPr>
          <w:p w:rsidR="00A84F28" w:rsidRPr="00033A38" w:rsidRDefault="00A84F28" w:rsidP="00167537">
            <w:pPr>
              <w:pStyle w:val="TableBodyText"/>
              <w:rPr>
                <w:i/>
              </w:rPr>
            </w:pPr>
            <w:r w:rsidRPr="00033A38">
              <w:t>-1.6</w:t>
            </w:r>
          </w:p>
        </w:tc>
      </w:tr>
      <w:tr w:rsidR="00A84F28" w:rsidRPr="005521C3" w:rsidTr="00167537">
        <w:tc>
          <w:tcPr>
            <w:tcW w:w="1633" w:type="pct"/>
          </w:tcPr>
          <w:p w:rsidR="00A84F28" w:rsidRPr="0028786B" w:rsidRDefault="00A84F28" w:rsidP="00167537">
            <w:pPr>
              <w:pStyle w:val="TableBodyText"/>
              <w:tabs>
                <w:tab w:val="left" w:pos="315"/>
              </w:tabs>
              <w:jc w:val="left"/>
              <w:rPr>
                <w:i/>
              </w:rPr>
            </w:pPr>
            <w:r w:rsidRPr="0028786B">
              <w:rPr>
                <w:i/>
              </w:rPr>
              <w:t>of which:</w:t>
            </w:r>
          </w:p>
        </w:tc>
        <w:tc>
          <w:tcPr>
            <w:tcW w:w="374" w:type="pct"/>
          </w:tcPr>
          <w:p w:rsidR="00A84F28" w:rsidRPr="0028786B" w:rsidRDefault="00A84F28" w:rsidP="00167537">
            <w:pPr>
              <w:pStyle w:val="TableBodyText"/>
              <w:rPr>
                <w:i/>
                <w:szCs w:val="24"/>
              </w:rPr>
            </w:pPr>
          </w:p>
        </w:tc>
        <w:tc>
          <w:tcPr>
            <w:tcW w:w="374" w:type="pct"/>
          </w:tcPr>
          <w:p w:rsidR="00A84F28" w:rsidRPr="0028786B" w:rsidRDefault="00A84F28" w:rsidP="00167537">
            <w:pPr>
              <w:pStyle w:val="TableBodyText"/>
              <w:rPr>
                <w:i/>
                <w:szCs w:val="24"/>
              </w:rPr>
            </w:pPr>
          </w:p>
        </w:tc>
        <w:tc>
          <w:tcPr>
            <w:tcW w:w="374" w:type="pct"/>
          </w:tcPr>
          <w:p w:rsidR="00A84F28" w:rsidRPr="0028786B" w:rsidRDefault="00A84F28" w:rsidP="00167537">
            <w:pPr>
              <w:pStyle w:val="TableBodyText"/>
              <w:rPr>
                <w:i/>
                <w:szCs w:val="24"/>
              </w:rPr>
            </w:pPr>
          </w:p>
        </w:tc>
        <w:tc>
          <w:tcPr>
            <w:tcW w:w="374" w:type="pct"/>
          </w:tcPr>
          <w:p w:rsidR="00A84F28" w:rsidRPr="0028786B" w:rsidRDefault="00A84F28" w:rsidP="00167537">
            <w:pPr>
              <w:pStyle w:val="TableBodyText"/>
              <w:rPr>
                <w:i/>
                <w:szCs w:val="24"/>
              </w:rPr>
            </w:pPr>
          </w:p>
        </w:tc>
        <w:tc>
          <w:tcPr>
            <w:tcW w:w="374" w:type="pct"/>
          </w:tcPr>
          <w:p w:rsidR="00A84F28" w:rsidRPr="0028786B" w:rsidRDefault="00A84F28" w:rsidP="00167537">
            <w:pPr>
              <w:pStyle w:val="TableBodyText"/>
              <w:rPr>
                <w:i/>
                <w:szCs w:val="24"/>
              </w:rPr>
            </w:pPr>
          </w:p>
        </w:tc>
        <w:tc>
          <w:tcPr>
            <w:tcW w:w="374" w:type="pct"/>
          </w:tcPr>
          <w:p w:rsidR="00A84F28" w:rsidRPr="0028786B" w:rsidRDefault="00A84F28" w:rsidP="00167537">
            <w:pPr>
              <w:pStyle w:val="TableBodyText"/>
              <w:rPr>
                <w:i/>
                <w:szCs w:val="24"/>
              </w:rPr>
            </w:pPr>
          </w:p>
        </w:tc>
        <w:tc>
          <w:tcPr>
            <w:tcW w:w="374" w:type="pct"/>
          </w:tcPr>
          <w:p w:rsidR="00A84F28" w:rsidRPr="0028786B" w:rsidRDefault="00A84F28" w:rsidP="00167537">
            <w:pPr>
              <w:pStyle w:val="TableBodyText"/>
              <w:rPr>
                <w:i/>
                <w:szCs w:val="24"/>
              </w:rPr>
            </w:pPr>
          </w:p>
        </w:tc>
        <w:tc>
          <w:tcPr>
            <w:tcW w:w="374" w:type="pct"/>
          </w:tcPr>
          <w:p w:rsidR="00A84F28" w:rsidRPr="0028786B" w:rsidRDefault="00A84F28" w:rsidP="00167537">
            <w:pPr>
              <w:pStyle w:val="TableBodyText"/>
              <w:rPr>
                <w:i/>
                <w:szCs w:val="24"/>
              </w:rPr>
            </w:pPr>
          </w:p>
        </w:tc>
        <w:tc>
          <w:tcPr>
            <w:tcW w:w="375" w:type="pct"/>
          </w:tcPr>
          <w:p w:rsidR="00A84F28" w:rsidRPr="0028786B" w:rsidRDefault="00A84F28" w:rsidP="00167537">
            <w:pPr>
              <w:pStyle w:val="TableBodyText"/>
              <w:rPr>
                <w:i/>
                <w:szCs w:val="24"/>
              </w:rPr>
            </w:pPr>
          </w:p>
        </w:tc>
      </w:tr>
      <w:tr w:rsidR="00A84F28" w:rsidRPr="00033A38" w:rsidTr="00167537">
        <w:tc>
          <w:tcPr>
            <w:tcW w:w="1633" w:type="pct"/>
          </w:tcPr>
          <w:p w:rsidR="00A84F28" w:rsidRPr="00033A38" w:rsidRDefault="00A84F28" w:rsidP="00167537">
            <w:pPr>
              <w:pStyle w:val="TableBodyText"/>
              <w:tabs>
                <w:tab w:val="left" w:pos="315"/>
              </w:tabs>
              <w:ind w:left="284"/>
              <w:jc w:val="left"/>
            </w:pPr>
            <w:proofErr w:type="spellStart"/>
            <w:r w:rsidRPr="00033A38">
              <w:t>PMV</w:t>
            </w:r>
            <w:proofErr w:type="spellEnd"/>
            <w:r w:rsidRPr="00033A38">
              <w:t xml:space="preserve"> manufacturing</w:t>
            </w:r>
          </w:p>
        </w:tc>
        <w:tc>
          <w:tcPr>
            <w:tcW w:w="374" w:type="pct"/>
          </w:tcPr>
          <w:p w:rsidR="00A84F28" w:rsidRPr="00033A38" w:rsidRDefault="00A84F28" w:rsidP="00167537">
            <w:pPr>
              <w:pStyle w:val="TableBodyText"/>
              <w:rPr>
                <w:i/>
              </w:rPr>
            </w:pPr>
            <w:r w:rsidRPr="00033A38">
              <w:t>Na</w:t>
            </w:r>
          </w:p>
        </w:tc>
        <w:tc>
          <w:tcPr>
            <w:tcW w:w="374" w:type="pct"/>
          </w:tcPr>
          <w:p w:rsidR="00A84F28" w:rsidRPr="0028786B" w:rsidRDefault="00A84F28" w:rsidP="00167537">
            <w:pPr>
              <w:pStyle w:val="TableBodyText"/>
              <w:framePr w:w="2155" w:hSpace="227" w:vSpace="181" w:wrap="around" w:vAnchor="text" w:hAnchor="page" w:xAlign="outside" w:y="1"/>
            </w:pPr>
            <w:r w:rsidRPr="00033A38">
              <w:t>-98</w:t>
            </w:r>
          </w:p>
        </w:tc>
        <w:tc>
          <w:tcPr>
            <w:tcW w:w="374" w:type="pct"/>
          </w:tcPr>
          <w:p w:rsidR="00A84F28" w:rsidRPr="00033A38" w:rsidRDefault="00A84F28" w:rsidP="00167537">
            <w:pPr>
              <w:pStyle w:val="TableBodyText"/>
              <w:rPr>
                <w:i/>
              </w:rPr>
            </w:pPr>
            <w:proofErr w:type="spellStart"/>
            <w:r w:rsidRPr="00033A38">
              <w:t>na</w:t>
            </w:r>
            <w:proofErr w:type="spellEnd"/>
          </w:p>
        </w:tc>
        <w:tc>
          <w:tcPr>
            <w:tcW w:w="374" w:type="pct"/>
          </w:tcPr>
          <w:p w:rsidR="00A84F28" w:rsidRPr="0028786B" w:rsidRDefault="00A84F28" w:rsidP="00167537">
            <w:pPr>
              <w:pStyle w:val="TableBodyText"/>
              <w:framePr w:w="2155" w:hSpace="227" w:vSpace="181" w:wrap="around" w:vAnchor="text" w:hAnchor="page" w:xAlign="outside" w:y="1"/>
            </w:pPr>
            <w:r w:rsidRPr="00033A38">
              <w:t>-98</w:t>
            </w:r>
          </w:p>
        </w:tc>
        <w:tc>
          <w:tcPr>
            <w:tcW w:w="374" w:type="pct"/>
          </w:tcPr>
          <w:p w:rsidR="00A84F28" w:rsidRPr="00033A38" w:rsidRDefault="00A84F28" w:rsidP="00167537">
            <w:pPr>
              <w:pStyle w:val="TableBodyText"/>
              <w:rPr>
                <w:i/>
              </w:rPr>
            </w:pPr>
            <w:proofErr w:type="spellStart"/>
            <w:r w:rsidRPr="00033A38">
              <w:t>na</w:t>
            </w:r>
            <w:proofErr w:type="spellEnd"/>
          </w:p>
        </w:tc>
        <w:tc>
          <w:tcPr>
            <w:tcW w:w="374" w:type="pct"/>
          </w:tcPr>
          <w:p w:rsidR="00A84F28" w:rsidRPr="00033A38" w:rsidRDefault="00A84F28" w:rsidP="00167537">
            <w:pPr>
              <w:pStyle w:val="TableBodyText"/>
              <w:rPr>
                <w:i/>
              </w:rPr>
            </w:pPr>
            <w:proofErr w:type="spellStart"/>
            <w:r w:rsidRPr="00033A38">
              <w:t>na</w:t>
            </w:r>
            <w:proofErr w:type="spellEnd"/>
          </w:p>
        </w:tc>
        <w:tc>
          <w:tcPr>
            <w:tcW w:w="374" w:type="pct"/>
          </w:tcPr>
          <w:p w:rsidR="00A84F28" w:rsidRPr="00033A38" w:rsidRDefault="00A84F28" w:rsidP="00167537">
            <w:pPr>
              <w:pStyle w:val="TableBodyText"/>
              <w:rPr>
                <w:i/>
              </w:rPr>
            </w:pPr>
            <w:proofErr w:type="spellStart"/>
            <w:r w:rsidRPr="00033A38">
              <w:t>na</w:t>
            </w:r>
            <w:proofErr w:type="spellEnd"/>
          </w:p>
        </w:tc>
        <w:tc>
          <w:tcPr>
            <w:tcW w:w="374" w:type="pct"/>
          </w:tcPr>
          <w:p w:rsidR="00A84F28" w:rsidRPr="00033A38" w:rsidRDefault="00A84F28" w:rsidP="00167537">
            <w:pPr>
              <w:pStyle w:val="TableBodyText"/>
              <w:rPr>
                <w:i/>
              </w:rPr>
            </w:pPr>
            <w:proofErr w:type="spellStart"/>
            <w:r w:rsidRPr="00033A38">
              <w:t>na</w:t>
            </w:r>
            <w:proofErr w:type="spellEnd"/>
          </w:p>
        </w:tc>
        <w:tc>
          <w:tcPr>
            <w:tcW w:w="375" w:type="pct"/>
          </w:tcPr>
          <w:p w:rsidR="00A84F28" w:rsidRPr="0028786B" w:rsidRDefault="00A84F28" w:rsidP="00167537">
            <w:pPr>
              <w:pStyle w:val="TableBodyText"/>
              <w:framePr w:w="2155" w:hSpace="227" w:vSpace="181" w:wrap="around" w:vAnchor="text" w:hAnchor="page" w:xAlign="outside" w:y="1"/>
            </w:pPr>
            <w:r w:rsidRPr="00033A38">
              <w:t>-98</w:t>
            </w:r>
          </w:p>
        </w:tc>
      </w:tr>
      <w:tr w:rsidR="00A84F28" w:rsidRPr="00033A38" w:rsidTr="00167537">
        <w:tc>
          <w:tcPr>
            <w:tcW w:w="1633" w:type="pct"/>
          </w:tcPr>
          <w:p w:rsidR="00A84F28" w:rsidRPr="00033A38" w:rsidRDefault="00A84F28" w:rsidP="00167537">
            <w:pPr>
              <w:pStyle w:val="TableBodyText"/>
              <w:tabs>
                <w:tab w:val="left" w:pos="315"/>
              </w:tabs>
              <w:ind w:left="284"/>
              <w:jc w:val="left"/>
            </w:pPr>
            <w:r w:rsidRPr="00033A38">
              <w:t>Automotive components</w:t>
            </w:r>
          </w:p>
        </w:tc>
        <w:tc>
          <w:tcPr>
            <w:tcW w:w="374" w:type="pct"/>
          </w:tcPr>
          <w:p w:rsidR="00A84F28" w:rsidRPr="00033A38" w:rsidRDefault="00A84F28" w:rsidP="00167537">
            <w:pPr>
              <w:pStyle w:val="TableBodyText"/>
              <w:rPr>
                <w:i/>
              </w:rPr>
            </w:pPr>
            <w:r w:rsidRPr="00033A38">
              <w:t>-2.5</w:t>
            </w:r>
          </w:p>
        </w:tc>
        <w:tc>
          <w:tcPr>
            <w:tcW w:w="374" w:type="pct"/>
          </w:tcPr>
          <w:p w:rsidR="00A84F28" w:rsidRPr="0028786B" w:rsidRDefault="00A84F28" w:rsidP="00167537">
            <w:pPr>
              <w:pStyle w:val="TableBodyText"/>
              <w:framePr w:w="2155" w:hSpace="227" w:vSpace="181" w:wrap="around" w:vAnchor="text" w:hAnchor="page" w:xAlign="outside" w:y="1"/>
            </w:pPr>
            <w:r w:rsidRPr="00033A38">
              <w:t>-58</w:t>
            </w:r>
          </w:p>
        </w:tc>
        <w:tc>
          <w:tcPr>
            <w:tcW w:w="374" w:type="pct"/>
          </w:tcPr>
          <w:p w:rsidR="00A84F28" w:rsidRPr="00033A38" w:rsidRDefault="00A84F28" w:rsidP="00167537">
            <w:pPr>
              <w:pStyle w:val="TableBodyText"/>
              <w:rPr>
                <w:i/>
              </w:rPr>
            </w:pPr>
            <w:r w:rsidRPr="00033A38">
              <w:t>1.</w:t>
            </w:r>
            <w:r>
              <w:t>0</w:t>
            </w:r>
          </w:p>
        </w:tc>
        <w:tc>
          <w:tcPr>
            <w:tcW w:w="374" w:type="pct"/>
          </w:tcPr>
          <w:p w:rsidR="00A84F28" w:rsidRPr="0028786B" w:rsidRDefault="00A84F28" w:rsidP="00167537">
            <w:pPr>
              <w:pStyle w:val="TableBodyText"/>
              <w:framePr w:w="2155" w:hSpace="227" w:vSpace="181" w:wrap="around" w:vAnchor="text" w:hAnchor="page" w:xAlign="outside" w:y="1"/>
            </w:pPr>
            <w:r w:rsidRPr="00033A38">
              <w:t>-58</w:t>
            </w:r>
          </w:p>
        </w:tc>
        <w:tc>
          <w:tcPr>
            <w:tcW w:w="374" w:type="pct"/>
          </w:tcPr>
          <w:p w:rsidR="00A84F28" w:rsidRPr="00033A38" w:rsidRDefault="00A84F28" w:rsidP="00167537">
            <w:pPr>
              <w:pStyle w:val="TableBodyText"/>
              <w:rPr>
                <w:i/>
              </w:rPr>
            </w:pPr>
            <w:r w:rsidRPr="00033A38">
              <w:t>1.</w:t>
            </w:r>
            <w:r>
              <w:t>7</w:t>
            </w:r>
          </w:p>
        </w:tc>
        <w:tc>
          <w:tcPr>
            <w:tcW w:w="374" w:type="pct"/>
          </w:tcPr>
          <w:p w:rsidR="00A84F28" w:rsidRPr="00033A38" w:rsidRDefault="00A84F28" w:rsidP="00167537">
            <w:pPr>
              <w:pStyle w:val="TableBodyText"/>
              <w:rPr>
                <w:i/>
              </w:rPr>
            </w:pPr>
            <w:r>
              <w:t>1.0</w:t>
            </w:r>
          </w:p>
        </w:tc>
        <w:tc>
          <w:tcPr>
            <w:tcW w:w="374" w:type="pct"/>
          </w:tcPr>
          <w:p w:rsidR="00A84F28" w:rsidRPr="00033A38" w:rsidRDefault="00A84F28" w:rsidP="00167537">
            <w:pPr>
              <w:pStyle w:val="TableBodyText"/>
              <w:rPr>
                <w:i/>
              </w:rPr>
            </w:pPr>
            <w:r>
              <w:t>0.9</w:t>
            </w:r>
          </w:p>
        </w:tc>
        <w:tc>
          <w:tcPr>
            <w:tcW w:w="374" w:type="pct"/>
          </w:tcPr>
          <w:p w:rsidR="00A84F28" w:rsidRPr="00033A38" w:rsidRDefault="00A84F28" w:rsidP="00167537">
            <w:pPr>
              <w:pStyle w:val="TableBodyText"/>
              <w:rPr>
                <w:i/>
              </w:rPr>
            </w:pPr>
            <w:r>
              <w:t>0.1</w:t>
            </w:r>
          </w:p>
        </w:tc>
        <w:tc>
          <w:tcPr>
            <w:tcW w:w="375" w:type="pct"/>
          </w:tcPr>
          <w:p w:rsidR="00A84F28" w:rsidRPr="0028786B" w:rsidRDefault="00A84F28" w:rsidP="00167537">
            <w:pPr>
              <w:pStyle w:val="TableBodyText"/>
              <w:framePr w:w="2155" w:hSpace="227" w:vSpace="181" w:wrap="around" w:vAnchor="text" w:hAnchor="page" w:xAlign="outside" w:y="1"/>
            </w:pPr>
            <w:r w:rsidRPr="00033A38">
              <w:t>-4</w:t>
            </w:r>
            <w:r>
              <w:t>6</w:t>
            </w:r>
          </w:p>
        </w:tc>
      </w:tr>
      <w:tr w:rsidR="00A84F28" w:rsidRPr="00033A38" w:rsidTr="00167537">
        <w:tc>
          <w:tcPr>
            <w:tcW w:w="1633" w:type="pct"/>
          </w:tcPr>
          <w:p w:rsidR="00A84F28" w:rsidRPr="00033A38" w:rsidRDefault="00A84F28" w:rsidP="00167537">
            <w:pPr>
              <w:pStyle w:val="TableBodyText"/>
              <w:tabs>
                <w:tab w:val="left" w:pos="315"/>
              </w:tabs>
              <w:ind w:left="284"/>
              <w:jc w:val="left"/>
            </w:pPr>
            <w:r w:rsidRPr="00033A38">
              <w:t>Other manufacturing</w:t>
            </w:r>
          </w:p>
        </w:tc>
        <w:tc>
          <w:tcPr>
            <w:tcW w:w="374" w:type="pct"/>
          </w:tcPr>
          <w:p w:rsidR="00A84F28" w:rsidRPr="00033A38" w:rsidRDefault="00A84F28" w:rsidP="00167537">
            <w:pPr>
              <w:pStyle w:val="TableBodyText"/>
              <w:rPr>
                <w:i/>
              </w:rPr>
            </w:pPr>
            <w:r w:rsidRPr="00033A38">
              <w:t>0.8</w:t>
            </w:r>
          </w:p>
        </w:tc>
        <w:tc>
          <w:tcPr>
            <w:tcW w:w="374" w:type="pct"/>
          </w:tcPr>
          <w:p w:rsidR="00A84F28" w:rsidRPr="00033A38" w:rsidRDefault="00A84F28" w:rsidP="00167537">
            <w:pPr>
              <w:pStyle w:val="TableBodyText"/>
              <w:rPr>
                <w:i/>
              </w:rPr>
            </w:pPr>
            <w:r w:rsidRPr="00033A38">
              <w:t>-0.6</w:t>
            </w:r>
          </w:p>
        </w:tc>
        <w:tc>
          <w:tcPr>
            <w:tcW w:w="374" w:type="pct"/>
          </w:tcPr>
          <w:p w:rsidR="00A84F28" w:rsidRPr="00033A38" w:rsidRDefault="00A84F28" w:rsidP="00167537">
            <w:pPr>
              <w:pStyle w:val="TableBodyText"/>
              <w:rPr>
                <w:i/>
              </w:rPr>
            </w:pPr>
            <w:r w:rsidRPr="00033A38">
              <w:t>1.6</w:t>
            </w:r>
          </w:p>
        </w:tc>
        <w:tc>
          <w:tcPr>
            <w:tcW w:w="374" w:type="pct"/>
          </w:tcPr>
          <w:p w:rsidR="00A84F28" w:rsidRPr="00033A38" w:rsidRDefault="00A84F28" w:rsidP="00167537">
            <w:pPr>
              <w:pStyle w:val="TableBodyText"/>
              <w:rPr>
                <w:i/>
              </w:rPr>
            </w:pPr>
            <w:r w:rsidRPr="00033A38">
              <w:t>-1.0</w:t>
            </w:r>
          </w:p>
        </w:tc>
        <w:tc>
          <w:tcPr>
            <w:tcW w:w="374" w:type="pct"/>
          </w:tcPr>
          <w:p w:rsidR="00A84F28" w:rsidRPr="00033A38" w:rsidRDefault="00A84F28" w:rsidP="00167537">
            <w:pPr>
              <w:pStyle w:val="TableBodyText"/>
              <w:rPr>
                <w:i/>
              </w:rPr>
            </w:pPr>
            <w:r w:rsidRPr="00033A38">
              <w:t>2.0</w:t>
            </w:r>
          </w:p>
        </w:tc>
        <w:tc>
          <w:tcPr>
            <w:tcW w:w="374" w:type="pct"/>
          </w:tcPr>
          <w:p w:rsidR="00A84F28" w:rsidRPr="00033A38" w:rsidRDefault="00A84F28" w:rsidP="00167537">
            <w:pPr>
              <w:pStyle w:val="TableBodyText"/>
              <w:rPr>
                <w:i/>
              </w:rPr>
            </w:pPr>
            <w:r w:rsidRPr="00033A38">
              <w:t>1.3</w:t>
            </w:r>
          </w:p>
        </w:tc>
        <w:tc>
          <w:tcPr>
            <w:tcW w:w="374" w:type="pct"/>
          </w:tcPr>
          <w:p w:rsidR="00A84F28" w:rsidRPr="00033A38" w:rsidRDefault="00A84F28" w:rsidP="00167537">
            <w:pPr>
              <w:pStyle w:val="TableBodyText"/>
              <w:rPr>
                <w:i/>
              </w:rPr>
            </w:pPr>
            <w:r w:rsidRPr="00033A38">
              <w:t>1.</w:t>
            </w:r>
            <w:r>
              <w:t>8</w:t>
            </w:r>
          </w:p>
        </w:tc>
        <w:tc>
          <w:tcPr>
            <w:tcW w:w="374" w:type="pct"/>
          </w:tcPr>
          <w:p w:rsidR="00A84F28" w:rsidRPr="00033A38" w:rsidRDefault="00A84F28" w:rsidP="00167537">
            <w:pPr>
              <w:pStyle w:val="TableBodyText"/>
              <w:rPr>
                <w:i/>
              </w:rPr>
            </w:pPr>
            <w:r w:rsidRPr="00033A38">
              <w:t>0.5</w:t>
            </w:r>
          </w:p>
        </w:tc>
        <w:tc>
          <w:tcPr>
            <w:tcW w:w="375" w:type="pct"/>
          </w:tcPr>
          <w:p w:rsidR="00A84F28" w:rsidRPr="00033A38" w:rsidRDefault="00A84F28" w:rsidP="00167537">
            <w:pPr>
              <w:pStyle w:val="TableBodyText"/>
              <w:rPr>
                <w:i/>
              </w:rPr>
            </w:pPr>
            <w:r w:rsidRPr="00033A38">
              <w:t>0.5</w:t>
            </w:r>
          </w:p>
        </w:tc>
      </w:tr>
      <w:tr w:rsidR="00A84F28" w:rsidRPr="00033A38" w:rsidTr="00167537">
        <w:tc>
          <w:tcPr>
            <w:tcW w:w="1633" w:type="pct"/>
          </w:tcPr>
          <w:p w:rsidR="00A84F28" w:rsidRPr="00033A38" w:rsidRDefault="00A84F28" w:rsidP="00167537">
            <w:pPr>
              <w:pStyle w:val="TableBodyText"/>
              <w:jc w:val="left"/>
            </w:pPr>
            <w:r w:rsidRPr="00033A38">
              <w:t>Services</w:t>
            </w:r>
          </w:p>
        </w:tc>
        <w:tc>
          <w:tcPr>
            <w:tcW w:w="374" w:type="pct"/>
          </w:tcPr>
          <w:p w:rsidR="00A84F28" w:rsidRPr="00033A38" w:rsidRDefault="00A84F28" w:rsidP="00167537">
            <w:pPr>
              <w:pStyle w:val="TableBodyText"/>
              <w:rPr>
                <w:i/>
              </w:rPr>
            </w:pPr>
            <w:r w:rsidRPr="00033A38">
              <w:t>0.4</w:t>
            </w:r>
          </w:p>
        </w:tc>
        <w:tc>
          <w:tcPr>
            <w:tcW w:w="374" w:type="pct"/>
          </w:tcPr>
          <w:p w:rsidR="00A84F28" w:rsidRPr="00033A38" w:rsidRDefault="00A84F28" w:rsidP="00167537">
            <w:pPr>
              <w:pStyle w:val="TableBodyText"/>
              <w:rPr>
                <w:i/>
              </w:rPr>
            </w:pPr>
            <w:r w:rsidRPr="00033A38">
              <w:t>-1.</w:t>
            </w:r>
            <w:r>
              <w:t>5</w:t>
            </w:r>
          </w:p>
        </w:tc>
        <w:tc>
          <w:tcPr>
            <w:tcW w:w="374" w:type="pct"/>
          </w:tcPr>
          <w:p w:rsidR="00A84F28" w:rsidRPr="00033A38" w:rsidRDefault="00A84F28" w:rsidP="00167537">
            <w:pPr>
              <w:pStyle w:val="TableBodyText"/>
              <w:rPr>
                <w:i/>
              </w:rPr>
            </w:pPr>
            <w:r w:rsidRPr="00033A38">
              <w:t>0.9</w:t>
            </w:r>
          </w:p>
        </w:tc>
        <w:tc>
          <w:tcPr>
            <w:tcW w:w="374" w:type="pct"/>
          </w:tcPr>
          <w:p w:rsidR="00A84F28" w:rsidRPr="00033A38" w:rsidRDefault="00A84F28" w:rsidP="00167537">
            <w:pPr>
              <w:pStyle w:val="TableBodyText"/>
              <w:rPr>
                <w:i/>
              </w:rPr>
            </w:pPr>
            <w:r w:rsidRPr="00033A38">
              <w:t>-2.</w:t>
            </w:r>
            <w:r>
              <w:t>2</w:t>
            </w:r>
          </w:p>
        </w:tc>
        <w:tc>
          <w:tcPr>
            <w:tcW w:w="374" w:type="pct"/>
          </w:tcPr>
          <w:p w:rsidR="00A84F28" w:rsidRPr="00033A38" w:rsidRDefault="00A84F28" w:rsidP="00167537">
            <w:pPr>
              <w:pStyle w:val="TableBodyText"/>
              <w:rPr>
                <w:i/>
              </w:rPr>
            </w:pPr>
            <w:r w:rsidRPr="00033A38">
              <w:t>1.4</w:t>
            </w:r>
          </w:p>
        </w:tc>
        <w:tc>
          <w:tcPr>
            <w:tcW w:w="374" w:type="pct"/>
          </w:tcPr>
          <w:p w:rsidR="00A84F28" w:rsidRPr="00033A38" w:rsidRDefault="00A84F28" w:rsidP="00167537">
            <w:pPr>
              <w:pStyle w:val="TableBodyText"/>
              <w:rPr>
                <w:i/>
              </w:rPr>
            </w:pPr>
            <w:r w:rsidRPr="00033A38">
              <w:t>0.7</w:t>
            </w:r>
          </w:p>
        </w:tc>
        <w:tc>
          <w:tcPr>
            <w:tcW w:w="374" w:type="pct"/>
          </w:tcPr>
          <w:p w:rsidR="00A84F28" w:rsidRPr="00033A38" w:rsidRDefault="00A84F28" w:rsidP="00167537">
            <w:pPr>
              <w:pStyle w:val="TableBodyText"/>
              <w:rPr>
                <w:i/>
              </w:rPr>
            </w:pPr>
            <w:r w:rsidRPr="00033A38">
              <w:t>0.7</w:t>
            </w:r>
          </w:p>
        </w:tc>
        <w:tc>
          <w:tcPr>
            <w:tcW w:w="374" w:type="pct"/>
          </w:tcPr>
          <w:p w:rsidR="00A84F28" w:rsidRPr="00033A38" w:rsidRDefault="00A84F28" w:rsidP="00167537">
            <w:pPr>
              <w:pStyle w:val="TableBodyText"/>
              <w:rPr>
                <w:i/>
              </w:rPr>
            </w:pPr>
            <w:r w:rsidRPr="00033A38">
              <w:t>0.1</w:t>
            </w:r>
          </w:p>
        </w:tc>
        <w:tc>
          <w:tcPr>
            <w:tcW w:w="375" w:type="pct"/>
          </w:tcPr>
          <w:p w:rsidR="00A84F28" w:rsidRPr="00033A38" w:rsidRDefault="00A84F28" w:rsidP="00167537">
            <w:pPr>
              <w:pStyle w:val="TableBodyText"/>
              <w:rPr>
                <w:i/>
              </w:rPr>
            </w:pPr>
            <w:r w:rsidRPr="00033A38">
              <w:t>(-)</w:t>
            </w:r>
          </w:p>
        </w:tc>
      </w:tr>
      <w:tr w:rsidR="00A84F28" w:rsidTr="00167537">
        <w:tc>
          <w:tcPr>
            <w:tcW w:w="1633" w:type="pct"/>
            <w:vAlign w:val="bottom"/>
          </w:tcPr>
          <w:p w:rsidR="00A84F28" w:rsidRPr="008550C7" w:rsidRDefault="00A84F28" w:rsidP="00167537">
            <w:pPr>
              <w:pStyle w:val="TableBodyText"/>
              <w:spacing w:before="120"/>
              <w:jc w:val="left"/>
              <w:rPr>
                <w:b/>
                <w:szCs w:val="24"/>
              </w:rPr>
            </w:pPr>
            <w:r w:rsidRPr="008550C7">
              <w:rPr>
                <w:b/>
              </w:rPr>
              <w:t>Employment (persons)</w:t>
            </w:r>
          </w:p>
        </w:tc>
        <w:tc>
          <w:tcPr>
            <w:tcW w:w="374" w:type="pct"/>
            <w:vAlign w:val="bottom"/>
          </w:tcPr>
          <w:p w:rsidR="00A84F28" w:rsidRPr="00D24ABA" w:rsidRDefault="00A84F28" w:rsidP="00167537">
            <w:pPr>
              <w:pStyle w:val="TableBodyText"/>
              <w:spacing w:before="120"/>
              <w:rPr>
                <w:szCs w:val="24"/>
              </w:rPr>
            </w:pPr>
          </w:p>
        </w:tc>
        <w:tc>
          <w:tcPr>
            <w:tcW w:w="374" w:type="pct"/>
            <w:vAlign w:val="bottom"/>
          </w:tcPr>
          <w:p w:rsidR="00A84F28" w:rsidRPr="00D24ABA" w:rsidRDefault="00A84F28" w:rsidP="00167537">
            <w:pPr>
              <w:pStyle w:val="TableBodyText"/>
              <w:spacing w:before="120"/>
              <w:rPr>
                <w:szCs w:val="24"/>
              </w:rPr>
            </w:pPr>
          </w:p>
        </w:tc>
        <w:tc>
          <w:tcPr>
            <w:tcW w:w="374" w:type="pct"/>
            <w:vAlign w:val="bottom"/>
          </w:tcPr>
          <w:p w:rsidR="00A84F28" w:rsidRPr="00D24ABA" w:rsidRDefault="00A84F28" w:rsidP="00167537">
            <w:pPr>
              <w:pStyle w:val="TableBodyText"/>
              <w:spacing w:before="120"/>
              <w:rPr>
                <w:szCs w:val="24"/>
              </w:rPr>
            </w:pPr>
          </w:p>
        </w:tc>
        <w:tc>
          <w:tcPr>
            <w:tcW w:w="374" w:type="pct"/>
            <w:vAlign w:val="bottom"/>
          </w:tcPr>
          <w:p w:rsidR="00A84F28" w:rsidRPr="00D24ABA" w:rsidRDefault="00A84F28" w:rsidP="00167537">
            <w:pPr>
              <w:pStyle w:val="TableBodyText"/>
              <w:spacing w:before="120"/>
              <w:rPr>
                <w:szCs w:val="24"/>
              </w:rPr>
            </w:pPr>
          </w:p>
        </w:tc>
        <w:tc>
          <w:tcPr>
            <w:tcW w:w="374" w:type="pct"/>
            <w:vAlign w:val="bottom"/>
          </w:tcPr>
          <w:p w:rsidR="00A84F28" w:rsidRPr="00D24ABA" w:rsidRDefault="00A84F28" w:rsidP="00167537">
            <w:pPr>
              <w:pStyle w:val="TableBodyText"/>
              <w:spacing w:before="120"/>
              <w:rPr>
                <w:szCs w:val="24"/>
              </w:rPr>
            </w:pPr>
          </w:p>
        </w:tc>
        <w:tc>
          <w:tcPr>
            <w:tcW w:w="374" w:type="pct"/>
            <w:vAlign w:val="bottom"/>
          </w:tcPr>
          <w:p w:rsidR="00A84F28" w:rsidRPr="00D24ABA" w:rsidRDefault="00A84F28" w:rsidP="00167537">
            <w:pPr>
              <w:pStyle w:val="TableBodyText"/>
              <w:spacing w:before="120"/>
              <w:rPr>
                <w:szCs w:val="24"/>
              </w:rPr>
            </w:pPr>
          </w:p>
        </w:tc>
        <w:tc>
          <w:tcPr>
            <w:tcW w:w="374" w:type="pct"/>
            <w:vAlign w:val="bottom"/>
          </w:tcPr>
          <w:p w:rsidR="00A84F28" w:rsidRPr="00D24ABA" w:rsidRDefault="00A84F28" w:rsidP="00167537">
            <w:pPr>
              <w:pStyle w:val="TableBodyText"/>
              <w:spacing w:before="120"/>
              <w:rPr>
                <w:szCs w:val="24"/>
              </w:rPr>
            </w:pPr>
          </w:p>
        </w:tc>
        <w:tc>
          <w:tcPr>
            <w:tcW w:w="374" w:type="pct"/>
            <w:vAlign w:val="bottom"/>
          </w:tcPr>
          <w:p w:rsidR="00A84F28" w:rsidRPr="00D24ABA" w:rsidRDefault="00A84F28" w:rsidP="00167537">
            <w:pPr>
              <w:pStyle w:val="TableBodyText"/>
              <w:spacing w:before="120"/>
              <w:rPr>
                <w:szCs w:val="24"/>
              </w:rPr>
            </w:pPr>
          </w:p>
        </w:tc>
        <w:tc>
          <w:tcPr>
            <w:tcW w:w="375" w:type="pct"/>
            <w:vAlign w:val="bottom"/>
          </w:tcPr>
          <w:p w:rsidR="00A84F28" w:rsidRPr="00D24ABA" w:rsidRDefault="00A84F28" w:rsidP="00167537">
            <w:pPr>
              <w:pStyle w:val="TableBodyText"/>
              <w:spacing w:before="120"/>
              <w:rPr>
                <w:szCs w:val="24"/>
              </w:rPr>
            </w:pPr>
          </w:p>
        </w:tc>
      </w:tr>
      <w:tr w:rsidR="00A84F28" w:rsidRPr="00033A38" w:rsidTr="00167537">
        <w:tc>
          <w:tcPr>
            <w:tcW w:w="1633" w:type="pct"/>
          </w:tcPr>
          <w:p w:rsidR="00A84F28" w:rsidRPr="00033A38" w:rsidRDefault="00A84F28" w:rsidP="00167537">
            <w:pPr>
              <w:pStyle w:val="TableBodyText"/>
              <w:jc w:val="left"/>
            </w:pPr>
            <w:r w:rsidRPr="00033A38">
              <w:t>Agriculture</w:t>
            </w:r>
          </w:p>
        </w:tc>
        <w:tc>
          <w:tcPr>
            <w:tcW w:w="374" w:type="pct"/>
          </w:tcPr>
          <w:p w:rsidR="00A84F28" w:rsidRPr="00033A38" w:rsidRDefault="00A84F28" w:rsidP="00167537">
            <w:pPr>
              <w:pStyle w:val="TableBodyText"/>
              <w:rPr>
                <w:i/>
              </w:rPr>
            </w:pPr>
            <w:r w:rsidRPr="00033A38">
              <w:t>1.3</w:t>
            </w:r>
          </w:p>
        </w:tc>
        <w:tc>
          <w:tcPr>
            <w:tcW w:w="374" w:type="pct"/>
          </w:tcPr>
          <w:p w:rsidR="00A84F28" w:rsidRPr="00033A38" w:rsidRDefault="00A84F28" w:rsidP="00167537">
            <w:pPr>
              <w:pStyle w:val="TableBodyText"/>
              <w:rPr>
                <w:i/>
              </w:rPr>
            </w:pPr>
            <w:r w:rsidRPr="00033A38">
              <w:t>1.0</w:t>
            </w:r>
          </w:p>
        </w:tc>
        <w:tc>
          <w:tcPr>
            <w:tcW w:w="374" w:type="pct"/>
          </w:tcPr>
          <w:p w:rsidR="00A84F28" w:rsidRPr="00033A38" w:rsidRDefault="00A84F28" w:rsidP="00167537">
            <w:pPr>
              <w:pStyle w:val="TableBodyText"/>
              <w:rPr>
                <w:i/>
              </w:rPr>
            </w:pPr>
            <w:r w:rsidRPr="00033A38">
              <w:t>1.5</w:t>
            </w:r>
          </w:p>
        </w:tc>
        <w:tc>
          <w:tcPr>
            <w:tcW w:w="374" w:type="pct"/>
          </w:tcPr>
          <w:p w:rsidR="00A84F28" w:rsidRPr="00033A38" w:rsidRDefault="00A84F28" w:rsidP="00167537">
            <w:pPr>
              <w:pStyle w:val="TableBodyText"/>
              <w:rPr>
                <w:i/>
              </w:rPr>
            </w:pPr>
            <w:r w:rsidRPr="00033A38">
              <w:t>1.0</w:t>
            </w:r>
          </w:p>
        </w:tc>
        <w:tc>
          <w:tcPr>
            <w:tcW w:w="374" w:type="pct"/>
          </w:tcPr>
          <w:p w:rsidR="00A84F28" w:rsidRPr="00033A38" w:rsidRDefault="00A84F28" w:rsidP="00167537">
            <w:pPr>
              <w:pStyle w:val="TableBodyText"/>
              <w:rPr>
                <w:i/>
              </w:rPr>
            </w:pPr>
            <w:r w:rsidRPr="00033A38">
              <w:t>1.</w:t>
            </w:r>
            <w:r>
              <w:t>4</w:t>
            </w:r>
          </w:p>
        </w:tc>
        <w:tc>
          <w:tcPr>
            <w:tcW w:w="374" w:type="pct"/>
          </w:tcPr>
          <w:p w:rsidR="00A84F28" w:rsidRPr="00033A38" w:rsidRDefault="00A84F28" w:rsidP="00167537">
            <w:pPr>
              <w:pStyle w:val="TableBodyText"/>
              <w:rPr>
                <w:i/>
              </w:rPr>
            </w:pPr>
            <w:r w:rsidRPr="00033A38">
              <w:t>1.0</w:t>
            </w:r>
          </w:p>
        </w:tc>
        <w:tc>
          <w:tcPr>
            <w:tcW w:w="374" w:type="pct"/>
          </w:tcPr>
          <w:p w:rsidR="00A84F28" w:rsidRPr="00033A38" w:rsidRDefault="00A84F28" w:rsidP="00167537">
            <w:pPr>
              <w:pStyle w:val="TableBodyText"/>
              <w:rPr>
                <w:i/>
              </w:rPr>
            </w:pPr>
            <w:r w:rsidRPr="00033A38">
              <w:t>1.4</w:t>
            </w:r>
          </w:p>
        </w:tc>
        <w:tc>
          <w:tcPr>
            <w:tcW w:w="374" w:type="pct"/>
          </w:tcPr>
          <w:p w:rsidR="00A84F28" w:rsidRPr="00033A38" w:rsidRDefault="00A84F28" w:rsidP="00167537">
            <w:pPr>
              <w:pStyle w:val="TableBodyText"/>
              <w:rPr>
                <w:i/>
              </w:rPr>
            </w:pPr>
            <w:r w:rsidRPr="00033A38">
              <w:t>0.5</w:t>
            </w:r>
          </w:p>
        </w:tc>
        <w:tc>
          <w:tcPr>
            <w:tcW w:w="375" w:type="pct"/>
          </w:tcPr>
          <w:p w:rsidR="00A84F28" w:rsidRPr="00033A38" w:rsidRDefault="00A84F28" w:rsidP="00167537">
            <w:pPr>
              <w:pStyle w:val="TableBodyText"/>
              <w:rPr>
                <w:i/>
              </w:rPr>
            </w:pPr>
            <w:r w:rsidRPr="00033A38">
              <w:t>1.3</w:t>
            </w:r>
          </w:p>
        </w:tc>
      </w:tr>
      <w:tr w:rsidR="00A84F28" w:rsidRPr="00033A38" w:rsidTr="00167537">
        <w:tc>
          <w:tcPr>
            <w:tcW w:w="1633" w:type="pct"/>
            <w:shd w:val="clear" w:color="auto" w:fill="auto"/>
          </w:tcPr>
          <w:p w:rsidR="00A84F28" w:rsidRPr="00033A38" w:rsidRDefault="00A84F28" w:rsidP="00167537">
            <w:pPr>
              <w:pStyle w:val="TableBodyText"/>
              <w:jc w:val="left"/>
            </w:pPr>
            <w:r w:rsidRPr="00033A38">
              <w:t>Mining</w:t>
            </w:r>
          </w:p>
        </w:tc>
        <w:tc>
          <w:tcPr>
            <w:tcW w:w="374" w:type="pct"/>
            <w:shd w:val="clear" w:color="auto" w:fill="auto"/>
          </w:tcPr>
          <w:p w:rsidR="00A84F28" w:rsidRPr="00033A38" w:rsidRDefault="00A84F28" w:rsidP="00167537">
            <w:pPr>
              <w:pStyle w:val="TableBodyText"/>
              <w:rPr>
                <w:i/>
              </w:rPr>
            </w:pPr>
            <w:r w:rsidRPr="00033A38">
              <w:t>2.3</w:t>
            </w:r>
          </w:p>
        </w:tc>
        <w:tc>
          <w:tcPr>
            <w:tcW w:w="374" w:type="pct"/>
            <w:shd w:val="clear" w:color="auto" w:fill="auto"/>
          </w:tcPr>
          <w:p w:rsidR="00A84F28" w:rsidRPr="00033A38" w:rsidRDefault="00A84F28" w:rsidP="00167537">
            <w:pPr>
              <w:pStyle w:val="TableBodyText"/>
              <w:rPr>
                <w:i/>
              </w:rPr>
            </w:pPr>
            <w:r w:rsidRPr="00033A38">
              <w:t>0.8</w:t>
            </w:r>
          </w:p>
        </w:tc>
        <w:tc>
          <w:tcPr>
            <w:tcW w:w="374" w:type="pct"/>
            <w:shd w:val="clear" w:color="auto" w:fill="auto"/>
          </w:tcPr>
          <w:p w:rsidR="00A84F28" w:rsidRPr="00033A38" w:rsidRDefault="00A84F28" w:rsidP="00167537">
            <w:pPr>
              <w:pStyle w:val="TableBodyText"/>
              <w:rPr>
                <w:i/>
              </w:rPr>
            </w:pPr>
            <w:r w:rsidRPr="00033A38">
              <w:t>2.</w:t>
            </w:r>
            <w:r>
              <w:t>7</w:t>
            </w:r>
          </w:p>
        </w:tc>
        <w:tc>
          <w:tcPr>
            <w:tcW w:w="374" w:type="pct"/>
            <w:shd w:val="clear" w:color="auto" w:fill="auto"/>
          </w:tcPr>
          <w:p w:rsidR="00A84F28" w:rsidRPr="00033A38" w:rsidRDefault="00A84F28" w:rsidP="00167537">
            <w:pPr>
              <w:pStyle w:val="TableBodyText"/>
              <w:rPr>
                <w:i/>
              </w:rPr>
            </w:pPr>
            <w:r w:rsidRPr="00033A38">
              <w:t>1.7</w:t>
            </w:r>
          </w:p>
        </w:tc>
        <w:tc>
          <w:tcPr>
            <w:tcW w:w="374" w:type="pct"/>
            <w:shd w:val="clear" w:color="auto" w:fill="auto"/>
          </w:tcPr>
          <w:p w:rsidR="00A84F28" w:rsidRPr="00033A38" w:rsidRDefault="00A84F28" w:rsidP="00167537">
            <w:pPr>
              <w:pStyle w:val="TableBodyText"/>
              <w:rPr>
                <w:i/>
              </w:rPr>
            </w:pPr>
            <w:r w:rsidRPr="00033A38">
              <w:t>2.7</w:t>
            </w:r>
          </w:p>
        </w:tc>
        <w:tc>
          <w:tcPr>
            <w:tcW w:w="374" w:type="pct"/>
            <w:shd w:val="clear" w:color="auto" w:fill="auto"/>
          </w:tcPr>
          <w:p w:rsidR="00A84F28" w:rsidRPr="00033A38" w:rsidRDefault="00A84F28" w:rsidP="00167537">
            <w:pPr>
              <w:pStyle w:val="TableBodyText"/>
              <w:rPr>
                <w:i/>
              </w:rPr>
            </w:pPr>
            <w:r w:rsidRPr="00033A38">
              <w:t>2.3</w:t>
            </w:r>
          </w:p>
        </w:tc>
        <w:tc>
          <w:tcPr>
            <w:tcW w:w="374" w:type="pct"/>
            <w:shd w:val="clear" w:color="auto" w:fill="auto"/>
          </w:tcPr>
          <w:p w:rsidR="00A84F28" w:rsidRPr="00033A38" w:rsidRDefault="00A84F28" w:rsidP="00167537">
            <w:pPr>
              <w:pStyle w:val="TableBodyText"/>
              <w:rPr>
                <w:i/>
              </w:rPr>
            </w:pPr>
            <w:r w:rsidRPr="00033A38">
              <w:t>2.3</w:t>
            </w:r>
          </w:p>
        </w:tc>
        <w:tc>
          <w:tcPr>
            <w:tcW w:w="374" w:type="pct"/>
            <w:shd w:val="clear" w:color="auto" w:fill="auto"/>
          </w:tcPr>
          <w:p w:rsidR="00A84F28" w:rsidRPr="00033A38" w:rsidRDefault="00A84F28" w:rsidP="00167537">
            <w:pPr>
              <w:pStyle w:val="TableBodyText"/>
              <w:rPr>
                <w:i/>
              </w:rPr>
            </w:pPr>
            <w:r>
              <w:t>..</w:t>
            </w:r>
          </w:p>
        </w:tc>
        <w:tc>
          <w:tcPr>
            <w:tcW w:w="375" w:type="pct"/>
            <w:shd w:val="clear" w:color="auto" w:fill="auto"/>
          </w:tcPr>
          <w:p w:rsidR="00A84F28" w:rsidRPr="00033A38" w:rsidRDefault="00A84F28" w:rsidP="00167537">
            <w:pPr>
              <w:pStyle w:val="TableBodyText"/>
              <w:rPr>
                <w:i/>
              </w:rPr>
            </w:pPr>
            <w:r w:rsidRPr="00033A38">
              <w:t>2.5</w:t>
            </w:r>
          </w:p>
        </w:tc>
      </w:tr>
      <w:tr w:rsidR="00A84F28" w:rsidRPr="00033A38" w:rsidTr="00167537">
        <w:tc>
          <w:tcPr>
            <w:tcW w:w="1633" w:type="pct"/>
            <w:shd w:val="clear" w:color="auto" w:fill="auto"/>
          </w:tcPr>
          <w:p w:rsidR="00A84F28" w:rsidRPr="00033A38" w:rsidRDefault="00A84F28" w:rsidP="00167537">
            <w:pPr>
              <w:pStyle w:val="TableBodyText"/>
              <w:jc w:val="left"/>
            </w:pPr>
            <w:r w:rsidRPr="00033A38">
              <w:t>Manufacturing</w:t>
            </w:r>
          </w:p>
        </w:tc>
        <w:tc>
          <w:tcPr>
            <w:tcW w:w="374" w:type="pct"/>
            <w:shd w:val="clear" w:color="auto" w:fill="auto"/>
          </w:tcPr>
          <w:p w:rsidR="00A84F28" w:rsidRPr="00033A38" w:rsidRDefault="00A84F28" w:rsidP="00167537">
            <w:pPr>
              <w:pStyle w:val="TableBodyText"/>
              <w:rPr>
                <w:i/>
              </w:rPr>
            </w:pPr>
            <w:r w:rsidRPr="00033A38">
              <w:t>0.</w:t>
            </w:r>
            <w:r>
              <w:t>8</w:t>
            </w:r>
          </w:p>
        </w:tc>
        <w:tc>
          <w:tcPr>
            <w:tcW w:w="374" w:type="pct"/>
            <w:shd w:val="clear" w:color="auto" w:fill="auto"/>
          </w:tcPr>
          <w:p w:rsidR="00A84F28" w:rsidRPr="00033A38" w:rsidRDefault="00A84F28" w:rsidP="00167537">
            <w:pPr>
              <w:pStyle w:val="TableBodyText"/>
              <w:rPr>
                <w:i/>
              </w:rPr>
            </w:pPr>
            <w:r w:rsidRPr="00033A38">
              <w:t>-4.</w:t>
            </w:r>
            <w:r>
              <w:t>8</w:t>
            </w:r>
          </w:p>
        </w:tc>
        <w:tc>
          <w:tcPr>
            <w:tcW w:w="374" w:type="pct"/>
            <w:shd w:val="clear" w:color="auto" w:fill="auto"/>
          </w:tcPr>
          <w:p w:rsidR="00A84F28" w:rsidRPr="00033A38" w:rsidRDefault="00A84F28" w:rsidP="00167537">
            <w:pPr>
              <w:pStyle w:val="TableBodyText"/>
              <w:rPr>
                <w:i/>
              </w:rPr>
            </w:pPr>
            <w:r w:rsidRPr="00033A38">
              <w:t>1.5</w:t>
            </w:r>
          </w:p>
        </w:tc>
        <w:tc>
          <w:tcPr>
            <w:tcW w:w="374" w:type="pct"/>
            <w:shd w:val="clear" w:color="auto" w:fill="auto"/>
          </w:tcPr>
          <w:p w:rsidR="00A84F28" w:rsidRPr="00033A38" w:rsidRDefault="00A84F28" w:rsidP="00167537">
            <w:pPr>
              <w:pStyle w:val="TableBodyText"/>
              <w:rPr>
                <w:i/>
              </w:rPr>
            </w:pPr>
            <w:r w:rsidRPr="00033A38">
              <w:t>-4.6</w:t>
            </w:r>
          </w:p>
        </w:tc>
        <w:tc>
          <w:tcPr>
            <w:tcW w:w="374" w:type="pct"/>
            <w:shd w:val="clear" w:color="auto" w:fill="auto"/>
          </w:tcPr>
          <w:p w:rsidR="00A84F28" w:rsidRPr="00033A38" w:rsidRDefault="00A84F28" w:rsidP="00167537">
            <w:pPr>
              <w:pStyle w:val="TableBodyText"/>
              <w:rPr>
                <w:i/>
              </w:rPr>
            </w:pPr>
            <w:r>
              <w:t>1.9</w:t>
            </w:r>
          </w:p>
        </w:tc>
        <w:tc>
          <w:tcPr>
            <w:tcW w:w="374" w:type="pct"/>
            <w:shd w:val="clear" w:color="auto" w:fill="auto"/>
          </w:tcPr>
          <w:p w:rsidR="00A84F28" w:rsidRPr="00033A38" w:rsidRDefault="00A84F28" w:rsidP="00167537">
            <w:pPr>
              <w:pStyle w:val="TableBodyText"/>
              <w:rPr>
                <w:i/>
              </w:rPr>
            </w:pPr>
            <w:r w:rsidRPr="00033A38">
              <w:t>1.3</w:t>
            </w:r>
          </w:p>
        </w:tc>
        <w:tc>
          <w:tcPr>
            <w:tcW w:w="374" w:type="pct"/>
            <w:shd w:val="clear" w:color="auto" w:fill="auto"/>
          </w:tcPr>
          <w:p w:rsidR="00A84F28" w:rsidRPr="00033A38" w:rsidRDefault="00A84F28" w:rsidP="00167537">
            <w:pPr>
              <w:pStyle w:val="TableBodyText"/>
              <w:rPr>
                <w:i/>
              </w:rPr>
            </w:pPr>
            <w:r w:rsidRPr="00033A38">
              <w:t>1.7</w:t>
            </w:r>
          </w:p>
        </w:tc>
        <w:tc>
          <w:tcPr>
            <w:tcW w:w="374" w:type="pct"/>
            <w:shd w:val="clear" w:color="auto" w:fill="auto"/>
          </w:tcPr>
          <w:p w:rsidR="00A84F28" w:rsidRPr="00033A38" w:rsidRDefault="00A84F28" w:rsidP="00167537">
            <w:pPr>
              <w:pStyle w:val="TableBodyText"/>
              <w:rPr>
                <w:i/>
              </w:rPr>
            </w:pPr>
            <w:r w:rsidRPr="00033A38">
              <w:t>0.6</w:t>
            </w:r>
          </w:p>
        </w:tc>
        <w:tc>
          <w:tcPr>
            <w:tcW w:w="375" w:type="pct"/>
            <w:shd w:val="clear" w:color="auto" w:fill="auto"/>
          </w:tcPr>
          <w:p w:rsidR="00A84F28" w:rsidRPr="00033A38" w:rsidRDefault="00A84F28" w:rsidP="00167537">
            <w:pPr>
              <w:pStyle w:val="TableBodyText"/>
              <w:rPr>
                <w:i/>
              </w:rPr>
            </w:pPr>
            <w:r w:rsidRPr="00033A38">
              <w:t>-1.2</w:t>
            </w:r>
          </w:p>
        </w:tc>
      </w:tr>
      <w:tr w:rsidR="00A84F28" w:rsidRPr="005521C3" w:rsidTr="00167537">
        <w:tc>
          <w:tcPr>
            <w:tcW w:w="1633" w:type="pct"/>
          </w:tcPr>
          <w:p w:rsidR="00A84F28" w:rsidRPr="0028786B" w:rsidRDefault="00A84F28" w:rsidP="00167537">
            <w:pPr>
              <w:pStyle w:val="TableBodyText"/>
              <w:tabs>
                <w:tab w:val="left" w:pos="315"/>
              </w:tabs>
              <w:jc w:val="left"/>
              <w:rPr>
                <w:i/>
              </w:rPr>
            </w:pPr>
            <w:r w:rsidRPr="0028786B">
              <w:rPr>
                <w:i/>
              </w:rPr>
              <w:t>of which:</w:t>
            </w:r>
          </w:p>
        </w:tc>
        <w:tc>
          <w:tcPr>
            <w:tcW w:w="374" w:type="pct"/>
          </w:tcPr>
          <w:p w:rsidR="00A84F28" w:rsidRPr="0028786B" w:rsidRDefault="00A84F28" w:rsidP="00167537">
            <w:pPr>
              <w:pStyle w:val="TableBodyText"/>
              <w:rPr>
                <w:i/>
                <w:szCs w:val="24"/>
              </w:rPr>
            </w:pPr>
          </w:p>
        </w:tc>
        <w:tc>
          <w:tcPr>
            <w:tcW w:w="374" w:type="pct"/>
          </w:tcPr>
          <w:p w:rsidR="00A84F28" w:rsidRPr="0028786B" w:rsidRDefault="00A84F28" w:rsidP="00167537">
            <w:pPr>
              <w:pStyle w:val="TableBodyText"/>
              <w:rPr>
                <w:i/>
                <w:szCs w:val="24"/>
              </w:rPr>
            </w:pPr>
          </w:p>
        </w:tc>
        <w:tc>
          <w:tcPr>
            <w:tcW w:w="374" w:type="pct"/>
          </w:tcPr>
          <w:p w:rsidR="00A84F28" w:rsidRPr="0028786B" w:rsidRDefault="00A84F28" w:rsidP="00167537">
            <w:pPr>
              <w:pStyle w:val="TableBodyText"/>
              <w:rPr>
                <w:i/>
                <w:szCs w:val="24"/>
              </w:rPr>
            </w:pPr>
          </w:p>
        </w:tc>
        <w:tc>
          <w:tcPr>
            <w:tcW w:w="374" w:type="pct"/>
          </w:tcPr>
          <w:p w:rsidR="00A84F28" w:rsidRPr="0028786B" w:rsidRDefault="00A84F28" w:rsidP="00167537">
            <w:pPr>
              <w:pStyle w:val="TableBodyText"/>
              <w:rPr>
                <w:i/>
                <w:szCs w:val="24"/>
              </w:rPr>
            </w:pPr>
          </w:p>
        </w:tc>
        <w:tc>
          <w:tcPr>
            <w:tcW w:w="374" w:type="pct"/>
          </w:tcPr>
          <w:p w:rsidR="00A84F28" w:rsidRPr="0028786B" w:rsidRDefault="00A84F28" w:rsidP="00167537">
            <w:pPr>
              <w:pStyle w:val="TableBodyText"/>
              <w:rPr>
                <w:i/>
                <w:szCs w:val="24"/>
              </w:rPr>
            </w:pPr>
          </w:p>
        </w:tc>
        <w:tc>
          <w:tcPr>
            <w:tcW w:w="374" w:type="pct"/>
          </w:tcPr>
          <w:p w:rsidR="00A84F28" w:rsidRPr="0028786B" w:rsidRDefault="00A84F28" w:rsidP="00167537">
            <w:pPr>
              <w:pStyle w:val="TableBodyText"/>
              <w:rPr>
                <w:i/>
                <w:szCs w:val="24"/>
              </w:rPr>
            </w:pPr>
          </w:p>
        </w:tc>
        <w:tc>
          <w:tcPr>
            <w:tcW w:w="374" w:type="pct"/>
          </w:tcPr>
          <w:p w:rsidR="00A84F28" w:rsidRPr="0028786B" w:rsidRDefault="00A84F28" w:rsidP="00167537">
            <w:pPr>
              <w:pStyle w:val="TableBodyText"/>
              <w:rPr>
                <w:i/>
                <w:szCs w:val="24"/>
              </w:rPr>
            </w:pPr>
          </w:p>
        </w:tc>
        <w:tc>
          <w:tcPr>
            <w:tcW w:w="374" w:type="pct"/>
          </w:tcPr>
          <w:p w:rsidR="00A84F28" w:rsidRPr="0028786B" w:rsidRDefault="00A84F28" w:rsidP="00167537">
            <w:pPr>
              <w:pStyle w:val="TableBodyText"/>
              <w:rPr>
                <w:i/>
                <w:szCs w:val="24"/>
              </w:rPr>
            </w:pPr>
          </w:p>
        </w:tc>
        <w:tc>
          <w:tcPr>
            <w:tcW w:w="375" w:type="pct"/>
          </w:tcPr>
          <w:p w:rsidR="00A84F28" w:rsidRPr="0028786B" w:rsidRDefault="00A84F28" w:rsidP="00167537">
            <w:pPr>
              <w:pStyle w:val="TableBodyText"/>
              <w:rPr>
                <w:i/>
                <w:szCs w:val="24"/>
              </w:rPr>
            </w:pPr>
          </w:p>
        </w:tc>
      </w:tr>
      <w:tr w:rsidR="00A84F28" w:rsidRPr="00033A38" w:rsidTr="00167537">
        <w:tc>
          <w:tcPr>
            <w:tcW w:w="1633" w:type="pct"/>
            <w:shd w:val="clear" w:color="auto" w:fill="auto"/>
          </w:tcPr>
          <w:p w:rsidR="00A84F28" w:rsidRPr="00033A38" w:rsidRDefault="00A84F28" w:rsidP="00167537">
            <w:pPr>
              <w:pStyle w:val="TableBodyText"/>
              <w:ind w:left="284"/>
              <w:jc w:val="left"/>
            </w:pPr>
            <w:proofErr w:type="spellStart"/>
            <w:r w:rsidRPr="00033A38">
              <w:t>PMV</w:t>
            </w:r>
            <w:proofErr w:type="spellEnd"/>
            <w:r w:rsidRPr="00033A38">
              <w:t xml:space="preserve"> manufacturing</w:t>
            </w:r>
          </w:p>
        </w:tc>
        <w:tc>
          <w:tcPr>
            <w:tcW w:w="374" w:type="pct"/>
            <w:shd w:val="clear" w:color="auto" w:fill="auto"/>
          </w:tcPr>
          <w:p w:rsidR="00A84F28" w:rsidRPr="00033A38" w:rsidRDefault="00A84F28" w:rsidP="00167537">
            <w:pPr>
              <w:pStyle w:val="TableBodyText"/>
              <w:rPr>
                <w:i/>
              </w:rPr>
            </w:pPr>
            <w:proofErr w:type="spellStart"/>
            <w:r w:rsidRPr="00033A38">
              <w:t>na</w:t>
            </w:r>
            <w:proofErr w:type="spellEnd"/>
          </w:p>
        </w:tc>
        <w:tc>
          <w:tcPr>
            <w:tcW w:w="374" w:type="pct"/>
            <w:shd w:val="clear" w:color="auto" w:fill="auto"/>
          </w:tcPr>
          <w:p w:rsidR="00A84F28" w:rsidRPr="0028786B" w:rsidRDefault="00A84F28" w:rsidP="00167537">
            <w:pPr>
              <w:pStyle w:val="TableBodyText"/>
              <w:framePr w:w="2155" w:hSpace="227" w:vSpace="181" w:wrap="around" w:vAnchor="text" w:hAnchor="page" w:xAlign="outside" w:y="1"/>
            </w:pPr>
            <w:r w:rsidRPr="00033A38">
              <w:t>-98</w:t>
            </w:r>
          </w:p>
        </w:tc>
        <w:tc>
          <w:tcPr>
            <w:tcW w:w="374" w:type="pct"/>
            <w:shd w:val="clear" w:color="auto" w:fill="auto"/>
          </w:tcPr>
          <w:p w:rsidR="00A84F28" w:rsidRPr="00033A38" w:rsidRDefault="00A84F28" w:rsidP="00167537">
            <w:pPr>
              <w:pStyle w:val="TableBodyText"/>
              <w:rPr>
                <w:i/>
              </w:rPr>
            </w:pPr>
            <w:proofErr w:type="spellStart"/>
            <w:r w:rsidRPr="00033A38">
              <w:t>na</w:t>
            </w:r>
            <w:proofErr w:type="spellEnd"/>
          </w:p>
        </w:tc>
        <w:tc>
          <w:tcPr>
            <w:tcW w:w="374" w:type="pct"/>
            <w:shd w:val="clear" w:color="auto" w:fill="auto"/>
          </w:tcPr>
          <w:p w:rsidR="00A84F28" w:rsidRPr="0028786B" w:rsidRDefault="00A84F28" w:rsidP="00167537">
            <w:pPr>
              <w:pStyle w:val="TableBodyText"/>
              <w:framePr w:w="2155" w:hSpace="227" w:vSpace="181" w:wrap="around" w:vAnchor="text" w:hAnchor="page" w:xAlign="outside" w:y="1"/>
            </w:pPr>
            <w:r w:rsidRPr="00033A38">
              <w:t>-98</w:t>
            </w:r>
          </w:p>
        </w:tc>
        <w:tc>
          <w:tcPr>
            <w:tcW w:w="374" w:type="pct"/>
            <w:shd w:val="clear" w:color="auto" w:fill="auto"/>
          </w:tcPr>
          <w:p w:rsidR="00A84F28" w:rsidRPr="00033A38" w:rsidRDefault="00A84F28" w:rsidP="00167537">
            <w:pPr>
              <w:pStyle w:val="TableBodyText"/>
              <w:rPr>
                <w:i/>
              </w:rPr>
            </w:pPr>
            <w:proofErr w:type="spellStart"/>
            <w:r w:rsidRPr="00033A38">
              <w:t>na</w:t>
            </w:r>
            <w:proofErr w:type="spellEnd"/>
          </w:p>
        </w:tc>
        <w:tc>
          <w:tcPr>
            <w:tcW w:w="374" w:type="pct"/>
            <w:shd w:val="clear" w:color="auto" w:fill="auto"/>
          </w:tcPr>
          <w:p w:rsidR="00A84F28" w:rsidRPr="00033A38" w:rsidRDefault="00A84F28" w:rsidP="00167537">
            <w:pPr>
              <w:pStyle w:val="TableBodyText"/>
              <w:rPr>
                <w:i/>
              </w:rPr>
            </w:pPr>
            <w:proofErr w:type="spellStart"/>
            <w:r w:rsidRPr="00033A38">
              <w:t>na</w:t>
            </w:r>
            <w:proofErr w:type="spellEnd"/>
          </w:p>
        </w:tc>
        <w:tc>
          <w:tcPr>
            <w:tcW w:w="374" w:type="pct"/>
            <w:shd w:val="clear" w:color="auto" w:fill="auto"/>
          </w:tcPr>
          <w:p w:rsidR="00A84F28" w:rsidRPr="00033A38" w:rsidRDefault="00A84F28" w:rsidP="00167537">
            <w:pPr>
              <w:pStyle w:val="TableBodyText"/>
              <w:rPr>
                <w:i/>
              </w:rPr>
            </w:pPr>
            <w:proofErr w:type="spellStart"/>
            <w:r w:rsidRPr="00033A38">
              <w:t>na</w:t>
            </w:r>
            <w:proofErr w:type="spellEnd"/>
          </w:p>
        </w:tc>
        <w:tc>
          <w:tcPr>
            <w:tcW w:w="374" w:type="pct"/>
            <w:shd w:val="clear" w:color="auto" w:fill="auto"/>
          </w:tcPr>
          <w:p w:rsidR="00A84F28" w:rsidRPr="00033A38" w:rsidRDefault="00A84F28" w:rsidP="00167537">
            <w:pPr>
              <w:pStyle w:val="TableBodyText"/>
              <w:rPr>
                <w:i/>
              </w:rPr>
            </w:pPr>
            <w:proofErr w:type="spellStart"/>
            <w:r w:rsidRPr="00033A38">
              <w:t>na</w:t>
            </w:r>
            <w:proofErr w:type="spellEnd"/>
          </w:p>
        </w:tc>
        <w:tc>
          <w:tcPr>
            <w:tcW w:w="375" w:type="pct"/>
            <w:shd w:val="clear" w:color="auto" w:fill="auto"/>
          </w:tcPr>
          <w:p w:rsidR="00A84F28" w:rsidRPr="0028786B" w:rsidRDefault="00A84F28" w:rsidP="00167537">
            <w:pPr>
              <w:pStyle w:val="TableBodyText"/>
              <w:framePr w:w="2155" w:hSpace="227" w:vSpace="181" w:wrap="around" w:vAnchor="text" w:hAnchor="page" w:xAlign="outside" w:y="1"/>
            </w:pPr>
            <w:r w:rsidRPr="00033A38">
              <w:t>-98</w:t>
            </w:r>
          </w:p>
        </w:tc>
      </w:tr>
      <w:tr w:rsidR="00A84F28" w:rsidRPr="00033A38" w:rsidTr="00167537">
        <w:tc>
          <w:tcPr>
            <w:tcW w:w="1633" w:type="pct"/>
            <w:shd w:val="clear" w:color="auto" w:fill="auto"/>
          </w:tcPr>
          <w:p w:rsidR="00A84F28" w:rsidRPr="00033A38" w:rsidRDefault="00A84F28" w:rsidP="00167537">
            <w:pPr>
              <w:pStyle w:val="TableBodyText"/>
              <w:tabs>
                <w:tab w:val="left" w:pos="315"/>
              </w:tabs>
              <w:ind w:left="284"/>
              <w:jc w:val="left"/>
            </w:pPr>
            <w:r w:rsidRPr="00033A38">
              <w:t>Automotive components</w:t>
            </w:r>
          </w:p>
        </w:tc>
        <w:tc>
          <w:tcPr>
            <w:tcW w:w="374" w:type="pct"/>
            <w:shd w:val="clear" w:color="auto" w:fill="auto"/>
          </w:tcPr>
          <w:p w:rsidR="00A84F28" w:rsidRPr="00033A38" w:rsidRDefault="00A84F28" w:rsidP="00167537">
            <w:pPr>
              <w:pStyle w:val="TableBodyText"/>
              <w:rPr>
                <w:i/>
              </w:rPr>
            </w:pPr>
            <w:r w:rsidRPr="00033A38">
              <w:t>-2.4</w:t>
            </w:r>
          </w:p>
        </w:tc>
        <w:tc>
          <w:tcPr>
            <w:tcW w:w="374" w:type="pct"/>
            <w:shd w:val="clear" w:color="auto" w:fill="auto"/>
          </w:tcPr>
          <w:p w:rsidR="00A84F28" w:rsidRPr="0028786B" w:rsidRDefault="00A84F28" w:rsidP="00167537">
            <w:pPr>
              <w:pStyle w:val="TableBodyText"/>
              <w:framePr w:w="2155" w:hSpace="227" w:vSpace="181" w:wrap="around" w:vAnchor="text" w:hAnchor="page" w:xAlign="outside" w:y="1"/>
            </w:pPr>
            <w:r w:rsidRPr="00033A38">
              <w:t>-58</w:t>
            </w:r>
          </w:p>
        </w:tc>
        <w:tc>
          <w:tcPr>
            <w:tcW w:w="374" w:type="pct"/>
            <w:shd w:val="clear" w:color="auto" w:fill="auto"/>
          </w:tcPr>
          <w:p w:rsidR="00A84F28" w:rsidRPr="00033A38" w:rsidRDefault="00A84F28" w:rsidP="00167537">
            <w:pPr>
              <w:pStyle w:val="TableBodyText"/>
              <w:rPr>
                <w:i/>
              </w:rPr>
            </w:pPr>
            <w:r w:rsidRPr="00033A38">
              <w:t>1.</w:t>
            </w:r>
            <w:r>
              <w:t>1</w:t>
            </w:r>
          </w:p>
        </w:tc>
        <w:tc>
          <w:tcPr>
            <w:tcW w:w="374" w:type="pct"/>
            <w:shd w:val="clear" w:color="auto" w:fill="auto"/>
          </w:tcPr>
          <w:p w:rsidR="00A84F28" w:rsidRPr="0028786B" w:rsidRDefault="00A84F28" w:rsidP="00167537">
            <w:pPr>
              <w:pStyle w:val="TableBodyText"/>
              <w:framePr w:w="2155" w:hSpace="227" w:vSpace="181" w:wrap="around" w:vAnchor="text" w:hAnchor="page" w:xAlign="outside" w:y="1"/>
            </w:pPr>
            <w:r w:rsidRPr="00033A38">
              <w:t>-58</w:t>
            </w:r>
          </w:p>
        </w:tc>
        <w:tc>
          <w:tcPr>
            <w:tcW w:w="374" w:type="pct"/>
            <w:shd w:val="clear" w:color="auto" w:fill="auto"/>
          </w:tcPr>
          <w:p w:rsidR="00A84F28" w:rsidRPr="00033A38" w:rsidRDefault="00A84F28" w:rsidP="00167537">
            <w:pPr>
              <w:pStyle w:val="TableBodyText"/>
              <w:rPr>
                <w:i/>
              </w:rPr>
            </w:pPr>
            <w:r w:rsidRPr="00033A38">
              <w:t>1.</w:t>
            </w:r>
            <w:r>
              <w:t>8</w:t>
            </w:r>
          </w:p>
        </w:tc>
        <w:tc>
          <w:tcPr>
            <w:tcW w:w="374" w:type="pct"/>
            <w:shd w:val="clear" w:color="auto" w:fill="auto"/>
          </w:tcPr>
          <w:p w:rsidR="00A84F28" w:rsidRPr="00033A38" w:rsidRDefault="00A84F28" w:rsidP="00167537">
            <w:pPr>
              <w:pStyle w:val="TableBodyText"/>
              <w:rPr>
                <w:i/>
              </w:rPr>
            </w:pPr>
            <w:r>
              <w:t>1.0</w:t>
            </w:r>
          </w:p>
        </w:tc>
        <w:tc>
          <w:tcPr>
            <w:tcW w:w="374" w:type="pct"/>
            <w:shd w:val="clear" w:color="auto" w:fill="auto"/>
          </w:tcPr>
          <w:p w:rsidR="00A84F28" w:rsidRPr="00033A38" w:rsidRDefault="00A84F28" w:rsidP="00167537">
            <w:pPr>
              <w:pStyle w:val="TableBodyText"/>
              <w:rPr>
                <w:i/>
              </w:rPr>
            </w:pPr>
            <w:r>
              <w:t>1.0</w:t>
            </w:r>
          </w:p>
        </w:tc>
        <w:tc>
          <w:tcPr>
            <w:tcW w:w="374" w:type="pct"/>
            <w:shd w:val="clear" w:color="auto" w:fill="auto"/>
          </w:tcPr>
          <w:p w:rsidR="00A84F28" w:rsidRPr="00033A38" w:rsidRDefault="00A84F28" w:rsidP="00167537">
            <w:pPr>
              <w:pStyle w:val="TableBodyText"/>
              <w:rPr>
                <w:i/>
              </w:rPr>
            </w:pPr>
            <w:r>
              <w:t>0.2</w:t>
            </w:r>
          </w:p>
        </w:tc>
        <w:tc>
          <w:tcPr>
            <w:tcW w:w="375" w:type="pct"/>
            <w:shd w:val="clear" w:color="auto" w:fill="auto"/>
          </w:tcPr>
          <w:p w:rsidR="00A84F28" w:rsidRPr="0028786B" w:rsidRDefault="00A84F28" w:rsidP="00167537">
            <w:pPr>
              <w:pStyle w:val="TableBodyText"/>
              <w:framePr w:w="2155" w:hSpace="227" w:vSpace="181" w:wrap="around" w:vAnchor="text" w:hAnchor="page" w:xAlign="outside" w:y="1"/>
            </w:pPr>
            <w:r w:rsidRPr="00033A38">
              <w:t>-40</w:t>
            </w:r>
          </w:p>
        </w:tc>
      </w:tr>
      <w:tr w:rsidR="00A84F28" w:rsidRPr="00033A38" w:rsidTr="00167537">
        <w:tc>
          <w:tcPr>
            <w:tcW w:w="1633" w:type="pct"/>
          </w:tcPr>
          <w:p w:rsidR="00A84F28" w:rsidRPr="00033A38" w:rsidRDefault="00A84F28" w:rsidP="00167537">
            <w:pPr>
              <w:pStyle w:val="TableBodyText"/>
              <w:tabs>
                <w:tab w:val="left" w:pos="315"/>
              </w:tabs>
              <w:ind w:left="284"/>
              <w:jc w:val="left"/>
            </w:pPr>
            <w:r w:rsidRPr="00033A38">
              <w:t>Other manufacturing</w:t>
            </w:r>
          </w:p>
        </w:tc>
        <w:tc>
          <w:tcPr>
            <w:tcW w:w="374" w:type="pct"/>
          </w:tcPr>
          <w:p w:rsidR="00A84F28" w:rsidRPr="00033A38" w:rsidRDefault="00A84F28" w:rsidP="00167537">
            <w:pPr>
              <w:pStyle w:val="TableBodyText"/>
              <w:rPr>
                <w:i/>
              </w:rPr>
            </w:pPr>
            <w:r w:rsidRPr="00033A38">
              <w:t>0.9</w:t>
            </w:r>
          </w:p>
        </w:tc>
        <w:tc>
          <w:tcPr>
            <w:tcW w:w="374" w:type="pct"/>
          </w:tcPr>
          <w:p w:rsidR="00A84F28" w:rsidRPr="00033A38" w:rsidRDefault="00A84F28" w:rsidP="00167537">
            <w:pPr>
              <w:pStyle w:val="TableBodyText"/>
              <w:rPr>
                <w:i/>
              </w:rPr>
            </w:pPr>
            <w:r w:rsidRPr="00033A38">
              <w:t>-0.5</w:t>
            </w:r>
          </w:p>
        </w:tc>
        <w:tc>
          <w:tcPr>
            <w:tcW w:w="374" w:type="pct"/>
          </w:tcPr>
          <w:p w:rsidR="00A84F28" w:rsidRPr="00033A38" w:rsidRDefault="00A84F28" w:rsidP="00167537">
            <w:pPr>
              <w:pStyle w:val="TableBodyText"/>
              <w:rPr>
                <w:i/>
              </w:rPr>
            </w:pPr>
            <w:r w:rsidRPr="00033A38">
              <w:t>1.5</w:t>
            </w:r>
          </w:p>
        </w:tc>
        <w:tc>
          <w:tcPr>
            <w:tcW w:w="374" w:type="pct"/>
          </w:tcPr>
          <w:p w:rsidR="00A84F28" w:rsidRPr="00033A38" w:rsidRDefault="00A84F28" w:rsidP="00167537">
            <w:pPr>
              <w:pStyle w:val="TableBodyText"/>
              <w:rPr>
                <w:i/>
              </w:rPr>
            </w:pPr>
            <w:r w:rsidRPr="00033A38">
              <w:t>-0.8</w:t>
            </w:r>
          </w:p>
        </w:tc>
        <w:tc>
          <w:tcPr>
            <w:tcW w:w="374" w:type="pct"/>
          </w:tcPr>
          <w:p w:rsidR="00A84F28" w:rsidRPr="00033A38" w:rsidRDefault="00A84F28" w:rsidP="00167537">
            <w:pPr>
              <w:pStyle w:val="TableBodyText"/>
              <w:rPr>
                <w:i/>
              </w:rPr>
            </w:pPr>
            <w:r w:rsidRPr="00033A38">
              <w:t>2.0</w:t>
            </w:r>
          </w:p>
        </w:tc>
        <w:tc>
          <w:tcPr>
            <w:tcW w:w="374" w:type="pct"/>
          </w:tcPr>
          <w:p w:rsidR="00A84F28" w:rsidRPr="00033A38" w:rsidRDefault="00A84F28" w:rsidP="00167537">
            <w:pPr>
              <w:pStyle w:val="TableBodyText"/>
              <w:rPr>
                <w:i/>
              </w:rPr>
            </w:pPr>
            <w:r w:rsidRPr="00033A38">
              <w:t>1.3</w:t>
            </w:r>
          </w:p>
        </w:tc>
        <w:tc>
          <w:tcPr>
            <w:tcW w:w="374" w:type="pct"/>
          </w:tcPr>
          <w:p w:rsidR="00A84F28" w:rsidRPr="00033A38" w:rsidRDefault="00A84F28" w:rsidP="00167537">
            <w:pPr>
              <w:pStyle w:val="TableBodyText"/>
              <w:rPr>
                <w:i/>
              </w:rPr>
            </w:pPr>
            <w:r w:rsidRPr="00033A38">
              <w:t>1.7</w:t>
            </w:r>
          </w:p>
        </w:tc>
        <w:tc>
          <w:tcPr>
            <w:tcW w:w="374" w:type="pct"/>
          </w:tcPr>
          <w:p w:rsidR="00A84F28" w:rsidRPr="00033A38" w:rsidRDefault="00A84F28" w:rsidP="00167537">
            <w:pPr>
              <w:pStyle w:val="TableBodyText"/>
              <w:rPr>
                <w:i/>
              </w:rPr>
            </w:pPr>
            <w:r w:rsidRPr="00033A38">
              <w:t>0.6</w:t>
            </w:r>
          </w:p>
        </w:tc>
        <w:tc>
          <w:tcPr>
            <w:tcW w:w="375" w:type="pct"/>
          </w:tcPr>
          <w:p w:rsidR="00A84F28" w:rsidRPr="00033A38" w:rsidRDefault="00A84F28" w:rsidP="00167537">
            <w:pPr>
              <w:pStyle w:val="TableBodyText"/>
              <w:rPr>
                <w:i/>
              </w:rPr>
            </w:pPr>
            <w:r w:rsidRPr="00033A38">
              <w:t>0.5</w:t>
            </w:r>
          </w:p>
        </w:tc>
      </w:tr>
      <w:tr w:rsidR="00A84F28" w:rsidRPr="00033A38" w:rsidTr="00167537">
        <w:tc>
          <w:tcPr>
            <w:tcW w:w="1633" w:type="pct"/>
            <w:tcBorders>
              <w:bottom w:val="single" w:sz="4" w:space="0" w:color="auto"/>
            </w:tcBorders>
            <w:shd w:val="clear" w:color="auto" w:fill="auto"/>
          </w:tcPr>
          <w:p w:rsidR="00A84F28" w:rsidRPr="00033A38" w:rsidRDefault="00A84F28" w:rsidP="00167537">
            <w:pPr>
              <w:pStyle w:val="TableBodyText"/>
              <w:jc w:val="left"/>
            </w:pPr>
            <w:r w:rsidRPr="00033A38">
              <w:t>Services</w:t>
            </w:r>
          </w:p>
        </w:tc>
        <w:tc>
          <w:tcPr>
            <w:tcW w:w="374" w:type="pct"/>
            <w:tcBorders>
              <w:bottom w:val="single" w:sz="4" w:space="0" w:color="auto"/>
            </w:tcBorders>
            <w:shd w:val="clear" w:color="auto" w:fill="auto"/>
          </w:tcPr>
          <w:p w:rsidR="00A84F28" w:rsidRPr="00033A38" w:rsidRDefault="00A84F28" w:rsidP="00167537">
            <w:pPr>
              <w:pStyle w:val="TableBodyText"/>
              <w:rPr>
                <w:i/>
              </w:rPr>
            </w:pPr>
            <w:r w:rsidRPr="00033A38">
              <w:t>0.5</w:t>
            </w:r>
          </w:p>
        </w:tc>
        <w:tc>
          <w:tcPr>
            <w:tcW w:w="374" w:type="pct"/>
            <w:tcBorders>
              <w:bottom w:val="single" w:sz="4" w:space="0" w:color="auto"/>
            </w:tcBorders>
            <w:shd w:val="clear" w:color="auto" w:fill="auto"/>
          </w:tcPr>
          <w:p w:rsidR="00A84F28" w:rsidRPr="00033A38" w:rsidRDefault="00A84F28" w:rsidP="00167537">
            <w:pPr>
              <w:pStyle w:val="TableBodyText"/>
              <w:rPr>
                <w:i/>
              </w:rPr>
            </w:pPr>
            <w:r w:rsidRPr="00033A38">
              <w:t>-1.</w:t>
            </w:r>
            <w:r>
              <w:t>5</w:t>
            </w:r>
          </w:p>
        </w:tc>
        <w:tc>
          <w:tcPr>
            <w:tcW w:w="374" w:type="pct"/>
            <w:tcBorders>
              <w:bottom w:val="single" w:sz="4" w:space="0" w:color="auto"/>
            </w:tcBorders>
            <w:shd w:val="clear" w:color="auto" w:fill="auto"/>
          </w:tcPr>
          <w:p w:rsidR="00A84F28" w:rsidRPr="00033A38" w:rsidRDefault="00A84F28" w:rsidP="00167537">
            <w:pPr>
              <w:pStyle w:val="TableBodyText"/>
              <w:rPr>
                <w:i/>
              </w:rPr>
            </w:pPr>
            <w:r w:rsidRPr="00033A38">
              <w:t>1.0</w:t>
            </w:r>
          </w:p>
        </w:tc>
        <w:tc>
          <w:tcPr>
            <w:tcW w:w="374" w:type="pct"/>
            <w:tcBorders>
              <w:bottom w:val="single" w:sz="4" w:space="0" w:color="auto"/>
            </w:tcBorders>
            <w:shd w:val="clear" w:color="auto" w:fill="auto"/>
          </w:tcPr>
          <w:p w:rsidR="00A84F28" w:rsidRPr="00033A38" w:rsidRDefault="00A84F28" w:rsidP="00167537">
            <w:pPr>
              <w:pStyle w:val="TableBodyText"/>
              <w:rPr>
                <w:i/>
              </w:rPr>
            </w:pPr>
            <w:r w:rsidRPr="00033A38">
              <w:t>-2.</w:t>
            </w:r>
            <w:r>
              <w:t>1</w:t>
            </w:r>
          </w:p>
        </w:tc>
        <w:tc>
          <w:tcPr>
            <w:tcW w:w="374" w:type="pct"/>
            <w:tcBorders>
              <w:bottom w:val="single" w:sz="4" w:space="0" w:color="auto"/>
            </w:tcBorders>
            <w:shd w:val="clear" w:color="auto" w:fill="auto"/>
          </w:tcPr>
          <w:p w:rsidR="00A84F28" w:rsidRPr="00033A38" w:rsidRDefault="00A84F28" w:rsidP="00167537">
            <w:pPr>
              <w:pStyle w:val="TableBodyText"/>
              <w:rPr>
                <w:i/>
              </w:rPr>
            </w:pPr>
            <w:r w:rsidRPr="00033A38">
              <w:t>1.5</w:t>
            </w:r>
          </w:p>
        </w:tc>
        <w:tc>
          <w:tcPr>
            <w:tcW w:w="374" w:type="pct"/>
            <w:tcBorders>
              <w:bottom w:val="single" w:sz="4" w:space="0" w:color="auto"/>
            </w:tcBorders>
            <w:shd w:val="clear" w:color="auto" w:fill="auto"/>
          </w:tcPr>
          <w:p w:rsidR="00A84F28" w:rsidRPr="00033A38" w:rsidRDefault="00A84F28" w:rsidP="00167537">
            <w:pPr>
              <w:pStyle w:val="TableBodyText"/>
              <w:rPr>
                <w:i/>
              </w:rPr>
            </w:pPr>
            <w:r w:rsidRPr="00033A38">
              <w:t>0.7</w:t>
            </w:r>
          </w:p>
        </w:tc>
        <w:tc>
          <w:tcPr>
            <w:tcW w:w="374" w:type="pct"/>
            <w:tcBorders>
              <w:bottom w:val="single" w:sz="4" w:space="0" w:color="auto"/>
            </w:tcBorders>
            <w:shd w:val="clear" w:color="auto" w:fill="auto"/>
          </w:tcPr>
          <w:p w:rsidR="00A84F28" w:rsidRPr="00033A38" w:rsidRDefault="00A84F28" w:rsidP="00167537">
            <w:pPr>
              <w:pStyle w:val="TableBodyText"/>
              <w:rPr>
                <w:i/>
              </w:rPr>
            </w:pPr>
            <w:r w:rsidRPr="00033A38">
              <w:t>0.8</w:t>
            </w:r>
          </w:p>
        </w:tc>
        <w:tc>
          <w:tcPr>
            <w:tcW w:w="374" w:type="pct"/>
            <w:tcBorders>
              <w:bottom w:val="single" w:sz="4" w:space="0" w:color="auto"/>
            </w:tcBorders>
            <w:shd w:val="clear" w:color="auto" w:fill="auto"/>
          </w:tcPr>
          <w:p w:rsidR="00A84F28" w:rsidRPr="00033A38" w:rsidRDefault="00A84F28" w:rsidP="00167537">
            <w:pPr>
              <w:pStyle w:val="TableBodyText"/>
              <w:rPr>
                <w:i/>
              </w:rPr>
            </w:pPr>
            <w:r w:rsidRPr="00033A38">
              <w:t>0.2</w:t>
            </w:r>
          </w:p>
        </w:tc>
        <w:tc>
          <w:tcPr>
            <w:tcW w:w="375" w:type="pct"/>
            <w:tcBorders>
              <w:bottom w:val="single" w:sz="4" w:space="0" w:color="auto"/>
            </w:tcBorders>
            <w:shd w:val="clear" w:color="auto" w:fill="auto"/>
          </w:tcPr>
          <w:p w:rsidR="00A84F28" w:rsidRPr="00033A38" w:rsidRDefault="00A84F28" w:rsidP="00167537">
            <w:pPr>
              <w:pStyle w:val="TableBodyText"/>
              <w:rPr>
                <w:i/>
              </w:rPr>
            </w:pPr>
            <w:r w:rsidRPr="00033A38">
              <w:t>(+)</w:t>
            </w:r>
          </w:p>
        </w:tc>
      </w:tr>
    </w:tbl>
    <w:p w:rsidR="00A84F28" w:rsidRDefault="00A84F28" w:rsidP="00A84F28">
      <w:pPr>
        <w:pStyle w:val="Note"/>
      </w:pPr>
      <w:proofErr w:type="spellStart"/>
      <w:r w:rsidRPr="008A641C">
        <w:rPr>
          <w:b/>
        </w:rPr>
        <w:t>na</w:t>
      </w:r>
      <w:proofErr w:type="spellEnd"/>
      <w:r>
        <w:t xml:space="preserve"> Not applicable.</w:t>
      </w:r>
      <w:r w:rsidRPr="009903CA">
        <w:t xml:space="preserve"> </w:t>
      </w:r>
      <w:r w:rsidRPr="008A641C">
        <w:rPr>
          <w:b/>
        </w:rPr>
        <w:t>..</w:t>
      </w:r>
      <w:r w:rsidRPr="00917619">
        <w:t xml:space="preserve"> </w:t>
      </w:r>
      <w:r>
        <w:t xml:space="preserve">No change. </w:t>
      </w:r>
      <w:r w:rsidRPr="00123244">
        <w:rPr>
          <w:rStyle w:val="NoteLabel"/>
        </w:rPr>
        <w:t>a</w:t>
      </w:r>
      <w:r>
        <w:t xml:space="preserve"> Longer-run impact after full adjustment relative to current </w:t>
      </w:r>
      <w:r w:rsidRPr="009E4E8F">
        <w:t>passenger motor vehicle manufacturing</w:t>
      </w:r>
      <w:r>
        <w:t xml:space="preserve"> operations. </w:t>
      </w:r>
      <w:r>
        <w:rPr>
          <w:rStyle w:val="NoteLabel"/>
        </w:rPr>
        <w:t>b</w:t>
      </w:r>
      <w:r>
        <w:t> Held fixed by assumption.</w:t>
      </w:r>
    </w:p>
    <w:p w:rsidR="00A84F28" w:rsidRDefault="00A84F28" w:rsidP="00A84F28">
      <w:pPr>
        <w:pStyle w:val="Source"/>
      </w:pPr>
      <w:r>
        <w:rPr>
          <w:i/>
        </w:rPr>
        <w:t>Source</w:t>
      </w:r>
      <w:r>
        <w:t xml:space="preserve">: Commission estimates based on the </w:t>
      </w:r>
      <w:proofErr w:type="spellStart"/>
      <w:r>
        <w:t>MMRF</w:t>
      </w:r>
      <w:r>
        <w:noBreakHyphen/>
        <w:t>Auto14</w:t>
      </w:r>
      <w:proofErr w:type="spellEnd"/>
      <w:r>
        <w:t xml:space="preserve"> model.</w:t>
      </w:r>
    </w:p>
    <w:p w:rsidR="00A84F28" w:rsidRDefault="00A84F28" w:rsidP="00A84F28">
      <w:pPr>
        <w:pStyle w:val="BodyText"/>
      </w:pPr>
      <w:r>
        <w:t>These modelled estimates of employment and output changes illustrate the effect of manufacturing plant closures, abstracting from other possible changes in the economy. For example, actual outcomes for Victoria and South Australia will also depend on their productivity growth paths, other structural changes in their economies and other factors affecting their competitiveness relative to other Australian state and territories and internationally.</w:t>
      </w:r>
    </w:p>
    <w:p w:rsidR="00A84F28" w:rsidRDefault="00A84F28" w:rsidP="00A84F28">
      <w:pPr>
        <w:pStyle w:val="BodyText"/>
      </w:pPr>
      <w:r>
        <w:t>The output and employment impacts for jurisdictions other than Victoria and South Australia (most notably New South Wales, Queensland and Western Australia) reflect the net effect of three generally positive factors.</w:t>
      </w:r>
    </w:p>
    <w:p w:rsidR="00A84F28" w:rsidRDefault="00A84F28" w:rsidP="00A84F28">
      <w:pPr>
        <w:pStyle w:val="ListBullet"/>
      </w:pPr>
      <w:r>
        <w:t>First, the automotive component manufacturing industries in these jurisdictions are less reliant on sales to passenger motor vehicle manufacturing than are component producers in Victoria and South Australia.</w:t>
      </w:r>
    </w:p>
    <w:p w:rsidR="00A84F28" w:rsidRDefault="00A84F28" w:rsidP="00A84F28">
      <w:pPr>
        <w:pStyle w:val="ListBullet"/>
      </w:pPr>
      <w:r>
        <w:lastRenderedPageBreak/>
        <w:t xml:space="preserve">Second, these jurisdictions tend to be more reliant in the </w:t>
      </w:r>
      <w:proofErr w:type="spellStart"/>
      <w:r>
        <w:t>MMRF</w:t>
      </w:r>
      <w:proofErr w:type="spellEnd"/>
      <w:r>
        <w:t xml:space="preserve"> database</w:t>
      </w:r>
      <w:r w:rsidRPr="00302961">
        <w:t xml:space="preserve"> </w:t>
      </w:r>
      <w:r>
        <w:t>on export-orientated industries that are projected to benefit from the reallocation of resources shed as a result of the exit of passenger motor vehicle manufacturers.</w:t>
      </w:r>
    </w:p>
    <w:p w:rsidR="00A84F28" w:rsidRPr="000150D2" w:rsidRDefault="00A84F28" w:rsidP="00A84F28">
      <w:pPr>
        <w:pStyle w:val="ListBullet"/>
      </w:pPr>
      <w:r>
        <w:t>Third, increased employment opportunities in these jurisdictions are projected to increase state and territory populations above levels that would otherwise have prevailed, raising demand for consumer goods and services.</w:t>
      </w:r>
    </w:p>
    <w:p w:rsidR="00A84F28" w:rsidRDefault="00A84F28" w:rsidP="00A84F28">
      <w:pPr>
        <w:pStyle w:val="BodyText"/>
      </w:pPr>
      <w:r>
        <w:t>Possible transition paths for the state economies are illustrated in chapter 3.</w:t>
      </w:r>
    </w:p>
    <w:p w:rsidR="00A84F28" w:rsidRDefault="00CF27B1" w:rsidP="00A84F28">
      <w:pPr>
        <w:pStyle w:val="Heading2"/>
      </w:pPr>
      <w:r>
        <w:fldChar w:fldCharType="begin"/>
      </w:r>
      <w:r>
        <w:instrText xml:space="preserve"> COMMENTS  \* MERGEFORMAT </w:instrText>
      </w:r>
      <w:r>
        <w:fldChar w:fldCharType="separate"/>
      </w:r>
      <w:r w:rsidR="00A84F28">
        <w:t>2.</w:t>
      </w:r>
      <w:r>
        <w:fldChar w:fldCharType="end"/>
      </w:r>
      <w:r>
        <w:fldChar w:fldCharType="begin"/>
      </w:r>
      <w:r>
        <w:instrText xml:space="preserve"> SEQ Heading2 </w:instrText>
      </w:r>
      <w:r>
        <w:fldChar w:fldCharType="separate"/>
      </w:r>
      <w:r w:rsidR="00A84F28">
        <w:rPr>
          <w:noProof/>
        </w:rPr>
        <w:t>4</w:t>
      </w:r>
      <w:r>
        <w:rPr>
          <w:noProof/>
        </w:rPr>
        <w:fldChar w:fldCharType="end"/>
      </w:r>
      <w:r w:rsidR="00A84F28">
        <w:tab/>
        <w:t>Sub-state regional effects</w:t>
      </w:r>
    </w:p>
    <w:p w:rsidR="00A84F28" w:rsidRDefault="00A84F28" w:rsidP="00A84F28">
      <w:pPr>
        <w:pStyle w:val="BodyText"/>
      </w:pPr>
      <w:r>
        <w:t xml:space="preserve">Reflecting that the Australian </w:t>
      </w:r>
      <w:r w:rsidRPr="009E4E8F">
        <w:t>passenger motor vehicle manufacturing</w:t>
      </w:r>
      <w:r>
        <w:t xml:space="preserve"> industry is located in Melbourne, Adelaide and Geelong, estimates of the longer-run impacts on regional economies and employment indicate that the effects are concentrated in the Barwon (covering Geelong), Adelaide and Melbourne statistical divisions. Employment in these regions is estimated to decline by 3.4, 3.3</w:t>
      </w:r>
      <w:r w:rsidRPr="004D1AD7">
        <w:t xml:space="preserve"> </w:t>
      </w:r>
      <w:r>
        <w:t xml:space="preserve">and 2.6 per cent respectively (table 2.4). In the long run, employment is estimated to increase in the 55 remaining statistical divisions throughout Australia (including </w:t>
      </w:r>
      <w:r w:rsidRPr="00EF69A6">
        <w:t>all</w:t>
      </w:r>
      <w:r>
        <w:t xml:space="preserve"> other statistical divisions in Victoria and South Australia).</w:t>
      </w:r>
    </w:p>
    <w:p w:rsidR="00A84F28" w:rsidRPr="00CE4E14" w:rsidRDefault="00A84F28" w:rsidP="00A84F28">
      <w:pPr>
        <w:pStyle w:val="BodyText"/>
      </w:pPr>
      <w:r w:rsidRPr="00CE4E14">
        <w:t xml:space="preserve">The </w:t>
      </w:r>
      <w:r>
        <w:t xml:space="preserve">estimated </w:t>
      </w:r>
      <w:r w:rsidRPr="00CE4E14">
        <w:t>employment reductions in the Adelaide and Melbourne statistical divisions make the largest contributions to their respective state employment results (</w:t>
      </w:r>
      <w:r w:rsidRPr="00CE4E14">
        <w:noBreakHyphen/>
        <w:t>2.</w:t>
      </w:r>
      <w:r>
        <w:t>5</w:t>
      </w:r>
      <w:r w:rsidRPr="00CE4E14">
        <w:t xml:space="preserve"> and </w:t>
      </w:r>
      <w:r w:rsidRPr="00CE4E14">
        <w:noBreakHyphen/>
      </w:r>
      <w:r>
        <w:t>1.9</w:t>
      </w:r>
      <w:r w:rsidRPr="00CE4E14">
        <w:t xml:space="preserve"> percentage point contributions, respectively) (table 2.4). As Barwon accounts for only about 5 per cent of employment in Victoria, the </w:t>
      </w:r>
      <w:r>
        <w:t xml:space="preserve">estimated </w:t>
      </w:r>
      <w:r w:rsidRPr="00CE4E14">
        <w:t xml:space="preserve">contribution made by the Barwon statistical division to the Victorian result is </w:t>
      </w:r>
      <w:r w:rsidRPr="00CE4E14">
        <w:noBreakHyphen/>
        <w:t>0.2 percentage points, much less than for the Melbourne statistical division. The projected reductions in employment in Victoria and South Australia (table 2.3) are entirely attributable to reductions in the Barwon, Adelaide and Melbourne statistical divisions (table 2.4).</w:t>
      </w:r>
    </w:p>
    <w:p w:rsidR="00A84F28" w:rsidRDefault="00A84F28" w:rsidP="00A84F28">
      <w:pPr>
        <w:rPr>
          <w:rFonts w:ascii="Arial" w:hAnsi="Arial"/>
          <w:sz w:val="24"/>
        </w:rPr>
      </w:pPr>
      <w:r>
        <w:rPr>
          <w:b/>
        </w:rPr>
        <w:br w:type="page"/>
      </w:r>
    </w:p>
    <w:p w:rsidR="00A84F28" w:rsidRDefault="00A84F28" w:rsidP="00A84F28">
      <w:pPr>
        <w:pStyle w:val="TableTitle"/>
        <w:rPr>
          <w:rStyle w:val="NoteLabel"/>
        </w:rPr>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Pr>
          <w:b w:val="0"/>
        </w:rPr>
        <w:t>2.</w:t>
      </w:r>
      <w:r>
        <w:rPr>
          <w:b w:val="0"/>
        </w:rPr>
        <w:fldChar w:fldCharType="end"/>
      </w:r>
      <w:r>
        <w:rPr>
          <w:b w:val="0"/>
        </w:rPr>
        <w:fldChar w:fldCharType="begin"/>
      </w:r>
      <w:r>
        <w:rPr>
          <w:b w:val="0"/>
        </w:rPr>
        <w:instrText xml:space="preserve"> SEQ Table \* ARABIC </w:instrText>
      </w:r>
      <w:r>
        <w:rPr>
          <w:b w:val="0"/>
        </w:rPr>
        <w:fldChar w:fldCharType="separate"/>
      </w:r>
      <w:r>
        <w:rPr>
          <w:b w:val="0"/>
          <w:noProof/>
        </w:rPr>
        <w:t>4</w:t>
      </w:r>
      <w:r>
        <w:rPr>
          <w:b w:val="0"/>
        </w:rPr>
        <w:fldChar w:fldCharType="end"/>
      </w:r>
      <w:r>
        <w:tab/>
        <w:t>E</w:t>
      </w:r>
      <w:r w:rsidRPr="00F75CC8">
        <w:t>stimate</w:t>
      </w:r>
      <w:r>
        <w:t xml:space="preserve">d </w:t>
      </w:r>
      <w:r w:rsidRPr="00F75CC8">
        <w:t xml:space="preserve">longer-run </w:t>
      </w:r>
      <w:r>
        <w:t>regional contributions to the changes in state employment from closing passenger motor vehicle manufacturing plants in Australia</w:t>
      </w:r>
      <w:r w:rsidRPr="0074182C">
        <w:rPr>
          <w:rStyle w:val="NoteLabel"/>
        </w:rPr>
        <w:t>a</w:t>
      </w:r>
    </w:p>
    <w:tbl>
      <w:tblPr>
        <w:tblW w:w="5000" w:type="pct"/>
        <w:tblLayout w:type="fixed"/>
        <w:tblCellMar>
          <w:left w:w="0" w:type="dxa"/>
          <w:right w:w="0" w:type="dxa"/>
        </w:tblCellMar>
        <w:tblLook w:val="0000" w:firstRow="0" w:lastRow="0" w:firstColumn="0" w:lastColumn="0" w:noHBand="0" w:noVBand="0"/>
      </w:tblPr>
      <w:tblGrid>
        <w:gridCol w:w="3969"/>
        <w:gridCol w:w="2410"/>
        <w:gridCol w:w="2410"/>
      </w:tblGrid>
      <w:tr w:rsidR="00A84F28" w:rsidRPr="00193CD9" w:rsidTr="00167537">
        <w:tc>
          <w:tcPr>
            <w:tcW w:w="2258" w:type="pct"/>
            <w:tcBorders>
              <w:top w:val="single" w:sz="4" w:space="0" w:color="auto"/>
              <w:bottom w:val="single" w:sz="4" w:space="0" w:color="auto"/>
            </w:tcBorders>
            <w:vAlign w:val="bottom"/>
          </w:tcPr>
          <w:p w:rsidR="00A84F28" w:rsidRPr="00193CD9" w:rsidRDefault="00A84F28" w:rsidP="00167537">
            <w:pPr>
              <w:pStyle w:val="TableColumnHeading"/>
              <w:jc w:val="left"/>
            </w:pPr>
            <w:r>
              <w:t>State and key statistical divisions</w:t>
            </w:r>
          </w:p>
        </w:tc>
        <w:tc>
          <w:tcPr>
            <w:tcW w:w="1371" w:type="pct"/>
            <w:tcBorders>
              <w:top w:val="single" w:sz="4" w:space="0" w:color="auto"/>
              <w:bottom w:val="single" w:sz="4" w:space="0" w:color="auto"/>
            </w:tcBorders>
            <w:vAlign w:val="bottom"/>
          </w:tcPr>
          <w:p w:rsidR="00A84F28" w:rsidRDefault="00A84F28" w:rsidP="00167537">
            <w:pPr>
              <w:pStyle w:val="TableColumnHeading"/>
            </w:pPr>
            <w:r>
              <w:t>Regional</w:t>
            </w:r>
            <w:r>
              <w:br/>
              <w:t>impact</w:t>
            </w:r>
          </w:p>
        </w:tc>
        <w:tc>
          <w:tcPr>
            <w:tcW w:w="1371" w:type="pct"/>
            <w:tcBorders>
              <w:top w:val="single" w:sz="4" w:space="0" w:color="auto"/>
              <w:bottom w:val="single" w:sz="4" w:space="0" w:color="auto"/>
            </w:tcBorders>
            <w:vAlign w:val="bottom"/>
          </w:tcPr>
          <w:p w:rsidR="00A84F28" w:rsidRPr="00193CD9" w:rsidRDefault="00A84F28" w:rsidP="00167537">
            <w:pPr>
              <w:pStyle w:val="TableColumnHeading"/>
            </w:pPr>
            <w:r>
              <w:t>Regional</w:t>
            </w:r>
            <w:r>
              <w:br/>
              <w:t xml:space="preserve"> contributions to </w:t>
            </w:r>
            <w:r>
              <w:br/>
              <w:t>the state total</w:t>
            </w:r>
          </w:p>
        </w:tc>
      </w:tr>
      <w:tr w:rsidR="00A84F28" w:rsidRPr="001C2128" w:rsidTr="00167537">
        <w:tc>
          <w:tcPr>
            <w:tcW w:w="2258" w:type="pct"/>
            <w:vAlign w:val="bottom"/>
          </w:tcPr>
          <w:p w:rsidR="00A84F28" w:rsidRPr="00FA6B00" w:rsidRDefault="00A84F28" w:rsidP="00167537">
            <w:pPr>
              <w:pStyle w:val="TableUnitsRow"/>
              <w:rPr>
                <w:szCs w:val="24"/>
              </w:rPr>
            </w:pPr>
          </w:p>
        </w:tc>
        <w:tc>
          <w:tcPr>
            <w:tcW w:w="1371" w:type="pct"/>
            <w:vAlign w:val="center"/>
          </w:tcPr>
          <w:p w:rsidR="00A84F28" w:rsidRPr="006C49AF" w:rsidRDefault="00A84F28" w:rsidP="00167537">
            <w:pPr>
              <w:pStyle w:val="TableUnitsRow"/>
            </w:pPr>
            <w:r>
              <w:t>Percentage change</w:t>
            </w:r>
          </w:p>
        </w:tc>
        <w:tc>
          <w:tcPr>
            <w:tcW w:w="1371" w:type="pct"/>
            <w:vAlign w:val="center"/>
          </w:tcPr>
          <w:p w:rsidR="00A84F28" w:rsidRPr="006C49AF" w:rsidRDefault="00A84F28" w:rsidP="00167537">
            <w:pPr>
              <w:pStyle w:val="TableUnitsRow"/>
            </w:pPr>
            <w:r>
              <w:t>Percentage points</w:t>
            </w:r>
          </w:p>
        </w:tc>
      </w:tr>
      <w:tr w:rsidR="00A84F28" w:rsidRPr="001C2128" w:rsidTr="00167537">
        <w:tc>
          <w:tcPr>
            <w:tcW w:w="2258" w:type="pct"/>
          </w:tcPr>
          <w:p w:rsidR="00A84F28" w:rsidRPr="00EF69A6" w:rsidRDefault="00A84F28" w:rsidP="00167537">
            <w:pPr>
              <w:pStyle w:val="TableBodyText"/>
              <w:spacing w:before="120"/>
              <w:jc w:val="left"/>
              <w:rPr>
                <w:b/>
              </w:rPr>
            </w:pPr>
            <w:r w:rsidRPr="00EF69A6">
              <w:rPr>
                <w:b/>
              </w:rPr>
              <w:t>Victoria</w:t>
            </w:r>
          </w:p>
        </w:tc>
        <w:tc>
          <w:tcPr>
            <w:tcW w:w="1371" w:type="pct"/>
          </w:tcPr>
          <w:p w:rsidR="00A84F28" w:rsidRPr="00EF69A6" w:rsidRDefault="00A84F28" w:rsidP="00167537">
            <w:pPr>
              <w:pStyle w:val="TableBodyText"/>
              <w:spacing w:before="120"/>
              <w:rPr>
                <w:b/>
              </w:rPr>
            </w:pPr>
            <w:r w:rsidRPr="00EF69A6">
              <w:rPr>
                <w:b/>
              </w:rPr>
              <w:t>-1.</w:t>
            </w:r>
            <w:r>
              <w:rPr>
                <w:b/>
              </w:rPr>
              <w:t>8</w:t>
            </w:r>
          </w:p>
        </w:tc>
        <w:tc>
          <w:tcPr>
            <w:tcW w:w="1371" w:type="pct"/>
          </w:tcPr>
          <w:p w:rsidR="00A84F28" w:rsidRPr="00EF69A6" w:rsidRDefault="00A84F28" w:rsidP="00167537">
            <w:pPr>
              <w:pStyle w:val="TableBodyText"/>
              <w:spacing w:before="120"/>
              <w:rPr>
                <w:b/>
              </w:rPr>
            </w:pPr>
            <w:r w:rsidRPr="00EF69A6">
              <w:rPr>
                <w:b/>
              </w:rPr>
              <w:t>-1.</w:t>
            </w:r>
            <w:r>
              <w:rPr>
                <w:b/>
              </w:rPr>
              <w:t>8</w:t>
            </w:r>
          </w:p>
        </w:tc>
      </w:tr>
      <w:tr w:rsidR="00A84F28" w:rsidRPr="001C2128" w:rsidTr="00167537">
        <w:tc>
          <w:tcPr>
            <w:tcW w:w="2258" w:type="pct"/>
          </w:tcPr>
          <w:p w:rsidR="00A84F28" w:rsidRPr="001C2128" w:rsidRDefault="00A84F28" w:rsidP="00167537">
            <w:pPr>
              <w:pStyle w:val="TableBodyText"/>
              <w:ind w:left="284"/>
              <w:jc w:val="left"/>
            </w:pPr>
            <w:r w:rsidRPr="001C2128">
              <w:t>Melbourne</w:t>
            </w:r>
          </w:p>
        </w:tc>
        <w:tc>
          <w:tcPr>
            <w:tcW w:w="1371" w:type="pct"/>
          </w:tcPr>
          <w:p w:rsidR="00A84F28" w:rsidRPr="001C2128" w:rsidRDefault="00A84F28" w:rsidP="00167537">
            <w:pPr>
              <w:pStyle w:val="TableBodyText"/>
            </w:pPr>
            <w:r w:rsidRPr="001C2128">
              <w:t>-2.</w:t>
            </w:r>
            <w:r>
              <w:t>6</w:t>
            </w:r>
          </w:p>
        </w:tc>
        <w:tc>
          <w:tcPr>
            <w:tcW w:w="1371" w:type="pct"/>
          </w:tcPr>
          <w:p w:rsidR="00A84F28" w:rsidRPr="001C2128" w:rsidRDefault="00A84F28" w:rsidP="00167537">
            <w:pPr>
              <w:pStyle w:val="TableBodyText"/>
            </w:pPr>
            <w:r w:rsidRPr="001C2128">
              <w:t>-</w:t>
            </w:r>
            <w:r>
              <w:t>1.9</w:t>
            </w:r>
          </w:p>
        </w:tc>
      </w:tr>
      <w:tr w:rsidR="00A84F28" w:rsidRPr="001C2128" w:rsidTr="00167537">
        <w:tc>
          <w:tcPr>
            <w:tcW w:w="2258" w:type="pct"/>
          </w:tcPr>
          <w:p w:rsidR="00A84F28" w:rsidRPr="001C2128" w:rsidRDefault="00A84F28" w:rsidP="00167537">
            <w:pPr>
              <w:pStyle w:val="TableBodyText"/>
              <w:ind w:left="284"/>
              <w:jc w:val="left"/>
            </w:pPr>
            <w:r w:rsidRPr="001C2128">
              <w:t>Barwon (Geelong)</w:t>
            </w:r>
          </w:p>
        </w:tc>
        <w:tc>
          <w:tcPr>
            <w:tcW w:w="1371" w:type="pct"/>
          </w:tcPr>
          <w:p w:rsidR="00A84F28" w:rsidRPr="001C2128" w:rsidRDefault="00A84F28" w:rsidP="00167537">
            <w:pPr>
              <w:pStyle w:val="TableBodyText"/>
            </w:pPr>
            <w:r w:rsidRPr="001C2128">
              <w:t>-3.4</w:t>
            </w:r>
          </w:p>
        </w:tc>
        <w:tc>
          <w:tcPr>
            <w:tcW w:w="1371" w:type="pct"/>
          </w:tcPr>
          <w:p w:rsidR="00A84F28" w:rsidRPr="001C2128" w:rsidRDefault="00A84F28" w:rsidP="00167537">
            <w:pPr>
              <w:pStyle w:val="TableBodyText"/>
            </w:pPr>
            <w:r w:rsidRPr="001C2128">
              <w:t>-0.2</w:t>
            </w:r>
          </w:p>
        </w:tc>
      </w:tr>
      <w:tr w:rsidR="00A84F28" w:rsidRPr="001C2128" w:rsidTr="00167537">
        <w:tc>
          <w:tcPr>
            <w:tcW w:w="2258" w:type="pct"/>
          </w:tcPr>
          <w:p w:rsidR="00A84F28" w:rsidRPr="001C2128" w:rsidRDefault="00A84F28" w:rsidP="00167537">
            <w:pPr>
              <w:pStyle w:val="TableBodyText"/>
              <w:ind w:left="284"/>
              <w:jc w:val="left"/>
            </w:pPr>
            <w:r w:rsidRPr="001C2128">
              <w:t>All other regions</w:t>
            </w:r>
          </w:p>
        </w:tc>
        <w:tc>
          <w:tcPr>
            <w:tcW w:w="1371" w:type="pct"/>
          </w:tcPr>
          <w:p w:rsidR="00A84F28" w:rsidRPr="001C2128" w:rsidRDefault="00A84F28" w:rsidP="00167537">
            <w:pPr>
              <w:pStyle w:val="TableBodyText"/>
            </w:pPr>
            <w:r w:rsidRPr="001C2128">
              <w:t>1.2</w:t>
            </w:r>
          </w:p>
        </w:tc>
        <w:tc>
          <w:tcPr>
            <w:tcW w:w="1371" w:type="pct"/>
          </w:tcPr>
          <w:p w:rsidR="00A84F28" w:rsidRPr="001C2128" w:rsidRDefault="00A84F28" w:rsidP="00167537">
            <w:pPr>
              <w:pStyle w:val="TableBodyText"/>
            </w:pPr>
            <w:r w:rsidRPr="001C2128">
              <w:t>0.3</w:t>
            </w:r>
          </w:p>
        </w:tc>
      </w:tr>
      <w:tr w:rsidR="00A84F28" w:rsidRPr="006951FE" w:rsidTr="00167537">
        <w:tc>
          <w:tcPr>
            <w:tcW w:w="2258" w:type="pct"/>
          </w:tcPr>
          <w:p w:rsidR="00A84F28" w:rsidRPr="006951FE" w:rsidRDefault="00A84F28" w:rsidP="00167537">
            <w:pPr>
              <w:pStyle w:val="TableBodyText"/>
              <w:spacing w:before="120"/>
              <w:jc w:val="left"/>
              <w:rPr>
                <w:b/>
                <w:i/>
                <w:szCs w:val="24"/>
              </w:rPr>
            </w:pPr>
            <w:r>
              <w:rPr>
                <w:b/>
              </w:rPr>
              <w:t>South Australia</w:t>
            </w:r>
          </w:p>
        </w:tc>
        <w:tc>
          <w:tcPr>
            <w:tcW w:w="1371" w:type="pct"/>
          </w:tcPr>
          <w:p w:rsidR="00A84F28" w:rsidRPr="003B441E" w:rsidRDefault="00A84F28" w:rsidP="00167537">
            <w:pPr>
              <w:pStyle w:val="TableBodyText"/>
              <w:spacing w:before="120"/>
              <w:rPr>
                <w:b/>
                <w:i/>
              </w:rPr>
            </w:pPr>
            <w:r w:rsidRPr="00605B38">
              <w:rPr>
                <w:rFonts w:cs="Arial"/>
                <w:b/>
                <w:bCs/>
              </w:rPr>
              <w:t>-2.2</w:t>
            </w:r>
          </w:p>
        </w:tc>
        <w:tc>
          <w:tcPr>
            <w:tcW w:w="1371" w:type="pct"/>
          </w:tcPr>
          <w:p w:rsidR="00A84F28" w:rsidRPr="006951FE" w:rsidRDefault="00A84F28" w:rsidP="00167537">
            <w:pPr>
              <w:pStyle w:val="TableBodyText"/>
              <w:spacing w:before="120"/>
              <w:rPr>
                <w:b/>
                <w:i/>
              </w:rPr>
            </w:pPr>
            <w:r w:rsidRPr="00605B38">
              <w:rPr>
                <w:rFonts w:cs="Arial"/>
                <w:b/>
                <w:bCs/>
              </w:rPr>
              <w:t>-2.2</w:t>
            </w:r>
          </w:p>
        </w:tc>
      </w:tr>
      <w:tr w:rsidR="00A84F28" w:rsidRPr="001C2128" w:rsidTr="00167537">
        <w:tc>
          <w:tcPr>
            <w:tcW w:w="2258" w:type="pct"/>
          </w:tcPr>
          <w:p w:rsidR="00A84F28" w:rsidRPr="001C2128" w:rsidRDefault="00A84F28" w:rsidP="00167537">
            <w:pPr>
              <w:pStyle w:val="TableBodyText"/>
              <w:ind w:left="284"/>
              <w:jc w:val="left"/>
            </w:pPr>
            <w:r w:rsidRPr="001C2128">
              <w:t>Adelaide</w:t>
            </w:r>
          </w:p>
        </w:tc>
        <w:tc>
          <w:tcPr>
            <w:tcW w:w="1371" w:type="pct"/>
          </w:tcPr>
          <w:p w:rsidR="00A84F28" w:rsidRPr="001C2128" w:rsidRDefault="00A84F28" w:rsidP="00167537">
            <w:pPr>
              <w:pStyle w:val="TableBodyText"/>
            </w:pPr>
            <w:r w:rsidRPr="001C2128">
              <w:t>-3.</w:t>
            </w:r>
            <w:r>
              <w:t>3</w:t>
            </w:r>
          </w:p>
        </w:tc>
        <w:tc>
          <w:tcPr>
            <w:tcW w:w="1371" w:type="pct"/>
          </w:tcPr>
          <w:p w:rsidR="00A84F28" w:rsidRPr="001C2128" w:rsidRDefault="00A84F28" w:rsidP="00167537">
            <w:pPr>
              <w:pStyle w:val="TableBodyText"/>
            </w:pPr>
            <w:r w:rsidRPr="001C2128">
              <w:t>-2.</w:t>
            </w:r>
            <w:r>
              <w:t>5</w:t>
            </w:r>
          </w:p>
        </w:tc>
      </w:tr>
      <w:tr w:rsidR="00A84F28" w:rsidRPr="001C2128" w:rsidTr="00167537">
        <w:tc>
          <w:tcPr>
            <w:tcW w:w="2258" w:type="pct"/>
          </w:tcPr>
          <w:p w:rsidR="00A84F28" w:rsidRPr="001C2128" w:rsidRDefault="00A84F28" w:rsidP="00167537">
            <w:pPr>
              <w:pStyle w:val="TableBodyText"/>
              <w:ind w:left="284"/>
              <w:jc w:val="left"/>
            </w:pPr>
            <w:r w:rsidRPr="001C2128">
              <w:t>All other regions</w:t>
            </w:r>
          </w:p>
        </w:tc>
        <w:tc>
          <w:tcPr>
            <w:tcW w:w="1371" w:type="pct"/>
          </w:tcPr>
          <w:p w:rsidR="00A84F28" w:rsidRPr="001C2128" w:rsidRDefault="00A84F28" w:rsidP="00167537">
            <w:pPr>
              <w:pStyle w:val="TableBodyText"/>
            </w:pPr>
            <w:r w:rsidRPr="001C2128">
              <w:t>0.8</w:t>
            </w:r>
          </w:p>
        </w:tc>
        <w:tc>
          <w:tcPr>
            <w:tcW w:w="1371" w:type="pct"/>
          </w:tcPr>
          <w:p w:rsidR="00A84F28" w:rsidRPr="001C2128" w:rsidRDefault="00A84F28" w:rsidP="00167537">
            <w:pPr>
              <w:pStyle w:val="TableBodyText"/>
            </w:pPr>
            <w:r w:rsidRPr="001C2128">
              <w:t>0.2</w:t>
            </w:r>
          </w:p>
        </w:tc>
      </w:tr>
      <w:tr w:rsidR="00A84F28" w:rsidRPr="006951FE" w:rsidTr="00167537">
        <w:tc>
          <w:tcPr>
            <w:tcW w:w="2258" w:type="pct"/>
          </w:tcPr>
          <w:p w:rsidR="00A84F28" w:rsidRPr="006951FE" w:rsidRDefault="00A84F28" w:rsidP="00167537">
            <w:pPr>
              <w:pStyle w:val="TableBodyText"/>
              <w:spacing w:before="120"/>
              <w:jc w:val="left"/>
              <w:rPr>
                <w:b/>
                <w:i/>
                <w:szCs w:val="24"/>
              </w:rPr>
            </w:pPr>
            <w:r>
              <w:rPr>
                <w:b/>
              </w:rPr>
              <w:t>New South Wales</w:t>
            </w:r>
          </w:p>
        </w:tc>
        <w:tc>
          <w:tcPr>
            <w:tcW w:w="1371" w:type="pct"/>
          </w:tcPr>
          <w:p w:rsidR="00A84F28" w:rsidRPr="003B441E" w:rsidRDefault="00A84F28" w:rsidP="00167537">
            <w:pPr>
              <w:pStyle w:val="TableBodyText"/>
              <w:spacing w:before="120"/>
              <w:rPr>
                <w:b/>
                <w:i/>
              </w:rPr>
            </w:pPr>
            <w:r w:rsidRPr="00605B38">
              <w:rPr>
                <w:rFonts w:cs="Arial"/>
                <w:b/>
                <w:bCs/>
              </w:rPr>
              <w:t>0.6</w:t>
            </w:r>
          </w:p>
        </w:tc>
        <w:tc>
          <w:tcPr>
            <w:tcW w:w="1371" w:type="pct"/>
          </w:tcPr>
          <w:p w:rsidR="00A84F28" w:rsidRPr="006951FE" w:rsidRDefault="00A84F28" w:rsidP="00167537">
            <w:pPr>
              <w:pStyle w:val="TableBodyText"/>
              <w:spacing w:before="120"/>
              <w:rPr>
                <w:b/>
                <w:i/>
              </w:rPr>
            </w:pPr>
            <w:r w:rsidRPr="00605B38">
              <w:rPr>
                <w:rFonts w:cs="Arial"/>
                <w:b/>
                <w:bCs/>
              </w:rPr>
              <w:t>0.6</w:t>
            </w:r>
          </w:p>
        </w:tc>
      </w:tr>
      <w:tr w:rsidR="00A84F28" w:rsidRPr="001C2128" w:rsidTr="00167537">
        <w:tc>
          <w:tcPr>
            <w:tcW w:w="2258" w:type="pct"/>
          </w:tcPr>
          <w:p w:rsidR="00A84F28" w:rsidRPr="001C2128" w:rsidRDefault="00A84F28" w:rsidP="00167537">
            <w:pPr>
              <w:pStyle w:val="TableBodyText"/>
              <w:ind w:left="284"/>
              <w:jc w:val="left"/>
            </w:pPr>
            <w:r w:rsidRPr="001C2128">
              <w:t>Sydney</w:t>
            </w:r>
          </w:p>
        </w:tc>
        <w:tc>
          <w:tcPr>
            <w:tcW w:w="1371" w:type="pct"/>
          </w:tcPr>
          <w:p w:rsidR="00A84F28" w:rsidRPr="001C2128" w:rsidRDefault="00A84F28" w:rsidP="00167537">
            <w:pPr>
              <w:pStyle w:val="TableBodyText"/>
            </w:pPr>
            <w:r w:rsidRPr="001C2128">
              <w:t>0.5</w:t>
            </w:r>
          </w:p>
        </w:tc>
        <w:tc>
          <w:tcPr>
            <w:tcW w:w="1371" w:type="pct"/>
          </w:tcPr>
          <w:p w:rsidR="00A84F28" w:rsidRPr="001C2128" w:rsidRDefault="00A84F28" w:rsidP="00167537">
            <w:pPr>
              <w:pStyle w:val="TableBodyText"/>
            </w:pPr>
            <w:r w:rsidRPr="001C2128">
              <w:t>0.3</w:t>
            </w:r>
          </w:p>
        </w:tc>
      </w:tr>
      <w:tr w:rsidR="00A84F28" w:rsidRPr="001C2128" w:rsidTr="00167537">
        <w:tc>
          <w:tcPr>
            <w:tcW w:w="2258" w:type="pct"/>
          </w:tcPr>
          <w:p w:rsidR="00A84F28" w:rsidRPr="001C2128" w:rsidRDefault="00A84F28" w:rsidP="00167537">
            <w:pPr>
              <w:pStyle w:val="TableBodyText"/>
              <w:ind w:left="284"/>
              <w:jc w:val="left"/>
            </w:pPr>
            <w:r w:rsidRPr="001C2128">
              <w:t>All other regions</w:t>
            </w:r>
          </w:p>
        </w:tc>
        <w:tc>
          <w:tcPr>
            <w:tcW w:w="1371" w:type="pct"/>
          </w:tcPr>
          <w:p w:rsidR="00A84F28" w:rsidRPr="001C2128" w:rsidRDefault="00A84F28" w:rsidP="00167537">
            <w:pPr>
              <w:pStyle w:val="TableBodyText"/>
            </w:pPr>
            <w:r w:rsidRPr="001C2128">
              <w:t>0.7</w:t>
            </w:r>
          </w:p>
        </w:tc>
        <w:tc>
          <w:tcPr>
            <w:tcW w:w="1371" w:type="pct"/>
          </w:tcPr>
          <w:p w:rsidR="00A84F28" w:rsidRPr="001C2128" w:rsidRDefault="00A84F28" w:rsidP="00167537">
            <w:pPr>
              <w:pStyle w:val="TableBodyText"/>
            </w:pPr>
            <w:r w:rsidRPr="001C2128">
              <w:t>0.2</w:t>
            </w:r>
          </w:p>
        </w:tc>
      </w:tr>
      <w:tr w:rsidR="00A84F28" w:rsidRPr="006951FE" w:rsidTr="00167537">
        <w:tc>
          <w:tcPr>
            <w:tcW w:w="2258" w:type="pct"/>
          </w:tcPr>
          <w:p w:rsidR="00A84F28" w:rsidRPr="006951FE" w:rsidRDefault="00A84F28" w:rsidP="00167537">
            <w:pPr>
              <w:pStyle w:val="TableBodyText"/>
              <w:spacing w:before="120"/>
              <w:jc w:val="left"/>
              <w:rPr>
                <w:b/>
                <w:i/>
                <w:szCs w:val="24"/>
              </w:rPr>
            </w:pPr>
            <w:r>
              <w:rPr>
                <w:b/>
              </w:rPr>
              <w:t>Queensland</w:t>
            </w:r>
          </w:p>
        </w:tc>
        <w:tc>
          <w:tcPr>
            <w:tcW w:w="1371" w:type="pct"/>
          </w:tcPr>
          <w:p w:rsidR="00A84F28" w:rsidRPr="003B441E" w:rsidRDefault="00A84F28" w:rsidP="00167537">
            <w:pPr>
              <w:pStyle w:val="TableBodyText"/>
              <w:spacing w:before="120"/>
              <w:rPr>
                <w:b/>
                <w:i/>
              </w:rPr>
            </w:pPr>
            <w:r w:rsidRPr="00605B38">
              <w:rPr>
                <w:rFonts w:cs="Arial"/>
                <w:b/>
                <w:bCs/>
              </w:rPr>
              <w:t>1.1</w:t>
            </w:r>
          </w:p>
        </w:tc>
        <w:tc>
          <w:tcPr>
            <w:tcW w:w="1371" w:type="pct"/>
          </w:tcPr>
          <w:p w:rsidR="00A84F28" w:rsidRPr="006951FE" w:rsidRDefault="00A84F28" w:rsidP="00167537">
            <w:pPr>
              <w:pStyle w:val="TableBodyText"/>
              <w:spacing w:before="120"/>
              <w:rPr>
                <w:b/>
                <w:i/>
              </w:rPr>
            </w:pPr>
            <w:r w:rsidRPr="00605B38">
              <w:rPr>
                <w:rFonts w:cs="Arial"/>
                <w:b/>
                <w:bCs/>
              </w:rPr>
              <w:t>1.1</w:t>
            </w:r>
          </w:p>
        </w:tc>
      </w:tr>
      <w:tr w:rsidR="00A84F28" w:rsidRPr="001C2128" w:rsidTr="00167537">
        <w:tc>
          <w:tcPr>
            <w:tcW w:w="2258" w:type="pct"/>
          </w:tcPr>
          <w:p w:rsidR="00A84F28" w:rsidRPr="001C2128" w:rsidRDefault="00A84F28" w:rsidP="00167537">
            <w:pPr>
              <w:pStyle w:val="TableBodyText"/>
              <w:ind w:left="284"/>
              <w:jc w:val="left"/>
            </w:pPr>
            <w:r w:rsidRPr="001C2128">
              <w:t>Brisbane</w:t>
            </w:r>
          </w:p>
        </w:tc>
        <w:tc>
          <w:tcPr>
            <w:tcW w:w="1371" w:type="pct"/>
          </w:tcPr>
          <w:p w:rsidR="00A84F28" w:rsidRPr="001C2128" w:rsidRDefault="00A84F28" w:rsidP="00167537">
            <w:pPr>
              <w:pStyle w:val="TableBodyText"/>
            </w:pPr>
            <w:r w:rsidRPr="001C2128">
              <w:t>0.9</w:t>
            </w:r>
          </w:p>
        </w:tc>
        <w:tc>
          <w:tcPr>
            <w:tcW w:w="1371" w:type="pct"/>
          </w:tcPr>
          <w:p w:rsidR="00A84F28" w:rsidRPr="001C2128" w:rsidRDefault="00A84F28" w:rsidP="00167537">
            <w:pPr>
              <w:pStyle w:val="TableBodyText"/>
            </w:pPr>
            <w:r w:rsidRPr="001C2128">
              <w:t>0.4</w:t>
            </w:r>
          </w:p>
        </w:tc>
      </w:tr>
      <w:tr w:rsidR="00A84F28" w:rsidRPr="001C2128" w:rsidTr="00167537">
        <w:tc>
          <w:tcPr>
            <w:tcW w:w="2258" w:type="pct"/>
          </w:tcPr>
          <w:p w:rsidR="00A84F28" w:rsidRPr="001C2128" w:rsidRDefault="00A84F28" w:rsidP="00167537">
            <w:pPr>
              <w:pStyle w:val="TableBodyText"/>
              <w:ind w:left="284"/>
              <w:jc w:val="left"/>
            </w:pPr>
            <w:r w:rsidRPr="001C2128">
              <w:t>All other regions</w:t>
            </w:r>
          </w:p>
        </w:tc>
        <w:tc>
          <w:tcPr>
            <w:tcW w:w="1371" w:type="pct"/>
          </w:tcPr>
          <w:p w:rsidR="00A84F28" w:rsidRPr="001C2128" w:rsidRDefault="00A84F28" w:rsidP="00167537">
            <w:pPr>
              <w:pStyle w:val="TableBodyText"/>
            </w:pPr>
            <w:r w:rsidRPr="001C2128">
              <w:t>1.</w:t>
            </w:r>
            <w:r>
              <w:t>2</w:t>
            </w:r>
          </w:p>
        </w:tc>
        <w:tc>
          <w:tcPr>
            <w:tcW w:w="1371" w:type="pct"/>
          </w:tcPr>
          <w:p w:rsidR="00A84F28" w:rsidRPr="001C2128" w:rsidRDefault="00A84F28" w:rsidP="00167537">
            <w:pPr>
              <w:pStyle w:val="TableBodyText"/>
            </w:pPr>
            <w:r w:rsidRPr="001C2128">
              <w:t>0.7</w:t>
            </w:r>
          </w:p>
        </w:tc>
      </w:tr>
      <w:tr w:rsidR="00A84F28" w:rsidRPr="006951FE" w:rsidTr="00167537">
        <w:tc>
          <w:tcPr>
            <w:tcW w:w="2258" w:type="pct"/>
          </w:tcPr>
          <w:p w:rsidR="00A84F28" w:rsidRPr="006951FE" w:rsidRDefault="00A84F28" w:rsidP="00167537">
            <w:pPr>
              <w:pStyle w:val="TableBodyText"/>
              <w:spacing w:before="120"/>
              <w:jc w:val="left"/>
              <w:rPr>
                <w:b/>
                <w:i/>
                <w:szCs w:val="24"/>
              </w:rPr>
            </w:pPr>
            <w:r>
              <w:rPr>
                <w:b/>
              </w:rPr>
              <w:t>Western Australia</w:t>
            </w:r>
          </w:p>
        </w:tc>
        <w:tc>
          <w:tcPr>
            <w:tcW w:w="1371" w:type="pct"/>
          </w:tcPr>
          <w:p w:rsidR="00A84F28" w:rsidRPr="003B441E" w:rsidRDefault="00A84F28" w:rsidP="00167537">
            <w:pPr>
              <w:pStyle w:val="TableBodyText"/>
              <w:spacing w:before="120"/>
              <w:rPr>
                <w:b/>
                <w:i/>
              </w:rPr>
            </w:pPr>
            <w:r w:rsidRPr="00605B38">
              <w:rPr>
                <w:rFonts w:cs="Arial"/>
                <w:b/>
                <w:bCs/>
              </w:rPr>
              <w:t>1.6</w:t>
            </w:r>
          </w:p>
        </w:tc>
        <w:tc>
          <w:tcPr>
            <w:tcW w:w="1371" w:type="pct"/>
          </w:tcPr>
          <w:p w:rsidR="00A84F28" w:rsidRPr="006951FE" w:rsidRDefault="00A84F28" w:rsidP="00167537">
            <w:pPr>
              <w:pStyle w:val="TableBodyText"/>
              <w:spacing w:before="120"/>
              <w:rPr>
                <w:b/>
                <w:i/>
              </w:rPr>
            </w:pPr>
            <w:r w:rsidRPr="00605B38">
              <w:rPr>
                <w:rFonts w:cs="Arial"/>
                <w:b/>
                <w:bCs/>
              </w:rPr>
              <w:t>1.6</w:t>
            </w:r>
          </w:p>
        </w:tc>
      </w:tr>
      <w:tr w:rsidR="00A84F28" w:rsidRPr="001C2128" w:rsidTr="00167537">
        <w:tc>
          <w:tcPr>
            <w:tcW w:w="2258" w:type="pct"/>
          </w:tcPr>
          <w:p w:rsidR="00A84F28" w:rsidRPr="001C2128" w:rsidRDefault="00A84F28" w:rsidP="00167537">
            <w:pPr>
              <w:pStyle w:val="TableBodyText"/>
              <w:ind w:left="284"/>
              <w:jc w:val="left"/>
            </w:pPr>
            <w:r w:rsidRPr="001C2128">
              <w:t>Perth</w:t>
            </w:r>
          </w:p>
        </w:tc>
        <w:tc>
          <w:tcPr>
            <w:tcW w:w="1371" w:type="pct"/>
          </w:tcPr>
          <w:p w:rsidR="00A84F28" w:rsidRPr="001C2128" w:rsidRDefault="00A84F28" w:rsidP="00167537">
            <w:pPr>
              <w:pStyle w:val="TableBodyText"/>
            </w:pPr>
            <w:r w:rsidRPr="001C2128">
              <w:t>1.</w:t>
            </w:r>
            <w:r>
              <w:t>5</w:t>
            </w:r>
          </w:p>
        </w:tc>
        <w:tc>
          <w:tcPr>
            <w:tcW w:w="1371" w:type="pct"/>
          </w:tcPr>
          <w:p w:rsidR="00A84F28" w:rsidRPr="001C2128" w:rsidRDefault="00A84F28" w:rsidP="00167537">
            <w:pPr>
              <w:pStyle w:val="TableBodyText"/>
            </w:pPr>
            <w:r w:rsidRPr="001C2128">
              <w:t>1.1</w:t>
            </w:r>
          </w:p>
        </w:tc>
      </w:tr>
      <w:tr w:rsidR="00A84F28" w:rsidRPr="001C2128" w:rsidTr="00167537">
        <w:tc>
          <w:tcPr>
            <w:tcW w:w="2258" w:type="pct"/>
            <w:tcBorders>
              <w:bottom w:val="single" w:sz="4" w:space="0" w:color="auto"/>
            </w:tcBorders>
          </w:tcPr>
          <w:p w:rsidR="00A84F28" w:rsidRPr="001C2128" w:rsidRDefault="00A84F28" w:rsidP="00167537">
            <w:pPr>
              <w:pStyle w:val="TableBodyText"/>
              <w:ind w:left="284"/>
              <w:jc w:val="left"/>
            </w:pPr>
            <w:r w:rsidRPr="001C2128">
              <w:t>All other regions</w:t>
            </w:r>
          </w:p>
        </w:tc>
        <w:tc>
          <w:tcPr>
            <w:tcW w:w="1371" w:type="pct"/>
            <w:tcBorders>
              <w:bottom w:val="single" w:sz="4" w:space="0" w:color="auto"/>
            </w:tcBorders>
          </w:tcPr>
          <w:p w:rsidR="00A84F28" w:rsidRPr="001C2128" w:rsidRDefault="00A84F28" w:rsidP="00167537">
            <w:pPr>
              <w:pStyle w:val="TableBodyText"/>
            </w:pPr>
            <w:r w:rsidRPr="001C2128">
              <w:t>1.7</w:t>
            </w:r>
          </w:p>
        </w:tc>
        <w:tc>
          <w:tcPr>
            <w:tcW w:w="1371" w:type="pct"/>
            <w:tcBorders>
              <w:bottom w:val="single" w:sz="4" w:space="0" w:color="auto"/>
            </w:tcBorders>
          </w:tcPr>
          <w:p w:rsidR="00A84F28" w:rsidRPr="001C2128" w:rsidRDefault="00A84F28" w:rsidP="00167537">
            <w:pPr>
              <w:pStyle w:val="TableBodyText"/>
            </w:pPr>
            <w:r w:rsidRPr="001C2128">
              <w:t>0.5</w:t>
            </w:r>
          </w:p>
        </w:tc>
      </w:tr>
    </w:tbl>
    <w:p w:rsidR="00A84F28" w:rsidRDefault="00A84F28" w:rsidP="00A84F28">
      <w:pPr>
        <w:pStyle w:val="Note"/>
      </w:pPr>
      <w:r w:rsidRPr="00CF3680">
        <w:rPr>
          <w:b/>
        </w:rPr>
        <w:t>(+)</w:t>
      </w:r>
      <w:r>
        <w:t xml:space="preserve"> Positive, between 0 and 0.05. </w:t>
      </w:r>
      <w:r w:rsidRPr="00CF3680">
        <w:rPr>
          <w:b/>
        </w:rPr>
        <w:t>(-)</w:t>
      </w:r>
      <w:r>
        <w:t xml:space="preserve"> Negative, between -0.05 and 0. Contributions may not add to state totals due to rounding. </w:t>
      </w:r>
      <w:r w:rsidRPr="00123244">
        <w:rPr>
          <w:rStyle w:val="NoteLabel"/>
        </w:rPr>
        <w:t>a</w:t>
      </w:r>
      <w:r>
        <w:t xml:space="preserve"> Longer-run impact after full adjustment relative to current </w:t>
      </w:r>
      <w:r w:rsidRPr="009E4E8F">
        <w:t>passenger motor vehicle manufacturing</w:t>
      </w:r>
      <w:r>
        <w:t xml:space="preserve"> operations.</w:t>
      </w:r>
    </w:p>
    <w:p w:rsidR="00DB26D2" w:rsidRDefault="00A84F28" w:rsidP="00A84F28">
      <w:pPr>
        <w:pStyle w:val="Source"/>
      </w:pPr>
      <w:r>
        <w:rPr>
          <w:i/>
        </w:rPr>
        <w:t>Source</w:t>
      </w:r>
      <w:r>
        <w:t xml:space="preserve">: Commission estimates based on the </w:t>
      </w:r>
      <w:proofErr w:type="spellStart"/>
      <w:r>
        <w:t>MMRF</w:t>
      </w:r>
      <w:r>
        <w:noBreakHyphen/>
        <w:t>Auto14</w:t>
      </w:r>
      <w:proofErr w:type="spellEnd"/>
      <w:r>
        <w:t xml:space="preserve"> model.</w:t>
      </w:r>
    </w:p>
    <w:sectPr w:rsidR="00DB26D2" w:rsidSect="00FD4FAB">
      <w:headerReference w:type="even" r:id="rId9"/>
      <w:headerReference w:type="default" r:id="rId10"/>
      <w:footerReference w:type="even" r:id="rId11"/>
      <w:footerReference w:type="default" r:id="rId12"/>
      <w:pgSz w:w="11907" w:h="16840" w:code="9"/>
      <w:pgMar w:top="1985" w:right="1304" w:bottom="1418" w:left="1814" w:header="1701" w:footer="567" w:gutter="0"/>
      <w:pgNumType w:start="1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F28" w:rsidRDefault="00A84F28">
      <w:r>
        <w:separator/>
      </w:r>
    </w:p>
  </w:endnote>
  <w:endnote w:type="continuationSeparator" w:id="0">
    <w:p w:rsidR="00A84F28" w:rsidRDefault="00A84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CF27B1">
            <w:rPr>
              <w:rStyle w:val="PageNumber"/>
              <w:noProof/>
            </w:rPr>
            <w:t>12</w:t>
          </w:r>
          <w:r>
            <w:rPr>
              <w:rStyle w:val="PageNumber"/>
            </w:rPr>
            <w:fldChar w:fldCharType="end"/>
          </w:r>
        </w:p>
      </w:tc>
      <w:tc>
        <w:tcPr>
          <w:tcW w:w="1644" w:type="dxa"/>
          <w:tcBorders>
            <w:top w:val="single" w:sz="6" w:space="0" w:color="auto"/>
          </w:tcBorders>
        </w:tcPr>
        <w:p w:rsidR="00096E55" w:rsidRDefault="00A84F28" w:rsidP="0019293B">
          <w:pPr>
            <w:pStyle w:val="Footer"/>
          </w:pPr>
          <w:r>
            <w:t>Modelling Automotive Industry Change</w:t>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A84F28">
          <w:pPr>
            <w:pStyle w:val="Footer"/>
          </w:pPr>
          <w:r>
            <w:t>Longer-run effects</w:t>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CF27B1">
            <w:rPr>
              <w:rStyle w:val="PageNumber"/>
              <w:noProof/>
            </w:rPr>
            <w:t>11</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F28" w:rsidRDefault="00A84F28">
      <w:r>
        <w:separator/>
      </w:r>
    </w:p>
  </w:footnote>
  <w:footnote w:type="continuationSeparator" w:id="0">
    <w:p w:rsidR="00A84F28" w:rsidRDefault="00A84F28">
      <w:r>
        <w:continuationSeparator/>
      </w:r>
    </w:p>
  </w:footnote>
  <w:footnote w:id="1">
    <w:p w:rsidR="00A84F28" w:rsidRDefault="00A84F28">
      <w:pPr>
        <w:pStyle w:val="FootnoteText"/>
      </w:pPr>
      <w:r>
        <w:rPr>
          <w:rStyle w:val="FootnoteReference"/>
        </w:rPr>
        <w:footnoteRef/>
      </w:r>
      <w:r>
        <w:tab/>
        <w:t>To fill the local supply gap, local consumers and investors are modelled as replacing previously produced domestic supplies with imported passenger motor vehicles and automotive components. Exports of passenger motor vehicles are assumed to decline in line with industry output (appendix 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Longer-run effects"/>
    <w:docVar w:name="ShortReportTitle" w:val="Modelling Automotive Industry Change"/>
  </w:docVars>
  <w:rsids>
    <w:rsidRoot w:val="00A84F28"/>
    <w:rsid w:val="00016204"/>
    <w:rsid w:val="0001719C"/>
    <w:rsid w:val="000227D5"/>
    <w:rsid w:val="000245AA"/>
    <w:rsid w:val="0003664B"/>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9426B"/>
    <w:rsid w:val="001C0865"/>
    <w:rsid w:val="001C3ABA"/>
    <w:rsid w:val="001E7BE8"/>
    <w:rsid w:val="001F0248"/>
    <w:rsid w:val="001F3EB3"/>
    <w:rsid w:val="001F4F86"/>
    <w:rsid w:val="00202C2C"/>
    <w:rsid w:val="002135AB"/>
    <w:rsid w:val="002144BE"/>
    <w:rsid w:val="00242279"/>
    <w:rsid w:val="00245C82"/>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A38DD"/>
    <w:rsid w:val="004B43AE"/>
    <w:rsid w:val="004C30ED"/>
    <w:rsid w:val="004D5675"/>
    <w:rsid w:val="00523639"/>
    <w:rsid w:val="00531FE5"/>
    <w:rsid w:val="005402FA"/>
    <w:rsid w:val="00583C39"/>
    <w:rsid w:val="00587F28"/>
    <w:rsid w:val="005909CF"/>
    <w:rsid w:val="00591E71"/>
    <w:rsid w:val="005A0D41"/>
    <w:rsid w:val="00607BF1"/>
    <w:rsid w:val="00630D4D"/>
    <w:rsid w:val="00632A74"/>
    <w:rsid w:val="006A4655"/>
    <w:rsid w:val="006B2B3C"/>
    <w:rsid w:val="006C1D81"/>
    <w:rsid w:val="006C7038"/>
    <w:rsid w:val="006E73EF"/>
    <w:rsid w:val="00714D4D"/>
    <w:rsid w:val="007604BB"/>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270AB"/>
    <w:rsid w:val="00A33DFF"/>
    <w:rsid w:val="00A35115"/>
    <w:rsid w:val="00A36D9A"/>
    <w:rsid w:val="00A554AB"/>
    <w:rsid w:val="00A57062"/>
    <w:rsid w:val="00A84F28"/>
    <w:rsid w:val="00A92B53"/>
    <w:rsid w:val="00A94FA6"/>
    <w:rsid w:val="00AA49A0"/>
    <w:rsid w:val="00AA6710"/>
    <w:rsid w:val="00AB0681"/>
    <w:rsid w:val="00AD520B"/>
    <w:rsid w:val="00B425C3"/>
    <w:rsid w:val="00B440AD"/>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46EA7"/>
    <w:rsid w:val="00C52416"/>
    <w:rsid w:val="00C543F4"/>
    <w:rsid w:val="00C6291C"/>
    <w:rsid w:val="00C633CB"/>
    <w:rsid w:val="00C736B7"/>
    <w:rsid w:val="00C81D4A"/>
    <w:rsid w:val="00C8762C"/>
    <w:rsid w:val="00CA00F9"/>
    <w:rsid w:val="00CA2961"/>
    <w:rsid w:val="00CB50D7"/>
    <w:rsid w:val="00CB7177"/>
    <w:rsid w:val="00CC1998"/>
    <w:rsid w:val="00CC4946"/>
    <w:rsid w:val="00CF27B1"/>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7C72"/>
    <w:rsid w:val="00E21FC6"/>
    <w:rsid w:val="00E431A9"/>
    <w:rsid w:val="00E669E2"/>
    <w:rsid w:val="00E76135"/>
    <w:rsid w:val="00E82F4F"/>
    <w:rsid w:val="00EC2844"/>
    <w:rsid w:val="00EC5500"/>
    <w:rsid w:val="00ED18F8"/>
    <w:rsid w:val="00EF6C6C"/>
    <w:rsid w:val="00F056FC"/>
    <w:rsid w:val="00F10476"/>
    <w:rsid w:val="00F135D8"/>
    <w:rsid w:val="00F31299"/>
    <w:rsid w:val="00F3534A"/>
    <w:rsid w:val="00F51609"/>
    <w:rsid w:val="00F81006"/>
    <w:rsid w:val="00F85325"/>
    <w:rsid w:val="00FD22B1"/>
    <w:rsid w:val="00FD4FAB"/>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F27B1"/>
    <w:rPr>
      <w:sz w:val="26"/>
      <w:szCs w:val="24"/>
    </w:rPr>
  </w:style>
  <w:style w:type="paragraph" w:styleId="Heading1">
    <w:name w:val="heading 1"/>
    <w:basedOn w:val="BodyText"/>
    <w:next w:val="BodyText"/>
    <w:link w:val="Heading1Char"/>
    <w:rsid w:val="00CF27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CF27B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CF27B1"/>
    <w:pPr>
      <w:spacing w:before="560" w:line="320" w:lineRule="exact"/>
      <w:ind w:left="0" w:firstLine="0"/>
      <w:outlineLvl w:val="2"/>
    </w:pPr>
    <w:rPr>
      <w:sz w:val="26"/>
    </w:rPr>
  </w:style>
  <w:style w:type="paragraph" w:styleId="Heading4">
    <w:name w:val="heading 4"/>
    <w:basedOn w:val="Heading3"/>
    <w:next w:val="BodyText"/>
    <w:link w:val="Heading4Char"/>
    <w:qFormat/>
    <w:rsid w:val="00CF27B1"/>
    <w:pPr>
      <w:spacing w:before="480"/>
      <w:outlineLvl w:val="3"/>
    </w:pPr>
    <w:rPr>
      <w:b w:val="0"/>
      <w:i/>
      <w:sz w:val="24"/>
    </w:rPr>
  </w:style>
  <w:style w:type="paragraph" w:styleId="Heading5">
    <w:name w:val="heading 5"/>
    <w:basedOn w:val="Heading4"/>
    <w:next w:val="BodyText"/>
    <w:link w:val="Heading5Char"/>
    <w:qFormat/>
    <w:rsid w:val="00CF27B1"/>
    <w:pPr>
      <w:outlineLvl w:val="4"/>
    </w:pPr>
    <w:rPr>
      <w:rFonts w:ascii="Times New Roman" w:hAnsi="Times New Roman"/>
      <w:sz w:val="26"/>
    </w:rPr>
  </w:style>
  <w:style w:type="paragraph" w:styleId="Heading6">
    <w:name w:val="heading 6"/>
    <w:basedOn w:val="BodyText"/>
    <w:next w:val="BodyText"/>
    <w:link w:val="Heading6Char"/>
    <w:rsid w:val="00CF27B1"/>
    <w:pPr>
      <w:spacing w:after="60"/>
      <w:jc w:val="left"/>
      <w:outlineLvl w:val="5"/>
    </w:pPr>
    <w:rPr>
      <w:i/>
      <w:sz w:val="22"/>
    </w:rPr>
  </w:style>
  <w:style w:type="paragraph" w:styleId="Heading7">
    <w:name w:val="heading 7"/>
    <w:basedOn w:val="BodyText"/>
    <w:next w:val="BodyText"/>
    <w:link w:val="Heading7Char"/>
    <w:rsid w:val="00CF27B1"/>
    <w:pPr>
      <w:spacing w:after="60" w:line="240" w:lineRule="auto"/>
      <w:jc w:val="left"/>
      <w:outlineLvl w:val="6"/>
    </w:pPr>
    <w:rPr>
      <w:rFonts w:ascii="Arial" w:hAnsi="Arial"/>
      <w:sz w:val="20"/>
    </w:rPr>
  </w:style>
  <w:style w:type="paragraph" w:styleId="Heading8">
    <w:name w:val="heading 8"/>
    <w:basedOn w:val="BodyText"/>
    <w:next w:val="BodyText"/>
    <w:link w:val="Heading8Char"/>
    <w:rsid w:val="00CF27B1"/>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CF27B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F27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27B1"/>
  </w:style>
  <w:style w:type="paragraph" w:styleId="BodyText">
    <w:name w:val="Body Text"/>
    <w:link w:val="BodyTextChar"/>
    <w:qFormat/>
    <w:rsid w:val="00CF27B1"/>
    <w:pPr>
      <w:spacing w:before="240" w:line="320" w:lineRule="atLeast"/>
      <w:jc w:val="both"/>
    </w:pPr>
    <w:rPr>
      <w:sz w:val="26"/>
    </w:rPr>
  </w:style>
  <w:style w:type="paragraph" w:styleId="Footer">
    <w:name w:val="footer"/>
    <w:basedOn w:val="BodyText"/>
    <w:link w:val="FooterChar"/>
    <w:rsid w:val="00CF27B1"/>
    <w:pPr>
      <w:spacing w:before="80" w:line="200" w:lineRule="exact"/>
      <w:ind w:right="6"/>
      <w:jc w:val="left"/>
    </w:pPr>
    <w:rPr>
      <w:caps/>
      <w:spacing w:val="-4"/>
      <w:sz w:val="16"/>
    </w:rPr>
  </w:style>
  <w:style w:type="paragraph" w:customStyle="1" w:styleId="FooterEnd">
    <w:name w:val="Footer End"/>
    <w:basedOn w:val="Footer"/>
    <w:rsid w:val="00CF27B1"/>
    <w:pPr>
      <w:spacing w:before="0" w:line="20" w:lineRule="exact"/>
    </w:pPr>
  </w:style>
  <w:style w:type="paragraph" w:styleId="Header">
    <w:name w:val="header"/>
    <w:basedOn w:val="BodyText"/>
    <w:link w:val="HeaderChar"/>
    <w:rsid w:val="00CF27B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F27B1"/>
    <w:pPr>
      <w:spacing w:line="20" w:lineRule="exact"/>
    </w:pPr>
    <w:rPr>
      <w:sz w:val="16"/>
    </w:rPr>
  </w:style>
  <w:style w:type="paragraph" w:customStyle="1" w:styleId="HeaderEven">
    <w:name w:val="Header Even"/>
    <w:basedOn w:val="Header"/>
    <w:rsid w:val="00CF27B1"/>
  </w:style>
  <w:style w:type="paragraph" w:customStyle="1" w:styleId="HeaderOdd">
    <w:name w:val="Header Odd"/>
    <w:basedOn w:val="Header"/>
    <w:rsid w:val="00CF27B1"/>
  </w:style>
  <w:style w:type="character" w:styleId="PageNumber">
    <w:name w:val="page number"/>
    <w:basedOn w:val="DefaultParagraphFont"/>
    <w:rsid w:val="00CF27B1"/>
    <w:rPr>
      <w:rFonts w:ascii="Arial" w:hAnsi="Arial"/>
      <w:b/>
      <w:sz w:val="16"/>
    </w:rPr>
  </w:style>
  <w:style w:type="paragraph" w:customStyle="1" w:styleId="Abbreviation">
    <w:name w:val="Abbreviation"/>
    <w:basedOn w:val="BodyText"/>
    <w:rsid w:val="00CF27B1"/>
    <w:pPr>
      <w:spacing w:before="120"/>
      <w:ind w:left="2381" w:hanging="2381"/>
      <w:jc w:val="left"/>
    </w:pPr>
  </w:style>
  <w:style w:type="paragraph" w:customStyle="1" w:styleId="Box">
    <w:name w:val="Box"/>
    <w:basedOn w:val="BodyText"/>
    <w:qFormat/>
    <w:rsid w:val="00CF27B1"/>
    <w:pPr>
      <w:keepNext/>
      <w:spacing w:before="120" w:line="280" w:lineRule="atLeast"/>
    </w:pPr>
    <w:rPr>
      <w:rFonts w:ascii="Arial" w:hAnsi="Arial"/>
      <w:sz w:val="22"/>
    </w:rPr>
  </w:style>
  <w:style w:type="paragraph" w:customStyle="1" w:styleId="BoxContinued">
    <w:name w:val="Box Continued"/>
    <w:basedOn w:val="BodyText"/>
    <w:next w:val="BodyText"/>
    <w:semiHidden/>
    <w:rsid w:val="00CF27B1"/>
    <w:pPr>
      <w:spacing w:before="180" w:line="220" w:lineRule="exact"/>
      <w:jc w:val="right"/>
    </w:pPr>
    <w:rPr>
      <w:rFonts w:ascii="Arial" w:hAnsi="Arial"/>
      <w:sz w:val="18"/>
    </w:rPr>
  </w:style>
  <w:style w:type="paragraph" w:customStyle="1" w:styleId="BoxHeading1">
    <w:name w:val="Box Heading 1"/>
    <w:basedOn w:val="BodyText"/>
    <w:next w:val="Box"/>
    <w:rsid w:val="00CF27B1"/>
    <w:pPr>
      <w:keepNext/>
      <w:spacing w:before="200" w:line="280" w:lineRule="atLeast"/>
    </w:pPr>
    <w:rPr>
      <w:rFonts w:ascii="Arial" w:hAnsi="Arial"/>
      <w:b/>
      <w:sz w:val="22"/>
    </w:rPr>
  </w:style>
  <w:style w:type="paragraph" w:customStyle="1" w:styleId="BoxHeading2">
    <w:name w:val="Box Heading 2"/>
    <w:basedOn w:val="BoxHeading1"/>
    <w:next w:val="Normal"/>
    <w:rsid w:val="00CF27B1"/>
    <w:rPr>
      <w:b w:val="0"/>
      <w:i/>
    </w:rPr>
  </w:style>
  <w:style w:type="paragraph" w:customStyle="1" w:styleId="BoxListBullet">
    <w:name w:val="Box List Bullet"/>
    <w:basedOn w:val="BodyText"/>
    <w:rsid w:val="00CF27B1"/>
    <w:pPr>
      <w:keepNext/>
      <w:numPr>
        <w:numId w:val="1"/>
      </w:numPr>
      <w:spacing w:before="60" w:line="280" w:lineRule="atLeast"/>
    </w:pPr>
    <w:rPr>
      <w:rFonts w:ascii="Arial" w:hAnsi="Arial"/>
      <w:sz w:val="22"/>
    </w:rPr>
  </w:style>
  <w:style w:type="paragraph" w:customStyle="1" w:styleId="BoxListBullet2">
    <w:name w:val="Box List Bullet 2"/>
    <w:basedOn w:val="BodyText"/>
    <w:rsid w:val="00CF27B1"/>
    <w:pPr>
      <w:keepNext/>
      <w:numPr>
        <w:numId w:val="2"/>
      </w:numPr>
      <w:spacing w:before="60" w:line="280" w:lineRule="atLeast"/>
    </w:pPr>
    <w:rPr>
      <w:rFonts w:ascii="Arial" w:hAnsi="Arial"/>
      <w:sz w:val="22"/>
    </w:rPr>
  </w:style>
  <w:style w:type="paragraph" w:customStyle="1" w:styleId="BoxListNumber">
    <w:name w:val="Box List Number"/>
    <w:basedOn w:val="BodyText"/>
    <w:rsid w:val="00CF27B1"/>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CF27B1"/>
    <w:pPr>
      <w:numPr>
        <w:ilvl w:val="1"/>
      </w:numPr>
    </w:pPr>
  </w:style>
  <w:style w:type="paragraph" w:customStyle="1" w:styleId="BoxQuote">
    <w:name w:val="Box Quote"/>
    <w:basedOn w:val="BodyText"/>
    <w:next w:val="Box"/>
    <w:rsid w:val="00CF27B1"/>
    <w:pPr>
      <w:keepNext/>
      <w:spacing w:before="60" w:line="260" w:lineRule="exact"/>
      <w:ind w:left="284"/>
    </w:pPr>
    <w:rPr>
      <w:rFonts w:ascii="Arial" w:hAnsi="Arial"/>
      <w:sz w:val="20"/>
    </w:rPr>
  </w:style>
  <w:style w:type="paragraph" w:customStyle="1" w:styleId="Note">
    <w:name w:val="Note"/>
    <w:basedOn w:val="BodyText"/>
    <w:next w:val="BodyText"/>
    <w:link w:val="NoteChar"/>
    <w:rsid w:val="00CF27B1"/>
    <w:pPr>
      <w:keepLines/>
      <w:spacing w:before="80" w:line="220" w:lineRule="exact"/>
    </w:pPr>
    <w:rPr>
      <w:rFonts w:ascii="Arial" w:hAnsi="Arial"/>
      <w:sz w:val="18"/>
    </w:rPr>
  </w:style>
  <w:style w:type="paragraph" w:customStyle="1" w:styleId="Source">
    <w:name w:val="Source"/>
    <w:basedOn w:val="Note"/>
    <w:next w:val="BodyText"/>
    <w:link w:val="SourceChar"/>
    <w:rsid w:val="00CF27B1"/>
    <w:pPr>
      <w:spacing w:after="120"/>
    </w:pPr>
  </w:style>
  <w:style w:type="paragraph" w:customStyle="1" w:styleId="BoxSource">
    <w:name w:val="Box Source"/>
    <w:basedOn w:val="Source"/>
    <w:next w:val="BodyText"/>
    <w:rsid w:val="00CF27B1"/>
    <w:pPr>
      <w:spacing w:before="180" w:after="0"/>
    </w:pPr>
  </w:style>
  <w:style w:type="paragraph" w:customStyle="1" w:styleId="BoxSpaceAbove">
    <w:name w:val="Box Space Above"/>
    <w:basedOn w:val="BodyText"/>
    <w:rsid w:val="00CF27B1"/>
    <w:pPr>
      <w:keepNext/>
      <w:spacing w:before="360" w:line="80" w:lineRule="exact"/>
      <w:jc w:val="left"/>
    </w:pPr>
  </w:style>
  <w:style w:type="paragraph" w:styleId="Caption">
    <w:name w:val="caption"/>
    <w:basedOn w:val="Normal"/>
    <w:next w:val="BodyText"/>
    <w:rsid w:val="00CF27B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F27B1"/>
    <w:pPr>
      <w:spacing w:before="120" w:after="0"/>
      <w:ind w:left="1304" w:hanging="1304"/>
    </w:pPr>
    <w:rPr>
      <w:sz w:val="24"/>
    </w:rPr>
  </w:style>
  <w:style w:type="paragraph" w:customStyle="1" w:styleId="BoxSubtitle">
    <w:name w:val="Box Subtitle"/>
    <w:basedOn w:val="BoxTitle"/>
    <w:next w:val="Normal"/>
    <w:rsid w:val="00CF27B1"/>
    <w:pPr>
      <w:spacing w:after="80" w:line="200" w:lineRule="exact"/>
      <w:ind w:firstLine="0"/>
    </w:pPr>
    <w:rPr>
      <w:b w:val="0"/>
      <w:sz w:val="20"/>
    </w:rPr>
  </w:style>
  <w:style w:type="paragraph" w:customStyle="1" w:styleId="Chapter">
    <w:name w:val="Chapter"/>
    <w:basedOn w:val="Heading1"/>
    <w:next w:val="BodyText"/>
    <w:semiHidden/>
    <w:rsid w:val="00CF27B1"/>
    <w:pPr>
      <w:ind w:left="0" w:firstLine="0"/>
      <w:outlineLvl w:val="9"/>
    </w:pPr>
  </w:style>
  <w:style w:type="paragraph" w:customStyle="1" w:styleId="ChapterSummary">
    <w:name w:val="Chapter Summary"/>
    <w:basedOn w:val="BodyText"/>
    <w:rsid w:val="00CF27B1"/>
    <w:pPr>
      <w:ind w:left="907"/>
    </w:pPr>
    <w:rPr>
      <w:rFonts w:ascii="Arial" w:hAnsi="Arial"/>
      <w:b/>
      <w:sz w:val="22"/>
    </w:rPr>
  </w:style>
  <w:style w:type="character" w:styleId="CommentReference">
    <w:name w:val="annotation reference"/>
    <w:basedOn w:val="DefaultParagraphFont"/>
    <w:semiHidden/>
    <w:rsid w:val="00CF27B1"/>
    <w:rPr>
      <w:b/>
      <w:vanish/>
      <w:color w:val="FF00FF"/>
      <w:sz w:val="20"/>
    </w:rPr>
  </w:style>
  <w:style w:type="paragraph" w:styleId="CommentText">
    <w:name w:val="annotation text"/>
    <w:basedOn w:val="Normal"/>
    <w:link w:val="CommentTextChar1"/>
    <w:semiHidden/>
    <w:rsid w:val="00CF27B1"/>
    <w:pPr>
      <w:spacing w:before="120" w:line="240" w:lineRule="atLeast"/>
      <w:ind w:left="567" w:hanging="567"/>
    </w:pPr>
    <w:rPr>
      <w:sz w:val="20"/>
    </w:rPr>
  </w:style>
  <w:style w:type="paragraph" w:customStyle="1" w:styleId="Continued">
    <w:name w:val="Continued"/>
    <w:basedOn w:val="BoxContinued"/>
    <w:next w:val="BodyText"/>
    <w:rsid w:val="00CF27B1"/>
  </w:style>
  <w:style w:type="character" w:customStyle="1" w:styleId="DocumentInfo">
    <w:name w:val="Document Info"/>
    <w:basedOn w:val="DefaultParagraphFont"/>
    <w:semiHidden/>
    <w:rsid w:val="00CF27B1"/>
    <w:rPr>
      <w:rFonts w:ascii="Arial" w:hAnsi="Arial"/>
      <w:sz w:val="14"/>
    </w:rPr>
  </w:style>
  <w:style w:type="character" w:customStyle="1" w:styleId="DraftingNote">
    <w:name w:val="Drafting Note"/>
    <w:basedOn w:val="DefaultParagraphFont"/>
    <w:rsid w:val="00CF27B1"/>
    <w:rPr>
      <w:b/>
      <w:color w:val="FF0000"/>
      <w:sz w:val="24"/>
      <w:u w:val="dotted"/>
    </w:rPr>
  </w:style>
  <w:style w:type="paragraph" w:customStyle="1" w:styleId="Figure">
    <w:name w:val="Figure"/>
    <w:basedOn w:val="BodyText"/>
    <w:rsid w:val="00CF27B1"/>
    <w:pPr>
      <w:keepNext/>
      <w:spacing w:before="120" w:after="120" w:line="240" w:lineRule="atLeast"/>
      <w:jc w:val="center"/>
    </w:pPr>
  </w:style>
  <w:style w:type="paragraph" w:customStyle="1" w:styleId="FigureTitle">
    <w:name w:val="Figure Title"/>
    <w:basedOn w:val="Caption"/>
    <w:next w:val="Subtitle"/>
    <w:rsid w:val="00CF27B1"/>
    <w:rPr>
      <w:sz w:val="24"/>
    </w:rPr>
  </w:style>
  <w:style w:type="paragraph" w:styleId="Subtitle">
    <w:name w:val="Subtitle"/>
    <w:basedOn w:val="Caption"/>
    <w:link w:val="SubtitleChar"/>
    <w:rsid w:val="00CF27B1"/>
    <w:pPr>
      <w:spacing w:before="0" w:line="200" w:lineRule="exact"/>
      <w:ind w:firstLine="0"/>
    </w:pPr>
    <w:rPr>
      <w:b w:val="0"/>
      <w:sz w:val="20"/>
    </w:rPr>
  </w:style>
  <w:style w:type="paragraph" w:customStyle="1" w:styleId="Finding">
    <w:name w:val="Finding"/>
    <w:basedOn w:val="BodyText"/>
    <w:rsid w:val="00CF27B1"/>
    <w:pPr>
      <w:keepLines/>
      <w:spacing w:before="180"/>
    </w:pPr>
    <w:rPr>
      <w:i/>
    </w:rPr>
  </w:style>
  <w:style w:type="paragraph" w:customStyle="1" w:styleId="FindingBullet">
    <w:name w:val="Finding Bullet"/>
    <w:basedOn w:val="Finding"/>
    <w:rsid w:val="00CF27B1"/>
    <w:pPr>
      <w:numPr>
        <w:numId w:val="3"/>
      </w:numPr>
      <w:spacing w:before="80"/>
    </w:pPr>
  </w:style>
  <w:style w:type="paragraph" w:customStyle="1" w:styleId="FindingNoTitle">
    <w:name w:val="Finding NoTitle"/>
    <w:basedOn w:val="Finding"/>
    <w:semiHidden/>
    <w:rsid w:val="00CF27B1"/>
    <w:pPr>
      <w:spacing w:before="240"/>
    </w:pPr>
  </w:style>
  <w:style w:type="paragraph" w:customStyle="1" w:styleId="RecTitle">
    <w:name w:val="Rec Title"/>
    <w:basedOn w:val="BodyText"/>
    <w:next w:val="Normal"/>
    <w:rsid w:val="00CF27B1"/>
    <w:pPr>
      <w:keepNext/>
      <w:keepLines/>
    </w:pPr>
    <w:rPr>
      <w:caps/>
      <w:sz w:val="20"/>
    </w:rPr>
  </w:style>
  <w:style w:type="paragraph" w:customStyle="1" w:styleId="FindingTitle">
    <w:name w:val="Finding Title"/>
    <w:basedOn w:val="RecTitle"/>
    <w:next w:val="Finding"/>
    <w:rsid w:val="00CF27B1"/>
    <w:pPr>
      <w:framePr w:wrap="notBeside" w:hAnchor="text"/>
    </w:pPr>
  </w:style>
  <w:style w:type="character" w:styleId="FootnoteReference">
    <w:name w:val="footnote reference"/>
    <w:basedOn w:val="DefaultParagraphFont"/>
    <w:semiHidden/>
    <w:rsid w:val="00CF27B1"/>
    <w:rPr>
      <w:rFonts w:ascii="Times New Roman" w:hAnsi="Times New Roman"/>
      <w:position w:val="6"/>
      <w:sz w:val="22"/>
      <w:vertAlign w:val="baseline"/>
    </w:rPr>
  </w:style>
  <w:style w:type="paragraph" w:styleId="FootnoteText">
    <w:name w:val="footnote text"/>
    <w:basedOn w:val="BodyText"/>
    <w:link w:val="FootnoteTextChar"/>
    <w:rsid w:val="00CF27B1"/>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CF27B1"/>
    <w:pPr>
      <w:spacing w:before="360" w:after="120"/>
    </w:pPr>
    <w:rPr>
      <w:rFonts w:ascii="Arial" w:hAnsi="Arial"/>
      <w:sz w:val="24"/>
    </w:rPr>
  </w:style>
  <w:style w:type="paragraph" w:customStyle="1" w:styleId="Jurisdictioncommentsbodytext">
    <w:name w:val="Jurisdiction comments body text"/>
    <w:rsid w:val="00CF27B1"/>
    <w:pPr>
      <w:spacing w:after="140"/>
      <w:jc w:val="both"/>
    </w:pPr>
    <w:rPr>
      <w:rFonts w:ascii="Arial" w:hAnsi="Arial"/>
      <w:sz w:val="24"/>
      <w:lang w:eastAsia="en-US"/>
    </w:rPr>
  </w:style>
  <w:style w:type="paragraph" w:customStyle="1" w:styleId="Jurisdictioncommentsheading">
    <w:name w:val="Jurisdiction comments heading"/>
    <w:rsid w:val="00CF27B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F27B1"/>
    <w:pPr>
      <w:numPr>
        <w:numId w:val="4"/>
      </w:numPr>
      <w:spacing w:after="140"/>
      <w:jc w:val="both"/>
    </w:pPr>
    <w:rPr>
      <w:rFonts w:ascii="Arial" w:hAnsi="Arial"/>
      <w:sz w:val="24"/>
      <w:lang w:eastAsia="en-US"/>
    </w:rPr>
  </w:style>
  <w:style w:type="paragraph" w:styleId="ListBullet">
    <w:name w:val="List Bullet"/>
    <w:basedOn w:val="BodyText"/>
    <w:link w:val="ListBulletChar"/>
    <w:rsid w:val="00CF27B1"/>
    <w:pPr>
      <w:numPr>
        <w:numId w:val="6"/>
      </w:numPr>
      <w:spacing w:before="120"/>
    </w:pPr>
  </w:style>
  <w:style w:type="paragraph" w:styleId="ListBullet2">
    <w:name w:val="List Bullet 2"/>
    <w:basedOn w:val="BodyText"/>
    <w:rsid w:val="00CF27B1"/>
    <w:pPr>
      <w:numPr>
        <w:numId w:val="8"/>
      </w:numPr>
      <w:spacing w:before="120"/>
    </w:pPr>
  </w:style>
  <w:style w:type="paragraph" w:styleId="ListBullet3">
    <w:name w:val="List Bullet 3"/>
    <w:basedOn w:val="BodyText"/>
    <w:rsid w:val="00CF27B1"/>
    <w:pPr>
      <w:numPr>
        <w:numId w:val="10"/>
      </w:numPr>
      <w:spacing w:before="120"/>
    </w:pPr>
  </w:style>
  <w:style w:type="paragraph" w:styleId="ListNumber">
    <w:name w:val="List Number"/>
    <w:basedOn w:val="BodyText"/>
    <w:rsid w:val="00CF27B1"/>
    <w:pPr>
      <w:numPr>
        <w:numId w:val="32"/>
      </w:numPr>
      <w:spacing w:before="120"/>
    </w:pPr>
  </w:style>
  <w:style w:type="paragraph" w:styleId="ListNumber2">
    <w:name w:val="List Number 2"/>
    <w:basedOn w:val="ListNumber"/>
    <w:rsid w:val="00CF27B1"/>
    <w:pPr>
      <w:numPr>
        <w:ilvl w:val="1"/>
      </w:numPr>
    </w:pPr>
  </w:style>
  <w:style w:type="paragraph" w:styleId="ListNumber3">
    <w:name w:val="List Number 3"/>
    <w:basedOn w:val="ListNumber2"/>
    <w:rsid w:val="00CF27B1"/>
    <w:pPr>
      <w:numPr>
        <w:ilvl w:val="2"/>
      </w:numPr>
    </w:pPr>
  </w:style>
  <w:style w:type="character" w:customStyle="1" w:styleId="NoteLabel">
    <w:name w:val="Note Label"/>
    <w:basedOn w:val="DefaultParagraphFont"/>
    <w:rsid w:val="00CF27B1"/>
    <w:rPr>
      <w:rFonts w:ascii="Arial" w:hAnsi="Arial"/>
      <w:b/>
      <w:position w:val="6"/>
      <w:sz w:val="18"/>
    </w:rPr>
  </w:style>
  <w:style w:type="paragraph" w:customStyle="1" w:styleId="PartDivider">
    <w:name w:val="Part Divider"/>
    <w:basedOn w:val="BodyText"/>
    <w:next w:val="BodyText"/>
    <w:semiHidden/>
    <w:rsid w:val="00CF27B1"/>
    <w:pPr>
      <w:spacing w:before="0" w:line="40" w:lineRule="exact"/>
      <w:jc w:val="right"/>
    </w:pPr>
    <w:rPr>
      <w:smallCaps/>
      <w:sz w:val="16"/>
    </w:rPr>
  </w:style>
  <w:style w:type="paragraph" w:customStyle="1" w:styleId="PartNumber">
    <w:name w:val="Part Number"/>
    <w:basedOn w:val="BodyText"/>
    <w:next w:val="BodyText"/>
    <w:semiHidden/>
    <w:rsid w:val="00CF27B1"/>
    <w:pPr>
      <w:spacing w:before="4000" w:line="320" w:lineRule="exact"/>
      <w:ind w:left="6634"/>
      <w:jc w:val="right"/>
    </w:pPr>
    <w:rPr>
      <w:smallCaps/>
      <w:spacing w:val="60"/>
      <w:sz w:val="32"/>
    </w:rPr>
  </w:style>
  <w:style w:type="paragraph" w:customStyle="1" w:styleId="PartTitle">
    <w:name w:val="Part Title"/>
    <w:basedOn w:val="BodyText"/>
    <w:semiHidden/>
    <w:rsid w:val="00CF27B1"/>
    <w:pPr>
      <w:spacing w:before="160" w:after="1360" w:line="520" w:lineRule="exact"/>
      <w:ind w:right="2381"/>
      <w:jc w:val="right"/>
    </w:pPr>
    <w:rPr>
      <w:smallCaps/>
      <w:sz w:val="52"/>
    </w:rPr>
  </w:style>
  <w:style w:type="paragraph" w:styleId="Quote">
    <w:name w:val="Quote"/>
    <w:basedOn w:val="BodyText"/>
    <w:next w:val="BodyText"/>
    <w:link w:val="QuoteChar"/>
    <w:qFormat/>
    <w:rsid w:val="00CF27B1"/>
    <w:pPr>
      <w:spacing w:before="120" w:line="280" w:lineRule="exact"/>
      <w:ind w:left="340"/>
    </w:pPr>
    <w:rPr>
      <w:sz w:val="24"/>
    </w:rPr>
  </w:style>
  <w:style w:type="paragraph" w:customStyle="1" w:styleId="QuoteBullet">
    <w:name w:val="Quote Bullet"/>
    <w:basedOn w:val="Quote"/>
    <w:rsid w:val="00CF27B1"/>
    <w:pPr>
      <w:numPr>
        <w:numId w:val="14"/>
      </w:numPr>
    </w:pPr>
  </w:style>
  <w:style w:type="paragraph" w:customStyle="1" w:styleId="Rec">
    <w:name w:val="Rec"/>
    <w:basedOn w:val="BodyText"/>
    <w:rsid w:val="00CF27B1"/>
    <w:pPr>
      <w:keepLines/>
      <w:spacing w:before="180"/>
    </w:pPr>
    <w:rPr>
      <w:b/>
      <w:i/>
    </w:rPr>
  </w:style>
  <w:style w:type="paragraph" w:customStyle="1" w:styleId="RecBullet">
    <w:name w:val="Rec Bullet"/>
    <w:basedOn w:val="Rec"/>
    <w:rsid w:val="00CF27B1"/>
    <w:pPr>
      <w:numPr>
        <w:numId w:val="15"/>
      </w:numPr>
      <w:spacing w:before="80"/>
    </w:pPr>
  </w:style>
  <w:style w:type="paragraph" w:customStyle="1" w:styleId="RecB">
    <w:name w:val="RecB"/>
    <w:basedOn w:val="Normal"/>
    <w:semiHidden/>
    <w:rsid w:val="00CF27B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CF27B1"/>
    <w:pPr>
      <w:numPr>
        <w:numId w:val="16"/>
      </w:numPr>
      <w:spacing w:before="80"/>
    </w:pPr>
  </w:style>
  <w:style w:type="paragraph" w:customStyle="1" w:styleId="RecBNoTitle">
    <w:name w:val="RecB NoTitle"/>
    <w:basedOn w:val="RecB"/>
    <w:semiHidden/>
    <w:rsid w:val="00CF27B1"/>
    <w:pPr>
      <w:spacing w:before="240"/>
    </w:pPr>
  </w:style>
  <w:style w:type="paragraph" w:customStyle="1" w:styleId="Reference">
    <w:name w:val="Reference"/>
    <w:basedOn w:val="BodyText"/>
    <w:rsid w:val="00CF27B1"/>
    <w:pPr>
      <w:spacing w:before="120"/>
      <w:ind w:left="340" w:hanging="340"/>
    </w:pPr>
  </w:style>
  <w:style w:type="paragraph" w:customStyle="1" w:styleId="SequenceInfo">
    <w:name w:val="Sequence Info"/>
    <w:basedOn w:val="BodyText"/>
    <w:semiHidden/>
    <w:rsid w:val="00CF27B1"/>
    <w:rPr>
      <w:vanish/>
      <w:sz w:val="16"/>
    </w:rPr>
  </w:style>
  <w:style w:type="paragraph" w:customStyle="1" w:styleId="SideNote">
    <w:name w:val="Side Note"/>
    <w:basedOn w:val="BodyText"/>
    <w:next w:val="BodyText"/>
    <w:semiHidden/>
    <w:rsid w:val="00CF27B1"/>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CF27B1"/>
    <w:pPr>
      <w:framePr w:wrap="around"/>
      <w:numPr>
        <w:numId w:val="17"/>
      </w:numPr>
      <w:tabs>
        <w:tab w:val="left" w:pos="227"/>
      </w:tabs>
    </w:pPr>
  </w:style>
  <w:style w:type="paragraph" w:customStyle="1" w:styleId="SideNoteGraphic">
    <w:name w:val="Side Note Graphic"/>
    <w:basedOn w:val="SideNote"/>
    <w:next w:val="BodyText"/>
    <w:semiHidden/>
    <w:rsid w:val="00CF27B1"/>
    <w:pPr>
      <w:framePr w:wrap="around"/>
    </w:pPr>
  </w:style>
  <w:style w:type="paragraph" w:customStyle="1" w:styleId="TableBodyText">
    <w:name w:val="Table Body Text"/>
    <w:basedOn w:val="BodyText"/>
    <w:link w:val="TableBodyTextChar"/>
    <w:rsid w:val="00CF27B1"/>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CF27B1"/>
    <w:pPr>
      <w:numPr>
        <w:numId w:val="18"/>
      </w:numPr>
      <w:jc w:val="left"/>
    </w:pPr>
  </w:style>
  <w:style w:type="paragraph" w:customStyle="1" w:styleId="TableColumnHeading">
    <w:name w:val="Table Column Heading"/>
    <w:basedOn w:val="TableBodyText"/>
    <w:rsid w:val="00CF27B1"/>
    <w:pPr>
      <w:spacing w:before="80" w:after="80"/>
    </w:pPr>
    <w:rPr>
      <w:i/>
    </w:rPr>
  </w:style>
  <w:style w:type="paragraph" w:styleId="TOC2">
    <w:name w:val="toc 2"/>
    <w:basedOn w:val="BodyText"/>
    <w:semiHidden/>
    <w:rsid w:val="00CF27B1"/>
    <w:pPr>
      <w:tabs>
        <w:tab w:val="right" w:pos="8789"/>
      </w:tabs>
      <w:ind w:left="510" w:right="851" w:hanging="510"/>
      <w:jc w:val="left"/>
    </w:pPr>
    <w:rPr>
      <w:b/>
    </w:rPr>
  </w:style>
  <w:style w:type="paragraph" w:styleId="TOC3">
    <w:name w:val="toc 3"/>
    <w:basedOn w:val="TOC2"/>
    <w:semiHidden/>
    <w:rsid w:val="00CF27B1"/>
    <w:pPr>
      <w:spacing w:before="60"/>
      <w:ind w:left="1190" w:hanging="680"/>
    </w:pPr>
    <w:rPr>
      <w:b w:val="0"/>
    </w:rPr>
  </w:style>
  <w:style w:type="paragraph" w:styleId="TableofFigures">
    <w:name w:val="table of figures"/>
    <w:basedOn w:val="TOC3"/>
    <w:next w:val="BodyText"/>
    <w:semiHidden/>
    <w:rsid w:val="00CF27B1"/>
    <w:pPr>
      <w:ind w:left="737" w:hanging="737"/>
    </w:pPr>
  </w:style>
  <w:style w:type="paragraph" w:customStyle="1" w:styleId="TableTitle">
    <w:name w:val="Table Title"/>
    <w:basedOn w:val="Caption"/>
    <w:next w:val="Subtitle"/>
    <w:rsid w:val="00CF27B1"/>
    <w:rPr>
      <w:sz w:val="24"/>
    </w:rPr>
  </w:style>
  <w:style w:type="paragraph" w:customStyle="1" w:styleId="TableUnitsRow">
    <w:name w:val="Table Units Row"/>
    <w:basedOn w:val="TableBodyText"/>
    <w:rsid w:val="00CF27B1"/>
    <w:pPr>
      <w:spacing w:before="80" w:after="80"/>
    </w:pPr>
  </w:style>
  <w:style w:type="paragraph" w:styleId="TOC1">
    <w:name w:val="toc 1"/>
    <w:basedOn w:val="Normal"/>
    <w:next w:val="TOC2"/>
    <w:semiHidden/>
    <w:rsid w:val="00CF27B1"/>
    <w:pPr>
      <w:tabs>
        <w:tab w:val="right" w:pos="8789"/>
      </w:tabs>
      <w:spacing w:before="480" w:after="60" w:line="320" w:lineRule="exact"/>
      <w:ind w:left="1191" w:right="851" w:hanging="1191"/>
    </w:pPr>
    <w:rPr>
      <w:b/>
      <w:caps/>
    </w:rPr>
  </w:style>
  <w:style w:type="paragraph" w:styleId="TOC4">
    <w:name w:val="toc 4"/>
    <w:basedOn w:val="TOC3"/>
    <w:semiHidden/>
    <w:rsid w:val="00CF27B1"/>
    <w:pPr>
      <w:ind w:left="1191" w:firstLine="0"/>
    </w:pPr>
  </w:style>
  <w:style w:type="paragraph" w:customStyle="1" w:styleId="RecBBullet2">
    <w:name w:val="RecB Bullet 2"/>
    <w:basedOn w:val="ListBullet2"/>
    <w:semiHidden/>
    <w:rsid w:val="00CF27B1"/>
    <w:pPr>
      <w:pBdr>
        <w:left w:val="single" w:sz="24" w:space="29" w:color="C0C0C0"/>
      </w:pBdr>
    </w:pPr>
    <w:rPr>
      <w:b/>
      <w:i/>
    </w:rPr>
  </w:style>
  <w:style w:type="paragraph" w:styleId="BalloonText">
    <w:name w:val="Balloon Text"/>
    <w:basedOn w:val="Normal"/>
    <w:link w:val="BalloonTextChar"/>
    <w:rsid w:val="00CF27B1"/>
    <w:rPr>
      <w:rFonts w:ascii="Tahoma" w:hAnsi="Tahoma" w:cs="Tahoma"/>
      <w:sz w:val="16"/>
      <w:szCs w:val="16"/>
    </w:rPr>
  </w:style>
  <w:style w:type="character" w:customStyle="1" w:styleId="BalloonTextChar">
    <w:name w:val="Balloon Text Char"/>
    <w:basedOn w:val="DefaultParagraphFont"/>
    <w:link w:val="BalloonText"/>
    <w:rsid w:val="00CF27B1"/>
    <w:rPr>
      <w:rFonts w:ascii="Tahoma" w:hAnsi="Tahoma" w:cs="Tahoma"/>
      <w:sz w:val="16"/>
      <w:szCs w:val="16"/>
    </w:rPr>
  </w:style>
  <w:style w:type="character" w:customStyle="1" w:styleId="SubtitleChar">
    <w:name w:val="Subtitle Char"/>
    <w:basedOn w:val="DefaultParagraphFont"/>
    <w:link w:val="Subtitle"/>
    <w:rsid w:val="00CF27B1"/>
    <w:rPr>
      <w:rFonts w:ascii="Arial" w:hAnsi="Arial"/>
      <w:szCs w:val="24"/>
    </w:rPr>
  </w:style>
  <w:style w:type="paragraph" w:customStyle="1" w:styleId="BoxListBullet3">
    <w:name w:val="Box List Bullet 3"/>
    <w:basedOn w:val="ListBullet3"/>
    <w:rsid w:val="00CF27B1"/>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CF27B1"/>
    <w:rPr>
      <w:i/>
      <w:iCs/>
    </w:rPr>
  </w:style>
  <w:style w:type="paragraph" w:customStyle="1" w:styleId="BoxQuoteBullet">
    <w:name w:val="Box Quote Bullet"/>
    <w:basedOn w:val="BoxQuote"/>
    <w:next w:val="Box"/>
    <w:rsid w:val="00CF27B1"/>
    <w:pPr>
      <w:numPr>
        <w:numId w:val="45"/>
      </w:numPr>
      <w:ind w:left="568" w:hanging="284"/>
    </w:pPr>
  </w:style>
  <w:style w:type="paragraph" w:customStyle="1" w:styleId="InformationRequestBullet">
    <w:name w:val="Information Request Bullet"/>
    <w:basedOn w:val="ListBullet"/>
    <w:next w:val="BodyText"/>
    <w:rsid w:val="00CF27B1"/>
    <w:pPr>
      <w:numPr>
        <w:numId w:val="46"/>
      </w:numPr>
      <w:ind w:left="340" w:hanging="340"/>
    </w:pPr>
    <w:rPr>
      <w:rFonts w:ascii="Arial" w:hAnsi="Arial"/>
      <w:i/>
      <w:sz w:val="24"/>
    </w:rPr>
  </w:style>
  <w:style w:type="paragraph" w:customStyle="1" w:styleId="BoxSpaceBelow">
    <w:name w:val="Box Space Below"/>
    <w:basedOn w:val="Box"/>
    <w:rsid w:val="00CF27B1"/>
    <w:pPr>
      <w:keepNext w:val="0"/>
      <w:spacing w:before="60" w:after="60" w:line="80" w:lineRule="exact"/>
    </w:pPr>
    <w:rPr>
      <w:sz w:val="14"/>
    </w:rPr>
  </w:style>
  <w:style w:type="character" w:customStyle="1" w:styleId="BodyTextChar">
    <w:name w:val="Body Text Char"/>
    <w:link w:val="BodyText"/>
    <w:locked/>
    <w:rsid w:val="00A84F28"/>
    <w:rPr>
      <w:sz w:val="26"/>
    </w:rPr>
  </w:style>
  <w:style w:type="character" w:customStyle="1" w:styleId="Heading1Char">
    <w:name w:val="Heading 1 Char"/>
    <w:basedOn w:val="DefaultParagraphFont"/>
    <w:link w:val="Heading1"/>
    <w:rsid w:val="00A84F28"/>
    <w:rPr>
      <w:sz w:val="52"/>
    </w:rPr>
  </w:style>
  <w:style w:type="character" w:customStyle="1" w:styleId="Heading2Char">
    <w:name w:val="Heading 2 Char"/>
    <w:basedOn w:val="DefaultParagraphFont"/>
    <w:link w:val="Heading2"/>
    <w:rsid w:val="00A84F28"/>
    <w:rPr>
      <w:rFonts w:ascii="Arial" w:hAnsi="Arial"/>
      <w:b/>
      <w:sz w:val="32"/>
    </w:rPr>
  </w:style>
  <w:style w:type="character" w:customStyle="1" w:styleId="Heading3Char">
    <w:name w:val="Heading 3 Char"/>
    <w:basedOn w:val="DefaultParagraphFont"/>
    <w:link w:val="Heading3"/>
    <w:rsid w:val="00A84F28"/>
    <w:rPr>
      <w:rFonts w:ascii="Arial" w:hAnsi="Arial"/>
      <w:b/>
      <w:sz w:val="26"/>
    </w:rPr>
  </w:style>
  <w:style w:type="character" w:customStyle="1" w:styleId="Heading4Char">
    <w:name w:val="Heading 4 Char"/>
    <w:basedOn w:val="DefaultParagraphFont"/>
    <w:link w:val="Heading4"/>
    <w:rsid w:val="00A84F28"/>
    <w:rPr>
      <w:rFonts w:ascii="Arial" w:hAnsi="Arial"/>
      <w:i/>
      <w:sz w:val="24"/>
    </w:rPr>
  </w:style>
  <w:style w:type="character" w:customStyle="1" w:styleId="Heading5Char">
    <w:name w:val="Heading 5 Char"/>
    <w:basedOn w:val="DefaultParagraphFont"/>
    <w:link w:val="Heading5"/>
    <w:rsid w:val="00A84F28"/>
    <w:rPr>
      <w:i/>
      <w:sz w:val="26"/>
    </w:rPr>
  </w:style>
  <w:style w:type="character" w:customStyle="1" w:styleId="Heading6Char">
    <w:name w:val="Heading 6 Char"/>
    <w:basedOn w:val="DefaultParagraphFont"/>
    <w:link w:val="Heading6"/>
    <w:rsid w:val="00A84F28"/>
    <w:rPr>
      <w:i/>
      <w:sz w:val="22"/>
    </w:rPr>
  </w:style>
  <w:style w:type="character" w:customStyle="1" w:styleId="Heading7Char">
    <w:name w:val="Heading 7 Char"/>
    <w:basedOn w:val="DefaultParagraphFont"/>
    <w:link w:val="Heading7"/>
    <w:rsid w:val="00A84F28"/>
    <w:rPr>
      <w:rFonts w:ascii="Arial" w:hAnsi="Arial"/>
    </w:rPr>
  </w:style>
  <w:style w:type="character" w:customStyle="1" w:styleId="Heading8Char">
    <w:name w:val="Heading 8 Char"/>
    <w:basedOn w:val="DefaultParagraphFont"/>
    <w:link w:val="Heading8"/>
    <w:rsid w:val="00A84F28"/>
    <w:rPr>
      <w:rFonts w:ascii="Arial" w:hAnsi="Arial"/>
      <w:i/>
    </w:rPr>
  </w:style>
  <w:style w:type="character" w:customStyle="1" w:styleId="Heading9Char">
    <w:name w:val="Heading 9 Char"/>
    <w:basedOn w:val="DefaultParagraphFont"/>
    <w:link w:val="Heading9"/>
    <w:rsid w:val="00A84F28"/>
    <w:rPr>
      <w:rFonts w:ascii="Arial" w:hAnsi="Arial"/>
      <w:b/>
      <w:i/>
      <w:sz w:val="18"/>
    </w:rPr>
  </w:style>
  <w:style w:type="character" w:customStyle="1" w:styleId="FooterChar">
    <w:name w:val="Footer Char"/>
    <w:basedOn w:val="DefaultParagraphFont"/>
    <w:link w:val="Footer"/>
    <w:rsid w:val="00A84F28"/>
    <w:rPr>
      <w:caps/>
      <w:spacing w:val="-4"/>
      <w:sz w:val="16"/>
    </w:rPr>
  </w:style>
  <w:style w:type="character" w:customStyle="1" w:styleId="HeaderChar">
    <w:name w:val="Header Char"/>
    <w:basedOn w:val="DefaultParagraphFont"/>
    <w:link w:val="Header"/>
    <w:rsid w:val="00A84F28"/>
    <w:rPr>
      <w:rFonts w:ascii="Arial" w:hAnsi="Arial"/>
      <w:caps/>
      <w:sz w:val="26"/>
    </w:rPr>
  </w:style>
  <w:style w:type="character" w:customStyle="1" w:styleId="CommentTextChar">
    <w:name w:val="Comment Text Char"/>
    <w:basedOn w:val="DefaultParagraphFont"/>
    <w:semiHidden/>
    <w:rsid w:val="00A84F28"/>
    <w:rPr>
      <w:szCs w:val="24"/>
    </w:rPr>
  </w:style>
  <w:style w:type="character" w:customStyle="1" w:styleId="FootnoteTextChar">
    <w:name w:val="Footnote Text Char"/>
    <w:basedOn w:val="DefaultParagraphFont"/>
    <w:link w:val="FootnoteText"/>
    <w:rsid w:val="00A84F28"/>
    <w:rPr>
      <w:sz w:val="22"/>
    </w:rPr>
  </w:style>
  <w:style w:type="character" w:customStyle="1" w:styleId="QuoteChar">
    <w:name w:val="Quote Char"/>
    <w:basedOn w:val="DefaultParagraphFont"/>
    <w:link w:val="Quote"/>
    <w:rsid w:val="00A84F28"/>
    <w:rPr>
      <w:sz w:val="24"/>
    </w:rPr>
  </w:style>
  <w:style w:type="character" w:customStyle="1" w:styleId="ListBulletChar">
    <w:name w:val="List Bullet Char"/>
    <w:basedOn w:val="DefaultParagraphFont"/>
    <w:link w:val="ListBullet"/>
    <w:rsid w:val="00A84F28"/>
    <w:rPr>
      <w:sz w:val="26"/>
    </w:rPr>
  </w:style>
  <w:style w:type="character" w:styleId="Hyperlink">
    <w:name w:val="Hyperlink"/>
    <w:basedOn w:val="DefaultParagraphFont"/>
    <w:rsid w:val="00A84F28"/>
    <w:rPr>
      <w:color w:val="0000FF" w:themeColor="hyperlink"/>
      <w:u w:val="single"/>
    </w:rPr>
  </w:style>
  <w:style w:type="paragraph" w:styleId="CommentSubject">
    <w:name w:val="annotation subject"/>
    <w:basedOn w:val="CommentText"/>
    <w:next w:val="CommentText"/>
    <w:link w:val="CommentSubjectChar"/>
    <w:rsid w:val="00A84F28"/>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A84F28"/>
    <w:rPr>
      <w:szCs w:val="24"/>
    </w:rPr>
  </w:style>
  <w:style w:type="character" w:customStyle="1" w:styleId="CommentSubjectChar">
    <w:name w:val="Comment Subject Char"/>
    <w:basedOn w:val="CommentTextChar1"/>
    <w:link w:val="CommentSubject"/>
    <w:rsid w:val="00A84F28"/>
    <w:rPr>
      <w:b/>
      <w:bCs/>
      <w:szCs w:val="24"/>
    </w:rPr>
  </w:style>
  <w:style w:type="character" w:customStyle="1" w:styleId="TableBodyTextChar">
    <w:name w:val="Table Body Text Char"/>
    <w:link w:val="TableBodyText"/>
    <w:rsid w:val="00A84F28"/>
    <w:rPr>
      <w:rFonts w:ascii="Arial" w:hAnsi="Arial"/>
    </w:rPr>
  </w:style>
  <w:style w:type="character" w:customStyle="1" w:styleId="NoteChar">
    <w:name w:val="Note Char"/>
    <w:link w:val="Note"/>
    <w:rsid w:val="00A84F28"/>
    <w:rPr>
      <w:rFonts w:ascii="Arial" w:hAnsi="Arial"/>
      <w:sz w:val="18"/>
    </w:rPr>
  </w:style>
  <w:style w:type="character" w:customStyle="1" w:styleId="SourceChar">
    <w:name w:val="Source Char"/>
    <w:link w:val="Source"/>
    <w:rsid w:val="00A84F28"/>
    <w:rPr>
      <w:rFonts w:ascii="Arial" w:hAnsi="Arial"/>
      <w:sz w:val="18"/>
    </w:rPr>
  </w:style>
  <w:style w:type="paragraph" w:styleId="Bibliography">
    <w:name w:val="Bibliography"/>
    <w:basedOn w:val="Normal"/>
    <w:next w:val="Normal"/>
    <w:uiPriority w:val="37"/>
    <w:unhideWhenUsed/>
    <w:rsid w:val="00A84F28"/>
    <w:pPr>
      <w:spacing w:after="240"/>
      <w:ind w:left="720" w:hanging="720"/>
    </w:pPr>
    <w:rPr>
      <w:rFonts w:ascii="Calibri" w:eastAsiaTheme="minorHAnsi" w:hAnsi="Calibri"/>
      <w:sz w:val="22"/>
      <w:szCs w:val="22"/>
      <w:lang w:eastAsia="en-US"/>
    </w:rPr>
  </w:style>
  <w:style w:type="paragraph" w:styleId="Revision">
    <w:name w:val="Revision"/>
    <w:hidden/>
    <w:uiPriority w:val="99"/>
    <w:semiHidden/>
    <w:rsid w:val="00A84F28"/>
    <w:rPr>
      <w:sz w:val="26"/>
      <w:szCs w:val="24"/>
    </w:rPr>
  </w:style>
  <w:style w:type="paragraph" w:styleId="ListParagraph">
    <w:name w:val="List Paragraph"/>
    <w:basedOn w:val="Normal"/>
    <w:uiPriority w:val="34"/>
    <w:qFormat/>
    <w:rsid w:val="00A84F28"/>
    <w:pPr>
      <w:ind w:left="720"/>
    </w:pPr>
    <w:rPr>
      <w:rFonts w:ascii="Calibri" w:hAnsi="Calibri"/>
      <w:sz w:val="22"/>
      <w:szCs w:val="22"/>
      <w:lang w:eastAsia="en-US"/>
    </w:rPr>
  </w:style>
  <w:style w:type="character" w:styleId="FollowedHyperlink">
    <w:name w:val="FollowedHyperlink"/>
    <w:basedOn w:val="DefaultParagraphFont"/>
    <w:uiPriority w:val="99"/>
    <w:unhideWhenUsed/>
    <w:rsid w:val="00A84F2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F27B1"/>
    <w:rPr>
      <w:sz w:val="26"/>
      <w:szCs w:val="24"/>
    </w:rPr>
  </w:style>
  <w:style w:type="paragraph" w:styleId="Heading1">
    <w:name w:val="heading 1"/>
    <w:basedOn w:val="BodyText"/>
    <w:next w:val="BodyText"/>
    <w:link w:val="Heading1Char"/>
    <w:rsid w:val="00CF27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CF27B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CF27B1"/>
    <w:pPr>
      <w:spacing w:before="560" w:line="320" w:lineRule="exact"/>
      <w:ind w:left="0" w:firstLine="0"/>
      <w:outlineLvl w:val="2"/>
    </w:pPr>
    <w:rPr>
      <w:sz w:val="26"/>
    </w:rPr>
  </w:style>
  <w:style w:type="paragraph" w:styleId="Heading4">
    <w:name w:val="heading 4"/>
    <w:basedOn w:val="Heading3"/>
    <w:next w:val="BodyText"/>
    <w:link w:val="Heading4Char"/>
    <w:qFormat/>
    <w:rsid w:val="00CF27B1"/>
    <w:pPr>
      <w:spacing w:before="480"/>
      <w:outlineLvl w:val="3"/>
    </w:pPr>
    <w:rPr>
      <w:b w:val="0"/>
      <w:i/>
      <w:sz w:val="24"/>
    </w:rPr>
  </w:style>
  <w:style w:type="paragraph" w:styleId="Heading5">
    <w:name w:val="heading 5"/>
    <w:basedOn w:val="Heading4"/>
    <w:next w:val="BodyText"/>
    <w:link w:val="Heading5Char"/>
    <w:qFormat/>
    <w:rsid w:val="00CF27B1"/>
    <w:pPr>
      <w:outlineLvl w:val="4"/>
    </w:pPr>
    <w:rPr>
      <w:rFonts w:ascii="Times New Roman" w:hAnsi="Times New Roman"/>
      <w:sz w:val="26"/>
    </w:rPr>
  </w:style>
  <w:style w:type="paragraph" w:styleId="Heading6">
    <w:name w:val="heading 6"/>
    <w:basedOn w:val="BodyText"/>
    <w:next w:val="BodyText"/>
    <w:link w:val="Heading6Char"/>
    <w:rsid w:val="00CF27B1"/>
    <w:pPr>
      <w:spacing w:after="60"/>
      <w:jc w:val="left"/>
      <w:outlineLvl w:val="5"/>
    </w:pPr>
    <w:rPr>
      <w:i/>
      <w:sz w:val="22"/>
    </w:rPr>
  </w:style>
  <w:style w:type="paragraph" w:styleId="Heading7">
    <w:name w:val="heading 7"/>
    <w:basedOn w:val="BodyText"/>
    <w:next w:val="BodyText"/>
    <w:link w:val="Heading7Char"/>
    <w:rsid w:val="00CF27B1"/>
    <w:pPr>
      <w:spacing w:after="60" w:line="240" w:lineRule="auto"/>
      <w:jc w:val="left"/>
      <w:outlineLvl w:val="6"/>
    </w:pPr>
    <w:rPr>
      <w:rFonts w:ascii="Arial" w:hAnsi="Arial"/>
      <w:sz w:val="20"/>
    </w:rPr>
  </w:style>
  <w:style w:type="paragraph" w:styleId="Heading8">
    <w:name w:val="heading 8"/>
    <w:basedOn w:val="BodyText"/>
    <w:next w:val="BodyText"/>
    <w:link w:val="Heading8Char"/>
    <w:rsid w:val="00CF27B1"/>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CF27B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F27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27B1"/>
  </w:style>
  <w:style w:type="paragraph" w:styleId="BodyText">
    <w:name w:val="Body Text"/>
    <w:link w:val="BodyTextChar"/>
    <w:qFormat/>
    <w:rsid w:val="00CF27B1"/>
    <w:pPr>
      <w:spacing w:before="240" w:line="320" w:lineRule="atLeast"/>
      <w:jc w:val="both"/>
    </w:pPr>
    <w:rPr>
      <w:sz w:val="26"/>
    </w:rPr>
  </w:style>
  <w:style w:type="paragraph" w:styleId="Footer">
    <w:name w:val="footer"/>
    <w:basedOn w:val="BodyText"/>
    <w:link w:val="FooterChar"/>
    <w:rsid w:val="00CF27B1"/>
    <w:pPr>
      <w:spacing w:before="80" w:line="200" w:lineRule="exact"/>
      <w:ind w:right="6"/>
      <w:jc w:val="left"/>
    </w:pPr>
    <w:rPr>
      <w:caps/>
      <w:spacing w:val="-4"/>
      <w:sz w:val="16"/>
    </w:rPr>
  </w:style>
  <w:style w:type="paragraph" w:customStyle="1" w:styleId="FooterEnd">
    <w:name w:val="Footer End"/>
    <w:basedOn w:val="Footer"/>
    <w:rsid w:val="00CF27B1"/>
    <w:pPr>
      <w:spacing w:before="0" w:line="20" w:lineRule="exact"/>
    </w:pPr>
  </w:style>
  <w:style w:type="paragraph" w:styleId="Header">
    <w:name w:val="header"/>
    <w:basedOn w:val="BodyText"/>
    <w:link w:val="HeaderChar"/>
    <w:rsid w:val="00CF27B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F27B1"/>
    <w:pPr>
      <w:spacing w:line="20" w:lineRule="exact"/>
    </w:pPr>
    <w:rPr>
      <w:sz w:val="16"/>
    </w:rPr>
  </w:style>
  <w:style w:type="paragraph" w:customStyle="1" w:styleId="HeaderEven">
    <w:name w:val="Header Even"/>
    <w:basedOn w:val="Header"/>
    <w:rsid w:val="00CF27B1"/>
  </w:style>
  <w:style w:type="paragraph" w:customStyle="1" w:styleId="HeaderOdd">
    <w:name w:val="Header Odd"/>
    <w:basedOn w:val="Header"/>
    <w:rsid w:val="00CF27B1"/>
  </w:style>
  <w:style w:type="character" w:styleId="PageNumber">
    <w:name w:val="page number"/>
    <w:basedOn w:val="DefaultParagraphFont"/>
    <w:rsid w:val="00CF27B1"/>
    <w:rPr>
      <w:rFonts w:ascii="Arial" w:hAnsi="Arial"/>
      <w:b/>
      <w:sz w:val="16"/>
    </w:rPr>
  </w:style>
  <w:style w:type="paragraph" w:customStyle="1" w:styleId="Abbreviation">
    <w:name w:val="Abbreviation"/>
    <w:basedOn w:val="BodyText"/>
    <w:rsid w:val="00CF27B1"/>
    <w:pPr>
      <w:spacing w:before="120"/>
      <w:ind w:left="2381" w:hanging="2381"/>
      <w:jc w:val="left"/>
    </w:pPr>
  </w:style>
  <w:style w:type="paragraph" w:customStyle="1" w:styleId="Box">
    <w:name w:val="Box"/>
    <w:basedOn w:val="BodyText"/>
    <w:qFormat/>
    <w:rsid w:val="00CF27B1"/>
    <w:pPr>
      <w:keepNext/>
      <w:spacing w:before="120" w:line="280" w:lineRule="atLeast"/>
    </w:pPr>
    <w:rPr>
      <w:rFonts w:ascii="Arial" w:hAnsi="Arial"/>
      <w:sz w:val="22"/>
    </w:rPr>
  </w:style>
  <w:style w:type="paragraph" w:customStyle="1" w:styleId="BoxContinued">
    <w:name w:val="Box Continued"/>
    <w:basedOn w:val="BodyText"/>
    <w:next w:val="BodyText"/>
    <w:semiHidden/>
    <w:rsid w:val="00CF27B1"/>
    <w:pPr>
      <w:spacing w:before="180" w:line="220" w:lineRule="exact"/>
      <w:jc w:val="right"/>
    </w:pPr>
    <w:rPr>
      <w:rFonts w:ascii="Arial" w:hAnsi="Arial"/>
      <w:sz w:val="18"/>
    </w:rPr>
  </w:style>
  <w:style w:type="paragraph" w:customStyle="1" w:styleId="BoxHeading1">
    <w:name w:val="Box Heading 1"/>
    <w:basedOn w:val="BodyText"/>
    <w:next w:val="Box"/>
    <w:rsid w:val="00CF27B1"/>
    <w:pPr>
      <w:keepNext/>
      <w:spacing w:before="200" w:line="280" w:lineRule="atLeast"/>
    </w:pPr>
    <w:rPr>
      <w:rFonts w:ascii="Arial" w:hAnsi="Arial"/>
      <w:b/>
      <w:sz w:val="22"/>
    </w:rPr>
  </w:style>
  <w:style w:type="paragraph" w:customStyle="1" w:styleId="BoxHeading2">
    <w:name w:val="Box Heading 2"/>
    <w:basedOn w:val="BoxHeading1"/>
    <w:next w:val="Normal"/>
    <w:rsid w:val="00CF27B1"/>
    <w:rPr>
      <w:b w:val="0"/>
      <w:i/>
    </w:rPr>
  </w:style>
  <w:style w:type="paragraph" w:customStyle="1" w:styleId="BoxListBullet">
    <w:name w:val="Box List Bullet"/>
    <w:basedOn w:val="BodyText"/>
    <w:rsid w:val="00CF27B1"/>
    <w:pPr>
      <w:keepNext/>
      <w:numPr>
        <w:numId w:val="1"/>
      </w:numPr>
      <w:spacing w:before="60" w:line="280" w:lineRule="atLeast"/>
    </w:pPr>
    <w:rPr>
      <w:rFonts w:ascii="Arial" w:hAnsi="Arial"/>
      <w:sz w:val="22"/>
    </w:rPr>
  </w:style>
  <w:style w:type="paragraph" w:customStyle="1" w:styleId="BoxListBullet2">
    <w:name w:val="Box List Bullet 2"/>
    <w:basedOn w:val="BodyText"/>
    <w:rsid w:val="00CF27B1"/>
    <w:pPr>
      <w:keepNext/>
      <w:numPr>
        <w:numId w:val="2"/>
      </w:numPr>
      <w:spacing w:before="60" w:line="280" w:lineRule="atLeast"/>
    </w:pPr>
    <w:rPr>
      <w:rFonts w:ascii="Arial" w:hAnsi="Arial"/>
      <w:sz w:val="22"/>
    </w:rPr>
  </w:style>
  <w:style w:type="paragraph" w:customStyle="1" w:styleId="BoxListNumber">
    <w:name w:val="Box List Number"/>
    <w:basedOn w:val="BodyText"/>
    <w:rsid w:val="00CF27B1"/>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CF27B1"/>
    <w:pPr>
      <w:numPr>
        <w:ilvl w:val="1"/>
      </w:numPr>
    </w:pPr>
  </w:style>
  <w:style w:type="paragraph" w:customStyle="1" w:styleId="BoxQuote">
    <w:name w:val="Box Quote"/>
    <w:basedOn w:val="BodyText"/>
    <w:next w:val="Box"/>
    <w:rsid w:val="00CF27B1"/>
    <w:pPr>
      <w:keepNext/>
      <w:spacing w:before="60" w:line="260" w:lineRule="exact"/>
      <w:ind w:left="284"/>
    </w:pPr>
    <w:rPr>
      <w:rFonts w:ascii="Arial" w:hAnsi="Arial"/>
      <w:sz w:val="20"/>
    </w:rPr>
  </w:style>
  <w:style w:type="paragraph" w:customStyle="1" w:styleId="Note">
    <w:name w:val="Note"/>
    <w:basedOn w:val="BodyText"/>
    <w:next w:val="BodyText"/>
    <w:link w:val="NoteChar"/>
    <w:rsid w:val="00CF27B1"/>
    <w:pPr>
      <w:keepLines/>
      <w:spacing w:before="80" w:line="220" w:lineRule="exact"/>
    </w:pPr>
    <w:rPr>
      <w:rFonts w:ascii="Arial" w:hAnsi="Arial"/>
      <w:sz w:val="18"/>
    </w:rPr>
  </w:style>
  <w:style w:type="paragraph" w:customStyle="1" w:styleId="Source">
    <w:name w:val="Source"/>
    <w:basedOn w:val="Note"/>
    <w:next w:val="BodyText"/>
    <w:link w:val="SourceChar"/>
    <w:rsid w:val="00CF27B1"/>
    <w:pPr>
      <w:spacing w:after="120"/>
    </w:pPr>
  </w:style>
  <w:style w:type="paragraph" w:customStyle="1" w:styleId="BoxSource">
    <w:name w:val="Box Source"/>
    <w:basedOn w:val="Source"/>
    <w:next w:val="BodyText"/>
    <w:rsid w:val="00CF27B1"/>
    <w:pPr>
      <w:spacing w:before="180" w:after="0"/>
    </w:pPr>
  </w:style>
  <w:style w:type="paragraph" w:customStyle="1" w:styleId="BoxSpaceAbove">
    <w:name w:val="Box Space Above"/>
    <w:basedOn w:val="BodyText"/>
    <w:rsid w:val="00CF27B1"/>
    <w:pPr>
      <w:keepNext/>
      <w:spacing w:before="360" w:line="80" w:lineRule="exact"/>
      <w:jc w:val="left"/>
    </w:pPr>
  </w:style>
  <w:style w:type="paragraph" w:styleId="Caption">
    <w:name w:val="caption"/>
    <w:basedOn w:val="Normal"/>
    <w:next w:val="BodyText"/>
    <w:rsid w:val="00CF27B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F27B1"/>
    <w:pPr>
      <w:spacing w:before="120" w:after="0"/>
      <w:ind w:left="1304" w:hanging="1304"/>
    </w:pPr>
    <w:rPr>
      <w:sz w:val="24"/>
    </w:rPr>
  </w:style>
  <w:style w:type="paragraph" w:customStyle="1" w:styleId="BoxSubtitle">
    <w:name w:val="Box Subtitle"/>
    <w:basedOn w:val="BoxTitle"/>
    <w:next w:val="Normal"/>
    <w:rsid w:val="00CF27B1"/>
    <w:pPr>
      <w:spacing w:after="80" w:line="200" w:lineRule="exact"/>
      <w:ind w:firstLine="0"/>
    </w:pPr>
    <w:rPr>
      <w:b w:val="0"/>
      <w:sz w:val="20"/>
    </w:rPr>
  </w:style>
  <w:style w:type="paragraph" w:customStyle="1" w:styleId="Chapter">
    <w:name w:val="Chapter"/>
    <w:basedOn w:val="Heading1"/>
    <w:next w:val="BodyText"/>
    <w:semiHidden/>
    <w:rsid w:val="00CF27B1"/>
    <w:pPr>
      <w:ind w:left="0" w:firstLine="0"/>
      <w:outlineLvl w:val="9"/>
    </w:pPr>
  </w:style>
  <w:style w:type="paragraph" w:customStyle="1" w:styleId="ChapterSummary">
    <w:name w:val="Chapter Summary"/>
    <w:basedOn w:val="BodyText"/>
    <w:rsid w:val="00CF27B1"/>
    <w:pPr>
      <w:ind w:left="907"/>
    </w:pPr>
    <w:rPr>
      <w:rFonts w:ascii="Arial" w:hAnsi="Arial"/>
      <w:b/>
      <w:sz w:val="22"/>
    </w:rPr>
  </w:style>
  <w:style w:type="character" w:styleId="CommentReference">
    <w:name w:val="annotation reference"/>
    <w:basedOn w:val="DefaultParagraphFont"/>
    <w:semiHidden/>
    <w:rsid w:val="00CF27B1"/>
    <w:rPr>
      <w:b/>
      <w:vanish/>
      <w:color w:val="FF00FF"/>
      <w:sz w:val="20"/>
    </w:rPr>
  </w:style>
  <w:style w:type="paragraph" w:styleId="CommentText">
    <w:name w:val="annotation text"/>
    <w:basedOn w:val="Normal"/>
    <w:link w:val="CommentTextChar1"/>
    <w:semiHidden/>
    <w:rsid w:val="00CF27B1"/>
    <w:pPr>
      <w:spacing w:before="120" w:line="240" w:lineRule="atLeast"/>
      <w:ind w:left="567" w:hanging="567"/>
    </w:pPr>
    <w:rPr>
      <w:sz w:val="20"/>
    </w:rPr>
  </w:style>
  <w:style w:type="paragraph" w:customStyle="1" w:styleId="Continued">
    <w:name w:val="Continued"/>
    <w:basedOn w:val="BoxContinued"/>
    <w:next w:val="BodyText"/>
    <w:rsid w:val="00CF27B1"/>
  </w:style>
  <w:style w:type="character" w:customStyle="1" w:styleId="DocumentInfo">
    <w:name w:val="Document Info"/>
    <w:basedOn w:val="DefaultParagraphFont"/>
    <w:semiHidden/>
    <w:rsid w:val="00CF27B1"/>
    <w:rPr>
      <w:rFonts w:ascii="Arial" w:hAnsi="Arial"/>
      <w:sz w:val="14"/>
    </w:rPr>
  </w:style>
  <w:style w:type="character" w:customStyle="1" w:styleId="DraftingNote">
    <w:name w:val="Drafting Note"/>
    <w:basedOn w:val="DefaultParagraphFont"/>
    <w:rsid w:val="00CF27B1"/>
    <w:rPr>
      <w:b/>
      <w:color w:val="FF0000"/>
      <w:sz w:val="24"/>
      <w:u w:val="dotted"/>
    </w:rPr>
  </w:style>
  <w:style w:type="paragraph" w:customStyle="1" w:styleId="Figure">
    <w:name w:val="Figure"/>
    <w:basedOn w:val="BodyText"/>
    <w:rsid w:val="00CF27B1"/>
    <w:pPr>
      <w:keepNext/>
      <w:spacing w:before="120" w:after="120" w:line="240" w:lineRule="atLeast"/>
      <w:jc w:val="center"/>
    </w:pPr>
  </w:style>
  <w:style w:type="paragraph" w:customStyle="1" w:styleId="FigureTitle">
    <w:name w:val="Figure Title"/>
    <w:basedOn w:val="Caption"/>
    <w:next w:val="Subtitle"/>
    <w:rsid w:val="00CF27B1"/>
    <w:rPr>
      <w:sz w:val="24"/>
    </w:rPr>
  </w:style>
  <w:style w:type="paragraph" w:styleId="Subtitle">
    <w:name w:val="Subtitle"/>
    <w:basedOn w:val="Caption"/>
    <w:link w:val="SubtitleChar"/>
    <w:rsid w:val="00CF27B1"/>
    <w:pPr>
      <w:spacing w:before="0" w:line="200" w:lineRule="exact"/>
      <w:ind w:firstLine="0"/>
    </w:pPr>
    <w:rPr>
      <w:b w:val="0"/>
      <w:sz w:val="20"/>
    </w:rPr>
  </w:style>
  <w:style w:type="paragraph" w:customStyle="1" w:styleId="Finding">
    <w:name w:val="Finding"/>
    <w:basedOn w:val="BodyText"/>
    <w:rsid w:val="00CF27B1"/>
    <w:pPr>
      <w:keepLines/>
      <w:spacing w:before="180"/>
    </w:pPr>
    <w:rPr>
      <w:i/>
    </w:rPr>
  </w:style>
  <w:style w:type="paragraph" w:customStyle="1" w:styleId="FindingBullet">
    <w:name w:val="Finding Bullet"/>
    <w:basedOn w:val="Finding"/>
    <w:rsid w:val="00CF27B1"/>
    <w:pPr>
      <w:numPr>
        <w:numId w:val="3"/>
      </w:numPr>
      <w:spacing w:before="80"/>
    </w:pPr>
  </w:style>
  <w:style w:type="paragraph" w:customStyle="1" w:styleId="FindingNoTitle">
    <w:name w:val="Finding NoTitle"/>
    <w:basedOn w:val="Finding"/>
    <w:semiHidden/>
    <w:rsid w:val="00CF27B1"/>
    <w:pPr>
      <w:spacing w:before="240"/>
    </w:pPr>
  </w:style>
  <w:style w:type="paragraph" w:customStyle="1" w:styleId="RecTitle">
    <w:name w:val="Rec Title"/>
    <w:basedOn w:val="BodyText"/>
    <w:next w:val="Normal"/>
    <w:rsid w:val="00CF27B1"/>
    <w:pPr>
      <w:keepNext/>
      <w:keepLines/>
    </w:pPr>
    <w:rPr>
      <w:caps/>
      <w:sz w:val="20"/>
    </w:rPr>
  </w:style>
  <w:style w:type="paragraph" w:customStyle="1" w:styleId="FindingTitle">
    <w:name w:val="Finding Title"/>
    <w:basedOn w:val="RecTitle"/>
    <w:next w:val="Finding"/>
    <w:rsid w:val="00CF27B1"/>
    <w:pPr>
      <w:framePr w:wrap="notBeside" w:hAnchor="text"/>
    </w:pPr>
  </w:style>
  <w:style w:type="character" w:styleId="FootnoteReference">
    <w:name w:val="footnote reference"/>
    <w:basedOn w:val="DefaultParagraphFont"/>
    <w:semiHidden/>
    <w:rsid w:val="00CF27B1"/>
    <w:rPr>
      <w:rFonts w:ascii="Times New Roman" w:hAnsi="Times New Roman"/>
      <w:position w:val="6"/>
      <w:sz w:val="22"/>
      <w:vertAlign w:val="baseline"/>
    </w:rPr>
  </w:style>
  <w:style w:type="paragraph" w:styleId="FootnoteText">
    <w:name w:val="footnote text"/>
    <w:basedOn w:val="BodyText"/>
    <w:link w:val="FootnoteTextChar"/>
    <w:rsid w:val="00CF27B1"/>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CF27B1"/>
    <w:pPr>
      <w:spacing w:before="360" w:after="120"/>
    </w:pPr>
    <w:rPr>
      <w:rFonts w:ascii="Arial" w:hAnsi="Arial"/>
      <w:sz w:val="24"/>
    </w:rPr>
  </w:style>
  <w:style w:type="paragraph" w:customStyle="1" w:styleId="Jurisdictioncommentsbodytext">
    <w:name w:val="Jurisdiction comments body text"/>
    <w:rsid w:val="00CF27B1"/>
    <w:pPr>
      <w:spacing w:after="140"/>
      <w:jc w:val="both"/>
    </w:pPr>
    <w:rPr>
      <w:rFonts w:ascii="Arial" w:hAnsi="Arial"/>
      <w:sz w:val="24"/>
      <w:lang w:eastAsia="en-US"/>
    </w:rPr>
  </w:style>
  <w:style w:type="paragraph" w:customStyle="1" w:styleId="Jurisdictioncommentsheading">
    <w:name w:val="Jurisdiction comments heading"/>
    <w:rsid w:val="00CF27B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F27B1"/>
    <w:pPr>
      <w:numPr>
        <w:numId w:val="4"/>
      </w:numPr>
      <w:spacing w:after="140"/>
      <w:jc w:val="both"/>
    </w:pPr>
    <w:rPr>
      <w:rFonts w:ascii="Arial" w:hAnsi="Arial"/>
      <w:sz w:val="24"/>
      <w:lang w:eastAsia="en-US"/>
    </w:rPr>
  </w:style>
  <w:style w:type="paragraph" w:styleId="ListBullet">
    <w:name w:val="List Bullet"/>
    <w:basedOn w:val="BodyText"/>
    <w:link w:val="ListBulletChar"/>
    <w:rsid w:val="00CF27B1"/>
    <w:pPr>
      <w:numPr>
        <w:numId w:val="6"/>
      </w:numPr>
      <w:spacing w:before="120"/>
    </w:pPr>
  </w:style>
  <w:style w:type="paragraph" w:styleId="ListBullet2">
    <w:name w:val="List Bullet 2"/>
    <w:basedOn w:val="BodyText"/>
    <w:rsid w:val="00CF27B1"/>
    <w:pPr>
      <w:numPr>
        <w:numId w:val="8"/>
      </w:numPr>
      <w:spacing w:before="120"/>
    </w:pPr>
  </w:style>
  <w:style w:type="paragraph" w:styleId="ListBullet3">
    <w:name w:val="List Bullet 3"/>
    <w:basedOn w:val="BodyText"/>
    <w:rsid w:val="00CF27B1"/>
    <w:pPr>
      <w:numPr>
        <w:numId w:val="10"/>
      </w:numPr>
      <w:spacing w:before="120"/>
    </w:pPr>
  </w:style>
  <w:style w:type="paragraph" w:styleId="ListNumber">
    <w:name w:val="List Number"/>
    <w:basedOn w:val="BodyText"/>
    <w:rsid w:val="00CF27B1"/>
    <w:pPr>
      <w:numPr>
        <w:numId w:val="32"/>
      </w:numPr>
      <w:spacing w:before="120"/>
    </w:pPr>
  </w:style>
  <w:style w:type="paragraph" w:styleId="ListNumber2">
    <w:name w:val="List Number 2"/>
    <w:basedOn w:val="ListNumber"/>
    <w:rsid w:val="00CF27B1"/>
    <w:pPr>
      <w:numPr>
        <w:ilvl w:val="1"/>
      </w:numPr>
    </w:pPr>
  </w:style>
  <w:style w:type="paragraph" w:styleId="ListNumber3">
    <w:name w:val="List Number 3"/>
    <w:basedOn w:val="ListNumber2"/>
    <w:rsid w:val="00CF27B1"/>
    <w:pPr>
      <w:numPr>
        <w:ilvl w:val="2"/>
      </w:numPr>
    </w:pPr>
  </w:style>
  <w:style w:type="character" w:customStyle="1" w:styleId="NoteLabel">
    <w:name w:val="Note Label"/>
    <w:basedOn w:val="DefaultParagraphFont"/>
    <w:rsid w:val="00CF27B1"/>
    <w:rPr>
      <w:rFonts w:ascii="Arial" w:hAnsi="Arial"/>
      <w:b/>
      <w:position w:val="6"/>
      <w:sz w:val="18"/>
    </w:rPr>
  </w:style>
  <w:style w:type="paragraph" w:customStyle="1" w:styleId="PartDivider">
    <w:name w:val="Part Divider"/>
    <w:basedOn w:val="BodyText"/>
    <w:next w:val="BodyText"/>
    <w:semiHidden/>
    <w:rsid w:val="00CF27B1"/>
    <w:pPr>
      <w:spacing w:before="0" w:line="40" w:lineRule="exact"/>
      <w:jc w:val="right"/>
    </w:pPr>
    <w:rPr>
      <w:smallCaps/>
      <w:sz w:val="16"/>
    </w:rPr>
  </w:style>
  <w:style w:type="paragraph" w:customStyle="1" w:styleId="PartNumber">
    <w:name w:val="Part Number"/>
    <w:basedOn w:val="BodyText"/>
    <w:next w:val="BodyText"/>
    <w:semiHidden/>
    <w:rsid w:val="00CF27B1"/>
    <w:pPr>
      <w:spacing w:before="4000" w:line="320" w:lineRule="exact"/>
      <w:ind w:left="6634"/>
      <w:jc w:val="right"/>
    </w:pPr>
    <w:rPr>
      <w:smallCaps/>
      <w:spacing w:val="60"/>
      <w:sz w:val="32"/>
    </w:rPr>
  </w:style>
  <w:style w:type="paragraph" w:customStyle="1" w:styleId="PartTitle">
    <w:name w:val="Part Title"/>
    <w:basedOn w:val="BodyText"/>
    <w:semiHidden/>
    <w:rsid w:val="00CF27B1"/>
    <w:pPr>
      <w:spacing w:before="160" w:after="1360" w:line="520" w:lineRule="exact"/>
      <w:ind w:right="2381"/>
      <w:jc w:val="right"/>
    </w:pPr>
    <w:rPr>
      <w:smallCaps/>
      <w:sz w:val="52"/>
    </w:rPr>
  </w:style>
  <w:style w:type="paragraph" w:styleId="Quote">
    <w:name w:val="Quote"/>
    <w:basedOn w:val="BodyText"/>
    <w:next w:val="BodyText"/>
    <w:link w:val="QuoteChar"/>
    <w:qFormat/>
    <w:rsid w:val="00CF27B1"/>
    <w:pPr>
      <w:spacing w:before="120" w:line="280" w:lineRule="exact"/>
      <w:ind w:left="340"/>
    </w:pPr>
    <w:rPr>
      <w:sz w:val="24"/>
    </w:rPr>
  </w:style>
  <w:style w:type="paragraph" w:customStyle="1" w:styleId="QuoteBullet">
    <w:name w:val="Quote Bullet"/>
    <w:basedOn w:val="Quote"/>
    <w:rsid w:val="00CF27B1"/>
    <w:pPr>
      <w:numPr>
        <w:numId w:val="14"/>
      </w:numPr>
    </w:pPr>
  </w:style>
  <w:style w:type="paragraph" w:customStyle="1" w:styleId="Rec">
    <w:name w:val="Rec"/>
    <w:basedOn w:val="BodyText"/>
    <w:rsid w:val="00CF27B1"/>
    <w:pPr>
      <w:keepLines/>
      <w:spacing w:before="180"/>
    </w:pPr>
    <w:rPr>
      <w:b/>
      <w:i/>
    </w:rPr>
  </w:style>
  <w:style w:type="paragraph" w:customStyle="1" w:styleId="RecBullet">
    <w:name w:val="Rec Bullet"/>
    <w:basedOn w:val="Rec"/>
    <w:rsid w:val="00CF27B1"/>
    <w:pPr>
      <w:numPr>
        <w:numId w:val="15"/>
      </w:numPr>
      <w:spacing w:before="80"/>
    </w:pPr>
  </w:style>
  <w:style w:type="paragraph" w:customStyle="1" w:styleId="RecB">
    <w:name w:val="RecB"/>
    <w:basedOn w:val="Normal"/>
    <w:semiHidden/>
    <w:rsid w:val="00CF27B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CF27B1"/>
    <w:pPr>
      <w:numPr>
        <w:numId w:val="16"/>
      </w:numPr>
      <w:spacing w:before="80"/>
    </w:pPr>
  </w:style>
  <w:style w:type="paragraph" w:customStyle="1" w:styleId="RecBNoTitle">
    <w:name w:val="RecB NoTitle"/>
    <w:basedOn w:val="RecB"/>
    <w:semiHidden/>
    <w:rsid w:val="00CF27B1"/>
    <w:pPr>
      <w:spacing w:before="240"/>
    </w:pPr>
  </w:style>
  <w:style w:type="paragraph" w:customStyle="1" w:styleId="Reference">
    <w:name w:val="Reference"/>
    <w:basedOn w:val="BodyText"/>
    <w:rsid w:val="00CF27B1"/>
    <w:pPr>
      <w:spacing w:before="120"/>
      <w:ind w:left="340" w:hanging="340"/>
    </w:pPr>
  </w:style>
  <w:style w:type="paragraph" w:customStyle="1" w:styleId="SequenceInfo">
    <w:name w:val="Sequence Info"/>
    <w:basedOn w:val="BodyText"/>
    <w:semiHidden/>
    <w:rsid w:val="00CF27B1"/>
    <w:rPr>
      <w:vanish/>
      <w:sz w:val="16"/>
    </w:rPr>
  </w:style>
  <w:style w:type="paragraph" w:customStyle="1" w:styleId="SideNote">
    <w:name w:val="Side Note"/>
    <w:basedOn w:val="BodyText"/>
    <w:next w:val="BodyText"/>
    <w:semiHidden/>
    <w:rsid w:val="00CF27B1"/>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CF27B1"/>
    <w:pPr>
      <w:framePr w:wrap="around"/>
      <w:numPr>
        <w:numId w:val="17"/>
      </w:numPr>
      <w:tabs>
        <w:tab w:val="left" w:pos="227"/>
      </w:tabs>
    </w:pPr>
  </w:style>
  <w:style w:type="paragraph" w:customStyle="1" w:styleId="SideNoteGraphic">
    <w:name w:val="Side Note Graphic"/>
    <w:basedOn w:val="SideNote"/>
    <w:next w:val="BodyText"/>
    <w:semiHidden/>
    <w:rsid w:val="00CF27B1"/>
    <w:pPr>
      <w:framePr w:wrap="around"/>
    </w:pPr>
  </w:style>
  <w:style w:type="paragraph" w:customStyle="1" w:styleId="TableBodyText">
    <w:name w:val="Table Body Text"/>
    <w:basedOn w:val="BodyText"/>
    <w:link w:val="TableBodyTextChar"/>
    <w:rsid w:val="00CF27B1"/>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CF27B1"/>
    <w:pPr>
      <w:numPr>
        <w:numId w:val="18"/>
      </w:numPr>
      <w:jc w:val="left"/>
    </w:pPr>
  </w:style>
  <w:style w:type="paragraph" w:customStyle="1" w:styleId="TableColumnHeading">
    <w:name w:val="Table Column Heading"/>
    <w:basedOn w:val="TableBodyText"/>
    <w:rsid w:val="00CF27B1"/>
    <w:pPr>
      <w:spacing w:before="80" w:after="80"/>
    </w:pPr>
    <w:rPr>
      <w:i/>
    </w:rPr>
  </w:style>
  <w:style w:type="paragraph" w:styleId="TOC2">
    <w:name w:val="toc 2"/>
    <w:basedOn w:val="BodyText"/>
    <w:semiHidden/>
    <w:rsid w:val="00CF27B1"/>
    <w:pPr>
      <w:tabs>
        <w:tab w:val="right" w:pos="8789"/>
      </w:tabs>
      <w:ind w:left="510" w:right="851" w:hanging="510"/>
      <w:jc w:val="left"/>
    </w:pPr>
    <w:rPr>
      <w:b/>
    </w:rPr>
  </w:style>
  <w:style w:type="paragraph" w:styleId="TOC3">
    <w:name w:val="toc 3"/>
    <w:basedOn w:val="TOC2"/>
    <w:semiHidden/>
    <w:rsid w:val="00CF27B1"/>
    <w:pPr>
      <w:spacing w:before="60"/>
      <w:ind w:left="1190" w:hanging="680"/>
    </w:pPr>
    <w:rPr>
      <w:b w:val="0"/>
    </w:rPr>
  </w:style>
  <w:style w:type="paragraph" w:styleId="TableofFigures">
    <w:name w:val="table of figures"/>
    <w:basedOn w:val="TOC3"/>
    <w:next w:val="BodyText"/>
    <w:semiHidden/>
    <w:rsid w:val="00CF27B1"/>
    <w:pPr>
      <w:ind w:left="737" w:hanging="737"/>
    </w:pPr>
  </w:style>
  <w:style w:type="paragraph" w:customStyle="1" w:styleId="TableTitle">
    <w:name w:val="Table Title"/>
    <w:basedOn w:val="Caption"/>
    <w:next w:val="Subtitle"/>
    <w:rsid w:val="00CF27B1"/>
    <w:rPr>
      <w:sz w:val="24"/>
    </w:rPr>
  </w:style>
  <w:style w:type="paragraph" w:customStyle="1" w:styleId="TableUnitsRow">
    <w:name w:val="Table Units Row"/>
    <w:basedOn w:val="TableBodyText"/>
    <w:rsid w:val="00CF27B1"/>
    <w:pPr>
      <w:spacing w:before="80" w:after="80"/>
    </w:pPr>
  </w:style>
  <w:style w:type="paragraph" w:styleId="TOC1">
    <w:name w:val="toc 1"/>
    <w:basedOn w:val="Normal"/>
    <w:next w:val="TOC2"/>
    <w:semiHidden/>
    <w:rsid w:val="00CF27B1"/>
    <w:pPr>
      <w:tabs>
        <w:tab w:val="right" w:pos="8789"/>
      </w:tabs>
      <w:spacing w:before="480" w:after="60" w:line="320" w:lineRule="exact"/>
      <w:ind w:left="1191" w:right="851" w:hanging="1191"/>
    </w:pPr>
    <w:rPr>
      <w:b/>
      <w:caps/>
    </w:rPr>
  </w:style>
  <w:style w:type="paragraph" w:styleId="TOC4">
    <w:name w:val="toc 4"/>
    <w:basedOn w:val="TOC3"/>
    <w:semiHidden/>
    <w:rsid w:val="00CF27B1"/>
    <w:pPr>
      <w:ind w:left="1191" w:firstLine="0"/>
    </w:pPr>
  </w:style>
  <w:style w:type="paragraph" w:customStyle="1" w:styleId="RecBBullet2">
    <w:name w:val="RecB Bullet 2"/>
    <w:basedOn w:val="ListBullet2"/>
    <w:semiHidden/>
    <w:rsid w:val="00CF27B1"/>
    <w:pPr>
      <w:pBdr>
        <w:left w:val="single" w:sz="24" w:space="29" w:color="C0C0C0"/>
      </w:pBdr>
    </w:pPr>
    <w:rPr>
      <w:b/>
      <w:i/>
    </w:rPr>
  </w:style>
  <w:style w:type="paragraph" w:styleId="BalloonText">
    <w:name w:val="Balloon Text"/>
    <w:basedOn w:val="Normal"/>
    <w:link w:val="BalloonTextChar"/>
    <w:rsid w:val="00CF27B1"/>
    <w:rPr>
      <w:rFonts w:ascii="Tahoma" w:hAnsi="Tahoma" w:cs="Tahoma"/>
      <w:sz w:val="16"/>
      <w:szCs w:val="16"/>
    </w:rPr>
  </w:style>
  <w:style w:type="character" w:customStyle="1" w:styleId="BalloonTextChar">
    <w:name w:val="Balloon Text Char"/>
    <w:basedOn w:val="DefaultParagraphFont"/>
    <w:link w:val="BalloonText"/>
    <w:rsid w:val="00CF27B1"/>
    <w:rPr>
      <w:rFonts w:ascii="Tahoma" w:hAnsi="Tahoma" w:cs="Tahoma"/>
      <w:sz w:val="16"/>
      <w:szCs w:val="16"/>
    </w:rPr>
  </w:style>
  <w:style w:type="character" w:customStyle="1" w:styleId="SubtitleChar">
    <w:name w:val="Subtitle Char"/>
    <w:basedOn w:val="DefaultParagraphFont"/>
    <w:link w:val="Subtitle"/>
    <w:rsid w:val="00CF27B1"/>
    <w:rPr>
      <w:rFonts w:ascii="Arial" w:hAnsi="Arial"/>
      <w:szCs w:val="24"/>
    </w:rPr>
  </w:style>
  <w:style w:type="paragraph" w:customStyle="1" w:styleId="BoxListBullet3">
    <w:name w:val="Box List Bullet 3"/>
    <w:basedOn w:val="ListBullet3"/>
    <w:rsid w:val="00CF27B1"/>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CF27B1"/>
    <w:rPr>
      <w:i/>
      <w:iCs/>
    </w:rPr>
  </w:style>
  <w:style w:type="paragraph" w:customStyle="1" w:styleId="BoxQuoteBullet">
    <w:name w:val="Box Quote Bullet"/>
    <w:basedOn w:val="BoxQuote"/>
    <w:next w:val="Box"/>
    <w:rsid w:val="00CF27B1"/>
    <w:pPr>
      <w:numPr>
        <w:numId w:val="45"/>
      </w:numPr>
      <w:ind w:left="568" w:hanging="284"/>
    </w:pPr>
  </w:style>
  <w:style w:type="paragraph" w:customStyle="1" w:styleId="InformationRequestBullet">
    <w:name w:val="Information Request Bullet"/>
    <w:basedOn w:val="ListBullet"/>
    <w:next w:val="BodyText"/>
    <w:rsid w:val="00CF27B1"/>
    <w:pPr>
      <w:numPr>
        <w:numId w:val="46"/>
      </w:numPr>
      <w:ind w:left="340" w:hanging="340"/>
    </w:pPr>
    <w:rPr>
      <w:rFonts w:ascii="Arial" w:hAnsi="Arial"/>
      <w:i/>
      <w:sz w:val="24"/>
    </w:rPr>
  </w:style>
  <w:style w:type="paragraph" w:customStyle="1" w:styleId="BoxSpaceBelow">
    <w:name w:val="Box Space Below"/>
    <w:basedOn w:val="Box"/>
    <w:rsid w:val="00CF27B1"/>
    <w:pPr>
      <w:keepNext w:val="0"/>
      <w:spacing w:before="60" w:after="60" w:line="80" w:lineRule="exact"/>
    </w:pPr>
    <w:rPr>
      <w:sz w:val="14"/>
    </w:rPr>
  </w:style>
  <w:style w:type="character" w:customStyle="1" w:styleId="BodyTextChar">
    <w:name w:val="Body Text Char"/>
    <w:link w:val="BodyText"/>
    <w:locked/>
    <w:rsid w:val="00A84F28"/>
    <w:rPr>
      <w:sz w:val="26"/>
    </w:rPr>
  </w:style>
  <w:style w:type="character" w:customStyle="1" w:styleId="Heading1Char">
    <w:name w:val="Heading 1 Char"/>
    <w:basedOn w:val="DefaultParagraphFont"/>
    <w:link w:val="Heading1"/>
    <w:rsid w:val="00A84F28"/>
    <w:rPr>
      <w:sz w:val="52"/>
    </w:rPr>
  </w:style>
  <w:style w:type="character" w:customStyle="1" w:styleId="Heading2Char">
    <w:name w:val="Heading 2 Char"/>
    <w:basedOn w:val="DefaultParagraphFont"/>
    <w:link w:val="Heading2"/>
    <w:rsid w:val="00A84F28"/>
    <w:rPr>
      <w:rFonts w:ascii="Arial" w:hAnsi="Arial"/>
      <w:b/>
      <w:sz w:val="32"/>
    </w:rPr>
  </w:style>
  <w:style w:type="character" w:customStyle="1" w:styleId="Heading3Char">
    <w:name w:val="Heading 3 Char"/>
    <w:basedOn w:val="DefaultParagraphFont"/>
    <w:link w:val="Heading3"/>
    <w:rsid w:val="00A84F28"/>
    <w:rPr>
      <w:rFonts w:ascii="Arial" w:hAnsi="Arial"/>
      <w:b/>
      <w:sz w:val="26"/>
    </w:rPr>
  </w:style>
  <w:style w:type="character" w:customStyle="1" w:styleId="Heading4Char">
    <w:name w:val="Heading 4 Char"/>
    <w:basedOn w:val="DefaultParagraphFont"/>
    <w:link w:val="Heading4"/>
    <w:rsid w:val="00A84F28"/>
    <w:rPr>
      <w:rFonts w:ascii="Arial" w:hAnsi="Arial"/>
      <w:i/>
      <w:sz w:val="24"/>
    </w:rPr>
  </w:style>
  <w:style w:type="character" w:customStyle="1" w:styleId="Heading5Char">
    <w:name w:val="Heading 5 Char"/>
    <w:basedOn w:val="DefaultParagraphFont"/>
    <w:link w:val="Heading5"/>
    <w:rsid w:val="00A84F28"/>
    <w:rPr>
      <w:i/>
      <w:sz w:val="26"/>
    </w:rPr>
  </w:style>
  <w:style w:type="character" w:customStyle="1" w:styleId="Heading6Char">
    <w:name w:val="Heading 6 Char"/>
    <w:basedOn w:val="DefaultParagraphFont"/>
    <w:link w:val="Heading6"/>
    <w:rsid w:val="00A84F28"/>
    <w:rPr>
      <w:i/>
      <w:sz w:val="22"/>
    </w:rPr>
  </w:style>
  <w:style w:type="character" w:customStyle="1" w:styleId="Heading7Char">
    <w:name w:val="Heading 7 Char"/>
    <w:basedOn w:val="DefaultParagraphFont"/>
    <w:link w:val="Heading7"/>
    <w:rsid w:val="00A84F28"/>
    <w:rPr>
      <w:rFonts w:ascii="Arial" w:hAnsi="Arial"/>
    </w:rPr>
  </w:style>
  <w:style w:type="character" w:customStyle="1" w:styleId="Heading8Char">
    <w:name w:val="Heading 8 Char"/>
    <w:basedOn w:val="DefaultParagraphFont"/>
    <w:link w:val="Heading8"/>
    <w:rsid w:val="00A84F28"/>
    <w:rPr>
      <w:rFonts w:ascii="Arial" w:hAnsi="Arial"/>
      <w:i/>
    </w:rPr>
  </w:style>
  <w:style w:type="character" w:customStyle="1" w:styleId="Heading9Char">
    <w:name w:val="Heading 9 Char"/>
    <w:basedOn w:val="DefaultParagraphFont"/>
    <w:link w:val="Heading9"/>
    <w:rsid w:val="00A84F28"/>
    <w:rPr>
      <w:rFonts w:ascii="Arial" w:hAnsi="Arial"/>
      <w:b/>
      <w:i/>
      <w:sz w:val="18"/>
    </w:rPr>
  </w:style>
  <w:style w:type="character" w:customStyle="1" w:styleId="FooterChar">
    <w:name w:val="Footer Char"/>
    <w:basedOn w:val="DefaultParagraphFont"/>
    <w:link w:val="Footer"/>
    <w:rsid w:val="00A84F28"/>
    <w:rPr>
      <w:caps/>
      <w:spacing w:val="-4"/>
      <w:sz w:val="16"/>
    </w:rPr>
  </w:style>
  <w:style w:type="character" w:customStyle="1" w:styleId="HeaderChar">
    <w:name w:val="Header Char"/>
    <w:basedOn w:val="DefaultParagraphFont"/>
    <w:link w:val="Header"/>
    <w:rsid w:val="00A84F28"/>
    <w:rPr>
      <w:rFonts w:ascii="Arial" w:hAnsi="Arial"/>
      <w:caps/>
      <w:sz w:val="26"/>
    </w:rPr>
  </w:style>
  <w:style w:type="character" w:customStyle="1" w:styleId="CommentTextChar">
    <w:name w:val="Comment Text Char"/>
    <w:basedOn w:val="DefaultParagraphFont"/>
    <w:semiHidden/>
    <w:rsid w:val="00A84F28"/>
    <w:rPr>
      <w:szCs w:val="24"/>
    </w:rPr>
  </w:style>
  <w:style w:type="character" w:customStyle="1" w:styleId="FootnoteTextChar">
    <w:name w:val="Footnote Text Char"/>
    <w:basedOn w:val="DefaultParagraphFont"/>
    <w:link w:val="FootnoteText"/>
    <w:rsid w:val="00A84F28"/>
    <w:rPr>
      <w:sz w:val="22"/>
    </w:rPr>
  </w:style>
  <w:style w:type="character" w:customStyle="1" w:styleId="QuoteChar">
    <w:name w:val="Quote Char"/>
    <w:basedOn w:val="DefaultParagraphFont"/>
    <w:link w:val="Quote"/>
    <w:rsid w:val="00A84F28"/>
    <w:rPr>
      <w:sz w:val="24"/>
    </w:rPr>
  </w:style>
  <w:style w:type="character" w:customStyle="1" w:styleId="ListBulletChar">
    <w:name w:val="List Bullet Char"/>
    <w:basedOn w:val="DefaultParagraphFont"/>
    <w:link w:val="ListBullet"/>
    <w:rsid w:val="00A84F28"/>
    <w:rPr>
      <w:sz w:val="26"/>
    </w:rPr>
  </w:style>
  <w:style w:type="character" w:styleId="Hyperlink">
    <w:name w:val="Hyperlink"/>
    <w:basedOn w:val="DefaultParagraphFont"/>
    <w:rsid w:val="00A84F28"/>
    <w:rPr>
      <w:color w:val="0000FF" w:themeColor="hyperlink"/>
      <w:u w:val="single"/>
    </w:rPr>
  </w:style>
  <w:style w:type="paragraph" w:styleId="CommentSubject">
    <w:name w:val="annotation subject"/>
    <w:basedOn w:val="CommentText"/>
    <w:next w:val="CommentText"/>
    <w:link w:val="CommentSubjectChar"/>
    <w:rsid w:val="00A84F28"/>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A84F28"/>
    <w:rPr>
      <w:szCs w:val="24"/>
    </w:rPr>
  </w:style>
  <w:style w:type="character" w:customStyle="1" w:styleId="CommentSubjectChar">
    <w:name w:val="Comment Subject Char"/>
    <w:basedOn w:val="CommentTextChar1"/>
    <w:link w:val="CommentSubject"/>
    <w:rsid w:val="00A84F28"/>
    <w:rPr>
      <w:b/>
      <w:bCs/>
      <w:szCs w:val="24"/>
    </w:rPr>
  </w:style>
  <w:style w:type="character" w:customStyle="1" w:styleId="TableBodyTextChar">
    <w:name w:val="Table Body Text Char"/>
    <w:link w:val="TableBodyText"/>
    <w:rsid w:val="00A84F28"/>
    <w:rPr>
      <w:rFonts w:ascii="Arial" w:hAnsi="Arial"/>
    </w:rPr>
  </w:style>
  <w:style w:type="character" w:customStyle="1" w:styleId="NoteChar">
    <w:name w:val="Note Char"/>
    <w:link w:val="Note"/>
    <w:rsid w:val="00A84F28"/>
    <w:rPr>
      <w:rFonts w:ascii="Arial" w:hAnsi="Arial"/>
      <w:sz w:val="18"/>
    </w:rPr>
  </w:style>
  <w:style w:type="character" w:customStyle="1" w:styleId="SourceChar">
    <w:name w:val="Source Char"/>
    <w:link w:val="Source"/>
    <w:rsid w:val="00A84F28"/>
    <w:rPr>
      <w:rFonts w:ascii="Arial" w:hAnsi="Arial"/>
      <w:sz w:val="18"/>
    </w:rPr>
  </w:style>
  <w:style w:type="paragraph" w:styleId="Bibliography">
    <w:name w:val="Bibliography"/>
    <w:basedOn w:val="Normal"/>
    <w:next w:val="Normal"/>
    <w:uiPriority w:val="37"/>
    <w:unhideWhenUsed/>
    <w:rsid w:val="00A84F28"/>
    <w:pPr>
      <w:spacing w:after="240"/>
      <w:ind w:left="720" w:hanging="720"/>
    </w:pPr>
    <w:rPr>
      <w:rFonts w:ascii="Calibri" w:eastAsiaTheme="minorHAnsi" w:hAnsi="Calibri"/>
      <w:sz w:val="22"/>
      <w:szCs w:val="22"/>
      <w:lang w:eastAsia="en-US"/>
    </w:rPr>
  </w:style>
  <w:style w:type="paragraph" w:styleId="Revision">
    <w:name w:val="Revision"/>
    <w:hidden/>
    <w:uiPriority w:val="99"/>
    <w:semiHidden/>
    <w:rsid w:val="00A84F28"/>
    <w:rPr>
      <w:sz w:val="26"/>
      <w:szCs w:val="24"/>
    </w:rPr>
  </w:style>
  <w:style w:type="paragraph" w:styleId="ListParagraph">
    <w:name w:val="List Paragraph"/>
    <w:basedOn w:val="Normal"/>
    <w:uiPriority w:val="34"/>
    <w:qFormat/>
    <w:rsid w:val="00A84F28"/>
    <w:pPr>
      <w:ind w:left="720"/>
    </w:pPr>
    <w:rPr>
      <w:rFonts w:ascii="Calibri" w:hAnsi="Calibri"/>
      <w:sz w:val="22"/>
      <w:szCs w:val="22"/>
      <w:lang w:eastAsia="en-US"/>
    </w:rPr>
  </w:style>
  <w:style w:type="character" w:styleId="FollowedHyperlink">
    <w:name w:val="FollowedHyperlink"/>
    <w:basedOn w:val="DefaultParagraphFont"/>
    <w:uiPriority w:val="99"/>
    <w:unhideWhenUsed/>
    <w:rsid w:val="00A84F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14.xml.rels><?xml version="1.0" encoding="UTF-8" standalone="yes"?>
<Relationships xmlns="http://schemas.openxmlformats.org/package/2006/relationships"><Relationship Id="check" Type="http://schemas.openxmlformats.org/officeDocument/2006/relationships/image" Target="images/document-check-icon.png"/><Relationship Id="counter" Type="http://schemas.openxmlformats.org/officeDocument/2006/relationships/image" Target="images/counter-icon.png"/><Relationship Id="cs" Type="http://schemas.openxmlformats.org/officeDocument/2006/relationships/image" Target="images/CS.png"/></Relationships>
</file>

<file path=customUI/customUI14.xml><?xml version="1.0" encoding="utf-8"?>
<customUI xmlns="http://schemas.microsoft.com/office/2009/07/customui">
  <ribbon startFromScratch="false">
    <tabs>
      <tab idMso="TabHome">
        <group id="customChapterSettings" label="Settings" insertBeforeMso="GroupClipboard">
          <button id="customButtonCS" label="Chapter Settings" size="large" onAction="callStatCS" image="cs"/>
          <gallery idMso="CustomGallery1" label="PC Parts" size="large"/>
          <button id="customButtonSC" label="Style Checker" size="normal" onAction="callstylechecker" image="check"/>
          <button id="customButtonSCO" label="Sub Counter" size="normal" onAction="callsubcounter" image="counter"/>
          <button id="customButtonCR" label="Insert Cross Reference" size="normal" onAction="callpastespecial" imageMso="PasteSpecialDialog"/>
          <button id="customButtonPSC" label="Paste Special Excel Chart" size="normal" onAction="callStatPSC" imageMso="PasteSpecialDialog"/>
          <button id="customButtonNH" label="1.2 Numbered Heading" size="normal" onAction="callstatNH" imageMso="SiteColumnActionChangeType"/>
          <button id="customButtonIT" label="Insert Table" size="normal" onAction="callstattable" imageMso="InsertTable"/>
          <button id="customButtonLS" label="Insert Landscape Page" size="normal" onAction="calllandscapepage" imageMso="PageOrientationLandscape"/>
          <button id="customButtonFT" label="Format Table" supertip="This macro will help format an imported table into PC style." onAction="callFormatTable" imageMso="TableResize"/>
        </group>
        <group id="customAccessibility" label="Accessibility" insertBeforeMso="GroupClipboard">
          <button idMso="AccessibilityChecker" label="Checker" imageMso="AccessibilityChecker"/>
          <button idMso="AlternativeText" imageMso="AltText"/>
        </group>
        <group idMso="GroupParagraph" visible="false"/>
        <group id="customGrpParagraph" label="Paragraph" insertBeforeMso="GroupStyles">
          <box id="HA1" boxStyle="horizontal">
            <buttonGroup id="HAButtonGroup1">
              <button id="customButton1" onAction="callStatBullets" imageMso="BulletsAndNumberingBulletsDialog"/>
              <button id="customButton2" onAction="callStatNumbers" imageMso="NumberingCustomize"/>
              <button id="customButton4" onAction="callStatDecreaseIndent" imageMso="IndentDecrease"/>
              <button id="customButton3" onAction="callStatIncreaseIndent" imageMso="IndentIncrease"/>
              <button idMso="SortAscendingWord" showLabel="false"/>
              <toggleButton idMso="ParagraphMarks"/>
            </buttonGroup>
          </box>
          <box id="HA2" boxStyle="horizontal">
            <buttonGroup id="HAButtonGroup2">
              <toggleButton idMso="AlignLeft"/>
              <toggleButton idMso="AlignCenter"/>
              <toggleButton idMso="AlignRight"/>
              <toggleButton idMso="AlignJustify"/>
            </buttonGroup>
            <buttonGroup id="HAButtonGroup3">
              <menu idMso="LineSpacingMenu" showLabel="false"/>
            </buttonGroup>
            <buttonGroup id="HAButtonGroup4">
              <gallery idMso="ShadingColorPicker" showLabel="false"/>
            </buttonGroup>
            <buttonGroup id="HAButtonGroup5">
              <splitButton idMso="TableBordersMenu"/>
            </buttonGroup>
          </box>
          <dialogBoxLauncher>
            <button idMso="ParagraphDialog"/>
          </dialogBoxLauncher>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68F68-1E50-4467-A978-AE7E461D1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7</TotalTime>
  <Pages>10</Pages>
  <Words>3171</Words>
  <Characters>17835</Characters>
  <Application>Microsoft Office Word</Application>
  <DocSecurity>0</DocSecurity>
  <Lines>676</Lines>
  <Paragraphs>401</Paragraphs>
  <ScaleCrop>false</ScaleCrop>
  <HeadingPairs>
    <vt:vector size="2" baseType="variant">
      <vt:variant>
        <vt:lpstr>Title</vt:lpstr>
      </vt:variant>
      <vt:variant>
        <vt:i4>1</vt:i4>
      </vt:variant>
    </vt:vector>
  </HeadingPairs>
  <TitlesOfParts>
    <vt:vector size="1" baseType="lpstr">
      <vt:lpstr>Longer-run effects</vt:lpstr>
    </vt:vector>
  </TitlesOfParts>
  <Company>Productivity Commission</Company>
  <LinksUpToDate>false</LinksUpToDate>
  <CharactersWithSpaces>20622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Longer-run effects</dc:title>
  <dc:subject>Modelling Automotive Industry Change</dc:subject>
  <dc:creator>Productivity Commission</dc:creator>
  <dc:description>2.</dc:description>
  <cp:lastModifiedBy>Productivity Commission</cp:lastModifiedBy>
  <cp:revision>5</cp:revision>
  <cp:lastPrinted>2012-07-19T02:05:00Z</cp:lastPrinted>
  <dcterms:created xsi:type="dcterms:W3CDTF">2014-04-30T04:23:00Z</dcterms:created>
  <dcterms:modified xsi:type="dcterms:W3CDTF">2014-05-08T05:46:00Z</dcterms:modified>
</cp:coreProperties>
</file>