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76CB1" w:rsidP="00B83F4E">
      <w:pPr>
        <w:pStyle w:val="Heading1"/>
      </w:pPr>
      <w:bookmarkStart w:id="0" w:name="ChapterNumber"/>
      <w:bookmarkStart w:id="1" w:name="_GoBack"/>
      <w:bookmarkEnd w:id="1"/>
      <w:r>
        <w:t>A</w:t>
      </w:r>
      <w:bookmarkEnd w:id="0"/>
      <w:r>
        <w:tab/>
      </w:r>
      <w:bookmarkStart w:id="2" w:name="ChapterTitle"/>
      <w:r>
        <w:t>The MMRF model</w:t>
      </w:r>
      <w:bookmarkEnd w:id="2"/>
    </w:p>
    <w:p w:rsidR="0087433C" w:rsidRDefault="0087433C" w:rsidP="0087433C">
      <w:pPr>
        <w:pStyle w:val="BodyText"/>
      </w:pPr>
      <w:bookmarkStart w:id="3" w:name="begin"/>
      <w:bookmarkEnd w:id="3"/>
      <w:r>
        <w:t xml:space="preserve">This appendix provides an overview of the </w:t>
      </w:r>
      <w:r w:rsidR="00E62370">
        <w:t xml:space="preserve">MMRF-Auto14 </w:t>
      </w:r>
      <w:r w:rsidR="00231B6F">
        <w:t xml:space="preserve">model </w:t>
      </w:r>
      <w:r>
        <w:t xml:space="preserve">used in this </w:t>
      </w:r>
      <w:r w:rsidR="008A1474">
        <w:t xml:space="preserve">inquiry </w:t>
      </w:r>
      <w:r w:rsidR="005E0350">
        <w:t>to assess the economy</w:t>
      </w:r>
      <w:r>
        <w:t>wide and regional effects of impending and possible changes in the automotive industry.</w:t>
      </w:r>
      <w:r w:rsidRPr="009D7093">
        <w:t xml:space="preserve"> </w:t>
      </w:r>
      <w:r w:rsidR="00266694">
        <w:t xml:space="preserve">MMRF-Auto14 is based on </w:t>
      </w:r>
      <w:r w:rsidR="00E62370">
        <w:t xml:space="preserve">the </w:t>
      </w:r>
      <w:r w:rsidR="00266694">
        <w:t xml:space="preserve">Monash Multi-Regional Forecasting (MMRF) </w:t>
      </w:r>
      <w:r w:rsidR="00E62370">
        <w:t xml:space="preserve">model </w:t>
      </w:r>
      <w:r w:rsidR="00266694">
        <w:t xml:space="preserve">that has </w:t>
      </w:r>
      <w:r>
        <w:t>been used widely by the Commission and others to analyse the effects of public policy in Australia, and is well suited to examining policies with a regional focus and the effects of industry adjustment.</w:t>
      </w:r>
    </w:p>
    <w:p w:rsidR="0087433C" w:rsidRDefault="00176CB1" w:rsidP="0087433C">
      <w:pPr>
        <w:pStyle w:val="Heading2"/>
      </w:pPr>
      <w:r>
        <w:t>A.</w:t>
      </w:r>
      <w:r>
        <w:rPr>
          <w:noProof/>
        </w:rPr>
        <w:t>1</w:t>
      </w:r>
      <w:r w:rsidR="008058DC">
        <w:tab/>
      </w:r>
      <w:r w:rsidR="0087433C">
        <w:t>An overview of the MMRF model</w:t>
      </w:r>
    </w:p>
    <w:p w:rsidR="0087433C" w:rsidRDefault="0087433C" w:rsidP="0087433C">
      <w:pPr>
        <w:pStyle w:val="BodyText"/>
      </w:pPr>
      <w:r>
        <w:t xml:space="preserve">The MMRF model is a ‘bottom-up’ model that treats each </w:t>
      </w:r>
      <w:r w:rsidR="00097359">
        <w:t xml:space="preserve">state </w:t>
      </w:r>
      <w:r>
        <w:t xml:space="preserve">and </w:t>
      </w:r>
      <w:r w:rsidR="00097359">
        <w:t xml:space="preserve">territory </w:t>
      </w:r>
      <w:r>
        <w:t xml:space="preserve">as a separate economy. The </w:t>
      </w:r>
      <w:r w:rsidR="00E62370">
        <w:t>b</w:t>
      </w:r>
      <w:r w:rsidR="00F7073D">
        <w:t>enchmark</w:t>
      </w:r>
      <w:r w:rsidR="00E62370">
        <w:t xml:space="preserve"> </w:t>
      </w:r>
      <w:r>
        <w:t xml:space="preserve">model </w:t>
      </w:r>
      <w:r w:rsidR="00F7073D">
        <w:t xml:space="preserve">from which MMRF-Auto14 was adapted </w:t>
      </w:r>
      <w:r>
        <w:t>includes:</w:t>
      </w:r>
    </w:p>
    <w:p w:rsidR="0087433C" w:rsidRDefault="0087433C" w:rsidP="0087433C">
      <w:pPr>
        <w:pStyle w:val="ListBullet"/>
      </w:pPr>
      <w:r>
        <w:t xml:space="preserve">64 industries and commodities in each </w:t>
      </w:r>
      <w:r w:rsidR="00097359">
        <w:t>state</w:t>
      </w:r>
      <w:r>
        <w:t>, and the inter</w:t>
      </w:r>
      <w:r w:rsidR="00261929">
        <w:t>-</w:t>
      </w:r>
      <w:r>
        <w:t xml:space="preserve">linkages </w:t>
      </w:r>
      <w:r w:rsidR="008A1474">
        <w:t xml:space="preserve">between these </w:t>
      </w:r>
      <w:r>
        <w:t>contained in the input-output tables</w:t>
      </w:r>
    </w:p>
    <w:p w:rsidR="0087433C" w:rsidRDefault="00261929" w:rsidP="0087433C">
      <w:pPr>
        <w:pStyle w:val="ListBullet"/>
      </w:pPr>
      <w:r>
        <w:t>s</w:t>
      </w:r>
      <w:r w:rsidR="0087433C">
        <w:t xml:space="preserve">tate labour markets, comprised of eight occupations, with the supply of labour moving between </w:t>
      </w:r>
      <w:r w:rsidR="00097359">
        <w:t xml:space="preserve">states </w:t>
      </w:r>
      <w:r w:rsidR="0087433C">
        <w:t xml:space="preserve">to equate </w:t>
      </w:r>
      <w:r w:rsidR="009558B9">
        <w:t>changes</w:t>
      </w:r>
      <w:r w:rsidR="0087433C">
        <w:t xml:space="preserve"> </w:t>
      </w:r>
      <w:r w:rsidR="001C7484">
        <w:t xml:space="preserve">across states </w:t>
      </w:r>
      <w:r w:rsidR="0087433C">
        <w:t>in occupational-specific real wages</w:t>
      </w:r>
    </w:p>
    <w:p w:rsidR="0087433C" w:rsidRDefault="0087433C" w:rsidP="0087433C">
      <w:pPr>
        <w:pStyle w:val="ListBullet"/>
      </w:pPr>
      <w:r>
        <w:t xml:space="preserve">eight </w:t>
      </w:r>
      <w:r w:rsidR="00261929">
        <w:t>s</w:t>
      </w:r>
      <w:r>
        <w:t xml:space="preserve">tate-specific household sectors, which supply </w:t>
      </w:r>
      <w:r w:rsidR="008A1474">
        <w:t xml:space="preserve">domestic </w:t>
      </w:r>
      <w:r>
        <w:t>factors</w:t>
      </w:r>
      <w:r w:rsidR="008A1474">
        <w:t xml:space="preserve"> of production (labour and capital)</w:t>
      </w:r>
      <w:r>
        <w:t>, consume goods and services, and pay income and commodity taxes</w:t>
      </w:r>
    </w:p>
    <w:p w:rsidR="0087433C" w:rsidRDefault="0087433C" w:rsidP="0087433C">
      <w:pPr>
        <w:pStyle w:val="ListBullet"/>
      </w:pPr>
      <w:r>
        <w:t xml:space="preserve">eight </w:t>
      </w:r>
      <w:r w:rsidR="00097359">
        <w:t xml:space="preserve">state </w:t>
      </w:r>
      <w:r>
        <w:t xml:space="preserve">and </w:t>
      </w:r>
      <w:r w:rsidR="00097359">
        <w:t>territory governments</w:t>
      </w:r>
    </w:p>
    <w:p w:rsidR="0087433C" w:rsidRDefault="0087433C" w:rsidP="0087433C">
      <w:pPr>
        <w:pStyle w:val="ListBullet"/>
      </w:pPr>
      <w:r>
        <w:t>the Australian Government.</w:t>
      </w:r>
    </w:p>
    <w:p w:rsidR="0087433C" w:rsidRDefault="0087433C" w:rsidP="0087433C">
      <w:pPr>
        <w:pStyle w:val="BodyText"/>
      </w:pPr>
      <w:r>
        <w:t>Important elements of the theoretical structure of the version of MMRF used in this project include the following:</w:t>
      </w:r>
    </w:p>
    <w:p w:rsidR="0087433C" w:rsidRDefault="0087433C" w:rsidP="0087433C">
      <w:pPr>
        <w:pStyle w:val="ListBullet"/>
      </w:pPr>
      <w:r>
        <w:t xml:space="preserve">households change their consumption bundles in response to changes in </w:t>
      </w:r>
      <w:r w:rsidR="008A1474">
        <w:t xml:space="preserve">aggregate expenditure </w:t>
      </w:r>
      <w:r w:rsidR="00B83F4E">
        <w:t>and relative prices</w:t>
      </w:r>
    </w:p>
    <w:p w:rsidR="0087433C" w:rsidRDefault="0087433C" w:rsidP="00E62370">
      <w:pPr>
        <w:pStyle w:val="ListBullet"/>
      </w:pPr>
      <w:r>
        <w:t>producers adapt their output and their relative use of labour, capital and agricultural land in response to</w:t>
      </w:r>
      <w:r w:rsidR="00B83F4E">
        <w:t xml:space="preserve"> changes in relative prices</w:t>
      </w:r>
    </w:p>
    <w:p w:rsidR="0087433C" w:rsidRDefault="0087433C" w:rsidP="0087433C">
      <w:pPr>
        <w:pStyle w:val="ListBullet"/>
      </w:pPr>
      <w:r>
        <w:lastRenderedPageBreak/>
        <w:t>foreign demand for Australian exports responds to the export price of Australian products, and exporters can accrue short-term re</w:t>
      </w:r>
      <w:r w:rsidR="00E62370">
        <w:t>turns</w:t>
      </w:r>
      <w:r>
        <w:t xml:space="preserve"> in response to price changes.</w:t>
      </w:r>
    </w:p>
    <w:p w:rsidR="0087433C" w:rsidRDefault="0087433C" w:rsidP="0087433C">
      <w:pPr>
        <w:pStyle w:val="BodyText"/>
      </w:pPr>
      <w:r>
        <w:t xml:space="preserve">The model is documented in more detail in CoPS </w:t>
      </w:r>
      <w:r w:rsidR="00886B2D" w:rsidRPr="00886B2D">
        <w:t>(forthcoming)</w:t>
      </w:r>
      <w:r>
        <w:t>.</w:t>
      </w:r>
    </w:p>
    <w:p w:rsidR="0087433C" w:rsidRDefault="0087433C" w:rsidP="0087433C">
      <w:pPr>
        <w:pStyle w:val="Heading3"/>
      </w:pPr>
      <w:r>
        <w:t>Database</w:t>
      </w:r>
    </w:p>
    <w:p w:rsidR="0087433C" w:rsidRDefault="0087433C" w:rsidP="0087433C">
      <w:pPr>
        <w:pStyle w:val="BodyText"/>
      </w:pPr>
      <w:r>
        <w:t>The MMRF database</w:t>
      </w:r>
      <w:r w:rsidR="00995681">
        <w:t xml:space="preserve"> is </w:t>
      </w:r>
      <w:r>
        <w:t>composed of:</w:t>
      </w:r>
    </w:p>
    <w:p w:rsidR="00B83F4E" w:rsidRDefault="0087433C" w:rsidP="00B83F4E">
      <w:pPr>
        <w:pStyle w:val="ListBullet"/>
        <w:numPr>
          <w:ilvl w:val="0"/>
          <w:numId w:val="15"/>
        </w:numPr>
        <w:overflowPunct w:val="0"/>
        <w:autoSpaceDE w:val="0"/>
        <w:autoSpaceDN w:val="0"/>
        <w:adjustRightInd w:val="0"/>
        <w:spacing w:line="320" w:lineRule="exact"/>
        <w:textAlignment w:val="baseline"/>
      </w:pPr>
      <w:r>
        <w:t>a production core, comprised of eight input-output tables</w:t>
      </w:r>
      <w:r w:rsidR="00886B2D">
        <w:t xml:space="preserve"> (one for each </w:t>
      </w:r>
      <w:r w:rsidR="00A805DA">
        <w:t xml:space="preserve">state </w:t>
      </w:r>
      <w:r w:rsidR="00886B2D">
        <w:t xml:space="preserve">and </w:t>
      </w:r>
      <w:r w:rsidR="00A805DA">
        <w:t>territory</w:t>
      </w:r>
      <w:r w:rsidR="00886B2D">
        <w:t>)</w:t>
      </w:r>
      <w:r>
        <w:t xml:space="preserve"> that are linked through int</w:t>
      </w:r>
      <w:r w:rsidR="00B83F4E">
        <w:t>erstate trade</w:t>
      </w:r>
    </w:p>
    <w:p w:rsidR="0087433C" w:rsidRDefault="0087433C" w:rsidP="00B83F4E">
      <w:pPr>
        <w:pStyle w:val="ListBullet"/>
        <w:numPr>
          <w:ilvl w:val="0"/>
          <w:numId w:val="15"/>
        </w:numPr>
        <w:overflowPunct w:val="0"/>
        <w:autoSpaceDE w:val="0"/>
        <w:autoSpaceDN w:val="0"/>
        <w:adjustRightInd w:val="0"/>
        <w:spacing w:line="320" w:lineRule="exact"/>
        <w:textAlignment w:val="baseline"/>
      </w:pPr>
      <w:r>
        <w:t>fiscal accou</w:t>
      </w:r>
      <w:smartTag w:uri="urn:schemas-microsoft-com:office:smarttags" w:element="PersonName">
        <w:r>
          <w:t>nt</w:t>
        </w:r>
      </w:smartTag>
      <w:r w:rsidR="00261929">
        <w:t>s for the nine governments</w:t>
      </w:r>
    </w:p>
    <w:p w:rsidR="00B83F4E" w:rsidRDefault="00261929" w:rsidP="00B83F4E">
      <w:pPr>
        <w:pStyle w:val="ListBullet"/>
        <w:numPr>
          <w:ilvl w:val="0"/>
          <w:numId w:val="15"/>
        </w:numPr>
        <w:overflowPunct w:val="0"/>
        <w:autoSpaceDE w:val="0"/>
        <w:autoSpaceDN w:val="0"/>
        <w:adjustRightInd w:val="0"/>
        <w:spacing w:line="320" w:lineRule="exact"/>
        <w:textAlignment w:val="baseline"/>
      </w:pPr>
      <w:r>
        <w:t>cohort-based population and demographic accounting.</w:t>
      </w:r>
    </w:p>
    <w:p w:rsidR="0087433C" w:rsidRDefault="0087433C" w:rsidP="0087433C">
      <w:pPr>
        <w:pStyle w:val="BodyText"/>
      </w:pPr>
      <w:r>
        <w:t xml:space="preserve">The production core of the database shows how each industry in each </w:t>
      </w:r>
      <w:r w:rsidR="00E62370">
        <w:t>s</w:t>
      </w:r>
      <w:r>
        <w:t xml:space="preserve">tate </w:t>
      </w:r>
      <w:r w:rsidR="00A805DA">
        <w:t xml:space="preserve">and territory </w:t>
      </w:r>
      <w:r>
        <w:t xml:space="preserve">economy is linked to other industries within that </w:t>
      </w:r>
      <w:r w:rsidR="00E62370">
        <w:t>s</w:t>
      </w:r>
      <w:r>
        <w:t xml:space="preserve">tate and in other </w:t>
      </w:r>
      <w:r w:rsidR="00E62370">
        <w:t>s</w:t>
      </w:r>
      <w:r>
        <w:t>tates. It is based on input</w:t>
      </w:r>
      <w:r w:rsidR="00886B2D">
        <w:noBreakHyphen/>
      </w:r>
      <w:r>
        <w:t>output tables prepared by the ABS</w:t>
      </w:r>
      <w:r w:rsidR="00261929">
        <w:t>,</w:t>
      </w:r>
      <w:r>
        <w:t xml:space="preserve"> </w:t>
      </w:r>
      <w:r w:rsidR="00261929">
        <w:t xml:space="preserve">complemented by </w:t>
      </w:r>
      <w:r>
        <w:t xml:space="preserve">various </w:t>
      </w:r>
      <w:smartTag w:uri="urn:schemas-microsoft-com:office:smarttags" w:element="City">
        <w:r>
          <w:t>ABS</w:t>
        </w:r>
      </w:smartTag>
      <w:r>
        <w:t xml:space="preserve"> </w:t>
      </w:r>
      <w:r w:rsidR="00261929">
        <w:t xml:space="preserve">national and </w:t>
      </w:r>
      <w:r>
        <w:t xml:space="preserve">state publications. It provides a detailed description of the structure of production </w:t>
      </w:r>
      <w:r w:rsidR="009558B9">
        <w:t xml:space="preserve">according to a constant returns to scale production technology </w:t>
      </w:r>
      <w:r>
        <w:t xml:space="preserve">and demand </w:t>
      </w:r>
      <w:r w:rsidR="009558B9">
        <w:t xml:space="preserve">for industry outputs and imports, </w:t>
      </w:r>
      <w:r>
        <w:t xml:space="preserve">in each </w:t>
      </w:r>
      <w:r w:rsidR="00A805DA">
        <w:t xml:space="preserve">state </w:t>
      </w:r>
      <w:r>
        <w:t xml:space="preserve">and </w:t>
      </w:r>
      <w:r w:rsidR="00A805DA">
        <w:t>territory</w:t>
      </w:r>
      <w:r w:rsidR="009558B9">
        <w:t xml:space="preserve">. Within this framework, it </w:t>
      </w:r>
      <w:r>
        <w:t>shows:</w:t>
      </w:r>
    </w:p>
    <w:p w:rsidR="00B83F4E" w:rsidRDefault="0087433C" w:rsidP="00B83F4E">
      <w:pPr>
        <w:pStyle w:val="ListBullet"/>
        <w:numPr>
          <w:ilvl w:val="0"/>
          <w:numId w:val="15"/>
        </w:numPr>
        <w:overflowPunct w:val="0"/>
        <w:autoSpaceDE w:val="0"/>
        <w:autoSpaceDN w:val="0"/>
        <w:adjustRightInd w:val="0"/>
        <w:spacing w:line="320" w:lineRule="exact"/>
        <w:textAlignment w:val="baseline"/>
      </w:pPr>
      <w:r>
        <w:t>the flow of industry outputs to other industries (termed ‘intermediate inputs’), final demands by households (consumption), government, investment (for capital f</w:t>
      </w:r>
      <w:r w:rsidR="00B83F4E">
        <w:t>ormation purposes) and exports</w:t>
      </w:r>
    </w:p>
    <w:p w:rsidR="00A668CC" w:rsidRDefault="00A668CC" w:rsidP="00B83F4E">
      <w:pPr>
        <w:pStyle w:val="ListBullet"/>
        <w:numPr>
          <w:ilvl w:val="0"/>
          <w:numId w:val="15"/>
        </w:numPr>
        <w:overflowPunct w:val="0"/>
        <w:autoSpaceDE w:val="0"/>
        <w:autoSpaceDN w:val="0"/>
        <w:adjustRightInd w:val="0"/>
        <w:spacing w:line="320" w:lineRule="exact"/>
        <w:textAlignment w:val="baseline"/>
      </w:pPr>
      <w:r>
        <w:t xml:space="preserve">the transport and distribution costs associated with transferring products from the producer (or the port of entry in the case of imports) to final consumers and other users, as well as product taxes and subsidies </w:t>
      </w:r>
      <w:r w:rsidR="00261929">
        <w:t>pertaining to product flows (including the GST, import duties and excise taxes)</w:t>
      </w:r>
    </w:p>
    <w:p w:rsidR="0087433C" w:rsidRDefault="0087433C" w:rsidP="00B83F4E">
      <w:pPr>
        <w:pStyle w:val="ListBullet"/>
        <w:numPr>
          <w:ilvl w:val="0"/>
          <w:numId w:val="15"/>
        </w:numPr>
        <w:overflowPunct w:val="0"/>
        <w:autoSpaceDE w:val="0"/>
        <w:autoSpaceDN w:val="0"/>
        <w:adjustRightInd w:val="0"/>
        <w:spacing w:line="320" w:lineRule="exact"/>
        <w:textAlignment w:val="baseline"/>
      </w:pPr>
      <w:r>
        <w:t xml:space="preserve">the cost structure of industries in terms of intermediate inputs of commodities (goods and services supplied by domestic industries and by imports), primary factors of production (labour, capital and agricultural land), other costs to production and </w:t>
      </w:r>
      <w:r w:rsidR="00261929">
        <w:t xml:space="preserve">indirect </w:t>
      </w:r>
      <w:r>
        <w:t>taxes and subsidies</w:t>
      </w:r>
      <w:r w:rsidR="00261929">
        <w:t xml:space="preserve"> not elsewhere classified (such as payroll taxes)</w:t>
      </w:r>
      <w:r>
        <w:t>.</w:t>
      </w:r>
    </w:p>
    <w:p w:rsidR="00B83F4E" w:rsidRDefault="00BE3F88" w:rsidP="0087433C">
      <w:pPr>
        <w:pStyle w:val="BodyText"/>
      </w:pPr>
      <w:r>
        <w:t xml:space="preserve">The </w:t>
      </w:r>
      <w:r w:rsidR="008A1474">
        <w:t>initial database includes 64 </w:t>
      </w:r>
      <w:r>
        <w:t>industries</w:t>
      </w:r>
      <w:r w:rsidR="008A1474">
        <w:t>, of which there are</w:t>
      </w:r>
      <w:r>
        <w:t xml:space="preserve">: </w:t>
      </w:r>
      <w:r w:rsidR="008A1474">
        <w:t>6</w:t>
      </w:r>
      <w:r w:rsidR="00E237D4">
        <w:t> </w:t>
      </w:r>
      <w:r>
        <w:t>agricultural</w:t>
      </w:r>
      <w:r w:rsidR="00995681">
        <w:t xml:space="preserve"> </w:t>
      </w:r>
      <w:r w:rsidR="008A1474">
        <w:t xml:space="preserve">and related </w:t>
      </w:r>
      <w:r>
        <w:t>industries</w:t>
      </w:r>
      <w:r w:rsidR="009D7DDF">
        <w:t xml:space="preserve">; </w:t>
      </w:r>
      <w:r w:rsidR="00E237D4">
        <w:t>6 </w:t>
      </w:r>
      <w:r w:rsidR="008863CC">
        <w:t>mining industries</w:t>
      </w:r>
      <w:r w:rsidR="009D7DDF">
        <w:t xml:space="preserve">; </w:t>
      </w:r>
      <w:r w:rsidR="00E237D4">
        <w:t>21 </w:t>
      </w:r>
      <w:r w:rsidR="008863CC">
        <w:t>manufacturing industries</w:t>
      </w:r>
      <w:r w:rsidR="009D7DDF">
        <w:t xml:space="preserve">; </w:t>
      </w:r>
      <w:r w:rsidR="00E237D4">
        <w:t>8 </w:t>
      </w:r>
      <w:r w:rsidR="008863CC">
        <w:t>utility industries</w:t>
      </w:r>
      <w:r w:rsidR="009D7DDF">
        <w:t xml:space="preserve">; </w:t>
      </w:r>
      <w:r w:rsidR="00E237D4">
        <w:t>2 </w:t>
      </w:r>
      <w:r w:rsidR="008863CC">
        <w:t>construction industries</w:t>
      </w:r>
      <w:r w:rsidR="009D7DDF">
        <w:t xml:space="preserve">; </w:t>
      </w:r>
      <w:r w:rsidR="008863CC">
        <w:t>4 trade, repair and food and accommodation industries</w:t>
      </w:r>
      <w:r w:rsidR="009D7DDF">
        <w:t xml:space="preserve">; </w:t>
      </w:r>
      <w:r w:rsidR="00E237D4">
        <w:t>8 </w:t>
      </w:r>
      <w:r w:rsidR="008863CC">
        <w:t>transport industries</w:t>
      </w:r>
      <w:r w:rsidR="009D7DDF">
        <w:t>;</w:t>
      </w:r>
      <w:r w:rsidR="008863CC">
        <w:t xml:space="preserve"> and </w:t>
      </w:r>
      <w:r w:rsidR="008A1474">
        <w:t>9 </w:t>
      </w:r>
      <w:r w:rsidR="008863CC">
        <w:t>finance, government and other service industries.</w:t>
      </w:r>
    </w:p>
    <w:p w:rsidR="00B83F4E" w:rsidRDefault="008863CC" w:rsidP="0087433C">
      <w:pPr>
        <w:pStyle w:val="BodyText"/>
      </w:pPr>
      <w:r>
        <w:lastRenderedPageBreak/>
        <w:t xml:space="preserve">For the purpose of the current study, the </w:t>
      </w:r>
      <w:r w:rsidR="008A1474">
        <w:t>‘</w:t>
      </w:r>
      <w:r>
        <w:t>motor vehicles and parts</w:t>
      </w:r>
      <w:r w:rsidR="008A1474">
        <w:t>’</w:t>
      </w:r>
      <w:r>
        <w:t xml:space="preserve"> industry in the standard classification has been disaggregated into three components:</w:t>
      </w:r>
    </w:p>
    <w:p w:rsidR="008863CC" w:rsidRDefault="008863CC" w:rsidP="008863CC">
      <w:pPr>
        <w:pStyle w:val="ListBullet"/>
      </w:pPr>
      <w:r>
        <w:t xml:space="preserve">passenger </w:t>
      </w:r>
      <w:r w:rsidR="00E62370">
        <w:t xml:space="preserve">motor vehicle </w:t>
      </w:r>
      <w:r w:rsidR="008A1474">
        <w:t>manufacturing</w:t>
      </w:r>
    </w:p>
    <w:p w:rsidR="00E62370" w:rsidRDefault="00157F70" w:rsidP="008863CC">
      <w:pPr>
        <w:pStyle w:val="ListBullet"/>
      </w:pPr>
      <w:r>
        <w:t xml:space="preserve">automotive </w:t>
      </w:r>
      <w:r w:rsidR="00E62370">
        <w:t>components</w:t>
      </w:r>
      <w:r>
        <w:t xml:space="preserve"> manufacturing</w:t>
      </w:r>
    </w:p>
    <w:p w:rsidR="00E62370" w:rsidRDefault="00157F70" w:rsidP="008863CC">
      <w:pPr>
        <w:pStyle w:val="ListBullet"/>
      </w:pPr>
      <w:r>
        <w:t xml:space="preserve">a residual </w:t>
      </w:r>
      <w:r w:rsidR="00E62370">
        <w:t xml:space="preserve">other </w:t>
      </w:r>
      <w:r>
        <w:t>automotive manufacturing</w:t>
      </w:r>
      <w:r w:rsidR="00E62370">
        <w:t>.</w:t>
      </w:r>
    </w:p>
    <w:p w:rsidR="00B83F4E" w:rsidRDefault="00E62370" w:rsidP="00E62370">
      <w:pPr>
        <w:pStyle w:val="BodyText"/>
      </w:pPr>
      <w:r>
        <w:t xml:space="preserve">The </w:t>
      </w:r>
      <w:r w:rsidR="00426A0B">
        <w:t xml:space="preserve">disaggregation of the motor vehicles and parts industry was </w:t>
      </w:r>
      <w:r w:rsidR="00157F70">
        <w:t xml:space="preserve">based on detailed </w:t>
      </w:r>
      <w:r w:rsidR="00426A0B">
        <w:t xml:space="preserve">product </w:t>
      </w:r>
      <w:r w:rsidR="00157F70">
        <w:t xml:space="preserve">information that underpins </w:t>
      </w:r>
      <w:r w:rsidR="00426A0B">
        <w:t xml:space="preserve">the ABS </w:t>
      </w:r>
      <w:r w:rsidR="00157F70" w:rsidRPr="00665172">
        <w:rPr>
          <w:i/>
        </w:rPr>
        <w:t>Input-Output Tables</w:t>
      </w:r>
      <w:r w:rsidR="00157F70">
        <w:t xml:space="preserve"> (described </w:t>
      </w:r>
      <w:r w:rsidR="00426A0B">
        <w:t>in Appendix B</w:t>
      </w:r>
      <w:r w:rsidR="00157F70">
        <w:t>)</w:t>
      </w:r>
      <w:r w:rsidR="00426A0B">
        <w:t>.</w:t>
      </w:r>
    </w:p>
    <w:p w:rsidR="0087433C" w:rsidRDefault="0087433C" w:rsidP="000279D4">
      <w:pPr>
        <w:pStyle w:val="BodyText"/>
      </w:pPr>
      <w:r>
        <w:t xml:space="preserve">The fiscal accounts detail revenue and expenditure </w:t>
      </w:r>
      <w:r w:rsidRPr="000279D4">
        <w:t>for</w:t>
      </w:r>
      <w:r>
        <w:t xml:space="preserve"> the nine </w:t>
      </w:r>
      <w:r w:rsidR="001C22B2">
        <w:t>state</w:t>
      </w:r>
      <w:r>
        <w:t xml:space="preserve">, </w:t>
      </w:r>
      <w:r w:rsidR="001C22B2">
        <w:t xml:space="preserve">territory </w:t>
      </w:r>
      <w:r>
        <w:t xml:space="preserve">and Australian governments and align with the ABS </w:t>
      </w:r>
      <w:r w:rsidRPr="00CE27A9">
        <w:rPr>
          <w:i/>
        </w:rPr>
        <w:t>Government Financial Statistics</w:t>
      </w:r>
      <w:r>
        <w:t>. The accounts include a range of:</w:t>
      </w:r>
    </w:p>
    <w:p w:rsidR="0087433C" w:rsidRDefault="0087433C" w:rsidP="0087433C">
      <w:pPr>
        <w:pStyle w:val="ListBullet"/>
      </w:pPr>
      <w:r>
        <w:t xml:space="preserve">government revenue sources, such as income tax, payroll tax, the GST, excise </w:t>
      </w:r>
      <w:r w:rsidR="00231B6F">
        <w:t xml:space="preserve">duties </w:t>
      </w:r>
      <w:r>
        <w:t xml:space="preserve">and other </w:t>
      </w:r>
      <w:r w:rsidR="00B83F4E">
        <w:t>commodity taxes and tariffs</w:t>
      </w:r>
    </w:p>
    <w:p w:rsidR="00B83F4E" w:rsidRDefault="0087433C" w:rsidP="0087433C">
      <w:pPr>
        <w:pStyle w:val="ListBullet"/>
      </w:pPr>
      <w:r>
        <w:t>government expenditure, including operating expenses, welfare payments and government grants.</w:t>
      </w:r>
    </w:p>
    <w:p w:rsidR="0087433C" w:rsidRDefault="0087433C" w:rsidP="0087433C">
      <w:pPr>
        <w:pStyle w:val="BodyText"/>
      </w:pPr>
      <w:r>
        <w:t xml:space="preserve">The fiscal accounts for each </w:t>
      </w:r>
      <w:r w:rsidR="001C22B2">
        <w:t xml:space="preserve">state </w:t>
      </w:r>
      <w:r>
        <w:t xml:space="preserve">and </w:t>
      </w:r>
      <w:r w:rsidR="001C22B2">
        <w:t xml:space="preserve">territory government </w:t>
      </w:r>
      <w:r>
        <w:t>also include, where relevant, those for local government.</w:t>
      </w:r>
    </w:p>
    <w:p w:rsidR="0087433C" w:rsidRDefault="00CC5362" w:rsidP="00CC5362">
      <w:pPr>
        <w:pStyle w:val="BodyText"/>
      </w:pPr>
      <w:r>
        <w:t>The cohort-based population and demographic module supports the modelling of the population over time in the dynamic version of the model. The demographic module models population change for age and gender-specific subsets, or cohorts</w:t>
      </w:r>
      <w:r w:rsidR="000279D4">
        <w:t xml:space="preserve"> using a ‘stock-flow’ approach, and determines labour supply by applying age, gender and state-specific participation rates to the number of people in each cohort</w:t>
      </w:r>
      <w:r>
        <w:t xml:space="preserve">. </w:t>
      </w:r>
      <w:r w:rsidR="00F548D5">
        <w:t>The module also allows for people to move between state</w:t>
      </w:r>
      <w:r w:rsidR="00426A0B">
        <w:t>s</w:t>
      </w:r>
      <w:r w:rsidR="00F548D5">
        <w:t xml:space="preserve"> in response to changes in labour demand by state industries.</w:t>
      </w:r>
    </w:p>
    <w:p w:rsidR="00F01E05" w:rsidRDefault="00176CB1" w:rsidP="00F01E05">
      <w:pPr>
        <w:pStyle w:val="Heading2"/>
      </w:pPr>
      <w:r>
        <w:t>A.</w:t>
      </w:r>
      <w:r>
        <w:rPr>
          <w:noProof/>
        </w:rPr>
        <w:t>2</w:t>
      </w:r>
      <w:r w:rsidR="008058DC">
        <w:tab/>
      </w:r>
      <w:r w:rsidR="00F01E05">
        <w:t>The economic environment (model closure</w:t>
      </w:r>
      <w:r w:rsidR="00F01E05" w:rsidRPr="009C029C">
        <w:rPr>
          <w:rStyle w:val="FootnoteReference"/>
          <w:rFonts w:ascii="Arial" w:hAnsi="Arial" w:cs="Arial"/>
          <w:sz w:val="20"/>
        </w:rPr>
        <w:footnoteReference w:id="1"/>
      </w:r>
      <w:r w:rsidR="00F01E05">
        <w:t>)</w:t>
      </w:r>
    </w:p>
    <w:p w:rsidR="00F01E05" w:rsidRDefault="00F01E05" w:rsidP="00F01E05">
      <w:pPr>
        <w:pStyle w:val="BodyText"/>
      </w:pPr>
      <w:r>
        <w:t xml:space="preserve">The primary focus of this study is on the </w:t>
      </w:r>
      <w:r w:rsidR="008058DC">
        <w:t xml:space="preserve">likely </w:t>
      </w:r>
      <w:r>
        <w:t xml:space="preserve">impacts </w:t>
      </w:r>
      <w:r w:rsidR="008058DC">
        <w:t xml:space="preserve">on the Australian economy and regional economies </w:t>
      </w:r>
      <w:r w:rsidR="008A1474">
        <w:t xml:space="preserve">from </w:t>
      </w:r>
      <w:r w:rsidR="008058DC">
        <w:t xml:space="preserve">the </w:t>
      </w:r>
      <w:r w:rsidR="008A1474">
        <w:t xml:space="preserve">closure of the major passenger motor vehicle manufacturing plants </w:t>
      </w:r>
      <w:r w:rsidR="008058DC">
        <w:t>in Australia.</w:t>
      </w:r>
      <w:r>
        <w:t xml:space="preserve"> More specifically, the study asks the question ‘how might the Australian economy differ </w:t>
      </w:r>
      <w:r w:rsidR="00231B6F">
        <w:t xml:space="preserve">with the </w:t>
      </w:r>
      <w:r w:rsidR="008A1474">
        <w:t xml:space="preserve">closure of </w:t>
      </w:r>
      <w:r w:rsidR="00157F70">
        <w:t xml:space="preserve">the major </w:t>
      </w:r>
      <w:r w:rsidR="008A1474">
        <w:t>passenger motor vehicle manufacturing plants</w:t>
      </w:r>
      <w:r>
        <w:t>?’</w:t>
      </w:r>
      <w:r w:rsidR="00B83F4E">
        <w:t>.</w:t>
      </w:r>
    </w:p>
    <w:p w:rsidR="00F01E05" w:rsidRDefault="008058DC" w:rsidP="00F01E05">
      <w:pPr>
        <w:pStyle w:val="BodyText"/>
      </w:pPr>
      <w:r>
        <w:lastRenderedPageBreak/>
        <w:t xml:space="preserve">To examine </w:t>
      </w:r>
      <w:r w:rsidR="00157F70">
        <w:t>the longer-term impacts</w:t>
      </w:r>
      <w:r w:rsidR="00F01E05">
        <w:t xml:space="preserve">, a longer-term </w:t>
      </w:r>
      <w:r w:rsidR="00157F70">
        <w:t xml:space="preserve">modelling </w:t>
      </w:r>
      <w:r w:rsidR="00F01E05">
        <w:t xml:space="preserve">environment is used for the </w:t>
      </w:r>
      <w:r w:rsidR="00F01E05">
        <w:rPr>
          <w:lang w:eastAsia="en-US"/>
        </w:rPr>
        <w:t xml:space="preserve">comparative-static </w:t>
      </w:r>
      <w:r w:rsidR="00F01E05">
        <w:t xml:space="preserve">modelling. In this environment, the estimated effects reflect those that are likely to occur once there has been a complete adjustment </w:t>
      </w:r>
      <w:r w:rsidR="00157F70">
        <w:t xml:space="preserve">in </w:t>
      </w:r>
      <w:r w:rsidR="00F01E05">
        <w:t xml:space="preserve">capital and labour </w:t>
      </w:r>
      <w:r w:rsidR="00157F70">
        <w:t xml:space="preserve">use across </w:t>
      </w:r>
      <w:r w:rsidR="00F01E05">
        <w:t>jurisdictions and industries.</w:t>
      </w:r>
    </w:p>
    <w:p w:rsidR="00B83F4E" w:rsidRDefault="008058DC" w:rsidP="00F01E05">
      <w:pPr>
        <w:pStyle w:val="BodyText"/>
      </w:pPr>
      <w:r>
        <w:t xml:space="preserve">The study also examines the timescale over which adjustments may occur, or the transition path, using a dynamic, or year-to-year, </w:t>
      </w:r>
      <w:r w:rsidR="00D42892">
        <w:t xml:space="preserve">modelling </w:t>
      </w:r>
      <w:r>
        <w:t>environment.</w:t>
      </w:r>
    </w:p>
    <w:p w:rsidR="00F01E05" w:rsidRDefault="00F01E05" w:rsidP="00F01E05">
      <w:pPr>
        <w:pStyle w:val="Heading3"/>
      </w:pPr>
      <w:r w:rsidRPr="00DD4E79">
        <w:t xml:space="preserve">Comparative-static </w:t>
      </w:r>
      <w:r>
        <w:t>modelling environment</w:t>
      </w:r>
    </w:p>
    <w:p w:rsidR="00F01E05" w:rsidRDefault="00F01E05" w:rsidP="00F01E05">
      <w:pPr>
        <w:pStyle w:val="BodyText"/>
      </w:pPr>
      <w:r>
        <w:t xml:space="preserve">The </w:t>
      </w:r>
      <w:r>
        <w:rPr>
          <w:lang w:eastAsia="en-US"/>
        </w:rPr>
        <w:t xml:space="preserve">comparative-static modelling undertaken in this study </w:t>
      </w:r>
      <w:r w:rsidR="008058DC">
        <w:rPr>
          <w:lang w:eastAsia="en-US"/>
        </w:rPr>
        <w:t xml:space="preserve">follows </w:t>
      </w:r>
      <w:r w:rsidR="00576791">
        <w:rPr>
          <w:lang w:eastAsia="en-US"/>
        </w:rPr>
        <w:t xml:space="preserve">the </w:t>
      </w:r>
      <w:r>
        <w:rPr>
          <w:lang w:eastAsia="en-US"/>
        </w:rPr>
        <w:t xml:space="preserve">long-run environment </w:t>
      </w:r>
      <w:r w:rsidR="008058DC">
        <w:rPr>
          <w:lang w:eastAsia="en-US"/>
        </w:rPr>
        <w:t>used in the Commission’s pr</w:t>
      </w:r>
      <w:r w:rsidR="00411F7E">
        <w:rPr>
          <w:lang w:eastAsia="en-US"/>
        </w:rPr>
        <w:t>evious modelling of the economy</w:t>
      </w:r>
      <w:r w:rsidR="008058DC">
        <w:rPr>
          <w:lang w:eastAsia="en-US"/>
        </w:rPr>
        <w:t xml:space="preserve">wide effects of future automotive assistance arrangements </w:t>
      </w:r>
      <w:r w:rsidR="00F7473A" w:rsidRPr="009558B9">
        <w:rPr>
          <w:szCs w:val="24"/>
        </w:rPr>
        <w:t>(PC 2008)</w:t>
      </w:r>
      <w:r w:rsidR="008058DC">
        <w:rPr>
          <w:lang w:eastAsia="en-US"/>
        </w:rPr>
        <w:t xml:space="preserve"> </w:t>
      </w:r>
      <w:r w:rsidR="00576791">
        <w:rPr>
          <w:lang w:eastAsia="en-US"/>
        </w:rPr>
        <w:t xml:space="preserve">and </w:t>
      </w:r>
      <w:r w:rsidR="008058DC">
        <w:rPr>
          <w:lang w:eastAsia="en-US"/>
        </w:rPr>
        <w:t xml:space="preserve">in its modelling of the impacts of COAG reforms </w:t>
      </w:r>
      <w:r w:rsidR="00F7473A" w:rsidRPr="009558B9">
        <w:rPr>
          <w:szCs w:val="24"/>
        </w:rPr>
        <w:t>(PC 2012</w:t>
      </w:r>
      <w:r w:rsidR="006351A3">
        <w:rPr>
          <w:szCs w:val="24"/>
        </w:rPr>
        <w:t>b</w:t>
      </w:r>
      <w:r w:rsidR="00F7473A" w:rsidRPr="009558B9">
        <w:rPr>
          <w:szCs w:val="24"/>
        </w:rPr>
        <w:t>)</w:t>
      </w:r>
      <w:r w:rsidR="008058DC">
        <w:rPr>
          <w:lang w:eastAsia="en-US"/>
        </w:rPr>
        <w:t xml:space="preserve">. </w:t>
      </w:r>
      <w:r>
        <w:t xml:space="preserve">The key elements of the long-run economic environment </w:t>
      </w:r>
      <w:r w:rsidR="008058DC">
        <w:t xml:space="preserve">used in this study </w:t>
      </w:r>
      <w:r>
        <w:t>are as follows.</w:t>
      </w:r>
    </w:p>
    <w:p w:rsidR="00F01E05" w:rsidRDefault="00F01E05" w:rsidP="00F01E05">
      <w:pPr>
        <w:pStyle w:val="ListBullet"/>
        <w:spacing w:after="200"/>
      </w:pPr>
      <w:r>
        <w:t>The model index of consumer prices is the numeraire. That is, changes in domestic prices in the model can be interpreted as changes relative to the general level of prices in the economy. In all simulations, the nominal exchange rate is flexible.</w:t>
      </w:r>
    </w:p>
    <w:p w:rsidR="00F01E05" w:rsidRDefault="00F01E05" w:rsidP="00F01E05">
      <w:pPr>
        <w:pStyle w:val="ListBullet"/>
        <w:spacing w:after="200"/>
      </w:pPr>
      <w:r>
        <w:t>National employment by occupational group responds to differences in real pre</w:t>
      </w:r>
      <w:r w:rsidR="00576791">
        <w:noBreakHyphen/>
      </w:r>
      <w:r>
        <w:t>tax wages for that occupational group compared to the average across all occupational groups, as does state employment in each occupational group. The population and number of households in each state are assumed to change in line with state employment, with the unemployment rate in each state held fixed. The national population is held fixed.</w:t>
      </w:r>
    </w:p>
    <w:p w:rsidR="00F01E05" w:rsidRDefault="00F01E05" w:rsidP="00F01E05">
      <w:pPr>
        <w:pStyle w:val="ListBullet"/>
        <w:spacing w:after="200"/>
      </w:pPr>
      <w:r>
        <w:t xml:space="preserve">Each industry adjusts its capital stocks in order to </w:t>
      </w:r>
      <w:r w:rsidR="00576791">
        <w:t xml:space="preserve">equate </w:t>
      </w:r>
      <w:r>
        <w:t xml:space="preserve">its expected and actual rates of return on capital. The base-line expected rates of return are determined by values in the MMRF database. Industries’ demands for investment goods are linked </w:t>
      </w:r>
      <w:r w:rsidR="00576791">
        <w:t xml:space="preserve">to changes in industry-specific capital stocks </w:t>
      </w:r>
      <w:r>
        <w:t>by an exogenous investment/capital ratio.</w:t>
      </w:r>
    </w:p>
    <w:p w:rsidR="00B83F4E" w:rsidRDefault="00F01E05" w:rsidP="00F01E05">
      <w:pPr>
        <w:pStyle w:val="ListBullet"/>
        <w:spacing w:after="200"/>
      </w:pPr>
      <w:r>
        <w:t>Nominal household consumption is determined by post-tax household disposable income, while the balance of trade as a ratio of gross domestic product (GDP) in local currency prices is allowed to vary.</w:t>
      </w:r>
    </w:p>
    <w:p w:rsidR="006C51C6" w:rsidRPr="005069B8" w:rsidRDefault="00F01E05" w:rsidP="00F01E05">
      <w:pPr>
        <w:pStyle w:val="BodyText"/>
      </w:pPr>
      <w:r w:rsidRPr="005069B8">
        <w:t>Government tax rates are assumed fixed</w:t>
      </w:r>
      <w:r w:rsidR="00D42892">
        <w:t>,</w:t>
      </w:r>
      <w:r w:rsidRPr="005069B8">
        <w:t xml:space="preserve"> so that revenue moves in line with the various tax bases. </w:t>
      </w:r>
      <w:r w:rsidR="00925271" w:rsidRPr="005069B8">
        <w:t xml:space="preserve">In the model core, the level of real public consumption expenditure is assumed to move in proportion with the level of real aggregate household consumption expenditure. In the fiscal module, nominal government expenditure (including government consumption and other outlays) changes in line </w:t>
      </w:r>
      <w:r w:rsidR="00925271" w:rsidRPr="005069B8">
        <w:lastRenderedPageBreak/>
        <w:t xml:space="preserve">with the underlying drivers of economic activity in </w:t>
      </w:r>
      <w:r w:rsidR="00576791">
        <w:t xml:space="preserve">the </w:t>
      </w:r>
      <w:r w:rsidR="00925271" w:rsidRPr="005069B8">
        <w:t>MMRF</w:t>
      </w:r>
      <w:r w:rsidR="00576791">
        <w:t xml:space="preserve"> model</w:t>
      </w:r>
      <w:r w:rsidR="00925271" w:rsidRPr="005069B8">
        <w:t xml:space="preserve"> (such as population, unemployment, aggregate economic activity and prices). The budget position is held fixed as a share of GDP or GSP through the use of lump-sum transfers to, or from, households.</w:t>
      </w:r>
    </w:p>
    <w:p w:rsidR="00B83F4E" w:rsidRDefault="00F01E05" w:rsidP="00F01E05">
      <w:pPr>
        <w:pStyle w:val="BodyText"/>
      </w:pPr>
      <w:r>
        <w:t xml:space="preserve">It is assumed that </w:t>
      </w:r>
      <w:r w:rsidR="00455D88">
        <w:t xml:space="preserve">the </w:t>
      </w:r>
      <w:r w:rsidR="00157F70">
        <w:t xml:space="preserve">closure of the major passenger motor vehicle manufacturing plants </w:t>
      </w:r>
      <w:r>
        <w:t xml:space="preserve">will not influence the national supply of labour — that is, after </w:t>
      </w:r>
      <w:r w:rsidR="00576791">
        <w:t xml:space="preserve">the economy has adjusted to the closure of the </w:t>
      </w:r>
      <w:r w:rsidR="00E877DE">
        <w:t xml:space="preserve">passenger motor vehicle manufacturing </w:t>
      </w:r>
      <w:r w:rsidR="00576791">
        <w:t>industry</w:t>
      </w:r>
      <w:r>
        <w:t>, national labour supply will be the same as it would otherwise have been. Higher national and regional output therefore depends on higher productivity of labour and the relocation of labour between regional industries. In the MMRF model, the base levels of national labour supply and employment by eight occupational groups are represented by their levels in 2005</w:t>
      </w:r>
      <w:r>
        <w:noBreakHyphen/>
        <w:t>06.</w:t>
      </w:r>
    </w:p>
    <w:p w:rsidR="00B83F4E" w:rsidRDefault="0044661E" w:rsidP="00F01E05">
      <w:pPr>
        <w:pStyle w:val="BodyText"/>
      </w:pPr>
      <w:r>
        <w:t>These closure settings align with those used in PC </w:t>
      </w:r>
      <w:r w:rsidR="00F7473A" w:rsidRPr="00F7473A">
        <w:t>(2008)</w:t>
      </w:r>
      <w:r>
        <w:t>. They differ from those adopted in PC </w:t>
      </w:r>
      <w:r w:rsidR="00F7473A" w:rsidRPr="00F7473A">
        <w:t>(2012</w:t>
      </w:r>
      <w:r w:rsidR="006351A3">
        <w:t>b</w:t>
      </w:r>
      <w:r w:rsidR="00F7473A" w:rsidRPr="00F7473A">
        <w:t>)</w:t>
      </w:r>
      <w:r>
        <w:t xml:space="preserve"> with respect to the treatment of government expenditure. In that study, changes in real government expenditure were assumed to be discretionary to enable the Commission to report on the ‘fiscal implicat</w:t>
      </w:r>
      <w:r w:rsidR="00B83F4E">
        <w:t>ions’ of COAG reforms assessed.</w:t>
      </w:r>
    </w:p>
    <w:p w:rsidR="00F01E05" w:rsidRDefault="00F01E05" w:rsidP="00F01E05">
      <w:pPr>
        <w:pStyle w:val="Heading3"/>
      </w:pPr>
      <w:r w:rsidRPr="00DD4E79">
        <w:t xml:space="preserve">Recursive-dynamic </w:t>
      </w:r>
      <w:r>
        <w:t>modelling environment</w:t>
      </w:r>
    </w:p>
    <w:p w:rsidR="00F01E05" w:rsidRDefault="00F01E05" w:rsidP="00F01E05">
      <w:pPr>
        <w:pStyle w:val="BodyText"/>
        <w:rPr>
          <w:lang w:eastAsia="en-US"/>
        </w:rPr>
      </w:pPr>
      <w:r>
        <w:rPr>
          <w:lang w:eastAsia="en-US"/>
        </w:rPr>
        <w:t xml:space="preserve">As it involves running the model through time in one-year </w:t>
      </w:r>
      <w:r w:rsidRPr="00DD4E79">
        <w:rPr>
          <w:lang w:eastAsia="en-US"/>
        </w:rPr>
        <w:t>steps</w:t>
      </w:r>
      <w:r>
        <w:rPr>
          <w:lang w:eastAsia="en-US"/>
        </w:rPr>
        <w:t>, t</w:t>
      </w:r>
      <w:r>
        <w:t>he modelling environment used in the ‘</w:t>
      </w:r>
      <w:r>
        <w:rPr>
          <w:lang w:eastAsia="en-US"/>
        </w:rPr>
        <w:t>recursive-dynamic’ modelling is different from that used in the long-run comparative-static modelling discussed previously. Each step in the recursive-dynamic modelling is similar to a short-run comparative-static simulation, but with gradual adjustment in capital and labour markets.</w:t>
      </w:r>
      <w:r w:rsidRPr="00EC6F7D">
        <w:rPr>
          <w:lang w:eastAsia="en-US"/>
        </w:rPr>
        <w:t xml:space="preserve"> </w:t>
      </w:r>
      <w:r>
        <w:rPr>
          <w:lang w:eastAsia="en-US"/>
        </w:rPr>
        <w:t>The model database is updated at each annual step</w:t>
      </w:r>
      <w:r w:rsidR="0096374C">
        <w:rPr>
          <w:lang w:eastAsia="en-US"/>
        </w:rPr>
        <w:t xml:space="preserve"> (collectively referred to as the ‘reference case’)</w:t>
      </w:r>
      <w:r>
        <w:rPr>
          <w:lang w:eastAsia="en-US"/>
        </w:rPr>
        <w:t>.</w:t>
      </w:r>
    </w:p>
    <w:p w:rsidR="00F01E05" w:rsidRDefault="00F01E05" w:rsidP="00F01E05">
      <w:pPr>
        <w:pStyle w:val="Heading4"/>
      </w:pPr>
      <w:r w:rsidRPr="00B306DC">
        <w:t xml:space="preserve">The </w:t>
      </w:r>
      <w:r w:rsidR="008F3915">
        <w:t>dynamic</w:t>
      </w:r>
      <w:r w:rsidRPr="00B306DC">
        <w:t xml:space="preserve"> modelling environment</w:t>
      </w:r>
    </w:p>
    <w:p w:rsidR="00F01E05" w:rsidRDefault="00F01E05" w:rsidP="00F01E05">
      <w:pPr>
        <w:pStyle w:val="BodyText"/>
      </w:pPr>
      <w:r>
        <w:t xml:space="preserve">The modelling environment used for the </w:t>
      </w:r>
      <w:r w:rsidRPr="00B306DC">
        <w:t xml:space="preserve">reference case </w:t>
      </w:r>
      <w:r>
        <w:t>assumes that:</w:t>
      </w:r>
    </w:p>
    <w:p w:rsidR="00F01E05" w:rsidRDefault="00F01E05" w:rsidP="00F01E05">
      <w:pPr>
        <w:pStyle w:val="ListBullet"/>
      </w:pPr>
      <w:r>
        <w:t xml:space="preserve">Population growth and the aggregate supply of labour are determined by the demographic module outlined in </w:t>
      </w:r>
      <w:r w:rsidR="00455D88">
        <w:t xml:space="preserve">the Productivity Commission paper </w:t>
      </w:r>
      <w:r w:rsidR="00455D88" w:rsidRPr="00455D88">
        <w:rPr>
          <w:i/>
        </w:rPr>
        <w:t>Economy-wide Modelling of the Impacts of COAG Reforms</w:t>
      </w:r>
      <w:r w:rsidR="00455D88">
        <w:t xml:space="preserve"> </w:t>
      </w:r>
      <w:r w:rsidR="00F7473A" w:rsidRPr="00FF5B2E">
        <w:rPr>
          <w:szCs w:val="24"/>
        </w:rPr>
        <w:t>(PC 2012</w:t>
      </w:r>
      <w:r w:rsidR="006351A3">
        <w:rPr>
          <w:szCs w:val="24"/>
        </w:rPr>
        <w:t>b</w:t>
      </w:r>
      <w:r w:rsidR="00F7473A" w:rsidRPr="00FF5B2E">
        <w:rPr>
          <w:szCs w:val="24"/>
        </w:rPr>
        <w:t>)</w:t>
      </w:r>
      <w:r>
        <w:t>.</w:t>
      </w:r>
    </w:p>
    <w:p w:rsidR="00F01E05" w:rsidRDefault="00F01E05" w:rsidP="00F01E05">
      <w:pPr>
        <w:pStyle w:val="ListBullet"/>
        <w:spacing w:after="200"/>
      </w:pPr>
      <w:r>
        <w:t>Investment, and with it the capital stock, in each industry gradually responds to differences between the expected and actual rates of return on capital. The base-line expected rates of return are determined by values in the MMRF database. The adjustment process is outlined in CoPS (</w:t>
      </w:r>
      <w:r w:rsidR="009D5A62">
        <w:t>forthcoming</w:t>
      </w:r>
      <w:r>
        <w:t>).</w:t>
      </w:r>
    </w:p>
    <w:p w:rsidR="00F01E05" w:rsidRDefault="00F01E05" w:rsidP="00F01E05">
      <w:pPr>
        <w:pStyle w:val="ListBullet"/>
        <w:spacing w:after="200"/>
      </w:pPr>
      <w:r>
        <w:lastRenderedPageBreak/>
        <w:t>Nominal government expenditure (including government consumption and other outlays) moves in line with the underlying drivers of economic activity in MMRF (such as population, unemployment, aggregate economic activity and prices).</w:t>
      </w:r>
      <w:r>
        <w:rPr>
          <w:rStyle w:val="FootnoteReference"/>
        </w:rPr>
        <w:footnoteReference w:id="2"/>
      </w:r>
    </w:p>
    <w:p w:rsidR="00F01E05" w:rsidRDefault="00F01E05" w:rsidP="00F01E05">
      <w:pPr>
        <w:pStyle w:val="ListBullet"/>
        <w:spacing w:after="200"/>
      </w:pPr>
      <w:r>
        <w:t>The budget position is held fixed as a share of GDP or gross state product (GSP) through the use of lump-sum transfers to, or from, households.</w:t>
      </w:r>
    </w:p>
    <w:p w:rsidR="00F01E05" w:rsidRDefault="00F01E05" w:rsidP="00F01E05">
      <w:pPr>
        <w:pStyle w:val="BodyText"/>
      </w:pPr>
      <w:r>
        <w:t>In common with the comparative-static modelling:</w:t>
      </w:r>
    </w:p>
    <w:p w:rsidR="00F01E05" w:rsidRDefault="00F01E05" w:rsidP="00F01E05">
      <w:pPr>
        <w:pStyle w:val="ListBullet"/>
        <w:spacing w:after="200"/>
      </w:pPr>
      <w:r>
        <w:t>Nominal household consumption is determined by post-tax household disposable income, while the balance of trade as a ratio of GDP in local currency prices is allowed to vary. Regional household consumption is determined by regional post-tax household disposable income.</w:t>
      </w:r>
    </w:p>
    <w:p w:rsidR="00F01E05" w:rsidRDefault="00F01E05" w:rsidP="00F01E05">
      <w:pPr>
        <w:pStyle w:val="ListBullet"/>
        <w:spacing w:after="200"/>
      </w:pPr>
      <w:r>
        <w:t>Government tax rates are assumed to remain fixed so that revenue moves in line with the various tax bases.</w:t>
      </w:r>
    </w:p>
    <w:p w:rsidR="00F01E05" w:rsidRDefault="00F01E05" w:rsidP="00F01E05">
      <w:pPr>
        <w:pStyle w:val="Heading4"/>
      </w:pPr>
      <w:r w:rsidRPr="00B306DC">
        <w:t xml:space="preserve">The </w:t>
      </w:r>
      <w:r w:rsidR="008F3915">
        <w:t xml:space="preserve">exit </w:t>
      </w:r>
      <w:r>
        <w:t xml:space="preserve">scenario </w:t>
      </w:r>
      <w:r w:rsidRPr="00B306DC">
        <w:t>modelling environment</w:t>
      </w:r>
    </w:p>
    <w:p w:rsidR="00B83F4E" w:rsidRDefault="00F01E05" w:rsidP="00F01E05">
      <w:pPr>
        <w:pStyle w:val="BodyText"/>
      </w:pPr>
      <w:r>
        <w:t xml:space="preserve">The modelling environment used for the policy scenario is aligned to that used for the reference case, except for closure switches required to model the </w:t>
      </w:r>
      <w:r w:rsidR="00157F70">
        <w:t xml:space="preserve">closure of the major passenger motor vehicle manufacturing plants </w:t>
      </w:r>
      <w:r w:rsidR="00AC4713">
        <w:t>in Australia (appendix C).</w:t>
      </w:r>
    </w:p>
    <w:p w:rsidR="009E1844" w:rsidRDefault="00176CB1" w:rsidP="00BE47BC">
      <w:pPr>
        <w:pStyle w:val="Heading2"/>
      </w:pPr>
      <w:r>
        <w:t>A.</w:t>
      </w:r>
      <w:r>
        <w:rPr>
          <w:noProof/>
        </w:rPr>
        <w:t>3</w:t>
      </w:r>
      <w:r w:rsidR="00BE47BC">
        <w:tab/>
        <w:t>Model parameters</w:t>
      </w:r>
    </w:p>
    <w:p w:rsidR="00BE47BC" w:rsidRDefault="00BE47BC" w:rsidP="00BE47BC">
      <w:pPr>
        <w:pStyle w:val="BodyText"/>
      </w:pPr>
      <w:r>
        <w:t>In such models</w:t>
      </w:r>
      <w:r w:rsidR="00D42892">
        <w:t xml:space="preserve"> such as MMRF</w:t>
      </w:r>
      <w:r>
        <w:t xml:space="preserve">, the key parameters are mediate the responsiveness of trade volumes to changes in the competitiveness of local industry and the </w:t>
      </w:r>
      <w:r w:rsidR="00D42892">
        <w:t xml:space="preserve">use </w:t>
      </w:r>
      <w:r>
        <w:t>of labour and capital between activities</w:t>
      </w:r>
      <w:r w:rsidR="00D42892">
        <w:t xml:space="preserve"> and across regions</w:t>
      </w:r>
      <w:r>
        <w:t xml:space="preserve">. </w:t>
      </w:r>
      <w:r w:rsidR="006C7BA7">
        <w:t>These include:</w:t>
      </w:r>
    </w:p>
    <w:p w:rsidR="00B83F4E" w:rsidRDefault="00B83F4E" w:rsidP="006C7BA7">
      <w:pPr>
        <w:pStyle w:val="ListBullet"/>
      </w:pPr>
      <w:r>
        <w:t>export demand elasticities</w:t>
      </w:r>
    </w:p>
    <w:p w:rsidR="00B83F4E" w:rsidRDefault="006C7BA7" w:rsidP="006C7BA7">
      <w:pPr>
        <w:pStyle w:val="ListBullet"/>
      </w:pPr>
      <w:r>
        <w:t>import substitution elasticities</w:t>
      </w:r>
    </w:p>
    <w:p w:rsidR="00B83F4E" w:rsidRDefault="006C7BA7" w:rsidP="006C7BA7">
      <w:pPr>
        <w:pStyle w:val="ListBullet"/>
      </w:pPr>
      <w:r>
        <w:t>primary factor substitution elasticities</w:t>
      </w:r>
      <w:r w:rsidR="00C8132D">
        <w:t xml:space="preserve">, and </w:t>
      </w:r>
      <w:r>
        <w:t>occupational transformation (supply-side) and substitution (demand-side) elasticities.</w:t>
      </w:r>
    </w:p>
    <w:p w:rsidR="00F056FC" w:rsidRDefault="00D42892" w:rsidP="00120072">
      <w:pPr>
        <w:pStyle w:val="BodyText"/>
      </w:pPr>
      <w:r>
        <w:t>T</w:t>
      </w:r>
      <w:r w:rsidR="006C7BA7">
        <w:t xml:space="preserve">he elasticities </w:t>
      </w:r>
      <w:r>
        <w:t xml:space="preserve">used in </w:t>
      </w:r>
      <w:r w:rsidR="006C7BA7">
        <w:t>the comparative</w:t>
      </w:r>
      <w:r w:rsidR="00646728">
        <w:noBreakHyphen/>
      </w:r>
      <w:r w:rsidR="006C7BA7">
        <w:t xml:space="preserve">static modelling </w:t>
      </w:r>
      <w:r>
        <w:t>are more representative of a longer-run modelling environment in which greater flexibility exists for the economy to adjust to changes in relative prices</w:t>
      </w:r>
      <w:r w:rsidR="00E3114A">
        <w:t>,</w:t>
      </w:r>
      <w:r>
        <w:t xml:space="preserve"> rates of return </w:t>
      </w:r>
      <w:r w:rsidR="00E3114A">
        <w:t xml:space="preserve">and other factors </w:t>
      </w:r>
      <w:r>
        <w:t xml:space="preserve">than in the </w:t>
      </w:r>
      <w:r w:rsidR="006C7BA7">
        <w:t xml:space="preserve">year-to-year dynamic modelling. Reflecting the more limited scope for </w:t>
      </w:r>
      <w:r w:rsidR="006C7BA7">
        <w:lastRenderedPageBreak/>
        <w:t xml:space="preserve">adjustment </w:t>
      </w:r>
      <w:r w:rsidR="003335C9">
        <w:t>year-</w:t>
      </w:r>
      <w:r w:rsidR="006C7BA7">
        <w:t>on-year relative to the longer term, the year-</w:t>
      </w:r>
      <w:r w:rsidR="00CE27A9">
        <w:t>to</w:t>
      </w:r>
      <w:r w:rsidR="006C7BA7">
        <w:t>-year elasticities generally take a smaller value tha</w:t>
      </w:r>
      <w:r w:rsidR="00231B6F">
        <w:t>n</w:t>
      </w:r>
      <w:r w:rsidR="006C7BA7">
        <w:t xml:space="preserve"> the longer-run elasticities. </w:t>
      </w:r>
      <w:r>
        <w:t xml:space="preserve">The standard </w:t>
      </w:r>
      <w:r w:rsidR="0049148D">
        <w:t xml:space="preserve">benchmark </w:t>
      </w:r>
      <w:r>
        <w:t>MMRF parameter values have been used in the year-to-year modelling.</w:t>
      </w:r>
    </w:p>
    <w:p w:rsidR="006C7BA7" w:rsidRDefault="000B3883" w:rsidP="000B3883">
      <w:pPr>
        <w:pStyle w:val="Heading3"/>
      </w:pPr>
      <w:r>
        <w:t>Export demand elasticities</w:t>
      </w:r>
    </w:p>
    <w:p w:rsidR="00EB2CE3" w:rsidRDefault="00EB2CE3" w:rsidP="000B3883">
      <w:pPr>
        <w:pStyle w:val="BodyText"/>
      </w:pPr>
      <w:r>
        <w:t xml:space="preserve">Export demand elasticities </w:t>
      </w:r>
      <w:r w:rsidRPr="00EC4C93">
        <w:t>govern the extent to which greater export volumes come at the expense of price declines — the greater the elasticities, the smaller the price declines</w:t>
      </w:r>
      <w:r>
        <w:t xml:space="preserve"> required</w:t>
      </w:r>
      <w:r w:rsidRPr="00EC4C93">
        <w:t xml:space="preserve">. The central results in this </w:t>
      </w:r>
      <w:r w:rsidR="00062FB0">
        <w:t>supplement</w:t>
      </w:r>
      <w:r w:rsidR="00062FB0" w:rsidRPr="00EC4C93">
        <w:t xml:space="preserve"> </w:t>
      </w:r>
      <w:r w:rsidRPr="00EC4C93">
        <w:t xml:space="preserve">assume a value of </w:t>
      </w:r>
      <w:r w:rsidR="00A06CA4">
        <w:t>-</w:t>
      </w:r>
      <w:r w:rsidRPr="00EC4C93">
        <w:t>10 for all export demand elasticities</w:t>
      </w:r>
      <w:r>
        <w:t xml:space="preserve"> in comparative</w:t>
      </w:r>
      <w:r w:rsidR="00646728">
        <w:noBreakHyphen/>
      </w:r>
      <w:r>
        <w:t>static long-run simulations</w:t>
      </w:r>
      <w:r w:rsidR="00231B6F">
        <w:t>,</w:t>
      </w:r>
      <w:r w:rsidRPr="00EC4C93">
        <w:t xml:space="preserve"> </w:t>
      </w:r>
      <w:r w:rsidR="00231B6F">
        <w:t xml:space="preserve">a </w:t>
      </w:r>
      <w:r>
        <w:t xml:space="preserve">value </w:t>
      </w:r>
      <w:r w:rsidR="00231B6F">
        <w:t xml:space="preserve">which </w:t>
      </w:r>
      <w:r>
        <w:t xml:space="preserve">is considered </w:t>
      </w:r>
      <w:r w:rsidR="00231B6F">
        <w:t xml:space="preserve">more </w:t>
      </w:r>
      <w:r>
        <w:t xml:space="preserve">appropriate for </w:t>
      </w:r>
      <w:r w:rsidR="00995681">
        <w:t xml:space="preserve">the </w:t>
      </w:r>
      <w:r>
        <w:t xml:space="preserve">long-run </w:t>
      </w:r>
      <w:r w:rsidR="00231B6F">
        <w:t xml:space="preserve">nature of the </w:t>
      </w:r>
      <w:r>
        <w:t xml:space="preserve">projections </w:t>
      </w:r>
      <w:r w:rsidR="00231B6F">
        <w:t xml:space="preserve">presented </w:t>
      </w:r>
      <w:r>
        <w:t xml:space="preserve">in this </w:t>
      </w:r>
      <w:r w:rsidR="00CE27A9">
        <w:t>study</w:t>
      </w:r>
      <w:r>
        <w:t>. This setting assumes that in the longer run Australian producers have little influence over world pri</w:t>
      </w:r>
      <w:r w:rsidR="00F61D61">
        <w:t>ces of the products they sell.</w:t>
      </w:r>
      <w:r w:rsidR="00C8132D">
        <w:t xml:space="preserve"> The export demand elasticity of </w:t>
      </w:r>
      <w:r w:rsidR="00A06CA4">
        <w:t>-</w:t>
      </w:r>
      <w:r w:rsidR="00C8132D">
        <w:t>10 was adopted by the Commission in its previous modelling of the effects of future automotive assistance</w:t>
      </w:r>
      <w:r w:rsidR="00233320">
        <w:t xml:space="preserve"> </w:t>
      </w:r>
      <w:r w:rsidR="009865BB" w:rsidRPr="00EA4630">
        <w:rPr>
          <w:szCs w:val="24"/>
        </w:rPr>
        <w:t>(PC 2008)</w:t>
      </w:r>
      <w:r w:rsidR="00C8132D">
        <w:t>.</w:t>
      </w:r>
      <w:r w:rsidR="00523268">
        <w:rPr>
          <w:rStyle w:val="FootnoteReference"/>
        </w:rPr>
        <w:footnoteReference w:id="3"/>
      </w:r>
    </w:p>
    <w:p w:rsidR="000B3883" w:rsidRDefault="00EB2CE3" w:rsidP="009865BB">
      <w:pPr>
        <w:pStyle w:val="BodyText"/>
      </w:pPr>
      <w:r>
        <w:t>In year-to-year simulations</w:t>
      </w:r>
      <w:r w:rsidR="00F61D61">
        <w:t xml:space="preserve">, the reference </w:t>
      </w:r>
      <w:r w:rsidR="004D448E">
        <w:t>value</w:t>
      </w:r>
      <w:r>
        <w:t xml:space="preserve"> of </w:t>
      </w:r>
      <w:r w:rsidR="00CE27A9">
        <w:t>-</w:t>
      </w:r>
      <w:r>
        <w:t xml:space="preserve">5 </w:t>
      </w:r>
      <w:r w:rsidR="00F61D61">
        <w:t>adopted by the Centre of Policy Studies</w:t>
      </w:r>
      <w:r w:rsidR="000F591F">
        <w:t xml:space="preserve"> </w:t>
      </w:r>
      <w:r w:rsidR="00F61D61">
        <w:t xml:space="preserve">is applied. This value assumes that Australia has </w:t>
      </w:r>
      <w:r w:rsidR="009865BB">
        <w:t xml:space="preserve">a somewhat greater </w:t>
      </w:r>
      <w:r w:rsidR="00F61D61">
        <w:t xml:space="preserve">influence over prices in </w:t>
      </w:r>
      <w:r w:rsidR="009865BB">
        <w:t>the short term than in long</w:t>
      </w:r>
      <w:r w:rsidR="00E3114A">
        <w:t xml:space="preserve"> term</w:t>
      </w:r>
      <w:r w:rsidR="009865BB">
        <w:t xml:space="preserve">. For example, Australian producers might be able to increase prices in the short term by withholding supply of commodity exports, but would be expected to have less effect on global prices in the long term. This is because other commodity exporters may respond to higher prices by increasing their own supply, or major importers may turn to domestic production. </w:t>
      </w:r>
      <w:r w:rsidR="00C8132D">
        <w:t xml:space="preserve">The </w:t>
      </w:r>
      <w:r w:rsidR="00957BF2">
        <w:t xml:space="preserve">year-to-year </w:t>
      </w:r>
      <w:r w:rsidR="00C8132D">
        <w:t xml:space="preserve">export demand elasticity value of </w:t>
      </w:r>
      <w:r w:rsidR="00A06CA4">
        <w:t>-</w:t>
      </w:r>
      <w:r w:rsidR="00C8132D">
        <w:t xml:space="preserve">5 was adopted by the Commission in its assessment of the impacts of COAG reforms </w:t>
      </w:r>
      <w:r w:rsidR="009865BB" w:rsidRPr="00FF5B2E">
        <w:rPr>
          <w:szCs w:val="24"/>
        </w:rPr>
        <w:t>(PC 2012</w:t>
      </w:r>
      <w:r w:rsidR="006351A3">
        <w:rPr>
          <w:szCs w:val="24"/>
        </w:rPr>
        <w:t>b</w:t>
      </w:r>
      <w:r w:rsidR="009865BB" w:rsidRPr="00FF5B2E">
        <w:rPr>
          <w:szCs w:val="24"/>
        </w:rPr>
        <w:t>)</w:t>
      </w:r>
      <w:r w:rsidR="00C8132D">
        <w:t>.</w:t>
      </w:r>
    </w:p>
    <w:p w:rsidR="00C8132D" w:rsidRDefault="0049148D" w:rsidP="00C8132D">
      <w:pPr>
        <w:pStyle w:val="Heading3"/>
      </w:pPr>
      <w:r>
        <w:t>Domestic</w:t>
      </w:r>
      <w:r>
        <w:noBreakHyphen/>
        <w:t>i</w:t>
      </w:r>
      <w:r w:rsidR="00C8132D">
        <w:t>mport substitution elasticities</w:t>
      </w:r>
    </w:p>
    <w:p w:rsidR="00B83F4E" w:rsidRDefault="0049148D" w:rsidP="000B3883">
      <w:pPr>
        <w:pStyle w:val="BodyText"/>
      </w:pPr>
      <w:r>
        <w:t xml:space="preserve">Domestic-import </w:t>
      </w:r>
      <w:r w:rsidR="00792F5D">
        <w:t xml:space="preserve">substitution elasticities </w:t>
      </w:r>
      <w:r w:rsidR="00E937CE">
        <w:t xml:space="preserve">determine the degree of substitutability </w:t>
      </w:r>
      <w:r w:rsidR="00792F5D">
        <w:t>between domestically produced and imported products (Armington elasticities)</w:t>
      </w:r>
      <w:r w:rsidR="00E937CE">
        <w:t>. More specifically,</w:t>
      </w:r>
      <w:r w:rsidR="00792F5D">
        <w:t xml:space="preserve"> </w:t>
      </w:r>
      <w:r w:rsidR="00E937CE">
        <w:t xml:space="preserve">the elasticities </w:t>
      </w:r>
      <w:r w:rsidR="00792F5D">
        <w:t>determine the sensitivity of</w:t>
      </w:r>
      <w:r w:rsidR="00E937CE">
        <w:t>:</w:t>
      </w:r>
    </w:p>
    <w:p w:rsidR="00D40D39" w:rsidRDefault="00D40D39" w:rsidP="00665172">
      <w:pPr>
        <w:pStyle w:val="ListBullet"/>
      </w:pPr>
      <w:r>
        <w:t xml:space="preserve">domestic </w:t>
      </w:r>
      <w:r w:rsidR="00E937CE">
        <w:t xml:space="preserve">demand for </w:t>
      </w:r>
      <w:r w:rsidR="00792F5D">
        <w:t xml:space="preserve">imports to changes </w:t>
      </w:r>
      <w:r w:rsidR="00E937CE">
        <w:t xml:space="preserve">in the price </w:t>
      </w:r>
      <w:r>
        <w:t xml:space="preserve">of imports </w:t>
      </w:r>
      <w:r w:rsidR="00E937CE">
        <w:t>relative to domestic production</w:t>
      </w:r>
    </w:p>
    <w:p w:rsidR="00D40D39" w:rsidRDefault="00D40D39" w:rsidP="00665172">
      <w:pPr>
        <w:pStyle w:val="ListBullet"/>
      </w:pPr>
      <w:r>
        <w:t xml:space="preserve">domestic </w:t>
      </w:r>
      <w:r w:rsidR="00E937CE">
        <w:t xml:space="preserve">demand for domestic production to changes in the price </w:t>
      </w:r>
      <w:r>
        <w:t xml:space="preserve">of domestic demand </w:t>
      </w:r>
      <w:r w:rsidR="00E937CE">
        <w:t>relative to imports</w:t>
      </w:r>
      <w:r w:rsidR="00792F5D">
        <w:t>.</w:t>
      </w:r>
    </w:p>
    <w:p w:rsidR="00B83F4E" w:rsidRDefault="00792F5D" w:rsidP="000B3883">
      <w:pPr>
        <w:pStyle w:val="BodyText"/>
      </w:pPr>
      <w:r>
        <w:lastRenderedPageBreak/>
        <w:t xml:space="preserve">The values adopted in this study </w:t>
      </w:r>
      <w:r w:rsidR="003B7E84">
        <w:t xml:space="preserve">are </w:t>
      </w:r>
      <w:r w:rsidR="00D40D39">
        <w:t xml:space="preserve">the </w:t>
      </w:r>
      <w:r>
        <w:t xml:space="preserve">standard values incorporated by the Centre of Policy </w:t>
      </w:r>
      <w:r w:rsidR="007237A5">
        <w:t>S</w:t>
      </w:r>
      <w:r>
        <w:t xml:space="preserve">tudies in the MMRF model. These values are </w:t>
      </w:r>
      <w:r w:rsidR="00405C33">
        <w:t xml:space="preserve">being </w:t>
      </w:r>
      <w:r>
        <w:t>applied in both the longer</w:t>
      </w:r>
      <w:r w:rsidR="00E42C5F">
        <w:t>-</w:t>
      </w:r>
      <w:r>
        <w:t>run comparative</w:t>
      </w:r>
      <w:r w:rsidR="00646728">
        <w:noBreakHyphen/>
      </w:r>
      <w:r>
        <w:t xml:space="preserve">static and year-to-year simulations. The values range between 0 </w:t>
      </w:r>
      <w:r w:rsidR="00405C33">
        <w:t xml:space="preserve">(for products with little or no imports) </w:t>
      </w:r>
      <w:r>
        <w:t xml:space="preserve">and 10 </w:t>
      </w:r>
      <w:r w:rsidR="00405C33">
        <w:t xml:space="preserve">(for products </w:t>
      </w:r>
      <w:r w:rsidR="00995681">
        <w:t xml:space="preserve">with </w:t>
      </w:r>
      <w:r w:rsidR="00405C33">
        <w:t>a high degree of flexibility). Elasticity values of</w:t>
      </w:r>
      <w:r>
        <w:t xml:space="preserve"> </w:t>
      </w:r>
      <w:r w:rsidR="00712338">
        <w:t xml:space="preserve">5.2 </w:t>
      </w:r>
      <w:r w:rsidR="00405C33">
        <w:t xml:space="preserve">are set </w:t>
      </w:r>
      <w:r>
        <w:t xml:space="preserve">for </w:t>
      </w:r>
      <w:r w:rsidR="00E877DE">
        <w:t>passenger motor vehicles</w:t>
      </w:r>
      <w:r>
        <w:t xml:space="preserve"> </w:t>
      </w:r>
      <w:r w:rsidR="00E42C5F">
        <w:t xml:space="preserve">and other automotive manufacturing </w:t>
      </w:r>
      <w:r w:rsidR="00D71745">
        <w:t>(PC 2008)</w:t>
      </w:r>
      <w:r w:rsidR="00E42C5F">
        <w:t xml:space="preserve"> and, reflecting its status as an input into production, 2 for automotive components</w:t>
      </w:r>
      <w:r>
        <w:t>.</w:t>
      </w:r>
    </w:p>
    <w:p w:rsidR="00792F5D" w:rsidRDefault="00405C33" w:rsidP="000B3883">
      <w:pPr>
        <w:pStyle w:val="BodyText"/>
      </w:pPr>
      <w:r>
        <w:t xml:space="preserve">To examine the implications of greater responsiveness of imports in the longer term to relative price changes, a </w:t>
      </w:r>
      <w:r w:rsidR="003335C9">
        <w:t xml:space="preserve">sensitivity </w:t>
      </w:r>
      <w:r>
        <w:t xml:space="preserve">test </w:t>
      </w:r>
      <w:r w:rsidR="00523268">
        <w:t xml:space="preserve">that doubles the </w:t>
      </w:r>
      <w:r>
        <w:t xml:space="preserve">year-to-year </w:t>
      </w:r>
      <w:r w:rsidR="00523268">
        <w:t xml:space="preserve">value of the </w:t>
      </w:r>
      <w:r>
        <w:t>elasticities is undertaken</w:t>
      </w:r>
      <w:r w:rsidR="00AF56D2">
        <w:t xml:space="preserve"> (chapter 4)</w:t>
      </w:r>
      <w:r>
        <w:t>.</w:t>
      </w:r>
      <w:r w:rsidR="00523268">
        <w:rPr>
          <w:rStyle w:val="FootnoteReference"/>
        </w:rPr>
        <w:footnoteReference w:id="4"/>
      </w:r>
    </w:p>
    <w:p w:rsidR="00405C33" w:rsidRDefault="00405C33" w:rsidP="000B3883">
      <w:pPr>
        <w:pStyle w:val="BodyText"/>
      </w:pPr>
      <w:r>
        <w:t xml:space="preserve">The </w:t>
      </w:r>
      <w:r w:rsidR="00231B6F">
        <w:t xml:space="preserve">standard </w:t>
      </w:r>
      <w:r>
        <w:t xml:space="preserve">values </w:t>
      </w:r>
      <w:r w:rsidR="00231B6F">
        <w:t xml:space="preserve">of the import substitution elasticities </w:t>
      </w:r>
      <w:r>
        <w:t xml:space="preserve">and </w:t>
      </w:r>
      <w:r w:rsidR="00231B6F">
        <w:t xml:space="preserve">the </w:t>
      </w:r>
      <w:r w:rsidR="002B427D">
        <w:t xml:space="preserve">values </w:t>
      </w:r>
      <w:r w:rsidR="00231B6F">
        <w:t xml:space="preserve">used in </w:t>
      </w:r>
      <w:r>
        <w:t xml:space="preserve">the sensitivity test are listed in table </w:t>
      </w:r>
      <w:r w:rsidR="00486E83">
        <w:t>A</w:t>
      </w:r>
      <w:r>
        <w:t>.</w:t>
      </w:r>
      <w:r w:rsidR="00231B6F">
        <w:t>1.</w:t>
      </w:r>
    </w:p>
    <w:p w:rsidR="00D41541" w:rsidRDefault="00D41541" w:rsidP="00D41541">
      <w:pPr>
        <w:pStyle w:val="Heading3"/>
      </w:pPr>
      <w:r>
        <w:t xml:space="preserve">Primary factor </w:t>
      </w:r>
      <w:r w:rsidR="005552C5">
        <w:t xml:space="preserve">substitution </w:t>
      </w:r>
      <w:r>
        <w:t>and occupation</w:t>
      </w:r>
      <w:r w:rsidR="008F3915">
        <w:t>al</w:t>
      </w:r>
      <w:r>
        <w:t xml:space="preserve"> mobility parameters</w:t>
      </w:r>
    </w:p>
    <w:p w:rsidR="00D41541" w:rsidRDefault="00D41541" w:rsidP="00D41541">
      <w:pPr>
        <w:pStyle w:val="BodyText"/>
      </w:pPr>
      <w:r>
        <w:t xml:space="preserve">On the demand side, substitution elasticities determine the degree to which labour and capital inputs can be substituted for each other in production. The benchmark values for year-to-year simulations in the MMRF model are 0.5 for all industries and regions. Reference values </w:t>
      </w:r>
      <w:r w:rsidR="00995681">
        <w:t xml:space="preserve">in the </w:t>
      </w:r>
      <w:r>
        <w:t>longer-term comparative</w:t>
      </w:r>
      <w:r w:rsidR="00646728">
        <w:noBreakHyphen/>
      </w:r>
      <w:r>
        <w:t>static simulations are 1.25.</w:t>
      </w:r>
      <w:r>
        <w:rPr>
          <w:rStyle w:val="FootnoteReference"/>
        </w:rPr>
        <w:footnoteReference w:id="5"/>
      </w:r>
    </w:p>
    <w:p w:rsidR="00D41541" w:rsidRDefault="00D41541" w:rsidP="00D41541">
      <w:pPr>
        <w:pStyle w:val="BodyText"/>
      </w:pPr>
      <w:r>
        <w:t xml:space="preserve">MMRF also includes elasticities governing the degree of substitutability </w:t>
      </w:r>
      <w:r w:rsidR="0049148D">
        <w:t xml:space="preserve">in use of </w:t>
      </w:r>
      <w:r>
        <w:t xml:space="preserve">the eight different occupations in production. The benchmark values for year-to-year simulations are 0.35. The selection of these values reflects an assumption that employers have limited flexibility </w:t>
      </w:r>
      <w:r w:rsidR="00995681">
        <w:t xml:space="preserve">to </w:t>
      </w:r>
      <w:r>
        <w:t xml:space="preserve">alter the occupational mix used in production on a </w:t>
      </w:r>
      <w:r w:rsidR="00CE27A9">
        <w:t>year-to-</w:t>
      </w:r>
      <w:r>
        <w:t>year basis. The values being applied in the longer-term comparative</w:t>
      </w:r>
      <w:r w:rsidR="00646728">
        <w:noBreakHyphen/>
      </w:r>
      <w:r>
        <w:t>static simulations are 1 to reflect higher substitution prospects over the longer run.</w:t>
      </w:r>
      <w:r>
        <w:rPr>
          <w:rStyle w:val="FootnoteReference"/>
        </w:rPr>
        <w:footnoteReference w:id="6"/>
      </w:r>
    </w:p>
    <w:p w:rsidR="00D41541" w:rsidRDefault="001D678E" w:rsidP="00A44624">
      <w:pPr>
        <w:pStyle w:val="BodyText"/>
        <w:rPr>
          <w:rFonts w:ascii="Arial" w:hAnsi="Arial"/>
          <w:sz w:val="24"/>
        </w:rPr>
      </w:pPr>
      <w:r>
        <w:t xml:space="preserve">On the supply side, transformation elasticities determine the extent to which the supply of labour can move between the eight occupational groups. The benchmark value for year-to-year simulations is set at 0.1. The selection of this value reflects an assumption that, on a year-to-year basis, employees have limited potential to change </w:t>
      </w:r>
      <w:r>
        <w:lastRenderedPageBreak/>
        <w:t>their occupation. The value in the longer-term comparative</w:t>
      </w:r>
      <w:r w:rsidR="00646728">
        <w:noBreakHyphen/>
      </w:r>
      <w:r>
        <w:t>static simulations is 1 to reflect higher transformation prospects over the longer run.</w:t>
      </w:r>
      <w:r>
        <w:rPr>
          <w:rStyle w:val="FootnoteReference"/>
        </w:rPr>
        <w:footnoteReference w:id="7"/>
      </w:r>
    </w:p>
    <w:p w:rsidR="003A072A" w:rsidRDefault="003A072A" w:rsidP="003A072A">
      <w:pPr>
        <w:pStyle w:val="TableTitle"/>
      </w:pPr>
      <w:r>
        <w:rPr>
          <w:b w:val="0"/>
        </w:rPr>
        <w:t xml:space="preserve">Table </w:t>
      </w:r>
      <w:r w:rsidR="00176CB1">
        <w:rPr>
          <w:b w:val="0"/>
        </w:rPr>
        <w:t>A.</w:t>
      </w:r>
      <w:r w:rsidR="00176CB1">
        <w:rPr>
          <w:b w:val="0"/>
          <w:noProof/>
        </w:rPr>
        <w:t>1</w:t>
      </w:r>
      <w:r>
        <w:tab/>
        <w:t>Domestic-</w:t>
      </w:r>
      <w:r w:rsidR="003A0324">
        <w:t xml:space="preserve">import </w:t>
      </w:r>
      <w:r>
        <w:t xml:space="preserve">substitution elasticities in </w:t>
      </w:r>
      <w:r w:rsidR="006764E3">
        <w:t xml:space="preserve">the </w:t>
      </w:r>
      <w:r>
        <w:t>MMRF</w:t>
      </w:r>
      <w:r w:rsidR="006764E3">
        <w:t xml:space="preserve"> model</w:t>
      </w:r>
    </w:p>
    <w:tbl>
      <w:tblPr>
        <w:tblW w:w="8789" w:type="dxa"/>
        <w:tblLayout w:type="fixed"/>
        <w:tblCellMar>
          <w:left w:w="0" w:type="dxa"/>
          <w:right w:w="0" w:type="dxa"/>
        </w:tblCellMar>
        <w:tblLook w:val="0000" w:firstRow="0" w:lastRow="0" w:firstColumn="0" w:lastColumn="0" w:noHBand="0" w:noVBand="0"/>
      </w:tblPr>
      <w:tblGrid>
        <w:gridCol w:w="554"/>
        <w:gridCol w:w="27"/>
        <w:gridCol w:w="4020"/>
        <w:gridCol w:w="1396"/>
        <w:gridCol w:w="1396"/>
        <w:gridCol w:w="1396"/>
      </w:tblGrid>
      <w:tr w:rsidR="003A072A" w:rsidTr="00FA688E">
        <w:tc>
          <w:tcPr>
            <w:tcW w:w="554" w:type="dxa"/>
            <w:tcBorders>
              <w:top w:val="single" w:sz="6" w:space="0" w:color="auto"/>
              <w:bottom w:val="single" w:sz="6" w:space="0" w:color="auto"/>
            </w:tcBorders>
            <w:vAlign w:val="bottom"/>
          </w:tcPr>
          <w:p w:rsidR="003A072A" w:rsidRDefault="00B65D5B">
            <w:pPr>
              <w:pStyle w:val="TableColumnHeading"/>
              <w:jc w:val="left"/>
              <w:rPr>
                <w:szCs w:val="24"/>
              </w:rPr>
            </w:pPr>
            <w:r>
              <w:rPr>
                <w:szCs w:val="24"/>
              </w:rPr>
              <w:t>No.</w:t>
            </w:r>
          </w:p>
        </w:tc>
        <w:tc>
          <w:tcPr>
            <w:tcW w:w="4047" w:type="dxa"/>
            <w:gridSpan w:val="2"/>
            <w:tcBorders>
              <w:top w:val="single" w:sz="6" w:space="0" w:color="auto"/>
              <w:bottom w:val="single" w:sz="6" w:space="0" w:color="auto"/>
            </w:tcBorders>
            <w:shd w:val="clear" w:color="auto" w:fill="auto"/>
            <w:vAlign w:val="bottom"/>
          </w:tcPr>
          <w:p w:rsidR="003A072A" w:rsidRDefault="003A072A">
            <w:pPr>
              <w:pStyle w:val="TableColumnHeading"/>
              <w:jc w:val="left"/>
            </w:pPr>
            <w:r>
              <w:t>MMRF industry</w:t>
            </w:r>
          </w:p>
        </w:tc>
        <w:tc>
          <w:tcPr>
            <w:tcW w:w="1396" w:type="dxa"/>
            <w:tcBorders>
              <w:top w:val="single" w:sz="6" w:space="0" w:color="auto"/>
              <w:bottom w:val="single" w:sz="6" w:space="0" w:color="auto"/>
            </w:tcBorders>
            <w:shd w:val="clear" w:color="auto" w:fill="auto"/>
            <w:vAlign w:val="bottom"/>
          </w:tcPr>
          <w:p w:rsidR="003A072A" w:rsidRDefault="003A072A">
            <w:pPr>
              <w:pStyle w:val="TableColumnHeading"/>
            </w:pPr>
            <w:r>
              <w:t xml:space="preserve">Standard elasticity </w:t>
            </w:r>
          </w:p>
        </w:tc>
        <w:tc>
          <w:tcPr>
            <w:tcW w:w="1396" w:type="dxa"/>
            <w:tcBorders>
              <w:top w:val="single" w:sz="6" w:space="0" w:color="auto"/>
              <w:bottom w:val="single" w:sz="6" w:space="0" w:color="auto"/>
            </w:tcBorders>
            <w:vAlign w:val="bottom"/>
          </w:tcPr>
          <w:p w:rsidR="003A072A" w:rsidRDefault="003A072A" w:rsidP="00037F25">
            <w:pPr>
              <w:pStyle w:val="TableColumnHeading"/>
            </w:pPr>
            <w:r>
              <w:t>Higher elasticity</w:t>
            </w:r>
            <w:r w:rsidR="0049148D">
              <w:br/>
              <w:t>used in</w:t>
            </w:r>
            <w:r w:rsidR="0049148D">
              <w:br/>
              <w:t>sensitivity test</w:t>
            </w:r>
          </w:p>
        </w:tc>
        <w:tc>
          <w:tcPr>
            <w:tcW w:w="1396" w:type="dxa"/>
            <w:tcBorders>
              <w:top w:val="single" w:sz="6" w:space="0" w:color="auto"/>
              <w:bottom w:val="single" w:sz="6" w:space="0" w:color="auto"/>
            </w:tcBorders>
            <w:vAlign w:val="bottom"/>
          </w:tcPr>
          <w:p w:rsidR="003A072A" w:rsidRDefault="00C405DC" w:rsidP="00A44624">
            <w:pPr>
              <w:pStyle w:val="TableColumnHeading"/>
            </w:pPr>
            <w:r>
              <w:t>Import</w:t>
            </w:r>
            <w:r>
              <w:br/>
            </w:r>
            <w:r w:rsidR="003A072A">
              <w:t>share in</w:t>
            </w:r>
            <w:r>
              <w:br/>
            </w:r>
            <w:r w:rsidR="003A072A">
              <w:t>domestic use</w:t>
            </w:r>
          </w:p>
        </w:tc>
      </w:tr>
      <w:tr w:rsidR="00895855" w:rsidTr="00FA688E">
        <w:tc>
          <w:tcPr>
            <w:tcW w:w="554" w:type="dxa"/>
            <w:tcBorders>
              <w:top w:val="single" w:sz="6" w:space="0" w:color="auto"/>
            </w:tcBorders>
            <w:vAlign w:val="bottom"/>
          </w:tcPr>
          <w:p w:rsidR="00895855" w:rsidRDefault="00895855">
            <w:pPr>
              <w:pStyle w:val="TableUnitsRow"/>
              <w:spacing w:after="40"/>
              <w:jc w:val="left"/>
            </w:pPr>
          </w:p>
        </w:tc>
        <w:tc>
          <w:tcPr>
            <w:tcW w:w="4047" w:type="dxa"/>
            <w:gridSpan w:val="2"/>
            <w:tcBorders>
              <w:top w:val="single" w:sz="6" w:space="0" w:color="auto"/>
            </w:tcBorders>
            <w:vAlign w:val="bottom"/>
          </w:tcPr>
          <w:p w:rsidR="00895855" w:rsidRDefault="00895855">
            <w:pPr>
              <w:pStyle w:val="TableUnitsRow"/>
              <w:spacing w:after="40"/>
              <w:jc w:val="left"/>
            </w:pPr>
          </w:p>
        </w:tc>
        <w:tc>
          <w:tcPr>
            <w:tcW w:w="1396" w:type="dxa"/>
            <w:tcBorders>
              <w:top w:val="single" w:sz="6" w:space="0" w:color="auto"/>
            </w:tcBorders>
            <w:vAlign w:val="bottom"/>
          </w:tcPr>
          <w:p w:rsidR="00895855" w:rsidRPr="00895855" w:rsidRDefault="00895855">
            <w:pPr>
              <w:pStyle w:val="TableUnitsRow"/>
              <w:spacing w:after="40"/>
            </w:pPr>
          </w:p>
        </w:tc>
        <w:tc>
          <w:tcPr>
            <w:tcW w:w="1396" w:type="dxa"/>
            <w:tcBorders>
              <w:top w:val="single" w:sz="6" w:space="0" w:color="auto"/>
            </w:tcBorders>
            <w:vAlign w:val="bottom"/>
          </w:tcPr>
          <w:p w:rsidR="00895855" w:rsidRPr="00895855" w:rsidRDefault="00895855">
            <w:pPr>
              <w:pStyle w:val="TableUnitsRow"/>
              <w:spacing w:after="40"/>
            </w:pPr>
          </w:p>
        </w:tc>
        <w:tc>
          <w:tcPr>
            <w:tcW w:w="1396" w:type="dxa"/>
            <w:tcBorders>
              <w:top w:val="single" w:sz="6" w:space="0" w:color="auto"/>
            </w:tcBorders>
            <w:vAlign w:val="bottom"/>
          </w:tcPr>
          <w:p w:rsidR="00895855" w:rsidRDefault="00895855" w:rsidP="00A44624">
            <w:pPr>
              <w:pStyle w:val="TableUnitsRow"/>
              <w:spacing w:after="40"/>
              <w:rPr>
                <w:i/>
              </w:rPr>
            </w:pPr>
            <w:r>
              <w:t>Per cent</w:t>
            </w:r>
          </w:p>
        </w:tc>
      </w:tr>
      <w:tr w:rsidR="009B4584" w:rsidTr="00FA688E">
        <w:tc>
          <w:tcPr>
            <w:tcW w:w="554" w:type="dxa"/>
            <w:vAlign w:val="bottom"/>
          </w:tcPr>
          <w:p w:rsidR="009B4584" w:rsidRDefault="009B4584" w:rsidP="00037F25">
            <w:pPr>
              <w:pStyle w:val="TableUnitsRow"/>
              <w:spacing w:before="0" w:after="40"/>
              <w:jc w:val="left"/>
              <w:rPr>
                <w:szCs w:val="24"/>
              </w:rPr>
            </w:pPr>
            <w:r>
              <w:t>1</w:t>
            </w:r>
          </w:p>
        </w:tc>
        <w:tc>
          <w:tcPr>
            <w:tcW w:w="4047" w:type="dxa"/>
            <w:gridSpan w:val="2"/>
            <w:vAlign w:val="bottom"/>
          </w:tcPr>
          <w:p w:rsidR="009B4584" w:rsidRDefault="009B4584" w:rsidP="00037F25">
            <w:pPr>
              <w:pStyle w:val="TableUnitsRow"/>
              <w:spacing w:before="0" w:after="40"/>
              <w:jc w:val="left"/>
              <w:rPr>
                <w:i/>
              </w:rPr>
            </w:pPr>
            <w:r>
              <w:t>Livestock</w:t>
            </w:r>
          </w:p>
        </w:tc>
        <w:tc>
          <w:tcPr>
            <w:tcW w:w="1396" w:type="dxa"/>
            <w:vAlign w:val="bottom"/>
          </w:tcPr>
          <w:p w:rsidR="009B4584" w:rsidRPr="00CE27A9" w:rsidRDefault="009B4584" w:rsidP="00037F25">
            <w:pPr>
              <w:pStyle w:val="TableUnitsRow"/>
              <w:spacing w:before="0" w:after="40"/>
              <w:rPr>
                <w:i/>
              </w:rPr>
            </w:pPr>
            <w:r w:rsidRPr="00CE27A9">
              <w:t>1.45</w:t>
            </w:r>
          </w:p>
        </w:tc>
        <w:tc>
          <w:tcPr>
            <w:tcW w:w="1396" w:type="dxa"/>
            <w:vAlign w:val="bottom"/>
          </w:tcPr>
          <w:p w:rsidR="009B4584" w:rsidRPr="00CE27A9" w:rsidRDefault="009B4584" w:rsidP="00037F25">
            <w:pPr>
              <w:pStyle w:val="TableUnitsRow"/>
              <w:spacing w:before="0" w:after="40"/>
              <w:rPr>
                <w:i/>
              </w:rPr>
            </w:pPr>
            <w:r w:rsidRPr="00CE27A9">
              <w:t>2.90</w:t>
            </w:r>
          </w:p>
        </w:tc>
        <w:tc>
          <w:tcPr>
            <w:tcW w:w="1396" w:type="dxa"/>
            <w:vAlign w:val="bottom"/>
          </w:tcPr>
          <w:p w:rsidR="009B4584" w:rsidRPr="00CE27A9" w:rsidRDefault="009B4584" w:rsidP="00A44624">
            <w:pPr>
              <w:pStyle w:val="TableUnitsRow"/>
              <w:spacing w:before="0" w:after="40"/>
              <w:rPr>
                <w:i/>
              </w:rPr>
            </w:pPr>
            <w:r>
              <w:t>..</w:t>
            </w:r>
          </w:p>
        </w:tc>
      </w:tr>
      <w:tr w:rsidR="009B4584" w:rsidTr="00FA688E">
        <w:tc>
          <w:tcPr>
            <w:tcW w:w="554" w:type="dxa"/>
            <w:vAlign w:val="bottom"/>
          </w:tcPr>
          <w:p w:rsidR="009B4584" w:rsidRDefault="009B4584" w:rsidP="00037F25">
            <w:pPr>
              <w:pStyle w:val="TableBodyText"/>
              <w:jc w:val="left"/>
              <w:rPr>
                <w:szCs w:val="24"/>
              </w:rPr>
            </w:pPr>
            <w:r>
              <w:t>2</w:t>
            </w:r>
          </w:p>
        </w:tc>
        <w:tc>
          <w:tcPr>
            <w:tcW w:w="4047" w:type="dxa"/>
            <w:gridSpan w:val="2"/>
            <w:vAlign w:val="bottom"/>
          </w:tcPr>
          <w:p w:rsidR="009B4584" w:rsidRDefault="009B4584" w:rsidP="00037F25">
            <w:pPr>
              <w:pStyle w:val="TableBodyText"/>
              <w:jc w:val="left"/>
              <w:rPr>
                <w:i/>
              </w:rPr>
            </w:pPr>
            <w:r>
              <w:t>Crops</w:t>
            </w:r>
          </w:p>
        </w:tc>
        <w:tc>
          <w:tcPr>
            <w:tcW w:w="1396" w:type="dxa"/>
            <w:vAlign w:val="bottom"/>
          </w:tcPr>
          <w:p w:rsidR="009B4584" w:rsidRPr="00CE27A9" w:rsidRDefault="009B4584" w:rsidP="00A44624">
            <w:pPr>
              <w:pStyle w:val="TableBodyText"/>
              <w:rPr>
                <w:i/>
              </w:rPr>
            </w:pPr>
            <w:r w:rsidRPr="00CE27A9">
              <w:t>0.5</w:t>
            </w:r>
            <w:r>
              <w:t>0</w:t>
            </w:r>
          </w:p>
        </w:tc>
        <w:tc>
          <w:tcPr>
            <w:tcW w:w="1396" w:type="dxa"/>
            <w:vAlign w:val="bottom"/>
          </w:tcPr>
          <w:p w:rsidR="009B4584" w:rsidRPr="00CE27A9" w:rsidRDefault="009B4584" w:rsidP="00A44624">
            <w:pPr>
              <w:pStyle w:val="TableBodyText"/>
              <w:rPr>
                <w:i/>
              </w:rPr>
            </w:pPr>
            <w:r w:rsidRPr="00CE27A9">
              <w:t>1.00</w:t>
            </w:r>
          </w:p>
        </w:tc>
        <w:tc>
          <w:tcPr>
            <w:tcW w:w="1396" w:type="dxa"/>
            <w:vAlign w:val="bottom"/>
          </w:tcPr>
          <w:p w:rsidR="009B4584" w:rsidRPr="00CE27A9" w:rsidRDefault="009B4584" w:rsidP="00A44624">
            <w:pPr>
              <w:pStyle w:val="TableBodyText"/>
              <w:rPr>
                <w:i/>
              </w:rPr>
            </w:pPr>
            <w:r w:rsidRPr="00CE27A9">
              <w:t>1</w:t>
            </w:r>
          </w:p>
        </w:tc>
      </w:tr>
      <w:tr w:rsidR="009B4584" w:rsidTr="00FA688E">
        <w:tc>
          <w:tcPr>
            <w:tcW w:w="554" w:type="dxa"/>
            <w:vAlign w:val="bottom"/>
          </w:tcPr>
          <w:p w:rsidR="009B4584" w:rsidRDefault="009B4584" w:rsidP="00037F25">
            <w:pPr>
              <w:pStyle w:val="TableBodyText"/>
              <w:jc w:val="left"/>
              <w:rPr>
                <w:szCs w:val="24"/>
              </w:rPr>
            </w:pPr>
            <w:r>
              <w:t>3</w:t>
            </w:r>
          </w:p>
        </w:tc>
        <w:tc>
          <w:tcPr>
            <w:tcW w:w="4047" w:type="dxa"/>
            <w:gridSpan w:val="2"/>
            <w:vAlign w:val="bottom"/>
          </w:tcPr>
          <w:p w:rsidR="009B4584" w:rsidRDefault="009B4584" w:rsidP="00037F25">
            <w:pPr>
              <w:pStyle w:val="TableBodyText"/>
              <w:jc w:val="left"/>
              <w:rPr>
                <w:i/>
              </w:rPr>
            </w:pPr>
            <w:r>
              <w:t>Dairy cattle</w:t>
            </w:r>
          </w:p>
        </w:tc>
        <w:tc>
          <w:tcPr>
            <w:tcW w:w="1396" w:type="dxa"/>
            <w:vAlign w:val="bottom"/>
          </w:tcPr>
          <w:p w:rsidR="009B4584" w:rsidRPr="00CE27A9" w:rsidRDefault="009B4584" w:rsidP="00A44624">
            <w:pPr>
              <w:pStyle w:val="TableBodyText"/>
              <w:rPr>
                <w:i/>
              </w:rPr>
            </w:pPr>
            <w:r w:rsidRPr="00CE27A9">
              <w:t>2</w:t>
            </w:r>
            <w:r>
              <w:t>.00</w:t>
            </w:r>
          </w:p>
        </w:tc>
        <w:tc>
          <w:tcPr>
            <w:tcW w:w="1396" w:type="dxa"/>
            <w:vAlign w:val="bottom"/>
          </w:tcPr>
          <w:p w:rsidR="009B4584" w:rsidRPr="00CE27A9" w:rsidRDefault="009B4584" w:rsidP="00A44624">
            <w:pPr>
              <w:pStyle w:val="TableBodyText"/>
              <w:rPr>
                <w:i/>
              </w:rPr>
            </w:pPr>
            <w:r w:rsidRPr="00CE27A9">
              <w:t>4.00</w:t>
            </w:r>
          </w:p>
        </w:tc>
        <w:tc>
          <w:tcPr>
            <w:tcW w:w="1396" w:type="dxa"/>
            <w:vAlign w:val="bottom"/>
          </w:tcPr>
          <w:p w:rsidR="009B4584" w:rsidRPr="00CE27A9" w:rsidRDefault="009B4584" w:rsidP="00A44624">
            <w:pPr>
              <w:pStyle w:val="TableBodyText"/>
              <w:rPr>
                <w:i/>
              </w:rPr>
            </w:pPr>
            <w:r>
              <w:t>..</w:t>
            </w:r>
          </w:p>
        </w:tc>
      </w:tr>
      <w:tr w:rsidR="009B4584" w:rsidTr="00FA688E">
        <w:tc>
          <w:tcPr>
            <w:tcW w:w="554" w:type="dxa"/>
            <w:vAlign w:val="bottom"/>
          </w:tcPr>
          <w:p w:rsidR="009B4584" w:rsidRDefault="009B4584" w:rsidP="00037F25">
            <w:pPr>
              <w:pStyle w:val="TableBodyText"/>
              <w:jc w:val="left"/>
              <w:rPr>
                <w:szCs w:val="24"/>
              </w:rPr>
            </w:pPr>
            <w:r>
              <w:t>4</w:t>
            </w:r>
          </w:p>
        </w:tc>
        <w:tc>
          <w:tcPr>
            <w:tcW w:w="4047" w:type="dxa"/>
            <w:gridSpan w:val="2"/>
            <w:vAlign w:val="bottom"/>
          </w:tcPr>
          <w:p w:rsidR="009B4584" w:rsidRDefault="009B4584" w:rsidP="00037F25">
            <w:pPr>
              <w:pStyle w:val="TableBodyText"/>
              <w:jc w:val="left"/>
              <w:rPr>
                <w:i/>
              </w:rPr>
            </w:pPr>
            <w:r>
              <w:t>Other agriculture</w:t>
            </w:r>
          </w:p>
        </w:tc>
        <w:tc>
          <w:tcPr>
            <w:tcW w:w="1396" w:type="dxa"/>
            <w:vAlign w:val="bottom"/>
          </w:tcPr>
          <w:p w:rsidR="009B4584" w:rsidRPr="00CE27A9" w:rsidRDefault="009B4584" w:rsidP="00A44624">
            <w:pPr>
              <w:pStyle w:val="TableBodyText"/>
              <w:rPr>
                <w:i/>
              </w:rPr>
            </w:pPr>
            <w:r w:rsidRPr="00CE27A9">
              <w:t>1.97</w:t>
            </w:r>
          </w:p>
        </w:tc>
        <w:tc>
          <w:tcPr>
            <w:tcW w:w="1396" w:type="dxa"/>
            <w:vAlign w:val="bottom"/>
          </w:tcPr>
          <w:p w:rsidR="009B4584" w:rsidRPr="00CE27A9" w:rsidRDefault="009B4584" w:rsidP="00A44624">
            <w:pPr>
              <w:pStyle w:val="TableBodyText"/>
              <w:rPr>
                <w:i/>
              </w:rPr>
            </w:pPr>
            <w:r w:rsidRPr="00CE27A9">
              <w:t>3.94</w:t>
            </w:r>
          </w:p>
        </w:tc>
        <w:tc>
          <w:tcPr>
            <w:tcW w:w="1396" w:type="dxa"/>
            <w:vAlign w:val="bottom"/>
          </w:tcPr>
          <w:p w:rsidR="009B4584" w:rsidRPr="00CE27A9" w:rsidRDefault="009B4584" w:rsidP="00A44624">
            <w:pPr>
              <w:pStyle w:val="TableBodyText"/>
              <w:rPr>
                <w:i/>
              </w:rPr>
            </w:pPr>
            <w:r w:rsidRPr="00CE27A9">
              <w:t>6</w:t>
            </w:r>
          </w:p>
        </w:tc>
      </w:tr>
      <w:tr w:rsidR="009B4584" w:rsidTr="00FA688E">
        <w:tc>
          <w:tcPr>
            <w:tcW w:w="554" w:type="dxa"/>
            <w:vAlign w:val="bottom"/>
          </w:tcPr>
          <w:p w:rsidR="009B4584" w:rsidRDefault="009B4584" w:rsidP="00037F25">
            <w:pPr>
              <w:pStyle w:val="TableBodyText"/>
              <w:jc w:val="left"/>
              <w:rPr>
                <w:szCs w:val="24"/>
              </w:rPr>
            </w:pPr>
            <w:r>
              <w:t>5</w:t>
            </w:r>
          </w:p>
        </w:tc>
        <w:tc>
          <w:tcPr>
            <w:tcW w:w="4047" w:type="dxa"/>
            <w:gridSpan w:val="2"/>
            <w:vAlign w:val="bottom"/>
          </w:tcPr>
          <w:p w:rsidR="009B4584" w:rsidRDefault="009B4584" w:rsidP="00037F25">
            <w:pPr>
              <w:pStyle w:val="TableBodyText"/>
              <w:jc w:val="left"/>
              <w:rPr>
                <w:i/>
              </w:rPr>
            </w:pPr>
            <w:r>
              <w:t>Forestry and logging</w:t>
            </w:r>
          </w:p>
        </w:tc>
        <w:tc>
          <w:tcPr>
            <w:tcW w:w="1396" w:type="dxa"/>
            <w:vAlign w:val="bottom"/>
          </w:tcPr>
          <w:p w:rsidR="009B4584" w:rsidRPr="00CE27A9" w:rsidRDefault="009B4584" w:rsidP="00A44624">
            <w:pPr>
              <w:pStyle w:val="TableBodyText"/>
              <w:rPr>
                <w:i/>
              </w:rPr>
            </w:pPr>
            <w:r w:rsidRPr="00CE27A9">
              <w:t>2</w:t>
            </w:r>
            <w:r>
              <w:t>.00</w:t>
            </w:r>
          </w:p>
        </w:tc>
        <w:tc>
          <w:tcPr>
            <w:tcW w:w="1396" w:type="dxa"/>
            <w:vAlign w:val="bottom"/>
          </w:tcPr>
          <w:p w:rsidR="009B4584" w:rsidRPr="00CE27A9" w:rsidRDefault="009B4584" w:rsidP="00A44624">
            <w:pPr>
              <w:pStyle w:val="TableBodyText"/>
              <w:rPr>
                <w:i/>
              </w:rPr>
            </w:pPr>
            <w:r w:rsidRPr="00CE27A9">
              <w:t>4.00</w:t>
            </w:r>
          </w:p>
        </w:tc>
        <w:tc>
          <w:tcPr>
            <w:tcW w:w="1396" w:type="dxa"/>
            <w:vAlign w:val="bottom"/>
          </w:tcPr>
          <w:p w:rsidR="009B4584" w:rsidRPr="00CE27A9" w:rsidRDefault="009B4584" w:rsidP="00A44624">
            <w:pPr>
              <w:pStyle w:val="TableBodyText"/>
              <w:rPr>
                <w:i/>
              </w:rPr>
            </w:pPr>
            <w:r w:rsidRPr="00CE27A9">
              <w:t>3</w:t>
            </w:r>
          </w:p>
        </w:tc>
      </w:tr>
      <w:tr w:rsidR="009B4584" w:rsidTr="00FA688E">
        <w:tc>
          <w:tcPr>
            <w:tcW w:w="554" w:type="dxa"/>
            <w:vAlign w:val="bottom"/>
          </w:tcPr>
          <w:p w:rsidR="009B4584" w:rsidRDefault="009B4584" w:rsidP="00037F25">
            <w:pPr>
              <w:pStyle w:val="TableBodyText"/>
              <w:jc w:val="left"/>
              <w:rPr>
                <w:szCs w:val="24"/>
              </w:rPr>
            </w:pPr>
            <w:r>
              <w:t>6</w:t>
            </w:r>
          </w:p>
        </w:tc>
        <w:tc>
          <w:tcPr>
            <w:tcW w:w="4047" w:type="dxa"/>
            <w:gridSpan w:val="2"/>
            <w:vAlign w:val="bottom"/>
          </w:tcPr>
          <w:p w:rsidR="009B4584" w:rsidRDefault="009B4584" w:rsidP="00037F25">
            <w:pPr>
              <w:pStyle w:val="TableBodyText"/>
              <w:jc w:val="left"/>
              <w:rPr>
                <w:i/>
              </w:rPr>
            </w:pPr>
            <w:r>
              <w:t xml:space="preserve">Fishing </w:t>
            </w:r>
          </w:p>
        </w:tc>
        <w:tc>
          <w:tcPr>
            <w:tcW w:w="1396" w:type="dxa"/>
            <w:vAlign w:val="bottom"/>
          </w:tcPr>
          <w:p w:rsidR="009B4584" w:rsidRPr="00CE27A9" w:rsidRDefault="009B4584" w:rsidP="00A44624">
            <w:pPr>
              <w:pStyle w:val="TableBodyText"/>
              <w:rPr>
                <w:i/>
              </w:rPr>
            </w:pPr>
            <w:r w:rsidRPr="00CE27A9">
              <w:t>0.5</w:t>
            </w:r>
            <w:r>
              <w:t>0</w:t>
            </w:r>
          </w:p>
        </w:tc>
        <w:tc>
          <w:tcPr>
            <w:tcW w:w="1396" w:type="dxa"/>
            <w:vAlign w:val="bottom"/>
          </w:tcPr>
          <w:p w:rsidR="009B4584" w:rsidRPr="00CE27A9" w:rsidRDefault="009B4584" w:rsidP="00A44624">
            <w:pPr>
              <w:pStyle w:val="TableBodyText"/>
              <w:rPr>
                <w:i/>
              </w:rPr>
            </w:pPr>
            <w:r w:rsidRPr="00CE27A9">
              <w:t>1.00</w:t>
            </w:r>
          </w:p>
        </w:tc>
        <w:tc>
          <w:tcPr>
            <w:tcW w:w="1396" w:type="dxa"/>
            <w:vAlign w:val="bottom"/>
          </w:tcPr>
          <w:p w:rsidR="009B4584" w:rsidRPr="00CE27A9" w:rsidRDefault="009B4584" w:rsidP="00A44624">
            <w:pPr>
              <w:pStyle w:val="TableBodyText"/>
              <w:rPr>
                <w:i/>
              </w:rPr>
            </w:pPr>
            <w:r w:rsidRPr="00CE27A9">
              <w:t>5</w:t>
            </w:r>
          </w:p>
        </w:tc>
      </w:tr>
      <w:tr w:rsidR="009B4584" w:rsidTr="00FA688E">
        <w:tc>
          <w:tcPr>
            <w:tcW w:w="554" w:type="dxa"/>
            <w:vAlign w:val="bottom"/>
          </w:tcPr>
          <w:p w:rsidR="009B4584" w:rsidRDefault="009B4584" w:rsidP="00037F25">
            <w:pPr>
              <w:pStyle w:val="TableBodyText"/>
              <w:jc w:val="left"/>
              <w:rPr>
                <w:szCs w:val="24"/>
              </w:rPr>
            </w:pPr>
            <w:r>
              <w:t>7</w:t>
            </w:r>
          </w:p>
        </w:tc>
        <w:tc>
          <w:tcPr>
            <w:tcW w:w="4047" w:type="dxa"/>
            <w:gridSpan w:val="2"/>
            <w:vAlign w:val="bottom"/>
          </w:tcPr>
          <w:p w:rsidR="009B4584" w:rsidRDefault="009B4584" w:rsidP="00037F25">
            <w:pPr>
              <w:pStyle w:val="TableBodyText"/>
              <w:jc w:val="left"/>
              <w:rPr>
                <w:i/>
              </w:rPr>
            </w:pPr>
            <w:r>
              <w:t>Coal mining</w:t>
            </w:r>
          </w:p>
        </w:tc>
        <w:tc>
          <w:tcPr>
            <w:tcW w:w="1396" w:type="dxa"/>
            <w:vAlign w:val="bottom"/>
          </w:tcPr>
          <w:p w:rsidR="009B4584" w:rsidRPr="00CE27A9" w:rsidRDefault="009B4584" w:rsidP="00A44624">
            <w:pPr>
              <w:pStyle w:val="TableBodyText"/>
              <w:rPr>
                <w:i/>
              </w:rPr>
            </w:pPr>
            <w:r w:rsidRPr="00CE27A9">
              <w:t>0.5</w:t>
            </w:r>
            <w:r>
              <w:t>0</w:t>
            </w:r>
          </w:p>
        </w:tc>
        <w:tc>
          <w:tcPr>
            <w:tcW w:w="1396" w:type="dxa"/>
            <w:vAlign w:val="bottom"/>
          </w:tcPr>
          <w:p w:rsidR="009B4584" w:rsidRPr="00CE27A9" w:rsidRDefault="009B4584" w:rsidP="00A44624">
            <w:pPr>
              <w:pStyle w:val="TableBodyText"/>
              <w:rPr>
                <w:i/>
              </w:rPr>
            </w:pPr>
            <w:r w:rsidRPr="00CE27A9">
              <w:t>1.00</w:t>
            </w:r>
          </w:p>
        </w:tc>
        <w:tc>
          <w:tcPr>
            <w:tcW w:w="1396" w:type="dxa"/>
            <w:vAlign w:val="bottom"/>
          </w:tcPr>
          <w:p w:rsidR="009B4584" w:rsidRPr="00CE27A9" w:rsidRDefault="009B4584" w:rsidP="00A44624">
            <w:pPr>
              <w:pStyle w:val="TableBodyText"/>
              <w:rPr>
                <w:i/>
              </w:rPr>
            </w:pPr>
            <w:r>
              <w:t>..</w:t>
            </w:r>
          </w:p>
        </w:tc>
      </w:tr>
      <w:tr w:rsidR="009B4584" w:rsidTr="00FA688E">
        <w:tc>
          <w:tcPr>
            <w:tcW w:w="554" w:type="dxa"/>
            <w:vAlign w:val="bottom"/>
          </w:tcPr>
          <w:p w:rsidR="009B4584" w:rsidRDefault="009B4584" w:rsidP="00037F25">
            <w:pPr>
              <w:pStyle w:val="TableBodyText"/>
              <w:jc w:val="left"/>
              <w:rPr>
                <w:szCs w:val="24"/>
              </w:rPr>
            </w:pPr>
            <w:r>
              <w:t>8</w:t>
            </w:r>
          </w:p>
        </w:tc>
        <w:tc>
          <w:tcPr>
            <w:tcW w:w="4047" w:type="dxa"/>
            <w:gridSpan w:val="2"/>
            <w:vAlign w:val="bottom"/>
          </w:tcPr>
          <w:p w:rsidR="009B4584" w:rsidRDefault="009B4584" w:rsidP="00037F25">
            <w:pPr>
              <w:pStyle w:val="TableBodyText"/>
              <w:jc w:val="left"/>
              <w:rPr>
                <w:i/>
              </w:rPr>
            </w:pPr>
            <w:r>
              <w:t>Oil mining</w:t>
            </w:r>
          </w:p>
        </w:tc>
        <w:tc>
          <w:tcPr>
            <w:tcW w:w="1396" w:type="dxa"/>
            <w:vAlign w:val="bottom"/>
          </w:tcPr>
          <w:p w:rsidR="009B4584" w:rsidRPr="00CE27A9" w:rsidRDefault="009B4584" w:rsidP="00A44624">
            <w:pPr>
              <w:pStyle w:val="TableBodyText"/>
              <w:rPr>
                <w:i/>
              </w:rPr>
            </w:pPr>
            <w:r w:rsidRPr="00CE27A9">
              <w:t>10</w:t>
            </w:r>
            <w:r>
              <w:t>.00</w:t>
            </w:r>
          </w:p>
        </w:tc>
        <w:tc>
          <w:tcPr>
            <w:tcW w:w="1396" w:type="dxa"/>
            <w:vAlign w:val="bottom"/>
          </w:tcPr>
          <w:p w:rsidR="009B4584" w:rsidRPr="00CE27A9" w:rsidRDefault="009B4584" w:rsidP="00A44624">
            <w:pPr>
              <w:pStyle w:val="TableBodyText"/>
              <w:rPr>
                <w:i/>
              </w:rPr>
            </w:pPr>
            <w:r w:rsidRPr="00CE27A9">
              <w:t>20.00</w:t>
            </w:r>
          </w:p>
        </w:tc>
        <w:tc>
          <w:tcPr>
            <w:tcW w:w="1396" w:type="dxa"/>
            <w:vAlign w:val="bottom"/>
          </w:tcPr>
          <w:p w:rsidR="009B4584" w:rsidRPr="00CE27A9" w:rsidRDefault="009B4584" w:rsidP="00A44624">
            <w:pPr>
              <w:pStyle w:val="TableBodyText"/>
              <w:rPr>
                <w:i/>
              </w:rPr>
            </w:pPr>
            <w:r w:rsidRPr="00CE27A9">
              <w:t>77</w:t>
            </w:r>
          </w:p>
        </w:tc>
      </w:tr>
      <w:tr w:rsidR="009B4584" w:rsidTr="00FA688E">
        <w:tc>
          <w:tcPr>
            <w:tcW w:w="554" w:type="dxa"/>
            <w:vAlign w:val="bottom"/>
          </w:tcPr>
          <w:p w:rsidR="009B4584" w:rsidRDefault="009B4584" w:rsidP="00037F25">
            <w:pPr>
              <w:pStyle w:val="TableBodyText"/>
              <w:jc w:val="left"/>
              <w:rPr>
                <w:szCs w:val="24"/>
              </w:rPr>
            </w:pPr>
            <w:r>
              <w:t>9</w:t>
            </w:r>
          </w:p>
        </w:tc>
        <w:tc>
          <w:tcPr>
            <w:tcW w:w="4047" w:type="dxa"/>
            <w:gridSpan w:val="2"/>
            <w:vAlign w:val="bottom"/>
          </w:tcPr>
          <w:p w:rsidR="009B4584" w:rsidRDefault="009B4584" w:rsidP="00037F25">
            <w:pPr>
              <w:pStyle w:val="TableBodyText"/>
              <w:jc w:val="left"/>
              <w:rPr>
                <w:i/>
              </w:rPr>
            </w:pPr>
            <w:r>
              <w:t>Gas mining</w:t>
            </w:r>
          </w:p>
        </w:tc>
        <w:tc>
          <w:tcPr>
            <w:tcW w:w="1396" w:type="dxa"/>
            <w:vAlign w:val="bottom"/>
          </w:tcPr>
          <w:p w:rsidR="009B4584" w:rsidRPr="00CE27A9" w:rsidRDefault="009B4584" w:rsidP="00A44624">
            <w:pPr>
              <w:pStyle w:val="TableBodyText"/>
              <w:rPr>
                <w:i/>
              </w:rPr>
            </w:pPr>
            <w:r w:rsidRPr="00CE27A9">
              <w:t>10</w:t>
            </w:r>
            <w:r>
              <w:t>.00</w:t>
            </w:r>
          </w:p>
        </w:tc>
        <w:tc>
          <w:tcPr>
            <w:tcW w:w="1396" w:type="dxa"/>
            <w:vAlign w:val="bottom"/>
          </w:tcPr>
          <w:p w:rsidR="009B4584" w:rsidRPr="00CE27A9" w:rsidRDefault="009B4584" w:rsidP="00A44624">
            <w:pPr>
              <w:pStyle w:val="TableBodyText"/>
              <w:rPr>
                <w:i/>
              </w:rPr>
            </w:pPr>
            <w:r w:rsidRPr="00CE27A9">
              <w:t>20.00</w:t>
            </w:r>
          </w:p>
        </w:tc>
        <w:tc>
          <w:tcPr>
            <w:tcW w:w="1396" w:type="dxa"/>
            <w:vAlign w:val="bottom"/>
          </w:tcPr>
          <w:p w:rsidR="009B4584" w:rsidRPr="00CE27A9" w:rsidRDefault="009B4584" w:rsidP="00A44624">
            <w:pPr>
              <w:pStyle w:val="TableBodyText"/>
              <w:rPr>
                <w:i/>
              </w:rPr>
            </w:pPr>
            <w:r>
              <w:t>..</w:t>
            </w:r>
          </w:p>
        </w:tc>
      </w:tr>
      <w:tr w:rsidR="009B4584" w:rsidTr="00FA688E">
        <w:tc>
          <w:tcPr>
            <w:tcW w:w="554" w:type="dxa"/>
            <w:vAlign w:val="bottom"/>
          </w:tcPr>
          <w:p w:rsidR="009B4584" w:rsidRDefault="009B4584" w:rsidP="00037F25">
            <w:pPr>
              <w:pStyle w:val="TableBodyText"/>
              <w:jc w:val="left"/>
              <w:rPr>
                <w:szCs w:val="24"/>
              </w:rPr>
            </w:pPr>
            <w:r>
              <w:t>10</w:t>
            </w:r>
          </w:p>
        </w:tc>
        <w:tc>
          <w:tcPr>
            <w:tcW w:w="4047" w:type="dxa"/>
            <w:gridSpan w:val="2"/>
            <w:vAlign w:val="bottom"/>
          </w:tcPr>
          <w:p w:rsidR="009B4584" w:rsidRDefault="009B4584" w:rsidP="00037F25">
            <w:pPr>
              <w:pStyle w:val="TableBodyText"/>
              <w:jc w:val="left"/>
              <w:rPr>
                <w:i/>
              </w:rPr>
            </w:pPr>
            <w:r>
              <w:t>Iron ore mining</w:t>
            </w:r>
          </w:p>
        </w:tc>
        <w:tc>
          <w:tcPr>
            <w:tcW w:w="1396" w:type="dxa"/>
            <w:vAlign w:val="bottom"/>
          </w:tcPr>
          <w:p w:rsidR="009B4584" w:rsidRPr="00CE27A9" w:rsidRDefault="009B4584" w:rsidP="00A44624">
            <w:pPr>
              <w:pStyle w:val="TableBodyText"/>
              <w:rPr>
                <w:i/>
              </w:rPr>
            </w:pPr>
            <w:r w:rsidRPr="00CE27A9">
              <w:t>0.5</w:t>
            </w:r>
            <w:r>
              <w:t>0</w:t>
            </w:r>
          </w:p>
        </w:tc>
        <w:tc>
          <w:tcPr>
            <w:tcW w:w="1396" w:type="dxa"/>
            <w:vAlign w:val="bottom"/>
          </w:tcPr>
          <w:p w:rsidR="009B4584" w:rsidRPr="00CE27A9" w:rsidRDefault="009B4584" w:rsidP="00A44624">
            <w:pPr>
              <w:pStyle w:val="TableBodyText"/>
              <w:rPr>
                <w:i/>
              </w:rPr>
            </w:pPr>
            <w:r w:rsidRPr="00CE27A9">
              <w:t>1.00</w:t>
            </w:r>
          </w:p>
        </w:tc>
        <w:tc>
          <w:tcPr>
            <w:tcW w:w="1396" w:type="dxa"/>
            <w:vAlign w:val="bottom"/>
          </w:tcPr>
          <w:p w:rsidR="009B4584" w:rsidRPr="00CE27A9" w:rsidRDefault="009B4584" w:rsidP="00A44624">
            <w:pPr>
              <w:pStyle w:val="TableBodyText"/>
              <w:rPr>
                <w:i/>
              </w:rPr>
            </w:pPr>
            <w:r w:rsidRPr="00CE27A9">
              <w:t>18</w:t>
            </w:r>
          </w:p>
        </w:tc>
      </w:tr>
      <w:tr w:rsidR="009B4584" w:rsidTr="00FA688E">
        <w:tc>
          <w:tcPr>
            <w:tcW w:w="554" w:type="dxa"/>
            <w:vAlign w:val="bottom"/>
          </w:tcPr>
          <w:p w:rsidR="009B4584" w:rsidRDefault="009B4584" w:rsidP="00037F25">
            <w:pPr>
              <w:pStyle w:val="TableBodyText"/>
              <w:jc w:val="left"/>
              <w:rPr>
                <w:szCs w:val="24"/>
              </w:rPr>
            </w:pPr>
            <w:r>
              <w:t>11</w:t>
            </w:r>
          </w:p>
        </w:tc>
        <w:tc>
          <w:tcPr>
            <w:tcW w:w="4047" w:type="dxa"/>
            <w:gridSpan w:val="2"/>
            <w:vAlign w:val="bottom"/>
          </w:tcPr>
          <w:p w:rsidR="009B4584" w:rsidRDefault="009B4584" w:rsidP="00037F25">
            <w:pPr>
              <w:pStyle w:val="TableBodyText"/>
              <w:jc w:val="left"/>
              <w:rPr>
                <w:i/>
              </w:rPr>
            </w:pPr>
            <w:r>
              <w:t xml:space="preserve">Other metal </w:t>
            </w:r>
            <w:r w:rsidR="00424867">
              <w:t xml:space="preserve">ore </w:t>
            </w:r>
            <w:r>
              <w:t>mining</w:t>
            </w:r>
          </w:p>
        </w:tc>
        <w:tc>
          <w:tcPr>
            <w:tcW w:w="1396" w:type="dxa"/>
            <w:vAlign w:val="bottom"/>
          </w:tcPr>
          <w:p w:rsidR="009B4584" w:rsidRPr="00CE27A9" w:rsidRDefault="009B4584" w:rsidP="00A44624">
            <w:pPr>
              <w:pStyle w:val="TableBodyText"/>
              <w:rPr>
                <w:i/>
              </w:rPr>
            </w:pPr>
            <w:r w:rsidRPr="00CE27A9">
              <w:t>0.5</w:t>
            </w:r>
            <w:r>
              <w:t>0</w:t>
            </w:r>
          </w:p>
        </w:tc>
        <w:tc>
          <w:tcPr>
            <w:tcW w:w="1396" w:type="dxa"/>
            <w:vAlign w:val="bottom"/>
          </w:tcPr>
          <w:p w:rsidR="009B4584" w:rsidRPr="00CE27A9" w:rsidRDefault="009B4584" w:rsidP="00A44624">
            <w:pPr>
              <w:pStyle w:val="TableBodyText"/>
              <w:rPr>
                <w:i/>
              </w:rPr>
            </w:pPr>
            <w:r w:rsidRPr="00CE27A9">
              <w:t>1.00</w:t>
            </w:r>
          </w:p>
        </w:tc>
        <w:tc>
          <w:tcPr>
            <w:tcW w:w="1396" w:type="dxa"/>
            <w:vAlign w:val="bottom"/>
          </w:tcPr>
          <w:p w:rsidR="009B4584" w:rsidRPr="00CE27A9" w:rsidRDefault="009B4584" w:rsidP="00A44624">
            <w:pPr>
              <w:pStyle w:val="TableBodyText"/>
              <w:rPr>
                <w:i/>
              </w:rPr>
            </w:pPr>
            <w:r w:rsidRPr="00CE27A9">
              <w:t>21</w:t>
            </w:r>
          </w:p>
        </w:tc>
      </w:tr>
      <w:tr w:rsidR="009B4584" w:rsidTr="00FA688E">
        <w:tc>
          <w:tcPr>
            <w:tcW w:w="554" w:type="dxa"/>
            <w:vAlign w:val="bottom"/>
          </w:tcPr>
          <w:p w:rsidR="009B4584" w:rsidRDefault="009B4584" w:rsidP="00037F25">
            <w:pPr>
              <w:pStyle w:val="TableBodyText"/>
              <w:jc w:val="left"/>
              <w:rPr>
                <w:szCs w:val="24"/>
              </w:rPr>
            </w:pPr>
            <w:r>
              <w:t>12</w:t>
            </w:r>
          </w:p>
        </w:tc>
        <w:tc>
          <w:tcPr>
            <w:tcW w:w="4047" w:type="dxa"/>
            <w:gridSpan w:val="2"/>
            <w:vAlign w:val="bottom"/>
          </w:tcPr>
          <w:p w:rsidR="009B4584" w:rsidRDefault="009B4584" w:rsidP="00037F25">
            <w:pPr>
              <w:pStyle w:val="TableBodyText"/>
              <w:jc w:val="left"/>
              <w:rPr>
                <w:i/>
              </w:rPr>
            </w:pPr>
            <w:r>
              <w:t>Other mining</w:t>
            </w:r>
          </w:p>
        </w:tc>
        <w:tc>
          <w:tcPr>
            <w:tcW w:w="1396" w:type="dxa"/>
            <w:vAlign w:val="bottom"/>
          </w:tcPr>
          <w:p w:rsidR="009B4584" w:rsidRPr="00CE27A9" w:rsidRDefault="009B4584" w:rsidP="00A44624">
            <w:pPr>
              <w:pStyle w:val="TableBodyText"/>
              <w:rPr>
                <w:i/>
              </w:rPr>
            </w:pPr>
            <w:r w:rsidRPr="00CE27A9">
              <w:t>2</w:t>
            </w:r>
            <w:r>
              <w:t>.00</w:t>
            </w:r>
          </w:p>
        </w:tc>
        <w:tc>
          <w:tcPr>
            <w:tcW w:w="1396" w:type="dxa"/>
            <w:vAlign w:val="bottom"/>
          </w:tcPr>
          <w:p w:rsidR="009B4584" w:rsidRPr="00CE27A9" w:rsidRDefault="009B4584" w:rsidP="00A44624">
            <w:pPr>
              <w:pStyle w:val="TableBodyText"/>
              <w:rPr>
                <w:i/>
              </w:rPr>
            </w:pPr>
            <w:r w:rsidRPr="00CE27A9">
              <w:t>4.00</w:t>
            </w:r>
          </w:p>
        </w:tc>
        <w:tc>
          <w:tcPr>
            <w:tcW w:w="1396" w:type="dxa"/>
            <w:vAlign w:val="bottom"/>
          </w:tcPr>
          <w:p w:rsidR="009B4584" w:rsidRPr="00CE27A9" w:rsidRDefault="009B4584" w:rsidP="00A44624">
            <w:pPr>
              <w:pStyle w:val="TableBodyText"/>
              <w:rPr>
                <w:i/>
              </w:rPr>
            </w:pPr>
            <w:r w:rsidRPr="00CE27A9">
              <w:t>3</w:t>
            </w:r>
          </w:p>
        </w:tc>
      </w:tr>
      <w:tr w:rsidR="009B4584" w:rsidTr="00FA688E">
        <w:tc>
          <w:tcPr>
            <w:tcW w:w="554" w:type="dxa"/>
            <w:vAlign w:val="bottom"/>
          </w:tcPr>
          <w:p w:rsidR="009B4584" w:rsidRDefault="009B4584" w:rsidP="00037F25">
            <w:pPr>
              <w:pStyle w:val="TableBodyText"/>
              <w:jc w:val="left"/>
              <w:rPr>
                <w:szCs w:val="24"/>
              </w:rPr>
            </w:pPr>
            <w:r>
              <w:t>13</w:t>
            </w:r>
          </w:p>
        </w:tc>
        <w:tc>
          <w:tcPr>
            <w:tcW w:w="4047" w:type="dxa"/>
            <w:gridSpan w:val="2"/>
            <w:vAlign w:val="bottom"/>
          </w:tcPr>
          <w:p w:rsidR="009B4584" w:rsidRDefault="009B4584" w:rsidP="00037F25">
            <w:pPr>
              <w:pStyle w:val="TableBodyText"/>
              <w:jc w:val="left"/>
              <w:rPr>
                <w:i/>
              </w:rPr>
            </w:pPr>
            <w:r>
              <w:t>Meat products</w:t>
            </w:r>
          </w:p>
        </w:tc>
        <w:tc>
          <w:tcPr>
            <w:tcW w:w="1396" w:type="dxa"/>
            <w:vAlign w:val="bottom"/>
          </w:tcPr>
          <w:p w:rsidR="009B4584" w:rsidRPr="00CE27A9" w:rsidRDefault="009B4584" w:rsidP="00A44624">
            <w:pPr>
              <w:pStyle w:val="TableBodyText"/>
              <w:rPr>
                <w:i/>
              </w:rPr>
            </w:pPr>
            <w:r w:rsidRPr="00CE27A9">
              <w:t>0.5</w:t>
            </w:r>
            <w:r>
              <w:t>0</w:t>
            </w:r>
          </w:p>
        </w:tc>
        <w:tc>
          <w:tcPr>
            <w:tcW w:w="1396" w:type="dxa"/>
            <w:vAlign w:val="bottom"/>
          </w:tcPr>
          <w:p w:rsidR="009B4584" w:rsidRPr="00CE27A9" w:rsidRDefault="009B4584" w:rsidP="00A44624">
            <w:pPr>
              <w:pStyle w:val="TableBodyText"/>
              <w:rPr>
                <w:i/>
              </w:rPr>
            </w:pPr>
            <w:r w:rsidRPr="00CE27A9">
              <w:t>1.00</w:t>
            </w:r>
          </w:p>
        </w:tc>
        <w:tc>
          <w:tcPr>
            <w:tcW w:w="1396" w:type="dxa"/>
            <w:vAlign w:val="bottom"/>
          </w:tcPr>
          <w:p w:rsidR="009B4584" w:rsidRPr="00CE27A9" w:rsidRDefault="009B4584" w:rsidP="00A44624">
            <w:pPr>
              <w:pStyle w:val="TableBodyText"/>
              <w:rPr>
                <w:i/>
              </w:rPr>
            </w:pPr>
            <w:r w:rsidRPr="00CE27A9">
              <w:t>4</w:t>
            </w:r>
          </w:p>
        </w:tc>
      </w:tr>
      <w:tr w:rsidR="009B4584" w:rsidTr="00FA688E">
        <w:tc>
          <w:tcPr>
            <w:tcW w:w="554" w:type="dxa"/>
            <w:vAlign w:val="bottom"/>
          </w:tcPr>
          <w:p w:rsidR="009B4584" w:rsidRDefault="009B4584" w:rsidP="00037F25">
            <w:pPr>
              <w:pStyle w:val="TableBodyText"/>
              <w:jc w:val="left"/>
              <w:rPr>
                <w:szCs w:val="24"/>
              </w:rPr>
            </w:pPr>
            <w:r>
              <w:t>14</w:t>
            </w:r>
          </w:p>
        </w:tc>
        <w:tc>
          <w:tcPr>
            <w:tcW w:w="4047" w:type="dxa"/>
            <w:gridSpan w:val="2"/>
            <w:vAlign w:val="bottom"/>
          </w:tcPr>
          <w:p w:rsidR="009B4584" w:rsidRDefault="009B4584" w:rsidP="00037F25">
            <w:pPr>
              <w:pStyle w:val="TableBodyText"/>
              <w:jc w:val="left"/>
              <w:rPr>
                <w:i/>
              </w:rPr>
            </w:pPr>
            <w:r>
              <w:t>Dairy products</w:t>
            </w:r>
          </w:p>
        </w:tc>
        <w:tc>
          <w:tcPr>
            <w:tcW w:w="1396" w:type="dxa"/>
            <w:vAlign w:val="bottom"/>
          </w:tcPr>
          <w:p w:rsidR="009B4584" w:rsidRPr="00CE27A9" w:rsidRDefault="009B4584" w:rsidP="00A44624">
            <w:pPr>
              <w:pStyle w:val="TableBodyText"/>
              <w:rPr>
                <w:i/>
              </w:rPr>
            </w:pPr>
            <w:r w:rsidRPr="00CE27A9">
              <w:t>1.6</w:t>
            </w:r>
            <w:r>
              <w:t>0</w:t>
            </w:r>
          </w:p>
        </w:tc>
        <w:tc>
          <w:tcPr>
            <w:tcW w:w="1396" w:type="dxa"/>
            <w:vAlign w:val="bottom"/>
          </w:tcPr>
          <w:p w:rsidR="009B4584" w:rsidRPr="00CE27A9" w:rsidRDefault="009B4584" w:rsidP="00A44624">
            <w:pPr>
              <w:pStyle w:val="TableBodyText"/>
              <w:rPr>
                <w:i/>
              </w:rPr>
            </w:pPr>
            <w:r w:rsidRPr="00CE27A9">
              <w:t>3.20</w:t>
            </w:r>
          </w:p>
        </w:tc>
        <w:tc>
          <w:tcPr>
            <w:tcW w:w="1396" w:type="dxa"/>
            <w:vAlign w:val="bottom"/>
          </w:tcPr>
          <w:p w:rsidR="009B4584" w:rsidRPr="00CE27A9" w:rsidRDefault="009B4584" w:rsidP="00A44624">
            <w:pPr>
              <w:pStyle w:val="TableBodyText"/>
              <w:rPr>
                <w:i/>
              </w:rPr>
            </w:pPr>
            <w:r w:rsidRPr="00CE27A9">
              <w:t>10</w:t>
            </w:r>
          </w:p>
        </w:tc>
      </w:tr>
      <w:tr w:rsidR="009B4584" w:rsidTr="00FA688E">
        <w:tc>
          <w:tcPr>
            <w:tcW w:w="554" w:type="dxa"/>
            <w:vAlign w:val="bottom"/>
          </w:tcPr>
          <w:p w:rsidR="009B4584" w:rsidRDefault="009B4584" w:rsidP="00037F25">
            <w:pPr>
              <w:pStyle w:val="TableBodyText"/>
              <w:jc w:val="left"/>
              <w:rPr>
                <w:szCs w:val="24"/>
              </w:rPr>
            </w:pPr>
            <w:r>
              <w:t>15</w:t>
            </w:r>
          </w:p>
        </w:tc>
        <w:tc>
          <w:tcPr>
            <w:tcW w:w="4047" w:type="dxa"/>
            <w:gridSpan w:val="2"/>
            <w:vAlign w:val="bottom"/>
          </w:tcPr>
          <w:p w:rsidR="009B4584" w:rsidRDefault="009B4584" w:rsidP="00037F25">
            <w:pPr>
              <w:pStyle w:val="TableBodyText"/>
              <w:jc w:val="left"/>
              <w:rPr>
                <w:i/>
              </w:rPr>
            </w:pPr>
            <w:r>
              <w:t>Other food beverages and tobacco</w:t>
            </w:r>
          </w:p>
        </w:tc>
        <w:tc>
          <w:tcPr>
            <w:tcW w:w="1396" w:type="dxa"/>
            <w:vAlign w:val="bottom"/>
          </w:tcPr>
          <w:p w:rsidR="009B4584" w:rsidRPr="00CE27A9" w:rsidRDefault="009B4584" w:rsidP="00A44624">
            <w:pPr>
              <w:pStyle w:val="TableBodyText"/>
              <w:rPr>
                <w:i/>
              </w:rPr>
            </w:pPr>
            <w:r w:rsidRPr="00CE27A9">
              <w:t>1.49</w:t>
            </w:r>
          </w:p>
        </w:tc>
        <w:tc>
          <w:tcPr>
            <w:tcW w:w="1396" w:type="dxa"/>
            <w:vAlign w:val="bottom"/>
          </w:tcPr>
          <w:p w:rsidR="009B4584" w:rsidRPr="00CE27A9" w:rsidRDefault="009B4584" w:rsidP="00A44624">
            <w:pPr>
              <w:pStyle w:val="TableBodyText"/>
              <w:rPr>
                <w:i/>
              </w:rPr>
            </w:pPr>
            <w:r w:rsidRPr="00CE27A9">
              <w:t>2.98</w:t>
            </w:r>
          </w:p>
        </w:tc>
        <w:tc>
          <w:tcPr>
            <w:tcW w:w="1396" w:type="dxa"/>
            <w:vAlign w:val="bottom"/>
          </w:tcPr>
          <w:p w:rsidR="009B4584" w:rsidRPr="00CE27A9" w:rsidRDefault="009B4584" w:rsidP="00A44624">
            <w:pPr>
              <w:pStyle w:val="TableBodyText"/>
              <w:rPr>
                <w:i/>
              </w:rPr>
            </w:pPr>
            <w:r w:rsidRPr="00CE27A9">
              <w:t>21</w:t>
            </w:r>
          </w:p>
        </w:tc>
      </w:tr>
      <w:tr w:rsidR="009B4584" w:rsidTr="00FA688E">
        <w:tc>
          <w:tcPr>
            <w:tcW w:w="554" w:type="dxa"/>
            <w:vAlign w:val="bottom"/>
          </w:tcPr>
          <w:p w:rsidR="009B4584" w:rsidRDefault="009B4584" w:rsidP="00037F25">
            <w:pPr>
              <w:pStyle w:val="TableBodyText"/>
              <w:jc w:val="left"/>
              <w:rPr>
                <w:szCs w:val="24"/>
              </w:rPr>
            </w:pPr>
            <w:r>
              <w:t>16</w:t>
            </w:r>
          </w:p>
        </w:tc>
        <w:tc>
          <w:tcPr>
            <w:tcW w:w="4047" w:type="dxa"/>
            <w:gridSpan w:val="2"/>
            <w:vAlign w:val="bottom"/>
          </w:tcPr>
          <w:p w:rsidR="009B4584" w:rsidRDefault="009B4584" w:rsidP="00037F25">
            <w:pPr>
              <w:pStyle w:val="TableBodyText"/>
              <w:jc w:val="left"/>
              <w:rPr>
                <w:i/>
              </w:rPr>
            </w:pPr>
            <w:r>
              <w:t>Textile</w:t>
            </w:r>
            <w:r w:rsidR="00037F25">
              <w:t>s</w:t>
            </w:r>
            <w:r>
              <w:t>, clothing and footwear</w:t>
            </w:r>
          </w:p>
        </w:tc>
        <w:tc>
          <w:tcPr>
            <w:tcW w:w="1396" w:type="dxa"/>
            <w:vAlign w:val="bottom"/>
          </w:tcPr>
          <w:p w:rsidR="009B4584" w:rsidRPr="00CE27A9" w:rsidRDefault="009B4584" w:rsidP="00A44624">
            <w:pPr>
              <w:pStyle w:val="TableBodyText"/>
              <w:rPr>
                <w:i/>
              </w:rPr>
            </w:pPr>
            <w:r w:rsidRPr="00CE27A9">
              <w:t>2.91</w:t>
            </w:r>
          </w:p>
        </w:tc>
        <w:tc>
          <w:tcPr>
            <w:tcW w:w="1396" w:type="dxa"/>
            <w:vAlign w:val="bottom"/>
          </w:tcPr>
          <w:p w:rsidR="009B4584" w:rsidRPr="00CE27A9" w:rsidRDefault="009B4584" w:rsidP="00A44624">
            <w:pPr>
              <w:pStyle w:val="TableBodyText"/>
              <w:rPr>
                <w:i/>
              </w:rPr>
            </w:pPr>
            <w:r w:rsidRPr="00CE27A9">
              <w:t>5.82</w:t>
            </w:r>
          </w:p>
        </w:tc>
        <w:tc>
          <w:tcPr>
            <w:tcW w:w="1396" w:type="dxa"/>
            <w:vAlign w:val="bottom"/>
          </w:tcPr>
          <w:p w:rsidR="009B4584" w:rsidRPr="00CE27A9" w:rsidRDefault="009B4584" w:rsidP="00A44624">
            <w:pPr>
              <w:pStyle w:val="TableBodyText"/>
              <w:rPr>
                <w:i/>
              </w:rPr>
            </w:pPr>
            <w:r w:rsidRPr="00CE27A9">
              <w:t>66</w:t>
            </w:r>
          </w:p>
        </w:tc>
      </w:tr>
      <w:tr w:rsidR="009B4584" w:rsidTr="00FA688E">
        <w:tc>
          <w:tcPr>
            <w:tcW w:w="554" w:type="dxa"/>
            <w:vAlign w:val="bottom"/>
          </w:tcPr>
          <w:p w:rsidR="009B4584" w:rsidRDefault="009B4584" w:rsidP="00037F25">
            <w:pPr>
              <w:pStyle w:val="TableBodyText"/>
              <w:jc w:val="left"/>
              <w:rPr>
                <w:szCs w:val="24"/>
              </w:rPr>
            </w:pPr>
            <w:r>
              <w:t>17</w:t>
            </w:r>
          </w:p>
        </w:tc>
        <w:tc>
          <w:tcPr>
            <w:tcW w:w="4047" w:type="dxa"/>
            <w:gridSpan w:val="2"/>
            <w:shd w:val="clear" w:color="auto" w:fill="auto"/>
            <w:vAlign w:val="bottom"/>
          </w:tcPr>
          <w:p w:rsidR="009B4584" w:rsidRDefault="009B4584" w:rsidP="00037F25">
            <w:pPr>
              <w:pStyle w:val="TableBodyText"/>
              <w:jc w:val="left"/>
              <w:rPr>
                <w:i/>
              </w:rPr>
            </w:pPr>
            <w:r>
              <w:t>Wood and wood products</w:t>
            </w:r>
          </w:p>
        </w:tc>
        <w:tc>
          <w:tcPr>
            <w:tcW w:w="1396" w:type="dxa"/>
            <w:shd w:val="clear" w:color="auto" w:fill="auto"/>
            <w:vAlign w:val="bottom"/>
          </w:tcPr>
          <w:p w:rsidR="009B4584" w:rsidRPr="00CE27A9" w:rsidRDefault="009B4584" w:rsidP="00A44624">
            <w:pPr>
              <w:pStyle w:val="TableBodyText"/>
              <w:rPr>
                <w:i/>
              </w:rPr>
            </w:pPr>
            <w:r w:rsidRPr="00CE27A9">
              <w:t>1.99</w:t>
            </w:r>
          </w:p>
        </w:tc>
        <w:tc>
          <w:tcPr>
            <w:tcW w:w="1396" w:type="dxa"/>
            <w:vAlign w:val="bottom"/>
          </w:tcPr>
          <w:p w:rsidR="009B4584" w:rsidRPr="00CE27A9" w:rsidRDefault="009B4584" w:rsidP="00A44624">
            <w:pPr>
              <w:pStyle w:val="TableBodyText"/>
              <w:rPr>
                <w:i/>
              </w:rPr>
            </w:pPr>
            <w:r w:rsidRPr="00CE27A9">
              <w:t>3.98</w:t>
            </w:r>
          </w:p>
        </w:tc>
        <w:tc>
          <w:tcPr>
            <w:tcW w:w="1396" w:type="dxa"/>
            <w:vAlign w:val="bottom"/>
          </w:tcPr>
          <w:p w:rsidR="009B4584" w:rsidRPr="00CE27A9" w:rsidRDefault="009B4584" w:rsidP="00A44624">
            <w:pPr>
              <w:pStyle w:val="TableBodyText"/>
              <w:rPr>
                <w:i/>
              </w:rPr>
            </w:pPr>
            <w:r w:rsidRPr="00CE27A9">
              <w:t>17</w:t>
            </w:r>
          </w:p>
        </w:tc>
      </w:tr>
      <w:tr w:rsidR="009B4584" w:rsidTr="00FA688E">
        <w:tc>
          <w:tcPr>
            <w:tcW w:w="554" w:type="dxa"/>
            <w:vAlign w:val="bottom"/>
          </w:tcPr>
          <w:p w:rsidR="009B4584" w:rsidRDefault="009B4584" w:rsidP="00037F25">
            <w:pPr>
              <w:pStyle w:val="TableBodyText"/>
              <w:jc w:val="left"/>
              <w:rPr>
                <w:szCs w:val="24"/>
              </w:rPr>
            </w:pPr>
            <w:r>
              <w:t>18</w:t>
            </w:r>
          </w:p>
        </w:tc>
        <w:tc>
          <w:tcPr>
            <w:tcW w:w="4047" w:type="dxa"/>
            <w:gridSpan w:val="2"/>
            <w:shd w:val="clear" w:color="auto" w:fill="auto"/>
            <w:vAlign w:val="bottom"/>
          </w:tcPr>
          <w:p w:rsidR="009B4584" w:rsidRDefault="009B4584" w:rsidP="00037F25">
            <w:pPr>
              <w:pStyle w:val="TableBodyText"/>
              <w:jc w:val="left"/>
              <w:rPr>
                <w:i/>
              </w:rPr>
            </w:pPr>
            <w:r>
              <w:t>Paper and paper products</w:t>
            </w:r>
          </w:p>
        </w:tc>
        <w:tc>
          <w:tcPr>
            <w:tcW w:w="1396" w:type="dxa"/>
            <w:shd w:val="clear" w:color="auto" w:fill="auto"/>
            <w:vAlign w:val="bottom"/>
          </w:tcPr>
          <w:p w:rsidR="009B4584" w:rsidRPr="00CE27A9" w:rsidRDefault="009B4584" w:rsidP="00A44624">
            <w:pPr>
              <w:pStyle w:val="TableBodyText"/>
              <w:rPr>
                <w:i/>
              </w:rPr>
            </w:pPr>
            <w:r w:rsidRPr="00CE27A9">
              <w:t>1.1</w:t>
            </w:r>
            <w:r>
              <w:t>0</w:t>
            </w:r>
          </w:p>
        </w:tc>
        <w:tc>
          <w:tcPr>
            <w:tcW w:w="1396" w:type="dxa"/>
            <w:vAlign w:val="bottom"/>
          </w:tcPr>
          <w:p w:rsidR="009B4584" w:rsidRPr="00CE27A9" w:rsidRDefault="009B4584" w:rsidP="00A44624">
            <w:pPr>
              <w:pStyle w:val="TableBodyText"/>
              <w:rPr>
                <w:i/>
              </w:rPr>
            </w:pPr>
            <w:r w:rsidRPr="00CE27A9">
              <w:t>2.20</w:t>
            </w:r>
          </w:p>
        </w:tc>
        <w:tc>
          <w:tcPr>
            <w:tcW w:w="1396" w:type="dxa"/>
            <w:vAlign w:val="bottom"/>
          </w:tcPr>
          <w:p w:rsidR="009B4584" w:rsidRPr="00CE27A9" w:rsidRDefault="00037F25" w:rsidP="00A44624">
            <w:pPr>
              <w:pStyle w:val="TableBodyText"/>
              <w:rPr>
                <w:i/>
              </w:rPr>
            </w:pPr>
            <w:r w:rsidRPr="00CE27A9">
              <w:t>3</w:t>
            </w:r>
            <w:r>
              <w:t>7</w:t>
            </w:r>
          </w:p>
        </w:tc>
      </w:tr>
      <w:tr w:rsidR="009B4584" w:rsidTr="00FA688E">
        <w:tc>
          <w:tcPr>
            <w:tcW w:w="554" w:type="dxa"/>
            <w:vAlign w:val="bottom"/>
          </w:tcPr>
          <w:p w:rsidR="009B4584" w:rsidRDefault="009B4584" w:rsidP="00037F25">
            <w:pPr>
              <w:pStyle w:val="TableBodyText"/>
              <w:jc w:val="left"/>
              <w:rPr>
                <w:szCs w:val="24"/>
              </w:rPr>
            </w:pPr>
            <w:r>
              <w:t>19</w:t>
            </w:r>
          </w:p>
        </w:tc>
        <w:tc>
          <w:tcPr>
            <w:tcW w:w="4047" w:type="dxa"/>
            <w:gridSpan w:val="2"/>
            <w:shd w:val="clear" w:color="auto" w:fill="auto"/>
            <w:vAlign w:val="bottom"/>
          </w:tcPr>
          <w:p w:rsidR="009B4584" w:rsidRDefault="009B4584" w:rsidP="00037F25">
            <w:pPr>
              <w:pStyle w:val="TableBodyText"/>
              <w:jc w:val="left"/>
              <w:rPr>
                <w:i/>
              </w:rPr>
            </w:pPr>
            <w:r>
              <w:t>Printing, publishing and recorded media</w:t>
            </w:r>
          </w:p>
        </w:tc>
        <w:tc>
          <w:tcPr>
            <w:tcW w:w="1396" w:type="dxa"/>
            <w:shd w:val="clear" w:color="auto" w:fill="auto"/>
            <w:vAlign w:val="bottom"/>
          </w:tcPr>
          <w:p w:rsidR="009B4584" w:rsidRPr="00CE27A9" w:rsidRDefault="009B4584" w:rsidP="00A44624">
            <w:pPr>
              <w:pStyle w:val="TableBodyText"/>
              <w:rPr>
                <w:i/>
              </w:rPr>
            </w:pPr>
            <w:r w:rsidRPr="00CE27A9">
              <w:t>2</w:t>
            </w:r>
            <w:r>
              <w:t>.00</w:t>
            </w:r>
          </w:p>
        </w:tc>
        <w:tc>
          <w:tcPr>
            <w:tcW w:w="1396" w:type="dxa"/>
            <w:vAlign w:val="bottom"/>
          </w:tcPr>
          <w:p w:rsidR="009B4584" w:rsidRPr="00CE27A9" w:rsidRDefault="009B4584" w:rsidP="00A44624">
            <w:pPr>
              <w:pStyle w:val="TableBodyText"/>
              <w:rPr>
                <w:i/>
              </w:rPr>
            </w:pPr>
            <w:r w:rsidRPr="00CE27A9">
              <w:t>4.00</w:t>
            </w:r>
          </w:p>
        </w:tc>
        <w:tc>
          <w:tcPr>
            <w:tcW w:w="1396" w:type="dxa"/>
            <w:vAlign w:val="bottom"/>
          </w:tcPr>
          <w:p w:rsidR="009B4584" w:rsidRPr="00CE27A9" w:rsidRDefault="009B4584" w:rsidP="00A44624">
            <w:pPr>
              <w:pStyle w:val="TableBodyText"/>
              <w:rPr>
                <w:i/>
              </w:rPr>
            </w:pPr>
            <w:r w:rsidRPr="00CE27A9">
              <w:t>12</w:t>
            </w:r>
          </w:p>
        </w:tc>
      </w:tr>
      <w:tr w:rsidR="009B4584" w:rsidTr="00FA688E">
        <w:tc>
          <w:tcPr>
            <w:tcW w:w="581" w:type="dxa"/>
            <w:gridSpan w:val="2"/>
            <w:vAlign w:val="bottom"/>
          </w:tcPr>
          <w:p w:rsidR="009B4584" w:rsidRDefault="009B4584" w:rsidP="00037F25">
            <w:pPr>
              <w:pStyle w:val="TableBodyText"/>
              <w:jc w:val="left"/>
              <w:rPr>
                <w:szCs w:val="24"/>
              </w:rPr>
            </w:pPr>
            <w:r>
              <w:t>20</w:t>
            </w:r>
          </w:p>
        </w:tc>
        <w:tc>
          <w:tcPr>
            <w:tcW w:w="4020" w:type="dxa"/>
            <w:vAlign w:val="bottom"/>
          </w:tcPr>
          <w:p w:rsidR="009B4584" w:rsidRDefault="009B4584" w:rsidP="00037F25">
            <w:pPr>
              <w:pStyle w:val="TableBodyText"/>
              <w:jc w:val="left"/>
              <w:rPr>
                <w:i/>
              </w:rPr>
            </w:pPr>
            <w:r>
              <w:t>Petrol</w:t>
            </w:r>
          </w:p>
        </w:tc>
        <w:tc>
          <w:tcPr>
            <w:tcW w:w="1396" w:type="dxa"/>
            <w:vAlign w:val="bottom"/>
          </w:tcPr>
          <w:p w:rsidR="009B4584" w:rsidRPr="00CE27A9" w:rsidRDefault="009B4584" w:rsidP="00A44624">
            <w:pPr>
              <w:pStyle w:val="TableBodyText"/>
              <w:rPr>
                <w:i/>
              </w:rPr>
            </w:pPr>
            <w:r w:rsidRPr="00CE27A9">
              <w:t>0.4</w:t>
            </w:r>
            <w:r>
              <w:t>0</w:t>
            </w:r>
          </w:p>
        </w:tc>
        <w:tc>
          <w:tcPr>
            <w:tcW w:w="1396" w:type="dxa"/>
            <w:vAlign w:val="bottom"/>
          </w:tcPr>
          <w:p w:rsidR="009B4584" w:rsidRPr="00CE27A9" w:rsidRDefault="009B4584" w:rsidP="00A44624">
            <w:pPr>
              <w:pStyle w:val="TableBodyText"/>
              <w:rPr>
                <w:i/>
              </w:rPr>
            </w:pPr>
            <w:r w:rsidRPr="00CE27A9">
              <w:t>0.80</w:t>
            </w:r>
          </w:p>
        </w:tc>
        <w:tc>
          <w:tcPr>
            <w:tcW w:w="1396" w:type="dxa"/>
            <w:vAlign w:val="bottom"/>
          </w:tcPr>
          <w:p w:rsidR="009B4584" w:rsidRPr="00CE27A9" w:rsidRDefault="009B4584" w:rsidP="00A44624">
            <w:pPr>
              <w:pStyle w:val="TableBodyText"/>
              <w:rPr>
                <w:i/>
              </w:rPr>
            </w:pPr>
            <w:r w:rsidRPr="00CE27A9">
              <w:t>25</w:t>
            </w:r>
          </w:p>
        </w:tc>
      </w:tr>
      <w:tr w:rsidR="009B4584" w:rsidTr="00FA688E">
        <w:tc>
          <w:tcPr>
            <w:tcW w:w="581" w:type="dxa"/>
            <w:gridSpan w:val="2"/>
            <w:vAlign w:val="bottom"/>
          </w:tcPr>
          <w:p w:rsidR="009B4584" w:rsidRDefault="009B4584" w:rsidP="00037F25">
            <w:pPr>
              <w:pStyle w:val="TableBodyText"/>
              <w:jc w:val="left"/>
              <w:rPr>
                <w:szCs w:val="24"/>
              </w:rPr>
            </w:pPr>
            <w:r>
              <w:t>21</w:t>
            </w:r>
          </w:p>
        </w:tc>
        <w:tc>
          <w:tcPr>
            <w:tcW w:w="4020" w:type="dxa"/>
            <w:vAlign w:val="bottom"/>
          </w:tcPr>
          <w:p w:rsidR="009B4584" w:rsidRDefault="009B4584" w:rsidP="00037F25">
            <w:pPr>
              <w:pStyle w:val="TableBodyText"/>
              <w:jc w:val="left"/>
              <w:rPr>
                <w:i/>
              </w:rPr>
            </w:pPr>
            <w:r>
              <w:t>Other petroleum and coal products</w:t>
            </w:r>
          </w:p>
        </w:tc>
        <w:tc>
          <w:tcPr>
            <w:tcW w:w="1396" w:type="dxa"/>
            <w:vAlign w:val="bottom"/>
          </w:tcPr>
          <w:p w:rsidR="009B4584" w:rsidRPr="00CE27A9" w:rsidRDefault="009B4584" w:rsidP="00A44624">
            <w:pPr>
              <w:pStyle w:val="TableBodyText"/>
              <w:rPr>
                <w:i/>
              </w:rPr>
            </w:pPr>
            <w:r w:rsidRPr="00CE27A9">
              <w:t>0.4</w:t>
            </w:r>
            <w:r>
              <w:t>0</w:t>
            </w:r>
          </w:p>
        </w:tc>
        <w:tc>
          <w:tcPr>
            <w:tcW w:w="1396" w:type="dxa"/>
            <w:vAlign w:val="bottom"/>
          </w:tcPr>
          <w:p w:rsidR="009B4584" w:rsidRPr="00CE27A9" w:rsidRDefault="009B4584" w:rsidP="00A44624">
            <w:pPr>
              <w:pStyle w:val="TableBodyText"/>
              <w:rPr>
                <w:i/>
              </w:rPr>
            </w:pPr>
            <w:r w:rsidRPr="00CE27A9">
              <w:t>0.80</w:t>
            </w:r>
          </w:p>
        </w:tc>
        <w:tc>
          <w:tcPr>
            <w:tcW w:w="1396" w:type="dxa"/>
            <w:vAlign w:val="bottom"/>
          </w:tcPr>
          <w:p w:rsidR="009B4584" w:rsidRPr="00CE27A9" w:rsidRDefault="009B4584" w:rsidP="00A44624">
            <w:pPr>
              <w:pStyle w:val="TableBodyText"/>
              <w:rPr>
                <w:i/>
              </w:rPr>
            </w:pPr>
            <w:r w:rsidRPr="00CE27A9">
              <w:t>35</w:t>
            </w:r>
          </w:p>
        </w:tc>
      </w:tr>
      <w:tr w:rsidR="009B4584" w:rsidTr="00FA688E">
        <w:tc>
          <w:tcPr>
            <w:tcW w:w="581" w:type="dxa"/>
            <w:gridSpan w:val="2"/>
            <w:vAlign w:val="bottom"/>
          </w:tcPr>
          <w:p w:rsidR="009B4584" w:rsidRDefault="009B4584" w:rsidP="00037F25">
            <w:pPr>
              <w:pStyle w:val="TableBodyText"/>
              <w:jc w:val="left"/>
              <w:rPr>
                <w:szCs w:val="24"/>
              </w:rPr>
            </w:pPr>
            <w:r>
              <w:t>22</w:t>
            </w:r>
          </w:p>
        </w:tc>
        <w:tc>
          <w:tcPr>
            <w:tcW w:w="4020" w:type="dxa"/>
            <w:vAlign w:val="bottom"/>
          </w:tcPr>
          <w:p w:rsidR="009B4584" w:rsidRDefault="009B4584" w:rsidP="00037F25">
            <w:pPr>
              <w:pStyle w:val="TableBodyText"/>
              <w:jc w:val="left"/>
              <w:rPr>
                <w:i/>
              </w:rPr>
            </w:pPr>
            <w:r>
              <w:t>Chemical products</w:t>
            </w:r>
          </w:p>
        </w:tc>
        <w:tc>
          <w:tcPr>
            <w:tcW w:w="1396" w:type="dxa"/>
            <w:vAlign w:val="bottom"/>
          </w:tcPr>
          <w:p w:rsidR="009B4584" w:rsidRPr="00CE27A9" w:rsidRDefault="009B4584" w:rsidP="00A44624">
            <w:pPr>
              <w:pStyle w:val="TableBodyText"/>
              <w:rPr>
                <w:i/>
              </w:rPr>
            </w:pPr>
            <w:r w:rsidRPr="00CE27A9">
              <w:t>1.94</w:t>
            </w:r>
          </w:p>
        </w:tc>
        <w:tc>
          <w:tcPr>
            <w:tcW w:w="1396" w:type="dxa"/>
            <w:vAlign w:val="bottom"/>
          </w:tcPr>
          <w:p w:rsidR="009B4584" w:rsidRPr="00CE27A9" w:rsidRDefault="009B4584" w:rsidP="00A44624">
            <w:pPr>
              <w:pStyle w:val="TableBodyText"/>
              <w:rPr>
                <w:i/>
              </w:rPr>
            </w:pPr>
            <w:r w:rsidRPr="00CE27A9">
              <w:t>3.88</w:t>
            </w:r>
          </w:p>
        </w:tc>
        <w:tc>
          <w:tcPr>
            <w:tcW w:w="1396" w:type="dxa"/>
            <w:vAlign w:val="bottom"/>
          </w:tcPr>
          <w:p w:rsidR="009B4584" w:rsidRPr="00CE27A9" w:rsidRDefault="009B4584" w:rsidP="00A44624">
            <w:pPr>
              <w:pStyle w:val="TableBodyText"/>
              <w:rPr>
                <w:i/>
              </w:rPr>
            </w:pPr>
            <w:r w:rsidRPr="00CE27A9">
              <w:t>51</w:t>
            </w:r>
          </w:p>
        </w:tc>
      </w:tr>
      <w:tr w:rsidR="009B4584" w:rsidTr="00FA688E">
        <w:tc>
          <w:tcPr>
            <w:tcW w:w="581" w:type="dxa"/>
            <w:gridSpan w:val="2"/>
            <w:vAlign w:val="bottom"/>
          </w:tcPr>
          <w:p w:rsidR="009B4584" w:rsidRDefault="009B4584" w:rsidP="00037F25">
            <w:pPr>
              <w:pStyle w:val="TableBodyText"/>
              <w:jc w:val="left"/>
              <w:rPr>
                <w:szCs w:val="24"/>
              </w:rPr>
            </w:pPr>
            <w:r>
              <w:t>23</w:t>
            </w:r>
          </w:p>
        </w:tc>
        <w:tc>
          <w:tcPr>
            <w:tcW w:w="4020" w:type="dxa"/>
            <w:vAlign w:val="bottom"/>
          </w:tcPr>
          <w:p w:rsidR="009B4584" w:rsidRDefault="009B4584" w:rsidP="00037F25">
            <w:pPr>
              <w:pStyle w:val="TableBodyText"/>
              <w:jc w:val="left"/>
              <w:rPr>
                <w:i/>
              </w:rPr>
            </w:pPr>
            <w:r>
              <w:t>Rubber and plastic products</w:t>
            </w:r>
          </w:p>
        </w:tc>
        <w:tc>
          <w:tcPr>
            <w:tcW w:w="1396" w:type="dxa"/>
            <w:vAlign w:val="bottom"/>
          </w:tcPr>
          <w:p w:rsidR="009B4584" w:rsidRPr="00CE27A9" w:rsidRDefault="009B4584" w:rsidP="00A44624">
            <w:pPr>
              <w:pStyle w:val="TableBodyText"/>
              <w:rPr>
                <w:i/>
              </w:rPr>
            </w:pPr>
            <w:r w:rsidRPr="00CE27A9">
              <w:t>1.5</w:t>
            </w:r>
            <w:r>
              <w:t>0</w:t>
            </w:r>
          </w:p>
        </w:tc>
        <w:tc>
          <w:tcPr>
            <w:tcW w:w="1396" w:type="dxa"/>
            <w:vAlign w:val="bottom"/>
          </w:tcPr>
          <w:p w:rsidR="009B4584" w:rsidRPr="00CE27A9" w:rsidRDefault="009B4584" w:rsidP="00A44624">
            <w:pPr>
              <w:pStyle w:val="TableBodyText"/>
              <w:rPr>
                <w:i/>
              </w:rPr>
            </w:pPr>
            <w:r w:rsidRPr="00CE27A9">
              <w:t>3.00</w:t>
            </w:r>
          </w:p>
        </w:tc>
        <w:tc>
          <w:tcPr>
            <w:tcW w:w="1396" w:type="dxa"/>
            <w:vAlign w:val="bottom"/>
          </w:tcPr>
          <w:p w:rsidR="009B4584" w:rsidRPr="00CE27A9" w:rsidRDefault="009B4584" w:rsidP="00A44624">
            <w:pPr>
              <w:pStyle w:val="TableBodyText"/>
              <w:rPr>
                <w:i/>
              </w:rPr>
            </w:pPr>
            <w:r w:rsidRPr="00CE27A9">
              <w:t>38</w:t>
            </w:r>
          </w:p>
        </w:tc>
      </w:tr>
      <w:tr w:rsidR="009B4584" w:rsidTr="00FA688E">
        <w:tc>
          <w:tcPr>
            <w:tcW w:w="581" w:type="dxa"/>
            <w:gridSpan w:val="2"/>
            <w:vAlign w:val="bottom"/>
          </w:tcPr>
          <w:p w:rsidR="009B4584" w:rsidRDefault="009B4584" w:rsidP="00037F25">
            <w:pPr>
              <w:pStyle w:val="TableBodyText"/>
              <w:jc w:val="left"/>
              <w:rPr>
                <w:szCs w:val="24"/>
              </w:rPr>
            </w:pPr>
            <w:r>
              <w:t>24</w:t>
            </w:r>
          </w:p>
        </w:tc>
        <w:tc>
          <w:tcPr>
            <w:tcW w:w="4020" w:type="dxa"/>
            <w:vAlign w:val="bottom"/>
          </w:tcPr>
          <w:p w:rsidR="009B4584" w:rsidRDefault="009B4584" w:rsidP="00037F25">
            <w:pPr>
              <w:pStyle w:val="TableBodyText"/>
              <w:jc w:val="left"/>
              <w:rPr>
                <w:i/>
              </w:rPr>
            </w:pPr>
            <w:r>
              <w:t>Other non-metallic minerals products</w:t>
            </w:r>
          </w:p>
        </w:tc>
        <w:tc>
          <w:tcPr>
            <w:tcW w:w="1396" w:type="dxa"/>
            <w:vAlign w:val="bottom"/>
          </w:tcPr>
          <w:p w:rsidR="009B4584" w:rsidRPr="00CE27A9" w:rsidRDefault="009B4584" w:rsidP="00A44624">
            <w:pPr>
              <w:pStyle w:val="TableBodyText"/>
              <w:rPr>
                <w:i/>
              </w:rPr>
            </w:pPr>
            <w:r w:rsidRPr="00CE27A9">
              <w:t>1.18</w:t>
            </w:r>
          </w:p>
        </w:tc>
        <w:tc>
          <w:tcPr>
            <w:tcW w:w="1396" w:type="dxa"/>
            <w:vAlign w:val="bottom"/>
          </w:tcPr>
          <w:p w:rsidR="009B4584" w:rsidRPr="00CE27A9" w:rsidRDefault="009B4584" w:rsidP="00A44624">
            <w:pPr>
              <w:pStyle w:val="TableBodyText"/>
              <w:rPr>
                <w:i/>
              </w:rPr>
            </w:pPr>
            <w:r w:rsidRPr="00CE27A9">
              <w:t>2.36</w:t>
            </w:r>
          </w:p>
        </w:tc>
        <w:tc>
          <w:tcPr>
            <w:tcW w:w="1396" w:type="dxa"/>
            <w:vAlign w:val="bottom"/>
          </w:tcPr>
          <w:p w:rsidR="009B4584" w:rsidRPr="00CE27A9" w:rsidRDefault="009B4584" w:rsidP="00A44624">
            <w:pPr>
              <w:pStyle w:val="TableBodyText"/>
              <w:rPr>
                <w:i/>
              </w:rPr>
            </w:pPr>
            <w:r w:rsidRPr="00CE27A9">
              <w:t>23</w:t>
            </w:r>
          </w:p>
        </w:tc>
      </w:tr>
      <w:tr w:rsidR="009B4584" w:rsidTr="00FA688E">
        <w:tc>
          <w:tcPr>
            <w:tcW w:w="581" w:type="dxa"/>
            <w:gridSpan w:val="2"/>
            <w:vAlign w:val="bottom"/>
          </w:tcPr>
          <w:p w:rsidR="009B4584" w:rsidRDefault="009B4584" w:rsidP="00037F25">
            <w:pPr>
              <w:pStyle w:val="TableBodyText"/>
              <w:jc w:val="left"/>
              <w:rPr>
                <w:szCs w:val="24"/>
              </w:rPr>
            </w:pPr>
            <w:r>
              <w:t>25</w:t>
            </w:r>
          </w:p>
        </w:tc>
        <w:tc>
          <w:tcPr>
            <w:tcW w:w="4020" w:type="dxa"/>
            <w:vAlign w:val="bottom"/>
          </w:tcPr>
          <w:p w:rsidR="009B4584" w:rsidRDefault="009B4584" w:rsidP="00037F25">
            <w:pPr>
              <w:pStyle w:val="TableBodyText"/>
              <w:jc w:val="left"/>
              <w:rPr>
                <w:i/>
              </w:rPr>
            </w:pPr>
            <w:r>
              <w:t>Cement and lime</w:t>
            </w:r>
          </w:p>
        </w:tc>
        <w:tc>
          <w:tcPr>
            <w:tcW w:w="1396" w:type="dxa"/>
            <w:vAlign w:val="bottom"/>
          </w:tcPr>
          <w:p w:rsidR="009B4584" w:rsidRPr="00CE27A9" w:rsidRDefault="009B4584" w:rsidP="00A44624">
            <w:pPr>
              <w:pStyle w:val="TableBodyText"/>
              <w:rPr>
                <w:i/>
              </w:rPr>
            </w:pPr>
            <w:r w:rsidRPr="00CE27A9">
              <w:t>0.26</w:t>
            </w:r>
          </w:p>
        </w:tc>
        <w:tc>
          <w:tcPr>
            <w:tcW w:w="1396" w:type="dxa"/>
            <w:vAlign w:val="bottom"/>
          </w:tcPr>
          <w:p w:rsidR="009B4584" w:rsidRPr="00CE27A9" w:rsidRDefault="009B4584" w:rsidP="00A44624">
            <w:pPr>
              <w:pStyle w:val="TableBodyText"/>
              <w:rPr>
                <w:i/>
              </w:rPr>
            </w:pPr>
            <w:r w:rsidRPr="00CE27A9">
              <w:t>0.52</w:t>
            </w:r>
          </w:p>
        </w:tc>
        <w:tc>
          <w:tcPr>
            <w:tcW w:w="1396" w:type="dxa"/>
            <w:vAlign w:val="bottom"/>
          </w:tcPr>
          <w:p w:rsidR="009B4584" w:rsidRPr="00CE27A9" w:rsidRDefault="009B4584" w:rsidP="00A44624">
            <w:pPr>
              <w:pStyle w:val="TableBodyText"/>
              <w:rPr>
                <w:i/>
              </w:rPr>
            </w:pPr>
            <w:r w:rsidRPr="00CE27A9">
              <w:t>2</w:t>
            </w:r>
          </w:p>
        </w:tc>
      </w:tr>
      <w:tr w:rsidR="009B4584" w:rsidTr="00FA688E">
        <w:tc>
          <w:tcPr>
            <w:tcW w:w="581" w:type="dxa"/>
            <w:gridSpan w:val="2"/>
            <w:vAlign w:val="bottom"/>
          </w:tcPr>
          <w:p w:rsidR="009B4584" w:rsidRDefault="009B4584" w:rsidP="00037F25">
            <w:pPr>
              <w:pStyle w:val="TableBodyText"/>
              <w:jc w:val="left"/>
              <w:rPr>
                <w:szCs w:val="24"/>
              </w:rPr>
            </w:pPr>
            <w:r>
              <w:t>26</w:t>
            </w:r>
          </w:p>
        </w:tc>
        <w:tc>
          <w:tcPr>
            <w:tcW w:w="4020" w:type="dxa"/>
            <w:vAlign w:val="bottom"/>
          </w:tcPr>
          <w:p w:rsidR="009B4584" w:rsidRDefault="009B4584" w:rsidP="00037F25">
            <w:pPr>
              <w:pStyle w:val="TableBodyText"/>
              <w:jc w:val="left"/>
              <w:rPr>
                <w:i/>
              </w:rPr>
            </w:pPr>
            <w:r>
              <w:t>Iron and steel</w:t>
            </w:r>
          </w:p>
        </w:tc>
        <w:tc>
          <w:tcPr>
            <w:tcW w:w="1396" w:type="dxa"/>
            <w:vAlign w:val="bottom"/>
          </w:tcPr>
          <w:p w:rsidR="009B4584" w:rsidRPr="00CE27A9" w:rsidRDefault="009B4584" w:rsidP="00A44624">
            <w:pPr>
              <w:pStyle w:val="TableBodyText"/>
              <w:rPr>
                <w:i/>
              </w:rPr>
            </w:pPr>
            <w:r w:rsidRPr="00CE27A9">
              <w:t>0.82</w:t>
            </w:r>
          </w:p>
        </w:tc>
        <w:tc>
          <w:tcPr>
            <w:tcW w:w="1396" w:type="dxa"/>
            <w:vAlign w:val="bottom"/>
          </w:tcPr>
          <w:p w:rsidR="009B4584" w:rsidRPr="00CE27A9" w:rsidRDefault="009B4584" w:rsidP="00A44624">
            <w:pPr>
              <w:pStyle w:val="TableBodyText"/>
              <w:rPr>
                <w:i/>
              </w:rPr>
            </w:pPr>
            <w:r w:rsidRPr="00CE27A9">
              <w:t>1.64</w:t>
            </w:r>
          </w:p>
        </w:tc>
        <w:tc>
          <w:tcPr>
            <w:tcW w:w="1396" w:type="dxa"/>
            <w:vAlign w:val="bottom"/>
          </w:tcPr>
          <w:p w:rsidR="009B4584" w:rsidRPr="00CE27A9" w:rsidRDefault="009B4584" w:rsidP="00A44624">
            <w:pPr>
              <w:pStyle w:val="TableBodyText"/>
              <w:rPr>
                <w:i/>
              </w:rPr>
            </w:pPr>
            <w:r w:rsidRPr="00CE27A9">
              <w:t>28</w:t>
            </w:r>
          </w:p>
        </w:tc>
      </w:tr>
      <w:tr w:rsidR="009B4584" w:rsidTr="00FA688E">
        <w:tc>
          <w:tcPr>
            <w:tcW w:w="581" w:type="dxa"/>
            <w:gridSpan w:val="2"/>
            <w:vAlign w:val="bottom"/>
          </w:tcPr>
          <w:p w:rsidR="009B4584" w:rsidRDefault="009B4584" w:rsidP="00037F25">
            <w:pPr>
              <w:pStyle w:val="TableBodyText"/>
              <w:jc w:val="left"/>
              <w:rPr>
                <w:szCs w:val="24"/>
              </w:rPr>
            </w:pPr>
            <w:r>
              <w:t>27</w:t>
            </w:r>
          </w:p>
        </w:tc>
        <w:tc>
          <w:tcPr>
            <w:tcW w:w="4020" w:type="dxa"/>
            <w:vAlign w:val="bottom"/>
          </w:tcPr>
          <w:p w:rsidR="009B4584" w:rsidRDefault="009B4584" w:rsidP="00037F25">
            <w:pPr>
              <w:pStyle w:val="TableBodyText"/>
              <w:jc w:val="left"/>
              <w:rPr>
                <w:i/>
              </w:rPr>
            </w:pPr>
            <w:r>
              <w:t>Alumina</w:t>
            </w:r>
          </w:p>
        </w:tc>
        <w:tc>
          <w:tcPr>
            <w:tcW w:w="1396" w:type="dxa"/>
            <w:vAlign w:val="bottom"/>
          </w:tcPr>
          <w:p w:rsidR="009B4584" w:rsidRPr="00CE27A9" w:rsidRDefault="009B4584" w:rsidP="00A44624">
            <w:pPr>
              <w:pStyle w:val="TableBodyText"/>
              <w:rPr>
                <w:i/>
              </w:rPr>
            </w:pPr>
            <w:r w:rsidRPr="00CE27A9">
              <w:t>1</w:t>
            </w:r>
            <w:r>
              <w:t>.00</w:t>
            </w:r>
          </w:p>
        </w:tc>
        <w:tc>
          <w:tcPr>
            <w:tcW w:w="1396" w:type="dxa"/>
            <w:vAlign w:val="bottom"/>
          </w:tcPr>
          <w:p w:rsidR="009B4584" w:rsidRPr="00CE27A9" w:rsidRDefault="009B4584" w:rsidP="00A44624">
            <w:pPr>
              <w:pStyle w:val="TableBodyText"/>
              <w:rPr>
                <w:i/>
              </w:rPr>
            </w:pPr>
            <w:r w:rsidRPr="00CE27A9">
              <w:t>2.00</w:t>
            </w:r>
          </w:p>
        </w:tc>
        <w:tc>
          <w:tcPr>
            <w:tcW w:w="1396" w:type="dxa"/>
            <w:vAlign w:val="bottom"/>
          </w:tcPr>
          <w:p w:rsidR="009B4584" w:rsidRPr="00CE27A9" w:rsidRDefault="009B4584" w:rsidP="00A44624">
            <w:pPr>
              <w:pStyle w:val="TableBodyText"/>
              <w:rPr>
                <w:i/>
              </w:rPr>
            </w:pPr>
            <w:r w:rsidRPr="00CE27A9">
              <w:t>4</w:t>
            </w:r>
          </w:p>
        </w:tc>
      </w:tr>
      <w:tr w:rsidR="009B4584" w:rsidTr="00FA688E">
        <w:tc>
          <w:tcPr>
            <w:tcW w:w="581" w:type="dxa"/>
            <w:gridSpan w:val="2"/>
            <w:vAlign w:val="bottom"/>
          </w:tcPr>
          <w:p w:rsidR="009B4584" w:rsidRDefault="009B4584" w:rsidP="00037F25">
            <w:pPr>
              <w:pStyle w:val="TableBodyText"/>
              <w:jc w:val="left"/>
              <w:rPr>
                <w:szCs w:val="24"/>
              </w:rPr>
            </w:pPr>
            <w:r>
              <w:t>28</w:t>
            </w:r>
          </w:p>
        </w:tc>
        <w:tc>
          <w:tcPr>
            <w:tcW w:w="4020" w:type="dxa"/>
            <w:vAlign w:val="bottom"/>
          </w:tcPr>
          <w:p w:rsidR="009B4584" w:rsidRDefault="009B4584" w:rsidP="00037F25">
            <w:pPr>
              <w:pStyle w:val="TableBodyText"/>
              <w:jc w:val="left"/>
              <w:rPr>
                <w:i/>
              </w:rPr>
            </w:pPr>
            <w:r>
              <w:t>Aluminium</w:t>
            </w:r>
          </w:p>
        </w:tc>
        <w:tc>
          <w:tcPr>
            <w:tcW w:w="1396" w:type="dxa"/>
            <w:vAlign w:val="bottom"/>
          </w:tcPr>
          <w:p w:rsidR="009B4584" w:rsidRPr="00CE27A9" w:rsidRDefault="009B4584" w:rsidP="00A44624">
            <w:pPr>
              <w:pStyle w:val="TableBodyText"/>
              <w:rPr>
                <w:i/>
              </w:rPr>
            </w:pPr>
            <w:r w:rsidRPr="00CE27A9">
              <w:t>1</w:t>
            </w:r>
            <w:r>
              <w:t>.00</w:t>
            </w:r>
          </w:p>
        </w:tc>
        <w:tc>
          <w:tcPr>
            <w:tcW w:w="1396" w:type="dxa"/>
            <w:vAlign w:val="bottom"/>
          </w:tcPr>
          <w:p w:rsidR="009B4584" w:rsidRPr="00CE27A9" w:rsidRDefault="009B4584" w:rsidP="00A44624">
            <w:pPr>
              <w:pStyle w:val="TableBodyText"/>
              <w:rPr>
                <w:i/>
              </w:rPr>
            </w:pPr>
            <w:r w:rsidRPr="00CE27A9">
              <w:t>2.00</w:t>
            </w:r>
          </w:p>
        </w:tc>
        <w:tc>
          <w:tcPr>
            <w:tcW w:w="1396" w:type="dxa"/>
            <w:vAlign w:val="bottom"/>
          </w:tcPr>
          <w:p w:rsidR="009B4584" w:rsidRPr="00CE27A9" w:rsidRDefault="00037F25" w:rsidP="00A44624">
            <w:pPr>
              <w:pStyle w:val="TableBodyText"/>
              <w:rPr>
                <w:i/>
              </w:rPr>
            </w:pPr>
            <w:r w:rsidRPr="00CE27A9">
              <w:t>2</w:t>
            </w:r>
            <w:r>
              <w:t>5</w:t>
            </w:r>
          </w:p>
        </w:tc>
      </w:tr>
      <w:tr w:rsidR="009B4584" w:rsidTr="00FA688E">
        <w:tc>
          <w:tcPr>
            <w:tcW w:w="581" w:type="dxa"/>
            <w:gridSpan w:val="2"/>
            <w:vAlign w:val="bottom"/>
          </w:tcPr>
          <w:p w:rsidR="009B4584" w:rsidRDefault="009B4584" w:rsidP="00037F25">
            <w:pPr>
              <w:pStyle w:val="TableBodyText"/>
              <w:jc w:val="left"/>
              <w:rPr>
                <w:szCs w:val="24"/>
              </w:rPr>
            </w:pPr>
            <w:r>
              <w:t>29</w:t>
            </w:r>
          </w:p>
        </w:tc>
        <w:tc>
          <w:tcPr>
            <w:tcW w:w="4020" w:type="dxa"/>
            <w:vAlign w:val="bottom"/>
          </w:tcPr>
          <w:p w:rsidR="009B4584" w:rsidRDefault="009B4584" w:rsidP="00037F25">
            <w:pPr>
              <w:pStyle w:val="TableBodyText"/>
              <w:jc w:val="left"/>
              <w:rPr>
                <w:i/>
              </w:rPr>
            </w:pPr>
            <w:r>
              <w:t>Other non-ferrous metals</w:t>
            </w:r>
          </w:p>
        </w:tc>
        <w:tc>
          <w:tcPr>
            <w:tcW w:w="1396" w:type="dxa"/>
            <w:vAlign w:val="bottom"/>
          </w:tcPr>
          <w:p w:rsidR="009B4584" w:rsidRPr="00CE27A9" w:rsidRDefault="009B4584" w:rsidP="00A44624">
            <w:pPr>
              <w:pStyle w:val="TableBodyText"/>
              <w:rPr>
                <w:i/>
              </w:rPr>
            </w:pPr>
            <w:r w:rsidRPr="00CE27A9">
              <w:t>1</w:t>
            </w:r>
            <w:r>
              <w:t>.00</w:t>
            </w:r>
          </w:p>
        </w:tc>
        <w:tc>
          <w:tcPr>
            <w:tcW w:w="1396" w:type="dxa"/>
            <w:vAlign w:val="bottom"/>
          </w:tcPr>
          <w:p w:rsidR="009B4584" w:rsidRPr="00CE27A9" w:rsidRDefault="009B4584" w:rsidP="00A44624">
            <w:pPr>
              <w:pStyle w:val="TableBodyText"/>
              <w:rPr>
                <w:i/>
              </w:rPr>
            </w:pPr>
            <w:r w:rsidRPr="00CE27A9">
              <w:t>2.00</w:t>
            </w:r>
          </w:p>
        </w:tc>
        <w:tc>
          <w:tcPr>
            <w:tcW w:w="1396" w:type="dxa"/>
            <w:vAlign w:val="bottom"/>
          </w:tcPr>
          <w:p w:rsidR="009B4584" w:rsidRPr="00CE27A9" w:rsidRDefault="009B4584" w:rsidP="00A44624">
            <w:pPr>
              <w:pStyle w:val="TableBodyText"/>
              <w:rPr>
                <w:i/>
              </w:rPr>
            </w:pPr>
            <w:r w:rsidRPr="00CE27A9">
              <w:t>23</w:t>
            </w:r>
          </w:p>
        </w:tc>
      </w:tr>
      <w:tr w:rsidR="009B4584" w:rsidTr="00FA688E">
        <w:tc>
          <w:tcPr>
            <w:tcW w:w="581" w:type="dxa"/>
            <w:gridSpan w:val="2"/>
            <w:vAlign w:val="bottom"/>
          </w:tcPr>
          <w:p w:rsidR="009B4584" w:rsidRDefault="009B4584" w:rsidP="00037F25">
            <w:pPr>
              <w:pStyle w:val="TableBodyText"/>
              <w:jc w:val="left"/>
              <w:rPr>
                <w:szCs w:val="24"/>
              </w:rPr>
            </w:pPr>
            <w:r>
              <w:t>30</w:t>
            </w:r>
          </w:p>
        </w:tc>
        <w:tc>
          <w:tcPr>
            <w:tcW w:w="4020" w:type="dxa"/>
            <w:vAlign w:val="bottom"/>
          </w:tcPr>
          <w:p w:rsidR="009B4584" w:rsidRDefault="009B4584" w:rsidP="00037F25">
            <w:pPr>
              <w:pStyle w:val="TableBodyText"/>
              <w:jc w:val="left"/>
              <w:rPr>
                <w:i/>
              </w:rPr>
            </w:pPr>
            <w:r>
              <w:t>Metal products</w:t>
            </w:r>
          </w:p>
        </w:tc>
        <w:tc>
          <w:tcPr>
            <w:tcW w:w="1396" w:type="dxa"/>
            <w:vAlign w:val="bottom"/>
          </w:tcPr>
          <w:p w:rsidR="009B4584" w:rsidRPr="00CE27A9" w:rsidRDefault="009B4584" w:rsidP="00A44624">
            <w:pPr>
              <w:pStyle w:val="TableBodyText"/>
              <w:rPr>
                <w:i/>
              </w:rPr>
            </w:pPr>
            <w:r w:rsidRPr="00CE27A9">
              <w:t>1.89</w:t>
            </w:r>
          </w:p>
        </w:tc>
        <w:tc>
          <w:tcPr>
            <w:tcW w:w="1396" w:type="dxa"/>
            <w:vAlign w:val="bottom"/>
          </w:tcPr>
          <w:p w:rsidR="009B4584" w:rsidRPr="00CE27A9" w:rsidRDefault="009B4584" w:rsidP="00A44624">
            <w:pPr>
              <w:pStyle w:val="TableBodyText"/>
              <w:rPr>
                <w:i/>
              </w:rPr>
            </w:pPr>
            <w:r w:rsidRPr="00CE27A9">
              <w:t>3.78</w:t>
            </w:r>
          </w:p>
        </w:tc>
        <w:tc>
          <w:tcPr>
            <w:tcW w:w="1396" w:type="dxa"/>
            <w:vAlign w:val="bottom"/>
          </w:tcPr>
          <w:p w:rsidR="009B4584" w:rsidRPr="00CE27A9" w:rsidRDefault="009B4584" w:rsidP="00A44624">
            <w:pPr>
              <w:pStyle w:val="TableBodyText"/>
              <w:rPr>
                <w:i/>
              </w:rPr>
            </w:pPr>
            <w:r w:rsidRPr="00CE27A9">
              <w:t>22</w:t>
            </w:r>
          </w:p>
        </w:tc>
      </w:tr>
      <w:tr w:rsidR="009B4584" w:rsidRPr="00E42C5F" w:rsidTr="00FA688E">
        <w:tc>
          <w:tcPr>
            <w:tcW w:w="581" w:type="dxa"/>
            <w:gridSpan w:val="2"/>
            <w:vAlign w:val="bottom"/>
          </w:tcPr>
          <w:p w:rsidR="009B4584" w:rsidRPr="00A44624" w:rsidRDefault="009B4584" w:rsidP="00037F25">
            <w:pPr>
              <w:pStyle w:val="TableBodyText"/>
              <w:jc w:val="left"/>
              <w:rPr>
                <w:b/>
                <w:szCs w:val="24"/>
              </w:rPr>
            </w:pPr>
            <w:r w:rsidRPr="00A44624">
              <w:rPr>
                <w:b/>
              </w:rPr>
              <w:t>31</w:t>
            </w:r>
          </w:p>
        </w:tc>
        <w:tc>
          <w:tcPr>
            <w:tcW w:w="4020" w:type="dxa"/>
            <w:vAlign w:val="bottom"/>
          </w:tcPr>
          <w:p w:rsidR="009B4584" w:rsidRPr="00A44624" w:rsidRDefault="00E877DE" w:rsidP="00037F25">
            <w:pPr>
              <w:pStyle w:val="TableBodyText"/>
              <w:framePr w:w="2155" w:hSpace="227" w:vSpace="181" w:wrap="around" w:vAnchor="text" w:hAnchor="page" w:xAlign="outside" w:y="1"/>
              <w:jc w:val="left"/>
              <w:rPr>
                <w:b/>
                <w:i/>
              </w:rPr>
            </w:pPr>
            <w:r w:rsidRPr="00A44624">
              <w:rPr>
                <w:b/>
              </w:rPr>
              <w:t>Passenger motor vehicle manufacturing</w:t>
            </w:r>
          </w:p>
        </w:tc>
        <w:tc>
          <w:tcPr>
            <w:tcW w:w="1396" w:type="dxa"/>
            <w:vAlign w:val="bottom"/>
          </w:tcPr>
          <w:p w:rsidR="009B4584" w:rsidRPr="00A44624" w:rsidRDefault="009B4584" w:rsidP="00A44624">
            <w:pPr>
              <w:pStyle w:val="TableBodyText"/>
              <w:rPr>
                <w:b/>
                <w:i/>
              </w:rPr>
            </w:pPr>
            <w:r w:rsidRPr="00A44624">
              <w:rPr>
                <w:b/>
              </w:rPr>
              <w:t>5.20</w:t>
            </w:r>
          </w:p>
        </w:tc>
        <w:tc>
          <w:tcPr>
            <w:tcW w:w="1396" w:type="dxa"/>
            <w:vAlign w:val="bottom"/>
          </w:tcPr>
          <w:p w:rsidR="009B4584" w:rsidRPr="00A44624" w:rsidRDefault="009B4584" w:rsidP="00A44624">
            <w:pPr>
              <w:pStyle w:val="TableBodyText"/>
              <w:rPr>
                <w:b/>
                <w:i/>
              </w:rPr>
            </w:pPr>
            <w:r w:rsidRPr="00A44624">
              <w:rPr>
                <w:b/>
              </w:rPr>
              <w:t>10.40</w:t>
            </w:r>
          </w:p>
        </w:tc>
        <w:tc>
          <w:tcPr>
            <w:tcW w:w="1396" w:type="dxa"/>
            <w:vAlign w:val="bottom"/>
          </w:tcPr>
          <w:p w:rsidR="009B4584" w:rsidRPr="00A44624" w:rsidRDefault="00037F25" w:rsidP="00A44624">
            <w:pPr>
              <w:pStyle w:val="TableBodyText"/>
              <w:rPr>
                <w:b/>
                <w:i/>
              </w:rPr>
            </w:pPr>
            <w:r>
              <w:rPr>
                <w:b/>
              </w:rPr>
              <w:t>59</w:t>
            </w:r>
          </w:p>
        </w:tc>
      </w:tr>
      <w:tr w:rsidR="009B4584" w:rsidRPr="00E42C5F" w:rsidTr="00FA688E">
        <w:tc>
          <w:tcPr>
            <w:tcW w:w="581" w:type="dxa"/>
            <w:gridSpan w:val="2"/>
            <w:vAlign w:val="bottom"/>
          </w:tcPr>
          <w:p w:rsidR="009B4584" w:rsidRPr="00A44624" w:rsidRDefault="009B4584" w:rsidP="00037F25">
            <w:pPr>
              <w:pStyle w:val="TableBodyText"/>
              <w:jc w:val="left"/>
              <w:rPr>
                <w:b/>
                <w:szCs w:val="24"/>
              </w:rPr>
            </w:pPr>
            <w:r w:rsidRPr="00A44624">
              <w:rPr>
                <w:b/>
              </w:rPr>
              <w:t>32</w:t>
            </w:r>
          </w:p>
        </w:tc>
        <w:tc>
          <w:tcPr>
            <w:tcW w:w="4020" w:type="dxa"/>
            <w:vAlign w:val="bottom"/>
          </w:tcPr>
          <w:p w:rsidR="009B4584" w:rsidRPr="00A44624" w:rsidRDefault="009B4584">
            <w:pPr>
              <w:pStyle w:val="TableBodyText"/>
              <w:framePr w:w="2155" w:hSpace="227" w:vSpace="181" w:wrap="around" w:vAnchor="text" w:hAnchor="page" w:xAlign="outside" w:y="1"/>
              <w:jc w:val="left"/>
              <w:rPr>
                <w:b/>
                <w:i/>
              </w:rPr>
            </w:pPr>
            <w:r w:rsidRPr="00A44624">
              <w:rPr>
                <w:b/>
              </w:rPr>
              <w:t>Automotive components</w:t>
            </w:r>
            <w:r w:rsidR="00C405DC" w:rsidRPr="00A44624">
              <w:rPr>
                <w:b/>
              </w:rPr>
              <w:t xml:space="preserve"> manufacturing</w:t>
            </w:r>
            <w:r w:rsidR="00C7555C" w:rsidRPr="00B83F4E">
              <w:rPr>
                <w:rStyle w:val="NoteLabel"/>
              </w:rPr>
              <w:t>a</w:t>
            </w:r>
          </w:p>
        </w:tc>
        <w:tc>
          <w:tcPr>
            <w:tcW w:w="1396" w:type="dxa"/>
            <w:vAlign w:val="bottom"/>
          </w:tcPr>
          <w:p w:rsidR="009B4584" w:rsidRPr="00A44624" w:rsidRDefault="00C7555C" w:rsidP="00A44624">
            <w:pPr>
              <w:pStyle w:val="TableBodyText"/>
              <w:rPr>
                <w:b/>
                <w:i/>
              </w:rPr>
            </w:pPr>
            <w:r w:rsidRPr="00A44624">
              <w:rPr>
                <w:b/>
              </w:rPr>
              <w:t>2.</w:t>
            </w:r>
            <w:r w:rsidR="001E7ADD">
              <w:rPr>
                <w:b/>
              </w:rPr>
              <w:t>5</w:t>
            </w:r>
            <w:r w:rsidR="001E7ADD" w:rsidRPr="00A44624">
              <w:rPr>
                <w:b/>
              </w:rPr>
              <w:t>0</w:t>
            </w:r>
          </w:p>
        </w:tc>
        <w:tc>
          <w:tcPr>
            <w:tcW w:w="1396" w:type="dxa"/>
            <w:vAlign w:val="bottom"/>
          </w:tcPr>
          <w:p w:rsidR="009B4584" w:rsidRPr="00A44624" w:rsidRDefault="00C7555C" w:rsidP="00A44624">
            <w:pPr>
              <w:pStyle w:val="TableBodyText"/>
              <w:rPr>
                <w:b/>
                <w:i/>
              </w:rPr>
            </w:pPr>
            <w:r w:rsidRPr="00A44624">
              <w:rPr>
                <w:b/>
              </w:rPr>
              <w:t>5.00</w:t>
            </w:r>
          </w:p>
        </w:tc>
        <w:tc>
          <w:tcPr>
            <w:tcW w:w="1396" w:type="dxa"/>
            <w:vAlign w:val="bottom"/>
          </w:tcPr>
          <w:p w:rsidR="009B4584" w:rsidRPr="00A44624" w:rsidRDefault="00037F25" w:rsidP="00A44624">
            <w:pPr>
              <w:pStyle w:val="TableBodyText"/>
              <w:rPr>
                <w:b/>
                <w:i/>
              </w:rPr>
            </w:pPr>
            <w:r>
              <w:rPr>
                <w:b/>
              </w:rPr>
              <w:t>44</w:t>
            </w:r>
          </w:p>
        </w:tc>
      </w:tr>
      <w:tr w:rsidR="009B4584" w:rsidRPr="00E42C5F" w:rsidTr="002B0E32">
        <w:tc>
          <w:tcPr>
            <w:tcW w:w="581" w:type="dxa"/>
            <w:gridSpan w:val="2"/>
            <w:vAlign w:val="bottom"/>
          </w:tcPr>
          <w:p w:rsidR="009B4584" w:rsidRPr="00A44624" w:rsidRDefault="009B4584" w:rsidP="00037F25">
            <w:pPr>
              <w:pStyle w:val="TableBodyText"/>
              <w:jc w:val="left"/>
              <w:rPr>
                <w:b/>
                <w:szCs w:val="24"/>
              </w:rPr>
            </w:pPr>
            <w:r w:rsidRPr="00A44624">
              <w:rPr>
                <w:b/>
              </w:rPr>
              <w:t>33</w:t>
            </w:r>
          </w:p>
        </w:tc>
        <w:tc>
          <w:tcPr>
            <w:tcW w:w="4020" w:type="dxa"/>
            <w:vAlign w:val="bottom"/>
          </w:tcPr>
          <w:p w:rsidR="009B4584" w:rsidRPr="00A44624" w:rsidRDefault="009B4584" w:rsidP="00037F25">
            <w:pPr>
              <w:pStyle w:val="TableBodyText"/>
              <w:framePr w:w="2155" w:hSpace="227" w:vSpace="181" w:wrap="around" w:vAnchor="text" w:hAnchor="page" w:xAlign="outside" w:y="1"/>
              <w:jc w:val="left"/>
              <w:rPr>
                <w:b/>
                <w:i/>
              </w:rPr>
            </w:pPr>
            <w:r w:rsidRPr="00A44624">
              <w:rPr>
                <w:b/>
              </w:rPr>
              <w:t>Other automotive</w:t>
            </w:r>
            <w:r w:rsidR="00C405DC" w:rsidRPr="00A44624">
              <w:rPr>
                <w:b/>
              </w:rPr>
              <w:t xml:space="preserve"> manufacturing</w:t>
            </w:r>
          </w:p>
        </w:tc>
        <w:tc>
          <w:tcPr>
            <w:tcW w:w="1396" w:type="dxa"/>
            <w:vAlign w:val="bottom"/>
          </w:tcPr>
          <w:p w:rsidR="009B4584" w:rsidRPr="00A44624" w:rsidRDefault="009B4584" w:rsidP="00A44624">
            <w:pPr>
              <w:pStyle w:val="TableBodyText"/>
              <w:rPr>
                <w:b/>
                <w:i/>
              </w:rPr>
            </w:pPr>
            <w:r w:rsidRPr="00A44624">
              <w:rPr>
                <w:b/>
              </w:rPr>
              <w:t>5.20</w:t>
            </w:r>
          </w:p>
        </w:tc>
        <w:tc>
          <w:tcPr>
            <w:tcW w:w="1396" w:type="dxa"/>
            <w:vAlign w:val="bottom"/>
          </w:tcPr>
          <w:p w:rsidR="009B4584" w:rsidRPr="00A44624" w:rsidRDefault="009B4584" w:rsidP="00A44624">
            <w:pPr>
              <w:pStyle w:val="TableBodyText"/>
              <w:rPr>
                <w:b/>
                <w:i/>
              </w:rPr>
            </w:pPr>
            <w:r w:rsidRPr="00A44624">
              <w:rPr>
                <w:b/>
              </w:rPr>
              <w:t>10.40</w:t>
            </w:r>
          </w:p>
        </w:tc>
        <w:tc>
          <w:tcPr>
            <w:tcW w:w="1396" w:type="dxa"/>
            <w:vAlign w:val="bottom"/>
          </w:tcPr>
          <w:p w:rsidR="009B4584" w:rsidRPr="00A44624" w:rsidRDefault="00037F25" w:rsidP="00A44624">
            <w:pPr>
              <w:pStyle w:val="TableBodyText"/>
              <w:rPr>
                <w:b/>
                <w:i/>
              </w:rPr>
            </w:pPr>
            <w:r>
              <w:rPr>
                <w:b/>
              </w:rPr>
              <w:t>51</w:t>
            </w:r>
          </w:p>
        </w:tc>
      </w:tr>
      <w:tr w:rsidR="009B4584" w:rsidTr="002B0E32">
        <w:tc>
          <w:tcPr>
            <w:tcW w:w="581" w:type="dxa"/>
            <w:gridSpan w:val="2"/>
            <w:tcBorders>
              <w:bottom w:val="single" w:sz="4" w:space="0" w:color="auto"/>
            </w:tcBorders>
            <w:vAlign w:val="bottom"/>
          </w:tcPr>
          <w:p w:rsidR="009B4584" w:rsidRDefault="009B4584" w:rsidP="00037F25">
            <w:pPr>
              <w:pStyle w:val="TableBodyText"/>
              <w:jc w:val="left"/>
              <w:rPr>
                <w:szCs w:val="24"/>
              </w:rPr>
            </w:pPr>
            <w:r>
              <w:t>34</w:t>
            </w:r>
          </w:p>
        </w:tc>
        <w:tc>
          <w:tcPr>
            <w:tcW w:w="4020" w:type="dxa"/>
            <w:tcBorders>
              <w:bottom w:val="single" w:sz="4" w:space="0" w:color="auto"/>
            </w:tcBorders>
            <w:vAlign w:val="bottom"/>
          </w:tcPr>
          <w:p w:rsidR="009B4584" w:rsidRDefault="009B4584" w:rsidP="00037F25">
            <w:pPr>
              <w:pStyle w:val="TableBodyText"/>
              <w:jc w:val="left"/>
              <w:rPr>
                <w:i/>
              </w:rPr>
            </w:pPr>
            <w:r>
              <w:t xml:space="preserve">Other equipment </w:t>
            </w:r>
          </w:p>
        </w:tc>
        <w:tc>
          <w:tcPr>
            <w:tcW w:w="1396" w:type="dxa"/>
            <w:tcBorders>
              <w:bottom w:val="single" w:sz="4" w:space="0" w:color="auto"/>
            </w:tcBorders>
            <w:vAlign w:val="bottom"/>
          </w:tcPr>
          <w:p w:rsidR="009B4584" w:rsidRPr="00CE27A9" w:rsidRDefault="009B4584" w:rsidP="00A44624">
            <w:pPr>
              <w:pStyle w:val="TableBodyText"/>
              <w:rPr>
                <w:i/>
              </w:rPr>
            </w:pPr>
            <w:r w:rsidRPr="00CE27A9">
              <w:t>1.</w:t>
            </w:r>
            <w:r w:rsidRPr="00F744F2">
              <w:t>31</w:t>
            </w:r>
          </w:p>
        </w:tc>
        <w:tc>
          <w:tcPr>
            <w:tcW w:w="1396" w:type="dxa"/>
            <w:tcBorders>
              <w:bottom w:val="single" w:sz="4" w:space="0" w:color="auto"/>
            </w:tcBorders>
            <w:vAlign w:val="bottom"/>
          </w:tcPr>
          <w:p w:rsidR="009B4584" w:rsidRPr="00CE27A9" w:rsidRDefault="009B4584" w:rsidP="00A44624">
            <w:pPr>
              <w:pStyle w:val="TableBodyText"/>
              <w:rPr>
                <w:i/>
              </w:rPr>
            </w:pPr>
            <w:r w:rsidRPr="00CE27A9">
              <w:t>2.62</w:t>
            </w:r>
          </w:p>
        </w:tc>
        <w:tc>
          <w:tcPr>
            <w:tcW w:w="1396" w:type="dxa"/>
            <w:tcBorders>
              <w:bottom w:val="single" w:sz="4" w:space="0" w:color="auto"/>
            </w:tcBorders>
            <w:vAlign w:val="bottom"/>
          </w:tcPr>
          <w:p w:rsidR="009B4584" w:rsidRPr="00CE27A9" w:rsidRDefault="009B4584" w:rsidP="00A44624">
            <w:pPr>
              <w:pStyle w:val="TableBodyText"/>
              <w:rPr>
                <w:i/>
              </w:rPr>
            </w:pPr>
            <w:r w:rsidRPr="00CE27A9">
              <w:t>63</w:t>
            </w:r>
          </w:p>
        </w:tc>
      </w:tr>
    </w:tbl>
    <w:p w:rsidR="002B0E32" w:rsidRDefault="002B0E32" w:rsidP="002B0E32">
      <w:pPr>
        <w:pStyle w:val="Continued"/>
      </w:pPr>
      <w:r>
        <w:t>(Continued next page)</w:t>
      </w:r>
    </w:p>
    <w:p w:rsidR="003A072A" w:rsidRDefault="0033755D" w:rsidP="006454EB">
      <w:pPr>
        <w:pStyle w:val="TableColumnHeading"/>
        <w:jc w:val="left"/>
      </w:pPr>
      <w:r>
        <w:rPr>
          <w:rStyle w:val="TableTitleChar"/>
          <w:b w:val="0"/>
          <w:i w:val="0"/>
        </w:rPr>
        <w:lastRenderedPageBreak/>
        <w:t xml:space="preserve">Table </w:t>
      </w:r>
      <w:r w:rsidR="00B966EE">
        <w:rPr>
          <w:rStyle w:val="TableTitleChar"/>
          <w:b w:val="0"/>
          <w:i w:val="0"/>
        </w:rPr>
        <w:t>A</w:t>
      </w:r>
      <w:r w:rsidR="006454EB" w:rsidRPr="006454EB">
        <w:rPr>
          <w:rStyle w:val="TableTitleChar"/>
          <w:b w:val="0"/>
          <w:i w:val="0"/>
        </w:rPr>
        <w:t>.1</w:t>
      </w:r>
      <w:r w:rsidR="006454EB" w:rsidRPr="006454EB">
        <w:rPr>
          <w:rStyle w:val="TableTitleChar"/>
          <w:i w:val="0"/>
        </w:rPr>
        <w:tab/>
      </w:r>
      <w:r w:rsidR="006454EB" w:rsidRPr="006454EB">
        <w:rPr>
          <w:i w:val="0"/>
        </w:rPr>
        <w:t>(continued)</w:t>
      </w: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54"/>
        <w:gridCol w:w="4047"/>
        <w:gridCol w:w="1396"/>
        <w:gridCol w:w="1396"/>
        <w:gridCol w:w="1396"/>
      </w:tblGrid>
      <w:tr w:rsidR="00483B57" w:rsidRPr="00ED4D4C" w:rsidTr="00214594">
        <w:tc>
          <w:tcPr>
            <w:tcW w:w="561" w:type="dxa"/>
            <w:tcBorders>
              <w:top w:val="single" w:sz="4" w:space="0" w:color="auto"/>
              <w:bottom w:val="single" w:sz="4" w:space="0" w:color="auto"/>
            </w:tcBorders>
            <w:vAlign w:val="bottom"/>
          </w:tcPr>
          <w:p w:rsidR="00483B57" w:rsidRPr="00ED4D4C" w:rsidRDefault="00B65D5B">
            <w:pPr>
              <w:pStyle w:val="TableColumnHeading"/>
              <w:ind w:left="0"/>
              <w:jc w:val="left"/>
              <w:rPr>
                <w:szCs w:val="24"/>
              </w:rPr>
            </w:pPr>
            <w:r>
              <w:t>No.</w:t>
            </w:r>
          </w:p>
        </w:tc>
        <w:tc>
          <w:tcPr>
            <w:tcW w:w="4111" w:type="dxa"/>
            <w:tcBorders>
              <w:top w:val="single" w:sz="4" w:space="0" w:color="auto"/>
              <w:bottom w:val="single" w:sz="4" w:space="0" w:color="auto"/>
            </w:tcBorders>
            <w:vAlign w:val="bottom"/>
          </w:tcPr>
          <w:p w:rsidR="00483B57" w:rsidRPr="00ED4D4C" w:rsidRDefault="00483B57">
            <w:pPr>
              <w:pStyle w:val="TableColumnHeading"/>
              <w:ind w:left="0"/>
              <w:jc w:val="left"/>
            </w:pPr>
            <w:r w:rsidRPr="00ED4D4C">
              <w:t>MMRF industry</w:t>
            </w:r>
          </w:p>
        </w:tc>
        <w:tc>
          <w:tcPr>
            <w:tcW w:w="1418" w:type="dxa"/>
            <w:tcBorders>
              <w:top w:val="single" w:sz="4" w:space="0" w:color="auto"/>
              <w:bottom w:val="single" w:sz="4" w:space="0" w:color="auto"/>
            </w:tcBorders>
            <w:vAlign w:val="bottom"/>
          </w:tcPr>
          <w:p w:rsidR="00483B57" w:rsidRPr="00ED4D4C" w:rsidRDefault="00483B57">
            <w:pPr>
              <w:pStyle w:val="TableColumnHeading"/>
              <w:ind w:left="0"/>
            </w:pPr>
            <w:r w:rsidRPr="00ED4D4C">
              <w:t xml:space="preserve">Standard elasticity </w:t>
            </w:r>
          </w:p>
        </w:tc>
        <w:tc>
          <w:tcPr>
            <w:tcW w:w="1418" w:type="dxa"/>
            <w:tcBorders>
              <w:top w:val="single" w:sz="4" w:space="0" w:color="auto"/>
              <w:bottom w:val="single" w:sz="4" w:space="0" w:color="auto"/>
            </w:tcBorders>
            <w:vAlign w:val="bottom"/>
          </w:tcPr>
          <w:p w:rsidR="00483B57" w:rsidRPr="00ED4D4C" w:rsidRDefault="00483B57">
            <w:pPr>
              <w:pStyle w:val="TableColumnHeading"/>
              <w:ind w:left="0"/>
            </w:pPr>
            <w:r w:rsidRPr="00ED4D4C">
              <w:t>Higher elasticity</w:t>
            </w:r>
          </w:p>
        </w:tc>
        <w:tc>
          <w:tcPr>
            <w:tcW w:w="1418" w:type="dxa"/>
            <w:tcBorders>
              <w:top w:val="single" w:sz="4" w:space="0" w:color="auto"/>
              <w:bottom w:val="single" w:sz="4" w:space="0" w:color="auto"/>
            </w:tcBorders>
            <w:vAlign w:val="bottom"/>
          </w:tcPr>
          <w:p w:rsidR="00483B57" w:rsidRPr="00ED4D4C" w:rsidRDefault="00483B57" w:rsidP="00A44624">
            <w:pPr>
              <w:pStyle w:val="TableColumnHeading"/>
            </w:pPr>
            <w:r w:rsidRPr="00ED4D4C">
              <w:t>Import</w:t>
            </w:r>
            <w:r w:rsidR="00C405DC">
              <w:br/>
            </w:r>
            <w:r w:rsidRPr="00ED4D4C">
              <w:t>share in</w:t>
            </w:r>
            <w:r w:rsidR="00C405DC">
              <w:br/>
            </w:r>
            <w:r w:rsidRPr="00ED4D4C">
              <w:t>domestic use</w:t>
            </w:r>
          </w:p>
        </w:tc>
      </w:tr>
      <w:tr w:rsidR="00E958AD" w:rsidRPr="00ED4D4C" w:rsidTr="00214594">
        <w:tc>
          <w:tcPr>
            <w:tcW w:w="561" w:type="dxa"/>
            <w:tcBorders>
              <w:top w:val="single" w:sz="4" w:space="0" w:color="auto"/>
            </w:tcBorders>
          </w:tcPr>
          <w:p w:rsidR="00E958AD" w:rsidRDefault="00E958AD">
            <w:pPr>
              <w:pStyle w:val="TableUnitsRow"/>
              <w:rPr>
                <w:szCs w:val="24"/>
              </w:rPr>
            </w:pPr>
          </w:p>
        </w:tc>
        <w:tc>
          <w:tcPr>
            <w:tcW w:w="4111" w:type="dxa"/>
            <w:tcBorders>
              <w:top w:val="single" w:sz="4" w:space="0" w:color="auto"/>
            </w:tcBorders>
          </w:tcPr>
          <w:p w:rsidR="00E958AD" w:rsidRDefault="00E958AD">
            <w:pPr>
              <w:pStyle w:val="TableUnitsRow"/>
            </w:pPr>
          </w:p>
        </w:tc>
        <w:tc>
          <w:tcPr>
            <w:tcW w:w="1418" w:type="dxa"/>
            <w:tcBorders>
              <w:top w:val="single" w:sz="4" w:space="0" w:color="auto"/>
            </w:tcBorders>
            <w:vAlign w:val="bottom"/>
          </w:tcPr>
          <w:p w:rsidR="00E958AD" w:rsidRDefault="00E958AD">
            <w:pPr>
              <w:pStyle w:val="TableUnitsRow"/>
            </w:pPr>
          </w:p>
        </w:tc>
        <w:tc>
          <w:tcPr>
            <w:tcW w:w="1418" w:type="dxa"/>
            <w:tcBorders>
              <w:top w:val="single" w:sz="4" w:space="0" w:color="auto"/>
            </w:tcBorders>
          </w:tcPr>
          <w:p w:rsidR="00E958AD" w:rsidRDefault="00E958AD">
            <w:pPr>
              <w:pStyle w:val="TableUnitsRow"/>
              <w:rPr>
                <w:szCs w:val="24"/>
              </w:rPr>
            </w:pPr>
          </w:p>
        </w:tc>
        <w:tc>
          <w:tcPr>
            <w:tcW w:w="1418" w:type="dxa"/>
            <w:tcBorders>
              <w:top w:val="single" w:sz="4" w:space="0" w:color="auto"/>
            </w:tcBorders>
            <w:vAlign w:val="bottom"/>
          </w:tcPr>
          <w:p w:rsidR="00E958AD" w:rsidRPr="00E958AD" w:rsidRDefault="00E958AD" w:rsidP="00A44624">
            <w:pPr>
              <w:pStyle w:val="TableUnitsRow"/>
              <w:rPr>
                <w:i/>
              </w:rPr>
            </w:pPr>
            <w:r>
              <w:t>Per cent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t>35</w:t>
            </w:r>
          </w:p>
        </w:tc>
        <w:tc>
          <w:tcPr>
            <w:tcW w:w="4111" w:type="dxa"/>
            <w:vAlign w:val="bottom"/>
          </w:tcPr>
          <w:p w:rsidR="009B4584" w:rsidRPr="00ED4D4C" w:rsidRDefault="009B4584" w:rsidP="00A44624">
            <w:pPr>
              <w:pStyle w:val="TableBodyText"/>
              <w:ind w:left="0"/>
              <w:jc w:val="left"/>
              <w:rPr>
                <w:i/>
              </w:rPr>
            </w:pPr>
            <w:r>
              <w:t>Other manufacturing</w:t>
            </w:r>
          </w:p>
        </w:tc>
        <w:tc>
          <w:tcPr>
            <w:tcW w:w="1418" w:type="dxa"/>
            <w:vAlign w:val="bottom"/>
          </w:tcPr>
          <w:p w:rsidR="009B4584" w:rsidRPr="00CE27A9" w:rsidRDefault="009B4584">
            <w:pPr>
              <w:pStyle w:val="TableBodyText"/>
              <w:framePr w:w="2155" w:hSpace="227" w:vSpace="181" w:wrap="around" w:vAnchor="text" w:hAnchor="page" w:xAlign="outside" w:y="1"/>
              <w:ind w:left="0"/>
            </w:pPr>
            <w:r>
              <w:t>0.92</w:t>
            </w:r>
          </w:p>
        </w:tc>
        <w:tc>
          <w:tcPr>
            <w:tcW w:w="1418" w:type="dxa"/>
            <w:vAlign w:val="bottom"/>
          </w:tcPr>
          <w:p w:rsidR="009B4584" w:rsidRPr="00ED4D4C" w:rsidRDefault="009B4584" w:rsidP="00A44624">
            <w:pPr>
              <w:pStyle w:val="TableBodyText"/>
              <w:ind w:left="0"/>
              <w:rPr>
                <w:i/>
                <w:szCs w:val="24"/>
              </w:rPr>
            </w:pPr>
            <w:r>
              <w:rPr>
                <w:szCs w:val="24"/>
              </w:rPr>
              <w:t>1.84</w:t>
            </w:r>
          </w:p>
        </w:tc>
        <w:tc>
          <w:tcPr>
            <w:tcW w:w="1418" w:type="dxa"/>
            <w:vAlign w:val="bottom"/>
          </w:tcPr>
          <w:p w:rsidR="009B4584" w:rsidRPr="00CE27A9" w:rsidRDefault="009B4584" w:rsidP="00A44624">
            <w:pPr>
              <w:pStyle w:val="TableBodyText"/>
              <w:framePr w:w="2155" w:hSpace="227" w:vSpace="181" w:wrap="around" w:vAnchor="text" w:hAnchor="page" w:xAlign="outside" w:y="1"/>
            </w:pPr>
            <w:r w:rsidRPr="00CE27A9">
              <w:t>56</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3</w:t>
            </w:r>
            <w:r>
              <w:t>6</w:t>
            </w:r>
          </w:p>
        </w:tc>
        <w:tc>
          <w:tcPr>
            <w:tcW w:w="4111" w:type="dxa"/>
            <w:vAlign w:val="bottom"/>
          </w:tcPr>
          <w:p w:rsidR="009B4584" w:rsidRPr="00ED4D4C" w:rsidRDefault="009B4584" w:rsidP="00A44624">
            <w:pPr>
              <w:pStyle w:val="TableBodyText"/>
              <w:ind w:left="0"/>
              <w:jc w:val="left"/>
              <w:rPr>
                <w:i/>
              </w:rPr>
            </w:pPr>
            <w:r w:rsidRPr="00ED4D4C">
              <w:t>Electricity generation – coal</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CE27A9" w:rsidRDefault="009B4584" w:rsidP="00A44624">
            <w:pPr>
              <w:pStyle w:val="TableBodyText"/>
              <w:ind w:left="0"/>
              <w:rPr>
                <w:i/>
              </w:rPr>
            </w:pPr>
            <w:r w:rsidRPr="009D5A62">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3</w:t>
            </w:r>
            <w:r>
              <w:t>7</w:t>
            </w:r>
          </w:p>
        </w:tc>
        <w:tc>
          <w:tcPr>
            <w:tcW w:w="4111" w:type="dxa"/>
            <w:vAlign w:val="bottom"/>
          </w:tcPr>
          <w:p w:rsidR="009B4584" w:rsidRPr="00ED4D4C" w:rsidRDefault="009B4584" w:rsidP="00A44624">
            <w:pPr>
              <w:pStyle w:val="TableBodyText"/>
              <w:ind w:left="0"/>
              <w:jc w:val="left"/>
              <w:rPr>
                <w:i/>
              </w:rPr>
            </w:pPr>
            <w:r w:rsidRPr="00ED4D4C">
              <w:t>Electricity generation – gas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3</w:t>
            </w:r>
            <w:r>
              <w:t>8</w:t>
            </w:r>
          </w:p>
        </w:tc>
        <w:tc>
          <w:tcPr>
            <w:tcW w:w="4111" w:type="dxa"/>
            <w:vAlign w:val="bottom"/>
          </w:tcPr>
          <w:p w:rsidR="009B4584" w:rsidRPr="00ED4D4C" w:rsidRDefault="009B4584" w:rsidP="00A44624">
            <w:pPr>
              <w:pStyle w:val="TableBodyText"/>
              <w:ind w:left="0"/>
              <w:jc w:val="left"/>
              <w:rPr>
                <w:i/>
              </w:rPr>
            </w:pPr>
            <w:r w:rsidRPr="00ED4D4C">
              <w:t>Electricity generation – oil</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3</w:t>
            </w:r>
            <w:r>
              <w:t>9</w:t>
            </w:r>
          </w:p>
        </w:tc>
        <w:tc>
          <w:tcPr>
            <w:tcW w:w="4111" w:type="dxa"/>
            <w:vAlign w:val="bottom"/>
          </w:tcPr>
          <w:p w:rsidR="009B4584" w:rsidRPr="00ED4D4C" w:rsidRDefault="009B4584" w:rsidP="00A44624">
            <w:pPr>
              <w:pStyle w:val="TableBodyText"/>
              <w:ind w:left="0"/>
              <w:jc w:val="left"/>
              <w:rPr>
                <w:i/>
              </w:rPr>
            </w:pPr>
            <w:r w:rsidRPr="00ED4D4C">
              <w:t>Electricity generation – hydro</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pPr>
            <w:r>
              <w:t>40</w:t>
            </w:r>
          </w:p>
        </w:tc>
        <w:tc>
          <w:tcPr>
            <w:tcW w:w="4111" w:type="dxa"/>
            <w:vAlign w:val="bottom"/>
          </w:tcPr>
          <w:p w:rsidR="009B4584" w:rsidRPr="00ED4D4C" w:rsidRDefault="009B4584" w:rsidP="00A44624">
            <w:pPr>
              <w:pStyle w:val="TableBodyText"/>
              <w:ind w:left="0"/>
              <w:jc w:val="left"/>
              <w:rPr>
                <w:i/>
              </w:rPr>
            </w:pPr>
            <w:r w:rsidRPr="00ED4D4C">
              <w:t>Electricity generation – other</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pPr>
            <w:r>
              <w:t>41</w:t>
            </w:r>
          </w:p>
        </w:tc>
        <w:tc>
          <w:tcPr>
            <w:tcW w:w="4111" w:type="dxa"/>
            <w:vAlign w:val="bottom"/>
          </w:tcPr>
          <w:p w:rsidR="009B4584" w:rsidRPr="00ED4D4C" w:rsidRDefault="009B4584" w:rsidP="00A44624">
            <w:pPr>
              <w:pStyle w:val="TableBodyText"/>
              <w:ind w:left="0"/>
              <w:jc w:val="left"/>
              <w:rPr>
                <w:i/>
              </w:rPr>
            </w:pPr>
            <w:r w:rsidRPr="00ED4D4C">
              <w:t>Electricity supply</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2</w:t>
            </w:r>
          </w:p>
        </w:tc>
        <w:tc>
          <w:tcPr>
            <w:tcW w:w="4111" w:type="dxa"/>
            <w:vAlign w:val="bottom"/>
          </w:tcPr>
          <w:p w:rsidR="009B4584" w:rsidRPr="00ED4D4C" w:rsidRDefault="009B4584" w:rsidP="00A44624">
            <w:pPr>
              <w:pStyle w:val="TableBodyText"/>
              <w:ind w:left="0"/>
              <w:jc w:val="left"/>
              <w:rPr>
                <w:i/>
              </w:rPr>
            </w:pPr>
            <w:r w:rsidRPr="00ED4D4C">
              <w:t>Gas supply</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3</w:t>
            </w:r>
          </w:p>
        </w:tc>
        <w:tc>
          <w:tcPr>
            <w:tcW w:w="4111" w:type="dxa"/>
            <w:vAlign w:val="bottom"/>
          </w:tcPr>
          <w:p w:rsidR="009B4584" w:rsidRPr="00ED4D4C" w:rsidRDefault="009B4584" w:rsidP="00A44624">
            <w:pPr>
              <w:pStyle w:val="TableBodyText"/>
              <w:ind w:left="0"/>
              <w:jc w:val="left"/>
              <w:rPr>
                <w:i/>
              </w:rPr>
            </w:pPr>
            <w:r w:rsidRPr="00ED4D4C">
              <w:t>Water and sewage services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4</w:t>
            </w:r>
          </w:p>
        </w:tc>
        <w:tc>
          <w:tcPr>
            <w:tcW w:w="4111" w:type="dxa"/>
            <w:vAlign w:val="bottom"/>
          </w:tcPr>
          <w:p w:rsidR="009B4584" w:rsidRPr="00ED4D4C" w:rsidRDefault="009B4584" w:rsidP="00A44624">
            <w:pPr>
              <w:pStyle w:val="TableBodyText"/>
              <w:ind w:left="0"/>
              <w:jc w:val="left"/>
              <w:rPr>
                <w:i/>
              </w:rPr>
            </w:pPr>
            <w:r w:rsidRPr="00ED4D4C">
              <w:t>Residential construction</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5</w:t>
            </w:r>
          </w:p>
        </w:tc>
        <w:tc>
          <w:tcPr>
            <w:tcW w:w="4111" w:type="dxa"/>
            <w:vAlign w:val="bottom"/>
          </w:tcPr>
          <w:p w:rsidR="009B4584" w:rsidRPr="00ED4D4C" w:rsidRDefault="009B4584" w:rsidP="00A44624">
            <w:pPr>
              <w:pStyle w:val="TableBodyText"/>
              <w:ind w:left="0"/>
              <w:jc w:val="left"/>
              <w:rPr>
                <w:i/>
              </w:rPr>
            </w:pPr>
            <w:r w:rsidRPr="00ED4D4C">
              <w:t>Non-residential construction</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6</w:t>
            </w:r>
          </w:p>
        </w:tc>
        <w:tc>
          <w:tcPr>
            <w:tcW w:w="4111" w:type="dxa"/>
            <w:vAlign w:val="bottom"/>
          </w:tcPr>
          <w:p w:rsidR="009B4584" w:rsidRPr="00ED4D4C" w:rsidRDefault="009B4584" w:rsidP="00A44624">
            <w:pPr>
              <w:pStyle w:val="TableBodyText"/>
              <w:ind w:left="0"/>
              <w:jc w:val="left"/>
              <w:rPr>
                <w:i/>
              </w:rPr>
            </w:pPr>
            <w:r w:rsidRPr="00ED4D4C">
              <w:t>Wholesale trade</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7</w:t>
            </w:r>
          </w:p>
        </w:tc>
        <w:tc>
          <w:tcPr>
            <w:tcW w:w="4111" w:type="dxa"/>
            <w:vAlign w:val="bottom"/>
          </w:tcPr>
          <w:p w:rsidR="009B4584" w:rsidRPr="00ED4D4C" w:rsidRDefault="009B4584" w:rsidP="00A44624">
            <w:pPr>
              <w:pStyle w:val="TableBodyText"/>
              <w:ind w:left="0"/>
              <w:jc w:val="left"/>
              <w:rPr>
                <w:i/>
              </w:rPr>
            </w:pPr>
            <w:r w:rsidRPr="00ED4D4C">
              <w:t>Retail trade</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8</w:t>
            </w:r>
          </w:p>
        </w:tc>
        <w:tc>
          <w:tcPr>
            <w:tcW w:w="4111" w:type="dxa"/>
            <w:vAlign w:val="bottom"/>
          </w:tcPr>
          <w:p w:rsidR="009B4584" w:rsidRPr="00ED4D4C" w:rsidDel="00B55200" w:rsidRDefault="009B4584" w:rsidP="00A44624">
            <w:pPr>
              <w:pStyle w:val="TableBodyText"/>
              <w:ind w:left="0"/>
              <w:jc w:val="left"/>
              <w:rPr>
                <w:i/>
              </w:rPr>
            </w:pPr>
            <w:r w:rsidRPr="00ED4D4C">
              <w:t>Mechanical repairs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4</w:t>
            </w:r>
            <w:r>
              <w:t>9</w:t>
            </w:r>
          </w:p>
        </w:tc>
        <w:tc>
          <w:tcPr>
            <w:tcW w:w="4111" w:type="dxa"/>
            <w:vAlign w:val="bottom"/>
          </w:tcPr>
          <w:p w:rsidR="009B4584" w:rsidRPr="00ED4D4C" w:rsidRDefault="009B4584" w:rsidP="00A44624">
            <w:pPr>
              <w:pStyle w:val="TableBodyText"/>
              <w:ind w:left="0"/>
              <w:jc w:val="left"/>
              <w:rPr>
                <w:i/>
              </w:rPr>
            </w:pPr>
            <w:r w:rsidRPr="00ED4D4C">
              <w:t>Hotels, cafes and restaurants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9</w:t>
            </w:r>
          </w:p>
        </w:tc>
      </w:tr>
      <w:tr w:rsidR="009B4584" w:rsidRPr="00ED4D4C" w:rsidTr="00A44624">
        <w:tc>
          <w:tcPr>
            <w:tcW w:w="561" w:type="dxa"/>
            <w:vAlign w:val="bottom"/>
          </w:tcPr>
          <w:p w:rsidR="009B4584" w:rsidRPr="00ED4D4C" w:rsidRDefault="009B4584" w:rsidP="00037F25">
            <w:pPr>
              <w:pStyle w:val="TableBodyText"/>
              <w:ind w:left="0"/>
              <w:jc w:val="left"/>
            </w:pPr>
            <w:r>
              <w:t>50</w:t>
            </w:r>
          </w:p>
        </w:tc>
        <w:tc>
          <w:tcPr>
            <w:tcW w:w="4111" w:type="dxa"/>
            <w:vAlign w:val="bottom"/>
          </w:tcPr>
          <w:p w:rsidR="009B4584" w:rsidRPr="00ED4D4C" w:rsidRDefault="009B4584" w:rsidP="00A44624">
            <w:pPr>
              <w:pStyle w:val="TableBodyText"/>
              <w:ind w:left="0"/>
              <w:jc w:val="left"/>
              <w:rPr>
                <w:i/>
              </w:rPr>
            </w:pPr>
            <w:r w:rsidRPr="00ED4D4C">
              <w:t>Road freight transport</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w:t>
            </w:r>
          </w:p>
        </w:tc>
      </w:tr>
      <w:tr w:rsidR="009B4584" w:rsidRPr="00ED4D4C" w:rsidTr="00A44624">
        <w:tc>
          <w:tcPr>
            <w:tcW w:w="561" w:type="dxa"/>
            <w:vAlign w:val="bottom"/>
          </w:tcPr>
          <w:p w:rsidR="009B4584" w:rsidRPr="00ED4D4C" w:rsidRDefault="009B4584" w:rsidP="00037F25">
            <w:pPr>
              <w:pStyle w:val="TableBodyText"/>
              <w:ind w:left="0"/>
              <w:jc w:val="left"/>
            </w:pPr>
            <w:r>
              <w:t>51</w:t>
            </w:r>
          </w:p>
        </w:tc>
        <w:tc>
          <w:tcPr>
            <w:tcW w:w="4111" w:type="dxa"/>
            <w:vAlign w:val="bottom"/>
          </w:tcPr>
          <w:p w:rsidR="009B4584" w:rsidRPr="00ED4D4C" w:rsidRDefault="009B4584" w:rsidP="00A44624">
            <w:pPr>
              <w:pStyle w:val="TableBodyText"/>
              <w:ind w:left="0"/>
              <w:jc w:val="left"/>
              <w:rPr>
                <w:i/>
              </w:rPr>
            </w:pPr>
            <w:r w:rsidRPr="00ED4D4C">
              <w:t>Road passenger transport</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18</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2</w:t>
            </w:r>
          </w:p>
        </w:tc>
        <w:tc>
          <w:tcPr>
            <w:tcW w:w="4111" w:type="dxa"/>
            <w:vAlign w:val="bottom"/>
          </w:tcPr>
          <w:p w:rsidR="009B4584" w:rsidRPr="00ED4D4C" w:rsidRDefault="009B4584" w:rsidP="00A44624">
            <w:pPr>
              <w:pStyle w:val="TableBodyText"/>
              <w:ind w:left="0"/>
              <w:jc w:val="left"/>
              <w:rPr>
                <w:i/>
              </w:rPr>
            </w:pPr>
            <w:r w:rsidRPr="00ED4D4C">
              <w:t xml:space="preserve">Rail freight transport </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3</w:t>
            </w:r>
          </w:p>
        </w:tc>
        <w:tc>
          <w:tcPr>
            <w:tcW w:w="4111" w:type="dxa"/>
            <w:vAlign w:val="bottom"/>
          </w:tcPr>
          <w:p w:rsidR="009B4584" w:rsidRPr="00ED4D4C" w:rsidDel="00B55200" w:rsidRDefault="009B4584" w:rsidP="00A44624">
            <w:pPr>
              <w:pStyle w:val="TableBodyText"/>
              <w:ind w:left="0"/>
              <w:jc w:val="left"/>
              <w:rPr>
                <w:i/>
              </w:rPr>
            </w:pPr>
            <w:r w:rsidRPr="00ED4D4C">
              <w:t>Rail passenger transport</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23</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4</w:t>
            </w:r>
          </w:p>
        </w:tc>
        <w:tc>
          <w:tcPr>
            <w:tcW w:w="4111" w:type="dxa"/>
            <w:vAlign w:val="bottom"/>
          </w:tcPr>
          <w:p w:rsidR="009B4584" w:rsidRPr="00ED4D4C" w:rsidRDefault="009B4584" w:rsidP="00A44624">
            <w:pPr>
              <w:pStyle w:val="TableBodyText"/>
              <w:ind w:left="0"/>
              <w:jc w:val="left"/>
              <w:rPr>
                <w:i/>
              </w:rPr>
            </w:pPr>
            <w:r w:rsidRPr="00ED4D4C">
              <w:t>Pipeline and other transport</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5</w:t>
            </w:r>
          </w:p>
        </w:tc>
        <w:tc>
          <w:tcPr>
            <w:tcW w:w="4111" w:type="dxa"/>
            <w:vAlign w:val="bottom"/>
          </w:tcPr>
          <w:p w:rsidR="009B4584" w:rsidRPr="00ED4D4C" w:rsidRDefault="009B4584" w:rsidP="00A44624">
            <w:pPr>
              <w:pStyle w:val="TableBodyText"/>
              <w:ind w:left="0"/>
              <w:jc w:val="left"/>
              <w:rPr>
                <w:i/>
              </w:rPr>
            </w:pPr>
            <w:r w:rsidRPr="00ED4D4C">
              <w:t>Water transport</w:t>
            </w:r>
          </w:p>
        </w:tc>
        <w:tc>
          <w:tcPr>
            <w:tcW w:w="1418" w:type="dxa"/>
            <w:vAlign w:val="bottom"/>
          </w:tcPr>
          <w:p w:rsidR="009B4584" w:rsidRPr="00CE27A9" w:rsidRDefault="009B4584" w:rsidP="00A44624">
            <w:pPr>
              <w:pStyle w:val="TableBodyText"/>
              <w:ind w:left="0"/>
              <w:rPr>
                <w:i/>
              </w:rPr>
            </w:pPr>
            <w:r w:rsidRPr="00CE27A9">
              <w:t>2.0</w:t>
            </w:r>
            <w:r>
              <w:t>0</w:t>
            </w:r>
          </w:p>
        </w:tc>
        <w:tc>
          <w:tcPr>
            <w:tcW w:w="1418" w:type="dxa"/>
            <w:vAlign w:val="bottom"/>
          </w:tcPr>
          <w:p w:rsidR="009B4584" w:rsidRPr="00ED4D4C" w:rsidRDefault="009B4584" w:rsidP="00A44624">
            <w:pPr>
              <w:pStyle w:val="TableBodyText"/>
              <w:ind w:left="0"/>
              <w:rPr>
                <w:i/>
                <w:szCs w:val="24"/>
              </w:rPr>
            </w:pPr>
            <w:r>
              <w:t>4.0</w:t>
            </w:r>
            <w:r w:rsidRPr="000E4C79">
              <w:t>0</w:t>
            </w:r>
          </w:p>
        </w:tc>
        <w:tc>
          <w:tcPr>
            <w:tcW w:w="1418" w:type="dxa"/>
            <w:vAlign w:val="bottom"/>
          </w:tcPr>
          <w:p w:rsidR="009B4584" w:rsidRPr="00CE27A9" w:rsidRDefault="009B4584" w:rsidP="00A44624">
            <w:pPr>
              <w:pStyle w:val="TableBodyText"/>
              <w:rPr>
                <w:i/>
              </w:rPr>
            </w:pPr>
            <w:r w:rsidRPr="00CE27A9">
              <w:t>39</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6</w:t>
            </w:r>
          </w:p>
        </w:tc>
        <w:tc>
          <w:tcPr>
            <w:tcW w:w="4111" w:type="dxa"/>
            <w:vAlign w:val="bottom"/>
          </w:tcPr>
          <w:p w:rsidR="009B4584" w:rsidRPr="00ED4D4C" w:rsidRDefault="009B4584" w:rsidP="00A44624">
            <w:pPr>
              <w:pStyle w:val="TableBodyText"/>
              <w:ind w:left="0"/>
              <w:jc w:val="left"/>
              <w:rPr>
                <w:i/>
              </w:rPr>
            </w:pPr>
            <w:r w:rsidRPr="00ED4D4C">
              <w:t>Air transport</w:t>
            </w:r>
          </w:p>
        </w:tc>
        <w:tc>
          <w:tcPr>
            <w:tcW w:w="1418" w:type="dxa"/>
            <w:vAlign w:val="bottom"/>
          </w:tcPr>
          <w:p w:rsidR="009B4584" w:rsidRPr="00CE27A9" w:rsidRDefault="009B4584" w:rsidP="00A44624">
            <w:pPr>
              <w:pStyle w:val="TableBodyText"/>
              <w:ind w:left="0"/>
              <w:rPr>
                <w:i/>
              </w:rPr>
            </w:pPr>
            <w:r w:rsidRPr="00CE27A9">
              <w:t>2.0</w:t>
            </w:r>
            <w:r>
              <w:t>0</w:t>
            </w:r>
          </w:p>
        </w:tc>
        <w:tc>
          <w:tcPr>
            <w:tcW w:w="1418" w:type="dxa"/>
            <w:vAlign w:val="bottom"/>
          </w:tcPr>
          <w:p w:rsidR="009B4584" w:rsidRPr="00ED4D4C" w:rsidRDefault="009B4584" w:rsidP="00A44624">
            <w:pPr>
              <w:pStyle w:val="TableBodyText"/>
              <w:ind w:left="0"/>
              <w:rPr>
                <w:i/>
                <w:szCs w:val="24"/>
              </w:rPr>
            </w:pPr>
            <w:r>
              <w:t>4.0</w:t>
            </w:r>
            <w:r w:rsidRPr="000E4C79">
              <w:t>0</w:t>
            </w:r>
          </w:p>
        </w:tc>
        <w:tc>
          <w:tcPr>
            <w:tcW w:w="1418" w:type="dxa"/>
            <w:vAlign w:val="bottom"/>
          </w:tcPr>
          <w:p w:rsidR="009B4584" w:rsidRPr="00CE27A9" w:rsidRDefault="009B4584" w:rsidP="00A44624">
            <w:pPr>
              <w:pStyle w:val="TableBodyText"/>
              <w:rPr>
                <w:i/>
              </w:rPr>
            </w:pPr>
            <w:r w:rsidRPr="00CE27A9">
              <w:t>51</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7</w:t>
            </w:r>
          </w:p>
        </w:tc>
        <w:tc>
          <w:tcPr>
            <w:tcW w:w="4111" w:type="dxa"/>
            <w:vAlign w:val="bottom"/>
          </w:tcPr>
          <w:p w:rsidR="009B4584" w:rsidRPr="00ED4D4C" w:rsidRDefault="009B4584" w:rsidP="00A44624">
            <w:pPr>
              <w:pStyle w:val="TableBodyText"/>
              <w:ind w:left="0"/>
              <w:jc w:val="left"/>
              <w:rPr>
                <w:i/>
              </w:rPr>
            </w:pPr>
            <w:r w:rsidRPr="00ED4D4C">
              <w:t>Services to transport</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8</w:t>
            </w:r>
          </w:p>
        </w:tc>
        <w:tc>
          <w:tcPr>
            <w:tcW w:w="4111" w:type="dxa"/>
            <w:vAlign w:val="bottom"/>
          </w:tcPr>
          <w:p w:rsidR="009B4584" w:rsidRPr="00ED4D4C" w:rsidRDefault="009B4584" w:rsidP="00A44624">
            <w:pPr>
              <w:pStyle w:val="TableBodyText"/>
              <w:ind w:left="0"/>
              <w:jc w:val="left"/>
              <w:rPr>
                <w:i/>
              </w:rPr>
            </w:pPr>
            <w:r w:rsidRPr="00ED4D4C">
              <w:t>Communication services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3</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5</w:t>
            </w:r>
            <w:r>
              <w:t>9</w:t>
            </w:r>
          </w:p>
        </w:tc>
        <w:tc>
          <w:tcPr>
            <w:tcW w:w="4111" w:type="dxa"/>
            <w:vAlign w:val="bottom"/>
          </w:tcPr>
          <w:p w:rsidR="009B4584" w:rsidRPr="00ED4D4C" w:rsidRDefault="009B4584" w:rsidP="00A44624">
            <w:pPr>
              <w:pStyle w:val="TableBodyText"/>
              <w:ind w:left="0"/>
              <w:jc w:val="left"/>
              <w:rPr>
                <w:i/>
              </w:rPr>
            </w:pPr>
            <w:r w:rsidRPr="00ED4D4C">
              <w:t>Financial services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2</w:t>
            </w:r>
          </w:p>
        </w:tc>
      </w:tr>
      <w:tr w:rsidR="009B4584" w:rsidRPr="00ED4D4C" w:rsidTr="00A44624">
        <w:tc>
          <w:tcPr>
            <w:tcW w:w="561" w:type="dxa"/>
            <w:vAlign w:val="bottom"/>
          </w:tcPr>
          <w:p w:rsidR="009B4584" w:rsidRPr="00ED4D4C" w:rsidRDefault="009B4584" w:rsidP="00037F25">
            <w:pPr>
              <w:pStyle w:val="TableBodyText"/>
              <w:ind w:left="0"/>
              <w:jc w:val="left"/>
            </w:pPr>
            <w:r>
              <w:t>60</w:t>
            </w:r>
          </w:p>
        </w:tc>
        <w:tc>
          <w:tcPr>
            <w:tcW w:w="4111" w:type="dxa"/>
            <w:vAlign w:val="bottom"/>
          </w:tcPr>
          <w:p w:rsidR="009B4584" w:rsidRPr="00ED4D4C" w:rsidRDefault="009B4584" w:rsidP="00A44624">
            <w:pPr>
              <w:pStyle w:val="TableBodyText"/>
              <w:ind w:left="0"/>
              <w:jc w:val="left"/>
              <w:rPr>
                <w:i/>
              </w:rPr>
            </w:pPr>
            <w:r w:rsidRPr="00ED4D4C">
              <w:t>Ownership of dwellings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w:t>
            </w:r>
          </w:p>
        </w:tc>
      </w:tr>
      <w:tr w:rsidR="009B4584" w:rsidRPr="00ED4D4C" w:rsidTr="00A44624">
        <w:tc>
          <w:tcPr>
            <w:tcW w:w="561" w:type="dxa"/>
            <w:vAlign w:val="bottom"/>
          </w:tcPr>
          <w:p w:rsidR="009B4584" w:rsidRPr="00ED4D4C" w:rsidRDefault="009B4584" w:rsidP="00037F25">
            <w:pPr>
              <w:pStyle w:val="TableBodyText"/>
              <w:ind w:left="0"/>
              <w:jc w:val="left"/>
            </w:pPr>
            <w:r>
              <w:t>61</w:t>
            </w:r>
          </w:p>
        </w:tc>
        <w:tc>
          <w:tcPr>
            <w:tcW w:w="4111" w:type="dxa"/>
            <w:vAlign w:val="bottom"/>
          </w:tcPr>
          <w:p w:rsidR="009B4584" w:rsidRPr="00ED4D4C" w:rsidRDefault="009B4584" w:rsidP="00A44624">
            <w:pPr>
              <w:pStyle w:val="TableBodyText"/>
              <w:ind w:left="0"/>
              <w:jc w:val="left"/>
              <w:rPr>
                <w:i/>
              </w:rPr>
            </w:pPr>
            <w:r w:rsidRPr="00ED4D4C">
              <w:t>Business services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3</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6</w:t>
            </w:r>
            <w:r>
              <w:t>2</w:t>
            </w:r>
          </w:p>
        </w:tc>
        <w:tc>
          <w:tcPr>
            <w:tcW w:w="4111" w:type="dxa"/>
            <w:vAlign w:val="bottom"/>
          </w:tcPr>
          <w:p w:rsidR="009B4584" w:rsidRPr="00ED4D4C" w:rsidRDefault="009B4584" w:rsidP="00037F25">
            <w:pPr>
              <w:pStyle w:val="TableBodyText"/>
              <w:ind w:left="0"/>
              <w:jc w:val="left"/>
            </w:pPr>
            <w:r w:rsidRPr="00ED4D4C">
              <w:t>Gov</w:t>
            </w:r>
            <w:r w:rsidR="00037F25">
              <w:t>ernmen</w:t>
            </w:r>
            <w:r w:rsidRPr="00ED4D4C">
              <w:t>t administration and defence</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t>..</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6</w:t>
            </w:r>
            <w:r>
              <w:t>3</w:t>
            </w:r>
          </w:p>
        </w:tc>
        <w:tc>
          <w:tcPr>
            <w:tcW w:w="4111" w:type="dxa"/>
            <w:vAlign w:val="bottom"/>
          </w:tcPr>
          <w:p w:rsidR="009B4584" w:rsidRPr="00ED4D4C" w:rsidRDefault="009B4584" w:rsidP="00A44624">
            <w:pPr>
              <w:pStyle w:val="TableBodyText"/>
              <w:ind w:left="0"/>
              <w:jc w:val="left"/>
              <w:rPr>
                <w:i/>
              </w:rPr>
            </w:pPr>
            <w:r w:rsidRPr="00ED4D4C">
              <w:t>Education</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3</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6</w:t>
            </w:r>
            <w:r>
              <w:t>4</w:t>
            </w:r>
          </w:p>
        </w:tc>
        <w:tc>
          <w:tcPr>
            <w:tcW w:w="4111" w:type="dxa"/>
            <w:vAlign w:val="bottom"/>
          </w:tcPr>
          <w:p w:rsidR="009B4584" w:rsidRPr="00ED4D4C" w:rsidRDefault="009B4584" w:rsidP="00A44624">
            <w:pPr>
              <w:pStyle w:val="TableBodyText"/>
              <w:ind w:left="0"/>
              <w:jc w:val="left"/>
              <w:rPr>
                <w:i/>
              </w:rPr>
            </w:pPr>
            <w:r w:rsidRPr="00ED4D4C">
              <w:t>Health services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1</w:t>
            </w:r>
          </w:p>
        </w:tc>
      </w:tr>
      <w:tr w:rsidR="009B4584" w:rsidRPr="00ED4D4C" w:rsidTr="00A44624">
        <w:tc>
          <w:tcPr>
            <w:tcW w:w="561" w:type="dxa"/>
            <w:vAlign w:val="bottom"/>
          </w:tcPr>
          <w:p w:rsidR="009B4584" w:rsidRPr="00ED4D4C" w:rsidRDefault="009B4584" w:rsidP="00037F25">
            <w:pPr>
              <w:pStyle w:val="TableBodyText"/>
              <w:ind w:left="0"/>
              <w:jc w:val="left"/>
              <w:rPr>
                <w:szCs w:val="24"/>
              </w:rPr>
            </w:pPr>
            <w:r w:rsidRPr="00ED4D4C">
              <w:t>6</w:t>
            </w:r>
            <w:r>
              <w:t>5</w:t>
            </w:r>
          </w:p>
        </w:tc>
        <w:tc>
          <w:tcPr>
            <w:tcW w:w="4111" w:type="dxa"/>
            <w:vAlign w:val="bottom"/>
          </w:tcPr>
          <w:p w:rsidR="009B4584" w:rsidRPr="00ED4D4C" w:rsidRDefault="009B4584" w:rsidP="00A44624">
            <w:pPr>
              <w:pStyle w:val="TableBodyText"/>
              <w:ind w:left="0"/>
              <w:jc w:val="left"/>
              <w:rPr>
                <w:i/>
              </w:rPr>
            </w:pPr>
            <w:r w:rsidRPr="00ED4D4C">
              <w:t>Community services</w:t>
            </w:r>
          </w:p>
        </w:tc>
        <w:tc>
          <w:tcPr>
            <w:tcW w:w="1418" w:type="dxa"/>
            <w:vAlign w:val="bottom"/>
          </w:tcPr>
          <w:p w:rsidR="009B4584" w:rsidRPr="00CE27A9" w:rsidRDefault="009B4584" w:rsidP="00A44624">
            <w:pPr>
              <w:pStyle w:val="TableBodyText"/>
              <w:ind w:left="0"/>
              <w:rPr>
                <w:i/>
              </w:rPr>
            </w:pPr>
            <w:r w:rsidRPr="00CE27A9">
              <w:t>0</w:t>
            </w:r>
          </w:p>
        </w:tc>
        <w:tc>
          <w:tcPr>
            <w:tcW w:w="1418" w:type="dxa"/>
            <w:vAlign w:val="bottom"/>
          </w:tcPr>
          <w:p w:rsidR="009B4584" w:rsidRPr="00ED4D4C" w:rsidRDefault="009B4584" w:rsidP="00A44624">
            <w:pPr>
              <w:pStyle w:val="TableBodyText"/>
              <w:ind w:left="0"/>
              <w:rPr>
                <w:i/>
                <w:szCs w:val="24"/>
              </w:rPr>
            </w:pPr>
            <w:r w:rsidRPr="000E4C79">
              <w:t>0</w:t>
            </w:r>
          </w:p>
        </w:tc>
        <w:tc>
          <w:tcPr>
            <w:tcW w:w="1418" w:type="dxa"/>
            <w:vAlign w:val="bottom"/>
          </w:tcPr>
          <w:p w:rsidR="009B4584" w:rsidRPr="00CE27A9" w:rsidRDefault="009B4584" w:rsidP="00A44624">
            <w:pPr>
              <w:pStyle w:val="TableBodyText"/>
              <w:rPr>
                <w:i/>
              </w:rPr>
            </w:pPr>
            <w:r w:rsidRPr="00CE27A9">
              <w:t>4</w:t>
            </w:r>
          </w:p>
        </w:tc>
      </w:tr>
      <w:tr w:rsidR="009B4584" w:rsidRPr="00ED4D4C" w:rsidTr="00A44624">
        <w:tc>
          <w:tcPr>
            <w:tcW w:w="561" w:type="dxa"/>
            <w:tcBorders>
              <w:bottom w:val="single" w:sz="4" w:space="0" w:color="auto"/>
            </w:tcBorders>
            <w:vAlign w:val="bottom"/>
          </w:tcPr>
          <w:p w:rsidR="009B4584" w:rsidRPr="00ED4D4C" w:rsidRDefault="009B4584" w:rsidP="00037F25">
            <w:pPr>
              <w:pStyle w:val="TableBodyText"/>
              <w:ind w:left="0"/>
              <w:jc w:val="left"/>
              <w:rPr>
                <w:szCs w:val="24"/>
              </w:rPr>
            </w:pPr>
            <w:r w:rsidRPr="00ED4D4C">
              <w:t>6</w:t>
            </w:r>
            <w:r>
              <w:t>6</w:t>
            </w:r>
          </w:p>
        </w:tc>
        <w:tc>
          <w:tcPr>
            <w:tcW w:w="4111" w:type="dxa"/>
            <w:tcBorders>
              <w:bottom w:val="single" w:sz="4" w:space="0" w:color="auto"/>
            </w:tcBorders>
            <w:vAlign w:val="bottom"/>
          </w:tcPr>
          <w:p w:rsidR="009B4584" w:rsidRPr="00ED4D4C" w:rsidRDefault="009B4584" w:rsidP="00A44624">
            <w:pPr>
              <w:pStyle w:val="TableBodyText"/>
              <w:ind w:left="0"/>
              <w:jc w:val="left"/>
              <w:rPr>
                <w:i/>
              </w:rPr>
            </w:pPr>
            <w:r w:rsidRPr="00ED4D4C">
              <w:t>Other services</w:t>
            </w:r>
          </w:p>
        </w:tc>
        <w:tc>
          <w:tcPr>
            <w:tcW w:w="1418" w:type="dxa"/>
            <w:tcBorders>
              <w:bottom w:val="single" w:sz="4" w:space="0" w:color="auto"/>
            </w:tcBorders>
            <w:vAlign w:val="bottom"/>
          </w:tcPr>
          <w:p w:rsidR="009B4584" w:rsidRPr="00CE27A9" w:rsidRDefault="009B4584" w:rsidP="00A44624">
            <w:pPr>
              <w:pStyle w:val="TableBodyText"/>
              <w:ind w:left="0"/>
              <w:rPr>
                <w:i/>
              </w:rPr>
            </w:pPr>
            <w:r w:rsidRPr="00CE27A9">
              <w:t>0</w:t>
            </w:r>
          </w:p>
        </w:tc>
        <w:tc>
          <w:tcPr>
            <w:tcW w:w="1418" w:type="dxa"/>
            <w:tcBorders>
              <w:bottom w:val="single" w:sz="4" w:space="0" w:color="auto"/>
            </w:tcBorders>
            <w:vAlign w:val="bottom"/>
          </w:tcPr>
          <w:p w:rsidR="009B4584" w:rsidRPr="00ED4D4C" w:rsidRDefault="009B4584" w:rsidP="00A44624">
            <w:pPr>
              <w:pStyle w:val="TableBodyText"/>
              <w:ind w:left="0"/>
              <w:rPr>
                <w:i/>
                <w:szCs w:val="24"/>
              </w:rPr>
            </w:pPr>
            <w:r w:rsidRPr="000E4C79">
              <w:t>0</w:t>
            </w:r>
          </w:p>
        </w:tc>
        <w:tc>
          <w:tcPr>
            <w:tcW w:w="1418" w:type="dxa"/>
            <w:tcBorders>
              <w:bottom w:val="single" w:sz="4" w:space="0" w:color="auto"/>
            </w:tcBorders>
            <w:vAlign w:val="bottom"/>
          </w:tcPr>
          <w:p w:rsidR="009B4584" w:rsidRPr="00CE27A9" w:rsidRDefault="009B4584" w:rsidP="00A44624">
            <w:pPr>
              <w:pStyle w:val="TableBodyText"/>
              <w:rPr>
                <w:i/>
              </w:rPr>
            </w:pPr>
            <w:r w:rsidRPr="00CE27A9">
              <w:t>1</w:t>
            </w:r>
          </w:p>
        </w:tc>
      </w:tr>
    </w:tbl>
    <w:p w:rsidR="009B4584" w:rsidRDefault="009B4584" w:rsidP="00CE27A9">
      <w:pPr>
        <w:pStyle w:val="Note"/>
      </w:pPr>
      <w:r w:rsidRPr="00B83F4E">
        <w:rPr>
          <w:b/>
        </w:rPr>
        <w:t>..</w:t>
      </w:r>
      <w:r>
        <w:t xml:space="preserve"> Zero or less than 0.5 per cent.</w:t>
      </w:r>
      <w:r w:rsidR="00C7555C">
        <w:t xml:space="preserve"> </w:t>
      </w:r>
      <w:r w:rsidR="00C7555C" w:rsidRPr="008F3915">
        <w:rPr>
          <w:rStyle w:val="NoteLabel"/>
        </w:rPr>
        <w:t>a</w:t>
      </w:r>
      <w:r w:rsidR="00C7555C">
        <w:t> A</w:t>
      </w:r>
      <w:r w:rsidR="009B2B93">
        <w:t xml:space="preserve"> lower elasticity </w:t>
      </w:r>
      <w:r w:rsidR="00C7555C">
        <w:t xml:space="preserve">is adopted for </w:t>
      </w:r>
      <w:r w:rsidR="001E7ADD">
        <w:t xml:space="preserve">the use of </w:t>
      </w:r>
      <w:r w:rsidR="00C7555C">
        <w:t xml:space="preserve">automotive components </w:t>
      </w:r>
      <w:r w:rsidR="001E7ADD">
        <w:t xml:space="preserve">in production </w:t>
      </w:r>
      <w:r w:rsidR="009B2B93">
        <w:t xml:space="preserve">than for manufactured motor vehicles to better align </w:t>
      </w:r>
      <w:r w:rsidR="00C7555C">
        <w:t xml:space="preserve">with the </w:t>
      </w:r>
      <w:r w:rsidR="009B2B93">
        <w:t xml:space="preserve">elasticities used for </w:t>
      </w:r>
      <w:r w:rsidR="00C7555C">
        <w:t>other manufactured intermediate products.</w:t>
      </w:r>
      <w:r w:rsidR="001E7ADD">
        <w:t xml:space="preserve"> Reflecting the aftermarket nature of their sales, the import substitution elasticities for household and investment demand are set to the same as for manufactured </w:t>
      </w:r>
      <w:r w:rsidR="001E7ADD" w:rsidRPr="009E4E8F">
        <w:t>passenger motor vehicle</w:t>
      </w:r>
      <w:r w:rsidR="001E7ADD">
        <w:t>s.</w:t>
      </w:r>
    </w:p>
    <w:p w:rsidR="003A072A" w:rsidRDefault="003A072A" w:rsidP="003A072A">
      <w:pPr>
        <w:pStyle w:val="Source"/>
      </w:pPr>
      <w:r w:rsidRPr="003D46E2">
        <w:rPr>
          <w:i/>
        </w:rPr>
        <w:t>Source</w:t>
      </w:r>
      <w:r w:rsidR="00893026">
        <w:rPr>
          <w:i/>
        </w:rPr>
        <w:t>s</w:t>
      </w:r>
      <w:r>
        <w:t>: MMRF</w:t>
      </w:r>
      <w:r w:rsidR="00B65D5B">
        <w:noBreakHyphen/>
        <w:t>Auto14</w:t>
      </w:r>
      <w:r>
        <w:t xml:space="preserve"> database</w:t>
      </w:r>
      <w:r w:rsidR="00070A4D">
        <w:t>; Commission estimates</w:t>
      </w:r>
      <w:r>
        <w:t>.</w:t>
      </w:r>
    </w:p>
    <w:p w:rsidR="00AF56D2" w:rsidRDefault="00AF56D2">
      <w:pPr>
        <w:rPr>
          <w:szCs w:val="20"/>
        </w:rPr>
      </w:pPr>
      <w:r>
        <w:br w:type="page"/>
      </w:r>
    </w:p>
    <w:p w:rsidR="0035127C" w:rsidRDefault="0035127C" w:rsidP="000B3883">
      <w:pPr>
        <w:pStyle w:val="BodyText"/>
      </w:pPr>
      <w:r>
        <w:lastRenderedPageBreak/>
        <w:t xml:space="preserve">The model also includes </w:t>
      </w:r>
      <w:r w:rsidR="0049148D">
        <w:t xml:space="preserve">an elasticity governing </w:t>
      </w:r>
      <w:r w:rsidR="00776A23">
        <w:t xml:space="preserve">the </w:t>
      </w:r>
      <w:r w:rsidR="0049148D">
        <w:t xml:space="preserve">extent of mobility in the </w:t>
      </w:r>
      <w:r w:rsidR="00776A23">
        <w:t xml:space="preserve">labour supply between states. </w:t>
      </w:r>
      <w:r w:rsidR="00364814">
        <w:t>Previous version</w:t>
      </w:r>
      <w:r w:rsidR="00995681">
        <w:t>s</w:t>
      </w:r>
      <w:r w:rsidR="00364814">
        <w:t xml:space="preserve"> of the MMRF model did not explicitly include this transformation behaviour, but implicitly assumed infinite transformation possibilities</w:t>
      </w:r>
      <w:r w:rsidR="00D45AD4">
        <w:t xml:space="preserve"> or imposed interstate migration exogenously</w:t>
      </w:r>
      <w:r w:rsidR="00364814">
        <w:t>. Consistent with earlier practice</w:t>
      </w:r>
      <w:r w:rsidR="00534802">
        <w:t>,</w:t>
      </w:r>
      <w:r w:rsidR="00364814">
        <w:t xml:space="preserve"> a high transformation parameter value of 20 has been adopted.</w:t>
      </w:r>
      <w:r w:rsidR="00776A23">
        <w:t xml:space="preserve"> </w:t>
      </w:r>
      <w:r w:rsidR="00364814">
        <w:t>Under this approach</w:t>
      </w:r>
      <w:r w:rsidR="007E51A4">
        <w:t>,</w:t>
      </w:r>
      <w:r w:rsidR="00364814">
        <w:t xml:space="preserve"> the mobility of labour between regional industries is influenced by other factor</w:t>
      </w:r>
      <w:r w:rsidR="00070A4D">
        <w:t>s</w:t>
      </w:r>
      <w:r w:rsidR="00364814">
        <w:t xml:space="preserve"> (such </w:t>
      </w:r>
      <w:r w:rsidR="00070A4D">
        <w:t xml:space="preserve">as the </w:t>
      </w:r>
      <w:r w:rsidR="00D45AD4">
        <w:t xml:space="preserve">primary </w:t>
      </w:r>
      <w:r w:rsidR="00364814">
        <w:t xml:space="preserve">factor substitution </w:t>
      </w:r>
      <w:r w:rsidR="00D45AD4">
        <w:t xml:space="preserve">and occupational mobility </w:t>
      </w:r>
      <w:r w:rsidR="00364814">
        <w:t xml:space="preserve">parameters). </w:t>
      </w:r>
      <w:r w:rsidR="00667EC1">
        <w:t xml:space="preserve">For the purposes of illustrating the sensitivity of results to alternative assumptions about interstate labour mobility, an alternative </w:t>
      </w:r>
      <w:r w:rsidR="00747228">
        <w:t>parameter value representing ‘sticky’ interstate labour markets of 1</w:t>
      </w:r>
      <w:r w:rsidR="00667EC1">
        <w:t xml:space="preserve"> is adopted</w:t>
      </w:r>
      <w:r w:rsidR="00517F21">
        <w:t xml:space="preserve"> (chapter 4)</w:t>
      </w:r>
      <w:r w:rsidR="00667EC1">
        <w:t>.</w:t>
      </w:r>
      <w:r w:rsidR="00995681">
        <w:rPr>
          <w:rStyle w:val="FootnoteReference"/>
        </w:rPr>
        <w:footnoteReference w:id="8"/>
      </w:r>
    </w:p>
    <w:p w:rsidR="00BE4A44" w:rsidRDefault="008F3915" w:rsidP="00BE4A44">
      <w:pPr>
        <w:pStyle w:val="Heading3"/>
      </w:pPr>
      <w:r>
        <w:t xml:space="preserve">Capital market adjustment </w:t>
      </w:r>
      <w:r w:rsidR="00BE4A44">
        <w:t>parameters</w:t>
      </w:r>
    </w:p>
    <w:p w:rsidR="00A41000" w:rsidRDefault="008F3915" w:rsidP="00BE4A44">
      <w:pPr>
        <w:pStyle w:val="BodyText"/>
      </w:pPr>
      <w:r>
        <w:t xml:space="preserve">Capital market adjustment (or investment) </w:t>
      </w:r>
      <w:r w:rsidR="00BE4A44">
        <w:t xml:space="preserve">parameters in MMRF determine the rate at which industries accumulate new capital on the basis of changes in relative competitiveness and </w:t>
      </w:r>
      <w:r w:rsidR="009826FA">
        <w:t xml:space="preserve">what </w:t>
      </w:r>
      <w:r w:rsidR="00BE4A44">
        <w:t xml:space="preserve">this implies for returns to capital. Broadly, the benchmark investment parameter values in MMRF are set </w:t>
      </w:r>
      <w:r w:rsidR="0092569C">
        <w:t>at 0.5 to</w:t>
      </w:r>
      <w:r w:rsidR="00BE4A44">
        <w:t xml:space="preserve"> ensure that, from an economic shock, capital accumulation will occur so that the industry rate of return on capital returns to </w:t>
      </w:r>
      <w:r w:rsidR="00A41000">
        <w:t xml:space="preserve">‘normal’ after a period of around </w:t>
      </w:r>
      <w:r w:rsidR="0092569C">
        <w:t>seven</w:t>
      </w:r>
      <w:r w:rsidR="00A41000">
        <w:t xml:space="preserve"> years</w:t>
      </w:r>
      <w:r w:rsidR="0092569C">
        <w:t>, all other things remaining equal</w:t>
      </w:r>
      <w:r w:rsidR="00A41000">
        <w:t>.</w:t>
      </w:r>
    </w:p>
    <w:p w:rsidR="002B5067" w:rsidRPr="000B3883" w:rsidRDefault="00A41000" w:rsidP="00214594">
      <w:pPr>
        <w:pStyle w:val="BodyText"/>
      </w:pPr>
      <w:r>
        <w:t xml:space="preserve">Because </w:t>
      </w:r>
      <w:r w:rsidR="000E0270">
        <w:t xml:space="preserve">the rate of economic adjustment to </w:t>
      </w:r>
      <w:r w:rsidR="00070A4D">
        <w:t xml:space="preserve">the </w:t>
      </w:r>
      <w:r w:rsidR="00157F70">
        <w:t xml:space="preserve">closure of the major passenger motor vehicle manufacturing plants </w:t>
      </w:r>
      <w:r w:rsidR="00070A4D">
        <w:t xml:space="preserve">in Australia </w:t>
      </w:r>
      <w:r w:rsidR="000E0270">
        <w:t xml:space="preserve">is likely to be sensitive to </w:t>
      </w:r>
      <w:r w:rsidR="00070A4D">
        <w:t xml:space="preserve">the </w:t>
      </w:r>
      <w:r w:rsidR="000E0270">
        <w:t xml:space="preserve">responses </w:t>
      </w:r>
      <w:r w:rsidR="00070A4D">
        <w:t xml:space="preserve">of other industries </w:t>
      </w:r>
      <w:r w:rsidR="000E0270">
        <w:t>to the announced changes</w:t>
      </w:r>
      <w:r w:rsidR="00070A4D">
        <w:t>,</w:t>
      </w:r>
      <w:r w:rsidR="000E0270">
        <w:t xml:space="preserve"> a ‘more rapid’ adjustment scenario is modelled using parameter values </w:t>
      </w:r>
      <w:r w:rsidR="0092569C">
        <w:t>of 0.</w:t>
      </w:r>
      <w:r w:rsidR="00995681">
        <w:t xml:space="preserve">4 </w:t>
      </w:r>
      <w:r w:rsidR="0092569C">
        <w:t>(a lower value implying more rapid adjustment)</w:t>
      </w:r>
      <w:r w:rsidR="00AB412D">
        <w:t xml:space="preserve"> in a range of greater than zero to less than 1</w:t>
      </w:r>
      <w:r w:rsidR="000E0270">
        <w:t>.</w:t>
      </w:r>
      <w:r w:rsidR="0049148D">
        <w:rPr>
          <w:rStyle w:val="FootnoteReference"/>
        </w:rPr>
        <w:footnoteReference w:id="9"/>
      </w:r>
      <w:r w:rsidR="000E0270">
        <w:t xml:space="preserve"> </w:t>
      </w:r>
      <w:r w:rsidR="0092569C">
        <w:t xml:space="preserve">Under this scenario, returns on capital would return to normal levels after around four </w:t>
      </w:r>
      <w:r w:rsidR="008F3915">
        <w:t xml:space="preserve">to five </w:t>
      </w:r>
      <w:r w:rsidR="0092569C">
        <w:t>years</w:t>
      </w:r>
      <w:r w:rsidR="00D221AD">
        <w:t>, other things being equal</w:t>
      </w:r>
      <w:r w:rsidR="00517F21">
        <w:t xml:space="preserve"> (chapter 4)</w:t>
      </w:r>
      <w:r w:rsidR="0092569C">
        <w:t xml:space="preserve">. </w:t>
      </w:r>
      <w:r w:rsidR="00CE27A9">
        <w:t xml:space="preserve">The impact of possible slower adjustment </w:t>
      </w:r>
      <w:r w:rsidR="00995681">
        <w:t xml:space="preserve">is </w:t>
      </w:r>
      <w:r w:rsidR="00CE27A9">
        <w:t xml:space="preserve">also </w:t>
      </w:r>
      <w:r w:rsidR="00995681">
        <w:t xml:space="preserve">modelled </w:t>
      </w:r>
      <w:r w:rsidR="00CE27A9">
        <w:t xml:space="preserve">using a parameter value of </w:t>
      </w:r>
      <w:r w:rsidR="00AB412D">
        <w:t>0.</w:t>
      </w:r>
      <w:r w:rsidR="00CA6F78">
        <w:t>6</w:t>
      </w:r>
      <w:r w:rsidR="00DA58E3">
        <w:t>. Under this scenario, returns on capital would return to normal levels after around ten years, other things being equal.</w:t>
      </w:r>
      <w:r w:rsidR="00CA6F78">
        <w:t xml:space="preserve"> </w:t>
      </w:r>
      <w:r w:rsidR="00D221AD">
        <w:t xml:space="preserve">Although the choice of parameters in general equilibrium modelling is uncertain and often subject to </w:t>
      </w:r>
      <w:r w:rsidR="00E82FB8">
        <w:t>judgment</w:t>
      </w:r>
      <w:r w:rsidR="00D221AD">
        <w:t xml:space="preserve">, Dixon and Rimmer noted in </w:t>
      </w:r>
      <w:r w:rsidR="00070A4D">
        <w:t xml:space="preserve">the documentation for the </w:t>
      </w:r>
      <w:r w:rsidR="00D221AD">
        <w:t>MONASH model that parameters are typically chosen so that ‘employment effects of a shock to the economy are largely eliminated after 5 years’ (Dixon and Rimmer 2002, p. </w:t>
      </w:r>
      <w:r w:rsidR="00D83146">
        <w:t>205</w:t>
      </w:r>
      <w:r w:rsidR="00D221AD">
        <w:t>).</w:t>
      </w:r>
    </w:p>
    <w:sectPr w:rsidR="002B5067" w:rsidRPr="000B3883" w:rsidSect="00176CB1">
      <w:headerReference w:type="even" r:id="rId8"/>
      <w:headerReference w:type="default" r:id="rId9"/>
      <w:footerReference w:type="even" r:id="rId10"/>
      <w:footerReference w:type="default" r:id="rId11"/>
      <w:pgSz w:w="11907" w:h="16840" w:code="9"/>
      <w:pgMar w:top="1985" w:right="1304" w:bottom="1418" w:left="1814" w:header="1701" w:footer="567" w:gutter="0"/>
      <w:pgNumType w:start="3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172" w:rsidRDefault="00665172">
      <w:r>
        <w:separator/>
      </w:r>
    </w:p>
  </w:endnote>
  <w:endnote w:type="continuationSeparator" w:id="0">
    <w:p w:rsidR="00665172" w:rsidRDefault="0066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65172">
      <w:trPr>
        <w:trHeight w:hRule="exact" w:val="740"/>
      </w:trPr>
      <w:tc>
        <w:tcPr>
          <w:tcW w:w="510" w:type="dxa"/>
          <w:tcBorders>
            <w:top w:val="single" w:sz="6" w:space="0" w:color="auto"/>
          </w:tcBorders>
        </w:tcPr>
        <w:p w:rsidR="00665172" w:rsidRDefault="00665172"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94AC3">
            <w:rPr>
              <w:rStyle w:val="PageNumber"/>
              <w:noProof/>
            </w:rPr>
            <w:t>34</w:t>
          </w:r>
          <w:r>
            <w:rPr>
              <w:rStyle w:val="PageNumber"/>
            </w:rPr>
            <w:fldChar w:fldCharType="end"/>
          </w:r>
        </w:p>
      </w:tc>
      <w:tc>
        <w:tcPr>
          <w:tcW w:w="1644" w:type="dxa"/>
          <w:tcBorders>
            <w:top w:val="single" w:sz="6" w:space="0" w:color="auto"/>
          </w:tcBorders>
        </w:tcPr>
        <w:p w:rsidR="00665172" w:rsidRDefault="00665172" w:rsidP="0019293B">
          <w:pPr>
            <w:pStyle w:val="Footer"/>
          </w:pPr>
          <w:r>
            <w:t xml:space="preserve">Modelling automotive industry change  </w:t>
          </w:r>
        </w:p>
      </w:tc>
      <w:tc>
        <w:tcPr>
          <w:tcW w:w="6634" w:type="dxa"/>
        </w:tcPr>
        <w:p w:rsidR="00665172" w:rsidRDefault="00665172" w:rsidP="0019293B">
          <w:pPr>
            <w:pStyle w:val="Footer"/>
          </w:pPr>
        </w:p>
      </w:tc>
    </w:tr>
  </w:tbl>
  <w:p w:rsidR="00665172" w:rsidRDefault="0066517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65172">
      <w:trPr>
        <w:trHeight w:hRule="exact" w:val="740"/>
      </w:trPr>
      <w:tc>
        <w:tcPr>
          <w:tcW w:w="6634" w:type="dxa"/>
        </w:tcPr>
        <w:p w:rsidR="00665172" w:rsidRDefault="00665172">
          <w:pPr>
            <w:pStyle w:val="Footer"/>
            <w:ind w:right="360" w:firstLine="360"/>
          </w:pPr>
        </w:p>
      </w:tc>
      <w:tc>
        <w:tcPr>
          <w:tcW w:w="1644" w:type="dxa"/>
          <w:tcBorders>
            <w:top w:val="single" w:sz="6" w:space="0" w:color="auto"/>
          </w:tcBorders>
        </w:tcPr>
        <w:p w:rsidR="00665172" w:rsidRDefault="00665172" w:rsidP="00C23445">
          <w:pPr>
            <w:pStyle w:val="Footer"/>
          </w:pPr>
          <w:r>
            <w:t>the MMRF model</w:t>
          </w:r>
        </w:p>
      </w:tc>
      <w:tc>
        <w:tcPr>
          <w:tcW w:w="510" w:type="dxa"/>
          <w:tcBorders>
            <w:top w:val="single" w:sz="6" w:space="0" w:color="auto"/>
          </w:tcBorders>
        </w:tcPr>
        <w:p w:rsidR="00665172" w:rsidRDefault="00665172">
          <w:pPr>
            <w:pStyle w:val="Footer"/>
            <w:jc w:val="right"/>
          </w:pPr>
          <w:r>
            <w:rPr>
              <w:rStyle w:val="PageNumber"/>
            </w:rPr>
            <w:fldChar w:fldCharType="begin"/>
          </w:r>
          <w:r>
            <w:rPr>
              <w:rStyle w:val="PageNumber"/>
            </w:rPr>
            <w:instrText xml:space="preserve">PAGE  </w:instrText>
          </w:r>
          <w:r>
            <w:rPr>
              <w:rStyle w:val="PageNumber"/>
            </w:rPr>
            <w:fldChar w:fldCharType="separate"/>
          </w:r>
          <w:r w:rsidR="00794AC3">
            <w:rPr>
              <w:rStyle w:val="PageNumber"/>
              <w:noProof/>
            </w:rPr>
            <w:t>33</w:t>
          </w:r>
          <w:r>
            <w:rPr>
              <w:rStyle w:val="PageNumber"/>
            </w:rPr>
            <w:fldChar w:fldCharType="end"/>
          </w:r>
        </w:p>
      </w:tc>
    </w:tr>
  </w:tbl>
  <w:p w:rsidR="00665172" w:rsidRDefault="0066517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172" w:rsidRDefault="00665172">
      <w:r>
        <w:separator/>
      </w:r>
    </w:p>
  </w:footnote>
  <w:footnote w:type="continuationSeparator" w:id="0">
    <w:p w:rsidR="00665172" w:rsidRDefault="00665172">
      <w:r>
        <w:continuationSeparator/>
      </w:r>
    </w:p>
  </w:footnote>
  <w:footnote w:id="1">
    <w:p w:rsidR="00665172" w:rsidRDefault="00665172" w:rsidP="00F01E05">
      <w:pPr>
        <w:pStyle w:val="FootnoteText"/>
      </w:pPr>
      <w:r>
        <w:rPr>
          <w:rStyle w:val="FootnoteReference"/>
        </w:rPr>
        <w:footnoteRef/>
      </w:r>
      <w:r>
        <w:tab/>
        <w:t>The term ‘model closure’ is used to refer to the assignment of the model’s variables between those determined outside the model (exogenous variables) and those determined by the model (endogenous variables).</w:t>
      </w:r>
    </w:p>
  </w:footnote>
  <w:footnote w:id="2">
    <w:p w:rsidR="00665172" w:rsidRDefault="00665172" w:rsidP="00F01E05">
      <w:pPr>
        <w:pStyle w:val="FootnoteText"/>
      </w:pPr>
      <w:r>
        <w:rPr>
          <w:rStyle w:val="FootnoteReference"/>
        </w:rPr>
        <w:footnoteRef/>
      </w:r>
      <w:r>
        <w:tab/>
        <w:t>In the current implementation of the MMRF model, real regional government investment is modelled as moving in line with total real regional investment.</w:t>
      </w:r>
    </w:p>
  </w:footnote>
  <w:footnote w:id="3">
    <w:p w:rsidR="00665172" w:rsidRDefault="00665172">
      <w:pPr>
        <w:pStyle w:val="FootnoteText"/>
      </w:pPr>
      <w:r>
        <w:rPr>
          <w:rStyle w:val="FootnoteReference"/>
        </w:rPr>
        <w:footnoteRef/>
      </w:r>
      <w:r>
        <w:tab/>
        <w:t xml:space="preserve">This involved changing the MMRF parameters SIGMAEXP (traditional exports) and </w:t>
      </w:r>
      <w:r w:rsidRPr="00523268">
        <w:t>SIGMAEXPNTR</w:t>
      </w:r>
      <w:r>
        <w:t xml:space="preserve"> (non-traditional exports) for all commodities.</w:t>
      </w:r>
    </w:p>
  </w:footnote>
  <w:footnote w:id="4">
    <w:p w:rsidR="00665172" w:rsidRDefault="00665172">
      <w:pPr>
        <w:pStyle w:val="FootnoteText"/>
      </w:pPr>
      <w:r>
        <w:rPr>
          <w:rStyle w:val="FootnoteReference"/>
        </w:rPr>
        <w:footnoteRef/>
      </w:r>
      <w:r>
        <w:tab/>
        <w:t xml:space="preserve">This involved changing the MMRF parameters </w:t>
      </w:r>
      <w:r w:rsidRPr="00534802">
        <w:t>SIGMA1O</w:t>
      </w:r>
      <w:r>
        <w:t xml:space="preserve"> (industry demand), </w:t>
      </w:r>
      <w:r w:rsidRPr="00534802">
        <w:t>SIGMA</w:t>
      </w:r>
      <w:r>
        <w:t>2</w:t>
      </w:r>
      <w:r w:rsidRPr="00534802">
        <w:t>O</w:t>
      </w:r>
      <w:r>
        <w:t xml:space="preserve"> (investment demand) and </w:t>
      </w:r>
      <w:r w:rsidRPr="00534802">
        <w:t>SIGMA</w:t>
      </w:r>
      <w:r>
        <w:t>3</w:t>
      </w:r>
      <w:r w:rsidRPr="00534802">
        <w:t>O</w:t>
      </w:r>
      <w:r>
        <w:t xml:space="preserve"> (household demand) for all commodities.</w:t>
      </w:r>
    </w:p>
  </w:footnote>
  <w:footnote w:id="5">
    <w:p w:rsidR="00665172" w:rsidRDefault="00665172" w:rsidP="00D41541">
      <w:pPr>
        <w:pStyle w:val="FootnoteText"/>
      </w:pPr>
      <w:r>
        <w:rPr>
          <w:rStyle w:val="FootnoteReference"/>
        </w:rPr>
        <w:footnoteRef/>
      </w:r>
      <w:r>
        <w:tab/>
        <w:t>This involved changing the MMRF parameter SIGMA1FAC for all industries and regions.</w:t>
      </w:r>
    </w:p>
  </w:footnote>
  <w:footnote w:id="6">
    <w:p w:rsidR="00665172" w:rsidRDefault="00665172" w:rsidP="00D41541">
      <w:pPr>
        <w:pStyle w:val="FootnoteText"/>
      </w:pPr>
      <w:r>
        <w:rPr>
          <w:rStyle w:val="FootnoteReference"/>
        </w:rPr>
        <w:footnoteRef/>
      </w:r>
      <w:r>
        <w:tab/>
        <w:t>This involved changing the MMRF parameter SIGMA1LAB for all industries and regions.</w:t>
      </w:r>
    </w:p>
  </w:footnote>
  <w:footnote w:id="7">
    <w:p w:rsidR="00665172" w:rsidRDefault="00665172" w:rsidP="001D678E">
      <w:pPr>
        <w:pStyle w:val="FootnoteText"/>
      </w:pPr>
      <w:r>
        <w:rPr>
          <w:rStyle w:val="FootnoteReference"/>
        </w:rPr>
        <w:footnoteRef/>
      </w:r>
      <w:r>
        <w:t xml:space="preserve"> </w:t>
      </w:r>
      <w:r>
        <w:tab/>
        <w:t>This involved changing the MMRF parameter SIGMALABO.</w:t>
      </w:r>
    </w:p>
  </w:footnote>
  <w:footnote w:id="8">
    <w:p w:rsidR="00665172" w:rsidRDefault="00665172" w:rsidP="00995681">
      <w:pPr>
        <w:pStyle w:val="FootnoteText"/>
      </w:pPr>
      <w:r>
        <w:rPr>
          <w:rStyle w:val="FootnoteReference"/>
        </w:rPr>
        <w:footnoteRef/>
      </w:r>
      <w:r>
        <w:tab/>
        <w:t xml:space="preserve">This involved changing the MMRF parameter </w:t>
      </w:r>
      <w:r w:rsidRPr="00534802">
        <w:t>SIGMALABS</w:t>
      </w:r>
      <w:r>
        <w:t>.</w:t>
      </w:r>
    </w:p>
  </w:footnote>
  <w:footnote w:id="9">
    <w:p w:rsidR="00665172" w:rsidRDefault="00665172" w:rsidP="0049148D">
      <w:pPr>
        <w:pStyle w:val="FootnoteText"/>
      </w:pPr>
      <w:r>
        <w:rPr>
          <w:rStyle w:val="FootnoteReference"/>
        </w:rPr>
        <w:footnoteRef/>
      </w:r>
      <w:r>
        <w:tab/>
        <w:t>This involved changing the MMRF parameter ADJ_COEFF.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65172">
      <w:tc>
        <w:tcPr>
          <w:tcW w:w="2155" w:type="dxa"/>
          <w:tcBorders>
            <w:top w:val="single" w:sz="24" w:space="0" w:color="auto"/>
          </w:tcBorders>
        </w:tcPr>
        <w:p w:rsidR="00665172" w:rsidRDefault="00665172" w:rsidP="0019293B">
          <w:pPr>
            <w:pStyle w:val="HeaderEven"/>
          </w:pPr>
        </w:p>
      </w:tc>
      <w:tc>
        <w:tcPr>
          <w:tcW w:w="6634" w:type="dxa"/>
          <w:tcBorders>
            <w:top w:val="single" w:sz="6" w:space="0" w:color="auto"/>
          </w:tcBorders>
        </w:tcPr>
        <w:p w:rsidR="00665172" w:rsidRPr="00D221AD" w:rsidRDefault="00665172" w:rsidP="0019293B">
          <w:pPr>
            <w:pStyle w:val="HeaderEven"/>
            <w:rPr>
              <w:sz w:val="22"/>
              <w:szCs w:val="22"/>
            </w:rPr>
          </w:pPr>
        </w:p>
      </w:tc>
    </w:tr>
  </w:tbl>
  <w:p w:rsidR="00665172" w:rsidRDefault="0066517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5172">
      <w:tc>
        <w:tcPr>
          <w:tcW w:w="6634" w:type="dxa"/>
          <w:tcBorders>
            <w:top w:val="single" w:sz="6" w:space="0" w:color="auto"/>
          </w:tcBorders>
        </w:tcPr>
        <w:p w:rsidR="00665172" w:rsidRPr="006B61C3" w:rsidRDefault="00665172" w:rsidP="00E669E2">
          <w:pPr>
            <w:pStyle w:val="HeaderOdd"/>
            <w:rPr>
              <w:sz w:val="22"/>
              <w:szCs w:val="22"/>
            </w:rPr>
          </w:pPr>
        </w:p>
      </w:tc>
      <w:tc>
        <w:tcPr>
          <w:tcW w:w="2155" w:type="dxa"/>
          <w:tcBorders>
            <w:top w:val="single" w:sz="24" w:space="0" w:color="auto"/>
          </w:tcBorders>
        </w:tcPr>
        <w:p w:rsidR="00665172" w:rsidRDefault="00665172" w:rsidP="00E669E2">
          <w:pPr>
            <w:pStyle w:val="HeaderOdd"/>
          </w:pPr>
        </w:p>
      </w:tc>
    </w:tr>
  </w:tbl>
  <w:p w:rsidR="00665172" w:rsidRDefault="0066517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23C4BF5"/>
    <w:multiLevelType w:val="multilevel"/>
    <w:tmpl w:val="FB989A48"/>
    <w:lvl w:ilvl="0">
      <w:start w:val="1"/>
      <w:numFmt w:val="upperLetter"/>
      <w:lvlText w:val="APPENDIX %1 "/>
      <w:lvlJc w:val="left"/>
      <w:pPr>
        <w:tabs>
          <w:tab w:val="num" w:pos="2520"/>
        </w:tabs>
        <w:ind w:left="360" w:hanging="360"/>
      </w:pPr>
      <w:rPr>
        <w:rFonts w:hint="default"/>
      </w:rPr>
    </w:lvl>
    <w:lvl w:ilvl="1">
      <w:start w:val="1"/>
      <w:numFmt w:val="decimal"/>
      <w:lvlText w:val="%1.%2"/>
      <w:lvlJc w:val="left"/>
      <w:pPr>
        <w:tabs>
          <w:tab w:val="num" w:pos="1080"/>
        </w:tabs>
        <w:ind w:left="720" w:hanging="360"/>
      </w:pPr>
      <w:rPr>
        <w:rFonts w:hint="default"/>
      </w:rPr>
    </w:lvl>
    <w:lvl w:ilvl="2">
      <w:start w:val="1"/>
      <w:numFmt w:val="decimal"/>
      <w:pStyle w:val="AppHeading3"/>
      <w:lvlText w:val="%1.%2.%3"/>
      <w:lvlJc w:val="left"/>
      <w:pPr>
        <w:tabs>
          <w:tab w:val="num" w:pos="144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28E3F5D"/>
    <w:multiLevelType w:val="hybridMultilevel"/>
    <w:tmpl w:val="C95EB3BC"/>
    <w:lvl w:ilvl="0" w:tplc="AB6E1C48">
      <w:start w:val="1"/>
      <w:numFmt w:val="lowerLetter"/>
      <w:pStyle w:val="ListNumber21"/>
      <w:lvlText w:val="%1."/>
      <w:lvlJc w:val="left"/>
      <w:pPr>
        <w:ind w:left="700" w:hanging="360"/>
      </w:pPr>
    </w:lvl>
    <w:lvl w:ilvl="1" w:tplc="0C090019">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6DD25542"/>
    <w:multiLevelType w:val="hybridMultilevel"/>
    <w:tmpl w:val="6A92EB90"/>
    <w:lvl w:ilvl="0" w:tplc="814244A6">
      <w:start w:val="1"/>
      <w:numFmt w:val="lowerRoman"/>
      <w:pStyle w:val="ListNumber31"/>
      <w:lvlText w:val="%1."/>
      <w:lvlJc w:val="righ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5"/>
  </w:num>
  <w:num w:numId="4">
    <w:abstractNumId w:val="7"/>
  </w:num>
  <w:num w:numId="5">
    <w:abstractNumId w:val="26"/>
  </w:num>
  <w:num w:numId="6">
    <w:abstractNumId w:val="9"/>
  </w:num>
  <w:num w:numId="7">
    <w:abstractNumId w:val="39"/>
  </w:num>
  <w:num w:numId="8">
    <w:abstractNumId w:val="29"/>
  </w:num>
  <w:num w:numId="9">
    <w:abstractNumId w:val="46"/>
  </w:num>
  <w:num w:numId="10">
    <w:abstractNumId w:val="17"/>
  </w:num>
  <w:num w:numId="11">
    <w:abstractNumId w:val="16"/>
  </w:num>
  <w:num w:numId="12">
    <w:abstractNumId w:val="27"/>
  </w:num>
  <w:num w:numId="13">
    <w:abstractNumId w:val="15"/>
  </w:num>
  <w:num w:numId="14">
    <w:abstractNumId w:val="14"/>
  </w:num>
  <w:num w:numId="1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9"/>
  </w:num>
  <w:num w:numId="17">
    <w:abstractNumId w:val="23"/>
  </w:num>
  <w:num w:numId="18">
    <w:abstractNumId w:val="31"/>
  </w:num>
  <w:num w:numId="19">
    <w:abstractNumId w:val="22"/>
  </w:num>
  <w:num w:numId="20">
    <w:abstractNumId w:val="38"/>
  </w:num>
  <w:num w:numId="21">
    <w:abstractNumId w:val="41"/>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5"/>
  </w:num>
  <w:num w:numId="30">
    <w:abstractNumId w:val="37"/>
  </w:num>
  <w:num w:numId="31">
    <w:abstractNumId w:val="25"/>
  </w:num>
  <w:num w:numId="32">
    <w:abstractNumId w:val="28"/>
  </w:num>
  <w:num w:numId="33">
    <w:abstractNumId w:val="30"/>
  </w:num>
  <w:num w:numId="34">
    <w:abstractNumId w:val="44"/>
  </w:num>
  <w:num w:numId="35">
    <w:abstractNumId w:val="34"/>
  </w:num>
  <w:num w:numId="36">
    <w:abstractNumId w:val="40"/>
  </w:num>
  <w:num w:numId="37">
    <w:abstractNumId w:val="42"/>
  </w:num>
  <w:num w:numId="38">
    <w:abstractNumId w:val="32"/>
  </w:num>
  <w:num w:numId="39">
    <w:abstractNumId w:val="21"/>
  </w:num>
  <w:num w:numId="40">
    <w:abstractNumId w:val="47"/>
  </w:num>
  <w:num w:numId="41">
    <w:abstractNumId w:val="8"/>
  </w:num>
  <w:num w:numId="42">
    <w:abstractNumId w:val="18"/>
  </w:num>
  <w:num w:numId="43">
    <w:abstractNumId w:val="43"/>
  </w:num>
  <w:num w:numId="44">
    <w:abstractNumId w:val="33"/>
  </w:num>
  <w:num w:numId="45">
    <w:abstractNumId w:val="13"/>
  </w:num>
  <w:num w:numId="46">
    <w:abstractNumId w:val="36"/>
  </w:num>
  <w:num w:numId="47">
    <w:abstractNumId w:val="24"/>
  </w:num>
  <w:num w:numId="48">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The MMRF model "/>
    <w:docVar w:name="ShortReportTitle" w:val="Modelling automotive industry change  "/>
  </w:docVars>
  <w:rsids>
    <w:rsidRoot w:val="00161F61"/>
    <w:rsid w:val="00011CC6"/>
    <w:rsid w:val="0002198B"/>
    <w:rsid w:val="000227D5"/>
    <w:rsid w:val="000245AA"/>
    <w:rsid w:val="000279D4"/>
    <w:rsid w:val="0003664B"/>
    <w:rsid w:val="00037F25"/>
    <w:rsid w:val="0004111F"/>
    <w:rsid w:val="000565B3"/>
    <w:rsid w:val="00062FB0"/>
    <w:rsid w:val="00065C5C"/>
    <w:rsid w:val="00070A4D"/>
    <w:rsid w:val="0007150B"/>
    <w:rsid w:val="000938F5"/>
    <w:rsid w:val="00096E55"/>
    <w:rsid w:val="00097359"/>
    <w:rsid w:val="000B3883"/>
    <w:rsid w:val="000B601B"/>
    <w:rsid w:val="000C207E"/>
    <w:rsid w:val="000E0270"/>
    <w:rsid w:val="000F0035"/>
    <w:rsid w:val="000F420B"/>
    <w:rsid w:val="000F591F"/>
    <w:rsid w:val="00106933"/>
    <w:rsid w:val="00110116"/>
    <w:rsid w:val="00120072"/>
    <w:rsid w:val="00126EB8"/>
    <w:rsid w:val="001274D4"/>
    <w:rsid w:val="001363AA"/>
    <w:rsid w:val="00157F70"/>
    <w:rsid w:val="00161F61"/>
    <w:rsid w:val="00176CB1"/>
    <w:rsid w:val="00183E82"/>
    <w:rsid w:val="001878BB"/>
    <w:rsid w:val="00191AE0"/>
    <w:rsid w:val="0019293B"/>
    <w:rsid w:val="0019426B"/>
    <w:rsid w:val="001B30A7"/>
    <w:rsid w:val="001C0865"/>
    <w:rsid w:val="001C22B2"/>
    <w:rsid w:val="001C3ABA"/>
    <w:rsid w:val="001C7484"/>
    <w:rsid w:val="001D678E"/>
    <w:rsid w:val="001D7988"/>
    <w:rsid w:val="001E4DF4"/>
    <w:rsid w:val="001E7ADD"/>
    <w:rsid w:val="001E7BE8"/>
    <w:rsid w:val="001F0248"/>
    <w:rsid w:val="001F3EB3"/>
    <w:rsid w:val="001F4F86"/>
    <w:rsid w:val="00202C2C"/>
    <w:rsid w:val="002135AB"/>
    <w:rsid w:val="0021434C"/>
    <w:rsid w:val="002144BE"/>
    <w:rsid w:val="00214594"/>
    <w:rsid w:val="00231B6F"/>
    <w:rsid w:val="00233320"/>
    <w:rsid w:val="00242279"/>
    <w:rsid w:val="00245C82"/>
    <w:rsid w:val="00261929"/>
    <w:rsid w:val="00266694"/>
    <w:rsid w:val="002741BC"/>
    <w:rsid w:val="00291B40"/>
    <w:rsid w:val="00294BBF"/>
    <w:rsid w:val="002A2BDA"/>
    <w:rsid w:val="002B0E32"/>
    <w:rsid w:val="002B4008"/>
    <w:rsid w:val="002B427D"/>
    <w:rsid w:val="002B5067"/>
    <w:rsid w:val="002D0E8E"/>
    <w:rsid w:val="00301189"/>
    <w:rsid w:val="00323E09"/>
    <w:rsid w:val="003335C9"/>
    <w:rsid w:val="00333932"/>
    <w:rsid w:val="0033755D"/>
    <w:rsid w:val="00341BF6"/>
    <w:rsid w:val="0035127C"/>
    <w:rsid w:val="003518AA"/>
    <w:rsid w:val="00352165"/>
    <w:rsid w:val="00353182"/>
    <w:rsid w:val="00355B85"/>
    <w:rsid w:val="003565D9"/>
    <w:rsid w:val="003602E1"/>
    <w:rsid w:val="00364814"/>
    <w:rsid w:val="0037026F"/>
    <w:rsid w:val="00371240"/>
    <w:rsid w:val="00374731"/>
    <w:rsid w:val="00376E59"/>
    <w:rsid w:val="003919F9"/>
    <w:rsid w:val="003A0324"/>
    <w:rsid w:val="003A072A"/>
    <w:rsid w:val="003A4BEC"/>
    <w:rsid w:val="003B7E84"/>
    <w:rsid w:val="003C38B5"/>
    <w:rsid w:val="003C5D99"/>
    <w:rsid w:val="003E2F59"/>
    <w:rsid w:val="003F0789"/>
    <w:rsid w:val="00401882"/>
    <w:rsid w:val="00405C33"/>
    <w:rsid w:val="004100C8"/>
    <w:rsid w:val="00411835"/>
    <w:rsid w:val="00411DBD"/>
    <w:rsid w:val="00411F7E"/>
    <w:rsid w:val="00412ACE"/>
    <w:rsid w:val="00423284"/>
    <w:rsid w:val="00424867"/>
    <w:rsid w:val="00426A0B"/>
    <w:rsid w:val="00431249"/>
    <w:rsid w:val="00434C19"/>
    <w:rsid w:val="0044661E"/>
    <w:rsid w:val="00450810"/>
    <w:rsid w:val="00455D88"/>
    <w:rsid w:val="00477144"/>
    <w:rsid w:val="00483B57"/>
    <w:rsid w:val="00486E83"/>
    <w:rsid w:val="00491380"/>
    <w:rsid w:val="0049148D"/>
    <w:rsid w:val="0049459F"/>
    <w:rsid w:val="004A38DD"/>
    <w:rsid w:val="004A6FA0"/>
    <w:rsid w:val="004B37CF"/>
    <w:rsid w:val="004B43AE"/>
    <w:rsid w:val="004C30ED"/>
    <w:rsid w:val="004D448E"/>
    <w:rsid w:val="004D5675"/>
    <w:rsid w:val="005069B8"/>
    <w:rsid w:val="00517F21"/>
    <w:rsid w:val="00523268"/>
    <w:rsid w:val="00523639"/>
    <w:rsid w:val="0052725F"/>
    <w:rsid w:val="00531FE5"/>
    <w:rsid w:val="00534802"/>
    <w:rsid w:val="005402FA"/>
    <w:rsid w:val="00547E93"/>
    <w:rsid w:val="005552C5"/>
    <w:rsid w:val="00556D41"/>
    <w:rsid w:val="0057430B"/>
    <w:rsid w:val="00576791"/>
    <w:rsid w:val="00583C39"/>
    <w:rsid w:val="00587F28"/>
    <w:rsid w:val="005909CF"/>
    <w:rsid w:val="00591E71"/>
    <w:rsid w:val="00597A09"/>
    <w:rsid w:val="005A0D41"/>
    <w:rsid w:val="005D7DB0"/>
    <w:rsid w:val="005E0350"/>
    <w:rsid w:val="00606DFD"/>
    <w:rsid w:val="00607BF1"/>
    <w:rsid w:val="00630D4D"/>
    <w:rsid w:val="00632A74"/>
    <w:rsid w:val="006351A3"/>
    <w:rsid w:val="006454EB"/>
    <w:rsid w:val="00646728"/>
    <w:rsid w:val="00665172"/>
    <w:rsid w:val="00667EC1"/>
    <w:rsid w:val="00670D8E"/>
    <w:rsid w:val="006728F0"/>
    <w:rsid w:val="006764E3"/>
    <w:rsid w:val="00683207"/>
    <w:rsid w:val="006A4655"/>
    <w:rsid w:val="006B2B3C"/>
    <w:rsid w:val="006B61C3"/>
    <w:rsid w:val="006C1D81"/>
    <w:rsid w:val="006C51C6"/>
    <w:rsid w:val="006C7038"/>
    <w:rsid w:val="006C7BA7"/>
    <w:rsid w:val="006E73EF"/>
    <w:rsid w:val="00712338"/>
    <w:rsid w:val="00714D4D"/>
    <w:rsid w:val="007232DF"/>
    <w:rsid w:val="007237A5"/>
    <w:rsid w:val="00741B99"/>
    <w:rsid w:val="00747228"/>
    <w:rsid w:val="007604BB"/>
    <w:rsid w:val="00764B26"/>
    <w:rsid w:val="00776A23"/>
    <w:rsid w:val="00785232"/>
    <w:rsid w:val="00786E40"/>
    <w:rsid w:val="007903A0"/>
    <w:rsid w:val="00792F5D"/>
    <w:rsid w:val="00794AC3"/>
    <w:rsid w:val="007A21EB"/>
    <w:rsid w:val="007B1A93"/>
    <w:rsid w:val="007C36C9"/>
    <w:rsid w:val="007C66AD"/>
    <w:rsid w:val="007D4506"/>
    <w:rsid w:val="007D6401"/>
    <w:rsid w:val="007E01E4"/>
    <w:rsid w:val="007E51A4"/>
    <w:rsid w:val="007E5613"/>
    <w:rsid w:val="007E73BD"/>
    <w:rsid w:val="007F7107"/>
    <w:rsid w:val="00800D4C"/>
    <w:rsid w:val="008058DC"/>
    <w:rsid w:val="0081030F"/>
    <w:rsid w:val="0082087D"/>
    <w:rsid w:val="00835771"/>
    <w:rsid w:val="00842933"/>
    <w:rsid w:val="0086082C"/>
    <w:rsid w:val="00864ADC"/>
    <w:rsid w:val="0087433C"/>
    <w:rsid w:val="00880153"/>
    <w:rsid w:val="00880F97"/>
    <w:rsid w:val="0088133A"/>
    <w:rsid w:val="008863CC"/>
    <w:rsid w:val="00886B2D"/>
    <w:rsid w:val="0089285E"/>
    <w:rsid w:val="00893026"/>
    <w:rsid w:val="0089436C"/>
    <w:rsid w:val="00895855"/>
    <w:rsid w:val="00897F47"/>
    <w:rsid w:val="008A1474"/>
    <w:rsid w:val="008D365C"/>
    <w:rsid w:val="008F3915"/>
    <w:rsid w:val="009030BF"/>
    <w:rsid w:val="0091032F"/>
    <w:rsid w:val="00914368"/>
    <w:rsid w:val="00925271"/>
    <w:rsid w:val="0092569C"/>
    <w:rsid w:val="00931076"/>
    <w:rsid w:val="009345D9"/>
    <w:rsid w:val="00934B15"/>
    <w:rsid w:val="00940C87"/>
    <w:rsid w:val="00942B62"/>
    <w:rsid w:val="0095323B"/>
    <w:rsid w:val="00954A27"/>
    <w:rsid w:val="009558B9"/>
    <w:rsid w:val="00956A0C"/>
    <w:rsid w:val="00956BD9"/>
    <w:rsid w:val="00957BF2"/>
    <w:rsid w:val="00962489"/>
    <w:rsid w:val="0096374C"/>
    <w:rsid w:val="0097578E"/>
    <w:rsid w:val="0098177F"/>
    <w:rsid w:val="009826FA"/>
    <w:rsid w:val="00984ADC"/>
    <w:rsid w:val="009865BB"/>
    <w:rsid w:val="00990C2C"/>
    <w:rsid w:val="00995681"/>
    <w:rsid w:val="009B2B93"/>
    <w:rsid w:val="009B4584"/>
    <w:rsid w:val="009D258E"/>
    <w:rsid w:val="009D5A62"/>
    <w:rsid w:val="009D7DDF"/>
    <w:rsid w:val="009D7E0E"/>
    <w:rsid w:val="009E1844"/>
    <w:rsid w:val="009F0D1B"/>
    <w:rsid w:val="009F696D"/>
    <w:rsid w:val="009F6BC6"/>
    <w:rsid w:val="00A06CA4"/>
    <w:rsid w:val="00A13878"/>
    <w:rsid w:val="00A17328"/>
    <w:rsid w:val="00A23A20"/>
    <w:rsid w:val="00A268B9"/>
    <w:rsid w:val="00A2703A"/>
    <w:rsid w:val="00A33DFF"/>
    <w:rsid w:val="00A35115"/>
    <w:rsid w:val="00A36D9A"/>
    <w:rsid w:val="00A41000"/>
    <w:rsid w:val="00A44624"/>
    <w:rsid w:val="00A52834"/>
    <w:rsid w:val="00A554AB"/>
    <w:rsid w:val="00A57062"/>
    <w:rsid w:val="00A668CC"/>
    <w:rsid w:val="00A7620A"/>
    <w:rsid w:val="00A805DA"/>
    <w:rsid w:val="00A92B53"/>
    <w:rsid w:val="00A94FA6"/>
    <w:rsid w:val="00AA1D77"/>
    <w:rsid w:val="00AA49A0"/>
    <w:rsid w:val="00AA6710"/>
    <w:rsid w:val="00AB0681"/>
    <w:rsid w:val="00AB412D"/>
    <w:rsid w:val="00AC4713"/>
    <w:rsid w:val="00AD520B"/>
    <w:rsid w:val="00AF56D2"/>
    <w:rsid w:val="00B04E52"/>
    <w:rsid w:val="00B25A62"/>
    <w:rsid w:val="00B32742"/>
    <w:rsid w:val="00B425C3"/>
    <w:rsid w:val="00B440AD"/>
    <w:rsid w:val="00B479BB"/>
    <w:rsid w:val="00B53E7E"/>
    <w:rsid w:val="00B6342E"/>
    <w:rsid w:val="00B65D5B"/>
    <w:rsid w:val="00B706CD"/>
    <w:rsid w:val="00B7113F"/>
    <w:rsid w:val="00B83F4E"/>
    <w:rsid w:val="00B966EE"/>
    <w:rsid w:val="00BA2A5E"/>
    <w:rsid w:val="00BA73B6"/>
    <w:rsid w:val="00BA7E27"/>
    <w:rsid w:val="00BB2603"/>
    <w:rsid w:val="00BB4FCD"/>
    <w:rsid w:val="00BC04E9"/>
    <w:rsid w:val="00BD13EA"/>
    <w:rsid w:val="00BE3808"/>
    <w:rsid w:val="00BE3F88"/>
    <w:rsid w:val="00BE47BC"/>
    <w:rsid w:val="00BE4A44"/>
    <w:rsid w:val="00BF450E"/>
    <w:rsid w:val="00C062E9"/>
    <w:rsid w:val="00C06E33"/>
    <w:rsid w:val="00C07B64"/>
    <w:rsid w:val="00C13721"/>
    <w:rsid w:val="00C14FE4"/>
    <w:rsid w:val="00C23445"/>
    <w:rsid w:val="00C3066D"/>
    <w:rsid w:val="00C405DC"/>
    <w:rsid w:val="00C443B8"/>
    <w:rsid w:val="00C52416"/>
    <w:rsid w:val="00C543F4"/>
    <w:rsid w:val="00C6291C"/>
    <w:rsid w:val="00C633CB"/>
    <w:rsid w:val="00C67624"/>
    <w:rsid w:val="00C736B7"/>
    <w:rsid w:val="00C7555C"/>
    <w:rsid w:val="00C8132D"/>
    <w:rsid w:val="00C81D4A"/>
    <w:rsid w:val="00C8762C"/>
    <w:rsid w:val="00C90633"/>
    <w:rsid w:val="00CA00F9"/>
    <w:rsid w:val="00CA2961"/>
    <w:rsid w:val="00CA6F78"/>
    <w:rsid w:val="00CB50D7"/>
    <w:rsid w:val="00CB7177"/>
    <w:rsid w:val="00CC1998"/>
    <w:rsid w:val="00CC4946"/>
    <w:rsid w:val="00CC5362"/>
    <w:rsid w:val="00CD54F0"/>
    <w:rsid w:val="00CE27A9"/>
    <w:rsid w:val="00CE3A7A"/>
    <w:rsid w:val="00CE7574"/>
    <w:rsid w:val="00D221AD"/>
    <w:rsid w:val="00D270A4"/>
    <w:rsid w:val="00D31FE9"/>
    <w:rsid w:val="00D34E1B"/>
    <w:rsid w:val="00D369CB"/>
    <w:rsid w:val="00D376BA"/>
    <w:rsid w:val="00D40D39"/>
    <w:rsid w:val="00D41541"/>
    <w:rsid w:val="00D42892"/>
    <w:rsid w:val="00D45634"/>
    <w:rsid w:val="00D45AD4"/>
    <w:rsid w:val="00D501DA"/>
    <w:rsid w:val="00D50CD0"/>
    <w:rsid w:val="00D50DEB"/>
    <w:rsid w:val="00D5568A"/>
    <w:rsid w:val="00D63D73"/>
    <w:rsid w:val="00D64452"/>
    <w:rsid w:val="00D66E1E"/>
    <w:rsid w:val="00D71745"/>
    <w:rsid w:val="00D75722"/>
    <w:rsid w:val="00D80CF5"/>
    <w:rsid w:val="00D83146"/>
    <w:rsid w:val="00DA58E3"/>
    <w:rsid w:val="00DA5BBA"/>
    <w:rsid w:val="00DB26D2"/>
    <w:rsid w:val="00DB67C9"/>
    <w:rsid w:val="00DC0C95"/>
    <w:rsid w:val="00DD6580"/>
    <w:rsid w:val="00DF2B97"/>
    <w:rsid w:val="00E00683"/>
    <w:rsid w:val="00E17C72"/>
    <w:rsid w:val="00E21FC6"/>
    <w:rsid w:val="00E237D4"/>
    <w:rsid w:val="00E3114A"/>
    <w:rsid w:val="00E34A84"/>
    <w:rsid w:val="00E42C5F"/>
    <w:rsid w:val="00E431A9"/>
    <w:rsid w:val="00E56DF7"/>
    <w:rsid w:val="00E62370"/>
    <w:rsid w:val="00E669E2"/>
    <w:rsid w:val="00E67873"/>
    <w:rsid w:val="00E76135"/>
    <w:rsid w:val="00E82F4F"/>
    <w:rsid w:val="00E82FB8"/>
    <w:rsid w:val="00E877DE"/>
    <w:rsid w:val="00E937CE"/>
    <w:rsid w:val="00E958AD"/>
    <w:rsid w:val="00EA4630"/>
    <w:rsid w:val="00EB2CE3"/>
    <w:rsid w:val="00EC2844"/>
    <w:rsid w:val="00EC5500"/>
    <w:rsid w:val="00ED18F8"/>
    <w:rsid w:val="00EF6C6C"/>
    <w:rsid w:val="00F01E05"/>
    <w:rsid w:val="00F04F74"/>
    <w:rsid w:val="00F056FC"/>
    <w:rsid w:val="00F10476"/>
    <w:rsid w:val="00F135D8"/>
    <w:rsid w:val="00F25BBD"/>
    <w:rsid w:val="00F30B4B"/>
    <w:rsid w:val="00F31299"/>
    <w:rsid w:val="00F3534A"/>
    <w:rsid w:val="00F51609"/>
    <w:rsid w:val="00F548D5"/>
    <w:rsid w:val="00F61D61"/>
    <w:rsid w:val="00F65F7F"/>
    <w:rsid w:val="00F7073D"/>
    <w:rsid w:val="00F744F2"/>
    <w:rsid w:val="00F7473A"/>
    <w:rsid w:val="00F81006"/>
    <w:rsid w:val="00F85325"/>
    <w:rsid w:val="00F933BB"/>
    <w:rsid w:val="00FA688E"/>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94AC3"/>
    <w:rPr>
      <w:sz w:val="26"/>
      <w:szCs w:val="24"/>
    </w:rPr>
  </w:style>
  <w:style w:type="paragraph" w:styleId="Heading1">
    <w:name w:val="heading 1"/>
    <w:basedOn w:val="BodyText"/>
    <w:next w:val="BodyText"/>
    <w:link w:val="Heading1Char"/>
    <w:rsid w:val="00794AC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94AC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94AC3"/>
    <w:pPr>
      <w:spacing w:before="560" w:line="320" w:lineRule="exact"/>
      <w:ind w:left="0" w:firstLine="0"/>
      <w:outlineLvl w:val="2"/>
    </w:pPr>
    <w:rPr>
      <w:sz w:val="26"/>
    </w:rPr>
  </w:style>
  <w:style w:type="paragraph" w:styleId="Heading4">
    <w:name w:val="heading 4"/>
    <w:basedOn w:val="Heading3"/>
    <w:next w:val="BodyText"/>
    <w:link w:val="Heading4Char"/>
    <w:qFormat/>
    <w:rsid w:val="00794AC3"/>
    <w:pPr>
      <w:spacing w:before="480"/>
      <w:outlineLvl w:val="3"/>
    </w:pPr>
    <w:rPr>
      <w:b w:val="0"/>
      <w:i/>
      <w:sz w:val="24"/>
    </w:rPr>
  </w:style>
  <w:style w:type="paragraph" w:styleId="Heading5">
    <w:name w:val="heading 5"/>
    <w:basedOn w:val="Heading4"/>
    <w:next w:val="BodyText"/>
    <w:link w:val="Heading5Char"/>
    <w:qFormat/>
    <w:rsid w:val="00794AC3"/>
    <w:pPr>
      <w:outlineLvl w:val="4"/>
    </w:pPr>
    <w:rPr>
      <w:rFonts w:ascii="Times New Roman" w:hAnsi="Times New Roman"/>
      <w:sz w:val="26"/>
    </w:rPr>
  </w:style>
  <w:style w:type="paragraph" w:styleId="Heading6">
    <w:name w:val="heading 6"/>
    <w:basedOn w:val="BodyText"/>
    <w:next w:val="BodyText"/>
    <w:rsid w:val="00794AC3"/>
    <w:pPr>
      <w:spacing w:after="60"/>
      <w:jc w:val="left"/>
      <w:outlineLvl w:val="5"/>
    </w:pPr>
    <w:rPr>
      <w:i/>
      <w:sz w:val="22"/>
    </w:rPr>
  </w:style>
  <w:style w:type="paragraph" w:styleId="Heading7">
    <w:name w:val="heading 7"/>
    <w:basedOn w:val="BodyText"/>
    <w:next w:val="BodyText"/>
    <w:rsid w:val="00794AC3"/>
    <w:pPr>
      <w:spacing w:after="60" w:line="240" w:lineRule="auto"/>
      <w:jc w:val="left"/>
      <w:outlineLvl w:val="6"/>
    </w:pPr>
    <w:rPr>
      <w:rFonts w:ascii="Arial" w:hAnsi="Arial"/>
      <w:sz w:val="20"/>
    </w:rPr>
  </w:style>
  <w:style w:type="paragraph" w:styleId="Heading8">
    <w:name w:val="heading 8"/>
    <w:basedOn w:val="BodyText"/>
    <w:next w:val="BodyText"/>
    <w:rsid w:val="00794AC3"/>
    <w:pPr>
      <w:spacing w:after="60" w:line="240" w:lineRule="auto"/>
      <w:jc w:val="left"/>
      <w:outlineLvl w:val="7"/>
    </w:pPr>
    <w:rPr>
      <w:rFonts w:ascii="Arial" w:hAnsi="Arial"/>
      <w:i/>
      <w:sz w:val="20"/>
    </w:rPr>
  </w:style>
  <w:style w:type="paragraph" w:styleId="Heading9">
    <w:name w:val="heading 9"/>
    <w:basedOn w:val="BodyText"/>
    <w:next w:val="BodyText"/>
    <w:rsid w:val="00794AC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94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AC3"/>
  </w:style>
  <w:style w:type="paragraph" w:styleId="BodyText">
    <w:name w:val="Body Text"/>
    <w:link w:val="BodyTextChar"/>
    <w:qFormat/>
    <w:rsid w:val="00794AC3"/>
    <w:pPr>
      <w:spacing w:before="240" w:line="320" w:lineRule="atLeast"/>
      <w:jc w:val="both"/>
    </w:pPr>
    <w:rPr>
      <w:sz w:val="26"/>
    </w:rPr>
  </w:style>
  <w:style w:type="paragraph" w:styleId="Footer">
    <w:name w:val="footer"/>
    <w:basedOn w:val="BodyText"/>
    <w:semiHidden/>
    <w:rsid w:val="00794AC3"/>
    <w:pPr>
      <w:spacing w:before="80" w:line="200" w:lineRule="exact"/>
      <w:ind w:right="6"/>
      <w:jc w:val="left"/>
    </w:pPr>
    <w:rPr>
      <w:caps/>
      <w:spacing w:val="-4"/>
      <w:sz w:val="16"/>
    </w:rPr>
  </w:style>
  <w:style w:type="paragraph" w:customStyle="1" w:styleId="FooterEnd">
    <w:name w:val="Footer End"/>
    <w:basedOn w:val="Footer"/>
    <w:rsid w:val="00794AC3"/>
    <w:pPr>
      <w:spacing w:before="0" w:line="20" w:lineRule="exact"/>
    </w:pPr>
  </w:style>
  <w:style w:type="paragraph" w:styleId="Header">
    <w:name w:val="header"/>
    <w:basedOn w:val="BodyText"/>
    <w:rsid w:val="00794AC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94AC3"/>
    <w:pPr>
      <w:spacing w:line="20" w:lineRule="exact"/>
    </w:pPr>
    <w:rPr>
      <w:sz w:val="16"/>
    </w:rPr>
  </w:style>
  <w:style w:type="paragraph" w:customStyle="1" w:styleId="HeaderEven">
    <w:name w:val="Header Even"/>
    <w:basedOn w:val="Header"/>
    <w:semiHidden/>
    <w:rsid w:val="00794AC3"/>
  </w:style>
  <w:style w:type="paragraph" w:customStyle="1" w:styleId="HeaderOdd">
    <w:name w:val="Header Odd"/>
    <w:basedOn w:val="Header"/>
    <w:semiHidden/>
    <w:rsid w:val="00794AC3"/>
  </w:style>
  <w:style w:type="character" w:styleId="PageNumber">
    <w:name w:val="page number"/>
    <w:basedOn w:val="DefaultParagraphFont"/>
    <w:rsid w:val="00794AC3"/>
    <w:rPr>
      <w:rFonts w:ascii="Arial" w:hAnsi="Arial"/>
      <w:b/>
      <w:sz w:val="16"/>
    </w:rPr>
  </w:style>
  <w:style w:type="paragraph" w:customStyle="1" w:styleId="Abbreviation">
    <w:name w:val="Abbreviation"/>
    <w:basedOn w:val="BodyText"/>
    <w:rsid w:val="00794AC3"/>
    <w:pPr>
      <w:spacing w:before="120"/>
      <w:ind w:left="2381" w:hanging="2381"/>
      <w:jc w:val="left"/>
    </w:pPr>
  </w:style>
  <w:style w:type="paragraph" w:customStyle="1" w:styleId="Box">
    <w:name w:val="Box"/>
    <w:basedOn w:val="BodyText"/>
    <w:qFormat/>
    <w:rsid w:val="00794AC3"/>
    <w:pPr>
      <w:keepNext/>
      <w:spacing w:before="120" w:line="280" w:lineRule="atLeast"/>
    </w:pPr>
    <w:rPr>
      <w:rFonts w:ascii="Arial" w:hAnsi="Arial"/>
      <w:sz w:val="22"/>
    </w:rPr>
  </w:style>
  <w:style w:type="paragraph" w:customStyle="1" w:styleId="BoxContinued">
    <w:name w:val="Box Continued"/>
    <w:basedOn w:val="BodyText"/>
    <w:next w:val="BodyText"/>
    <w:semiHidden/>
    <w:rsid w:val="00794AC3"/>
    <w:pPr>
      <w:spacing w:before="180" w:line="220" w:lineRule="exact"/>
      <w:jc w:val="right"/>
    </w:pPr>
    <w:rPr>
      <w:rFonts w:ascii="Arial" w:hAnsi="Arial"/>
      <w:sz w:val="18"/>
    </w:rPr>
  </w:style>
  <w:style w:type="paragraph" w:customStyle="1" w:styleId="BoxHeading1">
    <w:name w:val="Box Heading 1"/>
    <w:basedOn w:val="BodyText"/>
    <w:next w:val="Box"/>
    <w:rsid w:val="00794AC3"/>
    <w:pPr>
      <w:keepNext/>
      <w:spacing w:before="200" w:line="280" w:lineRule="atLeast"/>
    </w:pPr>
    <w:rPr>
      <w:rFonts w:ascii="Arial" w:hAnsi="Arial"/>
      <w:b/>
      <w:sz w:val="22"/>
    </w:rPr>
  </w:style>
  <w:style w:type="paragraph" w:customStyle="1" w:styleId="BoxHeading2">
    <w:name w:val="Box Heading 2"/>
    <w:basedOn w:val="BoxHeading1"/>
    <w:next w:val="Normal"/>
    <w:rsid w:val="00794AC3"/>
    <w:rPr>
      <w:b w:val="0"/>
      <w:i/>
    </w:rPr>
  </w:style>
  <w:style w:type="paragraph" w:customStyle="1" w:styleId="BoxListBullet">
    <w:name w:val="Box List Bullet"/>
    <w:basedOn w:val="BodyText"/>
    <w:rsid w:val="00794AC3"/>
    <w:pPr>
      <w:keepNext/>
      <w:numPr>
        <w:numId w:val="1"/>
      </w:numPr>
      <w:spacing w:before="60" w:line="280" w:lineRule="atLeast"/>
    </w:pPr>
    <w:rPr>
      <w:rFonts w:ascii="Arial" w:hAnsi="Arial"/>
      <w:sz w:val="22"/>
    </w:rPr>
  </w:style>
  <w:style w:type="paragraph" w:customStyle="1" w:styleId="BoxListBullet2">
    <w:name w:val="Box List Bullet 2"/>
    <w:basedOn w:val="BodyText"/>
    <w:rsid w:val="00794AC3"/>
    <w:pPr>
      <w:keepNext/>
      <w:numPr>
        <w:numId w:val="2"/>
      </w:numPr>
      <w:spacing w:before="60" w:line="280" w:lineRule="atLeast"/>
    </w:pPr>
    <w:rPr>
      <w:rFonts w:ascii="Arial" w:hAnsi="Arial"/>
      <w:sz w:val="22"/>
    </w:rPr>
  </w:style>
  <w:style w:type="paragraph" w:customStyle="1" w:styleId="BoxListNumber">
    <w:name w:val="Box List Number"/>
    <w:basedOn w:val="BodyText"/>
    <w:rsid w:val="00794AC3"/>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794AC3"/>
    <w:pPr>
      <w:numPr>
        <w:ilvl w:val="1"/>
      </w:numPr>
    </w:pPr>
  </w:style>
  <w:style w:type="paragraph" w:customStyle="1" w:styleId="BoxQuote">
    <w:name w:val="Box Quote"/>
    <w:basedOn w:val="BodyText"/>
    <w:next w:val="Box"/>
    <w:rsid w:val="00794AC3"/>
    <w:pPr>
      <w:keepNext/>
      <w:spacing w:before="60" w:line="260" w:lineRule="exact"/>
      <w:ind w:left="284"/>
    </w:pPr>
    <w:rPr>
      <w:rFonts w:ascii="Arial" w:hAnsi="Arial"/>
      <w:sz w:val="20"/>
    </w:rPr>
  </w:style>
  <w:style w:type="paragraph" w:customStyle="1" w:styleId="Note">
    <w:name w:val="Note"/>
    <w:basedOn w:val="BodyText"/>
    <w:next w:val="BodyText"/>
    <w:link w:val="NoteChar"/>
    <w:rsid w:val="00794AC3"/>
    <w:pPr>
      <w:keepLines/>
      <w:spacing w:before="80" w:line="220" w:lineRule="exact"/>
    </w:pPr>
    <w:rPr>
      <w:rFonts w:ascii="Arial" w:hAnsi="Arial"/>
      <w:sz w:val="18"/>
    </w:rPr>
  </w:style>
  <w:style w:type="paragraph" w:customStyle="1" w:styleId="Source">
    <w:name w:val="Source"/>
    <w:basedOn w:val="Note"/>
    <w:next w:val="BodyText"/>
    <w:rsid w:val="00794AC3"/>
    <w:pPr>
      <w:spacing w:after="120"/>
    </w:pPr>
  </w:style>
  <w:style w:type="paragraph" w:customStyle="1" w:styleId="BoxSource">
    <w:name w:val="Box Source"/>
    <w:basedOn w:val="Source"/>
    <w:next w:val="BodyText"/>
    <w:rsid w:val="00794AC3"/>
    <w:pPr>
      <w:spacing w:before="180" w:after="0"/>
    </w:pPr>
  </w:style>
  <w:style w:type="paragraph" w:customStyle="1" w:styleId="BoxSpaceAbove">
    <w:name w:val="Box Space Above"/>
    <w:basedOn w:val="BodyText"/>
    <w:rsid w:val="00794AC3"/>
    <w:pPr>
      <w:keepNext/>
      <w:spacing w:before="360" w:line="80" w:lineRule="exact"/>
      <w:jc w:val="left"/>
    </w:pPr>
  </w:style>
  <w:style w:type="paragraph" w:styleId="Caption">
    <w:name w:val="caption"/>
    <w:basedOn w:val="Normal"/>
    <w:next w:val="BodyText"/>
    <w:rsid w:val="00794AC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94AC3"/>
    <w:pPr>
      <w:spacing w:before="120" w:after="0"/>
      <w:ind w:left="1304" w:hanging="1304"/>
    </w:pPr>
    <w:rPr>
      <w:sz w:val="24"/>
    </w:rPr>
  </w:style>
  <w:style w:type="paragraph" w:customStyle="1" w:styleId="BoxSubtitle">
    <w:name w:val="Box Subtitle"/>
    <w:basedOn w:val="BoxTitle"/>
    <w:next w:val="Normal"/>
    <w:rsid w:val="00794AC3"/>
    <w:pPr>
      <w:spacing w:after="80" w:line="200" w:lineRule="exact"/>
      <w:ind w:firstLine="0"/>
    </w:pPr>
    <w:rPr>
      <w:b w:val="0"/>
      <w:sz w:val="20"/>
    </w:rPr>
  </w:style>
  <w:style w:type="paragraph" w:customStyle="1" w:styleId="Chapter">
    <w:name w:val="Chapter"/>
    <w:basedOn w:val="Heading1"/>
    <w:next w:val="BodyText"/>
    <w:semiHidden/>
    <w:rsid w:val="00794AC3"/>
    <w:pPr>
      <w:ind w:left="0" w:firstLine="0"/>
      <w:outlineLvl w:val="9"/>
    </w:pPr>
  </w:style>
  <w:style w:type="paragraph" w:customStyle="1" w:styleId="ChapterSummary">
    <w:name w:val="Chapter Summary"/>
    <w:basedOn w:val="BodyText"/>
    <w:rsid w:val="00794AC3"/>
    <w:pPr>
      <w:ind w:left="907"/>
    </w:pPr>
    <w:rPr>
      <w:rFonts w:ascii="Arial" w:hAnsi="Arial"/>
      <w:b/>
      <w:sz w:val="22"/>
    </w:rPr>
  </w:style>
  <w:style w:type="character" w:styleId="CommentReference">
    <w:name w:val="annotation reference"/>
    <w:basedOn w:val="DefaultParagraphFont"/>
    <w:semiHidden/>
    <w:rsid w:val="00794AC3"/>
    <w:rPr>
      <w:b/>
      <w:vanish/>
      <w:color w:val="FF00FF"/>
      <w:sz w:val="20"/>
    </w:rPr>
  </w:style>
  <w:style w:type="paragraph" w:styleId="CommentText">
    <w:name w:val="annotation text"/>
    <w:basedOn w:val="Normal"/>
    <w:link w:val="CommentTextChar"/>
    <w:semiHidden/>
    <w:rsid w:val="00794AC3"/>
    <w:pPr>
      <w:spacing w:before="120" w:line="240" w:lineRule="atLeast"/>
      <w:ind w:left="567" w:hanging="567"/>
    </w:pPr>
    <w:rPr>
      <w:sz w:val="20"/>
    </w:rPr>
  </w:style>
  <w:style w:type="paragraph" w:customStyle="1" w:styleId="Continued">
    <w:name w:val="Continued"/>
    <w:basedOn w:val="BoxContinued"/>
    <w:next w:val="BodyText"/>
    <w:link w:val="ContinuedChar"/>
    <w:rsid w:val="00794AC3"/>
  </w:style>
  <w:style w:type="character" w:customStyle="1" w:styleId="DocumentInfo">
    <w:name w:val="Document Info"/>
    <w:basedOn w:val="DefaultParagraphFont"/>
    <w:semiHidden/>
    <w:rsid w:val="00794AC3"/>
    <w:rPr>
      <w:rFonts w:ascii="Arial" w:hAnsi="Arial"/>
      <w:sz w:val="14"/>
    </w:rPr>
  </w:style>
  <w:style w:type="character" w:customStyle="1" w:styleId="DraftingNote">
    <w:name w:val="Drafting Note"/>
    <w:basedOn w:val="DefaultParagraphFont"/>
    <w:rsid w:val="00794AC3"/>
    <w:rPr>
      <w:b/>
      <w:color w:val="FF0000"/>
      <w:sz w:val="24"/>
      <w:u w:val="dotted"/>
    </w:rPr>
  </w:style>
  <w:style w:type="paragraph" w:customStyle="1" w:styleId="Figure">
    <w:name w:val="Figure"/>
    <w:basedOn w:val="BodyText"/>
    <w:rsid w:val="00794AC3"/>
    <w:pPr>
      <w:keepNext/>
      <w:spacing w:before="120" w:after="120" w:line="240" w:lineRule="atLeast"/>
      <w:jc w:val="center"/>
    </w:pPr>
  </w:style>
  <w:style w:type="paragraph" w:customStyle="1" w:styleId="FigureTitle">
    <w:name w:val="Figure Title"/>
    <w:basedOn w:val="Caption"/>
    <w:next w:val="Subtitle"/>
    <w:rsid w:val="00794AC3"/>
    <w:rPr>
      <w:sz w:val="24"/>
    </w:rPr>
  </w:style>
  <w:style w:type="paragraph" w:styleId="Subtitle">
    <w:name w:val="Subtitle"/>
    <w:basedOn w:val="Caption"/>
    <w:link w:val="SubtitleChar"/>
    <w:rsid w:val="00794AC3"/>
    <w:pPr>
      <w:spacing w:before="0" w:line="200" w:lineRule="exact"/>
      <w:ind w:firstLine="0"/>
    </w:pPr>
    <w:rPr>
      <w:b w:val="0"/>
      <w:sz w:val="20"/>
    </w:rPr>
  </w:style>
  <w:style w:type="paragraph" w:customStyle="1" w:styleId="Finding">
    <w:name w:val="Finding"/>
    <w:basedOn w:val="BodyText"/>
    <w:rsid w:val="00794AC3"/>
    <w:pPr>
      <w:keepLines/>
      <w:spacing w:before="180"/>
    </w:pPr>
    <w:rPr>
      <w:i/>
    </w:rPr>
  </w:style>
  <w:style w:type="paragraph" w:customStyle="1" w:styleId="FindingBullet">
    <w:name w:val="Finding Bullet"/>
    <w:basedOn w:val="Finding"/>
    <w:rsid w:val="00794AC3"/>
    <w:pPr>
      <w:numPr>
        <w:numId w:val="3"/>
      </w:numPr>
      <w:spacing w:before="80"/>
    </w:pPr>
  </w:style>
  <w:style w:type="paragraph" w:customStyle="1" w:styleId="FindingNoTitle">
    <w:name w:val="Finding NoTitle"/>
    <w:basedOn w:val="Finding"/>
    <w:rsid w:val="00794AC3"/>
    <w:pPr>
      <w:spacing w:before="240"/>
    </w:pPr>
  </w:style>
  <w:style w:type="paragraph" w:customStyle="1" w:styleId="RecTitle">
    <w:name w:val="Rec Title"/>
    <w:basedOn w:val="BodyText"/>
    <w:next w:val="Normal"/>
    <w:rsid w:val="00794AC3"/>
    <w:pPr>
      <w:keepNext/>
      <w:keepLines/>
    </w:pPr>
    <w:rPr>
      <w:caps/>
      <w:sz w:val="20"/>
    </w:rPr>
  </w:style>
  <w:style w:type="paragraph" w:customStyle="1" w:styleId="FindingTitle">
    <w:name w:val="Finding Title"/>
    <w:basedOn w:val="RecTitle"/>
    <w:next w:val="Finding"/>
    <w:rsid w:val="00794AC3"/>
    <w:pPr>
      <w:framePr w:wrap="notBeside" w:hAnchor="text"/>
    </w:pPr>
  </w:style>
  <w:style w:type="character" w:styleId="FootnoteReference">
    <w:name w:val="footnote reference"/>
    <w:basedOn w:val="DefaultParagraphFont"/>
    <w:semiHidden/>
    <w:rsid w:val="00794AC3"/>
    <w:rPr>
      <w:rFonts w:ascii="Times New Roman" w:hAnsi="Times New Roman"/>
      <w:position w:val="6"/>
      <w:sz w:val="22"/>
      <w:vertAlign w:val="baseline"/>
    </w:rPr>
  </w:style>
  <w:style w:type="paragraph" w:styleId="FootnoteText">
    <w:name w:val="footnote text"/>
    <w:basedOn w:val="BodyText"/>
    <w:link w:val="FootnoteTextChar"/>
    <w:rsid w:val="00794AC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94AC3"/>
    <w:pPr>
      <w:spacing w:before="360" w:after="120"/>
    </w:pPr>
    <w:rPr>
      <w:rFonts w:ascii="Arial" w:hAnsi="Arial"/>
      <w:sz w:val="24"/>
    </w:rPr>
  </w:style>
  <w:style w:type="paragraph" w:customStyle="1" w:styleId="Jurisdictioncommentsbodytext">
    <w:name w:val="Jurisdiction comments body text"/>
    <w:rsid w:val="00794AC3"/>
    <w:pPr>
      <w:spacing w:after="140"/>
      <w:jc w:val="both"/>
    </w:pPr>
    <w:rPr>
      <w:rFonts w:ascii="Arial" w:hAnsi="Arial"/>
      <w:sz w:val="24"/>
      <w:lang w:eastAsia="en-US"/>
    </w:rPr>
  </w:style>
  <w:style w:type="paragraph" w:customStyle="1" w:styleId="Jurisdictioncommentsheading">
    <w:name w:val="Jurisdiction comments heading"/>
    <w:rsid w:val="00794AC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94AC3"/>
    <w:pPr>
      <w:numPr>
        <w:numId w:val="4"/>
      </w:numPr>
      <w:spacing w:after="140"/>
      <w:jc w:val="both"/>
    </w:pPr>
    <w:rPr>
      <w:rFonts w:ascii="Arial" w:hAnsi="Arial"/>
      <w:sz w:val="24"/>
      <w:lang w:eastAsia="en-US"/>
    </w:rPr>
  </w:style>
  <w:style w:type="paragraph" w:styleId="ListBullet">
    <w:name w:val="List Bullet"/>
    <w:basedOn w:val="BodyText"/>
    <w:link w:val="ListBulletChar"/>
    <w:rsid w:val="00794AC3"/>
    <w:pPr>
      <w:numPr>
        <w:numId w:val="5"/>
      </w:numPr>
      <w:spacing w:before="120"/>
    </w:pPr>
  </w:style>
  <w:style w:type="paragraph" w:styleId="ListBullet2">
    <w:name w:val="List Bullet 2"/>
    <w:basedOn w:val="BodyText"/>
    <w:rsid w:val="00794AC3"/>
    <w:pPr>
      <w:numPr>
        <w:numId w:val="6"/>
      </w:numPr>
      <w:spacing w:before="120"/>
    </w:pPr>
  </w:style>
  <w:style w:type="paragraph" w:styleId="ListBullet3">
    <w:name w:val="List Bullet 3"/>
    <w:basedOn w:val="BodyText"/>
    <w:rsid w:val="00794AC3"/>
    <w:pPr>
      <w:numPr>
        <w:numId w:val="7"/>
      </w:numPr>
      <w:spacing w:before="120"/>
    </w:pPr>
  </w:style>
  <w:style w:type="paragraph" w:styleId="ListNumber">
    <w:name w:val="List Number"/>
    <w:basedOn w:val="BodyText"/>
    <w:link w:val="ListNumberChar"/>
    <w:rsid w:val="00794AC3"/>
    <w:pPr>
      <w:numPr>
        <w:numId w:val="13"/>
      </w:numPr>
      <w:spacing w:before="120"/>
    </w:pPr>
  </w:style>
  <w:style w:type="paragraph" w:styleId="ListNumber2">
    <w:name w:val="List Number 2"/>
    <w:basedOn w:val="ListNumber"/>
    <w:rsid w:val="00794AC3"/>
    <w:pPr>
      <w:numPr>
        <w:ilvl w:val="1"/>
      </w:numPr>
    </w:pPr>
  </w:style>
  <w:style w:type="paragraph" w:styleId="ListNumber3">
    <w:name w:val="List Number 3"/>
    <w:basedOn w:val="ListNumber2"/>
    <w:rsid w:val="00794AC3"/>
    <w:pPr>
      <w:numPr>
        <w:ilvl w:val="2"/>
      </w:numPr>
    </w:pPr>
  </w:style>
  <w:style w:type="character" w:customStyle="1" w:styleId="NoteLabel">
    <w:name w:val="Note Label"/>
    <w:basedOn w:val="DefaultParagraphFont"/>
    <w:rsid w:val="00794AC3"/>
    <w:rPr>
      <w:rFonts w:ascii="Arial" w:hAnsi="Arial"/>
      <w:b/>
      <w:position w:val="6"/>
      <w:sz w:val="18"/>
    </w:rPr>
  </w:style>
  <w:style w:type="paragraph" w:customStyle="1" w:styleId="PartDivider">
    <w:name w:val="Part Divider"/>
    <w:basedOn w:val="BodyText"/>
    <w:next w:val="BodyText"/>
    <w:semiHidden/>
    <w:rsid w:val="00794AC3"/>
    <w:pPr>
      <w:spacing w:before="0" w:line="40" w:lineRule="exact"/>
      <w:jc w:val="right"/>
    </w:pPr>
    <w:rPr>
      <w:smallCaps/>
      <w:sz w:val="16"/>
    </w:rPr>
  </w:style>
  <w:style w:type="paragraph" w:customStyle="1" w:styleId="PartNumber">
    <w:name w:val="Part Number"/>
    <w:basedOn w:val="BodyText"/>
    <w:next w:val="BodyText"/>
    <w:semiHidden/>
    <w:rsid w:val="00794AC3"/>
    <w:pPr>
      <w:spacing w:before="4000" w:line="320" w:lineRule="exact"/>
      <w:ind w:left="6634"/>
      <w:jc w:val="right"/>
    </w:pPr>
    <w:rPr>
      <w:smallCaps/>
      <w:spacing w:val="60"/>
      <w:sz w:val="32"/>
    </w:rPr>
  </w:style>
  <w:style w:type="paragraph" w:customStyle="1" w:styleId="PartTitle">
    <w:name w:val="Part Title"/>
    <w:basedOn w:val="BodyText"/>
    <w:semiHidden/>
    <w:rsid w:val="00794AC3"/>
    <w:pPr>
      <w:spacing w:before="160" w:after="1360" w:line="520" w:lineRule="exact"/>
      <w:ind w:right="2381"/>
      <w:jc w:val="right"/>
    </w:pPr>
    <w:rPr>
      <w:smallCaps/>
      <w:sz w:val="52"/>
    </w:rPr>
  </w:style>
  <w:style w:type="paragraph" w:styleId="Quote">
    <w:name w:val="Quote"/>
    <w:basedOn w:val="BodyText"/>
    <w:next w:val="BodyText"/>
    <w:qFormat/>
    <w:rsid w:val="00794AC3"/>
    <w:pPr>
      <w:spacing w:before="120" w:line="280" w:lineRule="exact"/>
      <w:ind w:left="340"/>
    </w:pPr>
    <w:rPr>
      <w:sz w:val="24"/>
    </w:rPr>
  </w:style>
  <w:style w:type="paragraph" w:customStyle="1" w:styleId="QuoteBullet">
    <w:name w:val="Quote Bullet"/>
    <w:basedOn w:val="Quote"/>
    <w:rsid w:val="00794AC3"/>
    <w:pPr>
      <w:numPr>
        <w:numId w:val="8"/>
      </w:numPr>
    </w:pPr>
  </w:style>
  <w:style w:type="paragraph" w:customStyle="1" w:styleId="Rec">
    <w:name w:val="Rec"/>
    <w:basedOn w:val="BodyText"/>
    <w:rsid w:val="00794AC3"/>
    <w:pPr>
      <w:keepLines/>
      <w:spacing w:before="180"/>
    </w:pPr>
    <w:rPr>
      <w:b/>
      <w:i/>
    </w:rPr>
  </w:style>
  <w:style w:type="paragraph" w:customStyle="1" w:styleId="RecBullet">
    <w:name w:val="Rec Bullet"/>
    <w:basedOn w:val="Rec"/>
    <w:rsid w:val="00794AC3"/>
    <w:pPr>
      <w:numPr>
        <w:numId w:val="9"/>
      </w:numPr>
      <w:spacing w:before="80"/>
    </w:pPr>
  </w:style>
  <w:style w:type="paragraph" w:customStyle="1" w:styleId="RecB">
    <w:name w:val="RecB"/>
    <w:basedOn w:val="Normal"/>
    <w:rsid w:val="00794AC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94AC3"/>
    <w:pPr>
      <w:numPr>
        <w:numId w:val="10"/>
      </w:numPr>
      <w:spacing w:before="80"/>
    </w:pPr>
  </w:style>
  <w:style w:type="paragraph" w:customStyle="1" w:styleId="RecBNoTitle">
    <w:name w:val="RecB NoTitle"/>
    <w:basedOn w:val="RecB"/>
    <w:rsid w:val="00794AC3"/>
    <w:pPr>
      <w:spacing w:before="240"/>
    </w:pPr>
  </w:style>
  <w:style w:type="paragraph" w:customStyle="1" w:styleId="Reference">
    <w:name w:val="Reference"/>
    <w:basedOn w:val="BodyText"/>
    <w:rsid w:val="00794AC3"/>
    <w:pPr>
      <w:spacing w:before="120"/>
      <w:ind w:left="340" w:hanging="340"/>
    </w:pPr>
  </w:style>
  <w:style w:type="paragraph" w:customStyle="1" w:styleId="SequenceInfo">
    <w:name w:val="Sequence Info"/>
    <w:basedOn w:val="BodyText"/>
    <w:semiHidden/>
    <w:rsid w:val="00794AC3"/>
    <w:rPr>
      <w:vanish/>
      <w:sz w:val="16"/>
    </w:rPr>
  </w:style>
  <w:style w:type="paragraph" w:customStyle="1" w:styleId="SideNote">
    <w:name w:val="Side Note"/>
    <w:basedOn w:val="BodyText"/>
    <w:next w:val="BodyText"/>
    <w:semiHidden/>
    <w:rsid w:val="00794AC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94AC3"/>
    <w:pPr>
      <w:framePr w:wrap="around"/>
      <w:numPr>
        <w:numId w:val="11"/>
      </w:numPr>
      <w:tabs>
        <w:tab w:val="left" w:pos="227"/>
      </w:tabs>
    </w:pPr>
  </w:style>
  <w:style w:type="paragraph" w:customStyle="1" w:styleId="SideNoteGraphic">
    <w:name w:val="Side Note Graphic"/>
    <w:basedOn w:val="SideNote"/>
    <w:next w:val="BodyText"/>
    <w:semiHidden/>
    <w:rsid w:val="00794AC3"/>
    <w:pPr>
      <w:framePr w:wrap="around"/>
    </w:pPr>
  </w:style>
  <w:style w:type="paragraph" w:customStyle="1" w:styleId="TableBodyText">
    <w:name w:val="Table Body Text"/>
    <w:basedOn w:val="BodyText"/>
    <w:rsid w:val="00794AC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94AC3"/>
    <w:pPr>
      <w:numPr>
        <w:numId w:val="12"/>
      </w:numPr>
      <w:jc w:val="left"/>
    </w:pPr>
  </w:style>
  <w:style w:type="paragraph" w:customStyle="1" w:styleId="TableColumnHeading">
    <w:name w:val="Table Column Heading"/>
    <w:basedOn w:val="TableBodyText"/>
    <w:rsid w:val="00794AC3"/>
    <w:pPr>
      <w:spacing w:before="80" w:after="80"/>
    </w:pPr>
    <w:rPr>
      <w:i/>
    </w:rPr>
  </w:style>
  <w:style w:type="paragraph" w:styleId="TOC2">
    <w:name w:val="toc 2"/>
    <w:basedOn w:val="BodyText"/>
    <w:semiHidden/>
    <w:rsid w:val="00794AC3"/>
    <w:pPr>
      <w:tabs>
        <w:tab w:val="right" w:pos="8789"/>
      </w:tabs>
      <w:ind w:left="510" w:right="851" w:hanging="510"/>
      <w:jc w:val="left"/>
    </w:pPr>
    <w:rPr>
      <w:b/>
    </w:rPr>
  </w:style>
  <w:style w:type="paragraph" w:styleId="TOC3">
    <w:name w:val="toc 3"/>
    <w:basedOn w:val="TOC2"/>
    <w:semiHidden/>
    <w:rsid w:val="00794AC3"/>
    <w:pPr>
      <w:spacing w:before="60"/>
      <w:ind w:left="1190" w:hanging="680"/>
    </w:pPr>
    <w:rPr>
      <w:b w:val="0"/>
    </w:rPr>
  </w:style>
  <w:style w:type="paragraph" w:styleId="TableofFigures">
    <w:name w:val="table of figures"/>
    <w:basedOn w:val="TOC3"/>
    <w:next w:val="BodyText"/>
    <w:semiHidden/>
    <w:rsid w:val="00794AC3"/>
    <w:pPr>
      <w:ind w:left="737" w:hanging="737"/>
    </w:pPr>
  </w:style>
  <w:style w:type="paragraph" w:customStyle="1" w:styleId="TableTitle">
    <w:name w:val="Table Title"/>
    <w:basedOn w:val="Caption"/>
    <w:next w:val="Subtitle"/>
    <w:link w:val="TableTitleChar"/>
    <w:rsid w:val="00794AC3"/>
    <w:rPr>
      <w:sz w:val="24"/>
    </w:rPr>
  </w:style>
  <w:style w:type="paragraph" w:customStyle="1" w:styleId="TableUnitsRow">
    <w:name w:val="Table Units Row"/>
    <w:basedOn w:val="TableBodyText"/>
    <w:rsid w:val="00794AC3"/>
    <w:pPr>
      <w:spacing w:before="80" w:after="80"/>
    </w:pPr>
  </w:style>
  <w:style w:type="paragraph" w:styleId="TOC1">
    <w:name w:val="toc 1"/>
    <w:basedOn w:val="Normal"/>
    <w:next w:val="TOC2"/>
    <w:semiHidden/>
    <w:rsid w:val="00794AC3"/>
    <w:pPr>
      <w:tabs>
        <w:tab w:val="right" w:pos="8789"/>
      </w:tabs>
      <w:spacing w:before="480" w:after="60" w:line="320" w:lineRule="exact"/>
      <w:ind w:left="1191" w:right="851" w:hanging="1191"/>
    </w:pPr>
    <w:rPr>
      <w:b/>
      <w:caps/>
    </w:rPr>
  </w:style>
  <w:style w:type="paragraph" w:styleId="TOC4">
    <w:name w:val="toc 4"/>
    <w:basedOn w:val="TOC3"/>
    <w:semiHidden/>
    <w:rsid w:val="00794AC3"/>
    <w:pPr>
      <w:ind w:left="1191" w:firstLine="0"/>
    </w:pPr>
  </w:style>
  <w:style w:type="paragraph" w:customStyle="1" w:styleId="RecBBullet2">
    <w:name w:val="RecB Bullet 2"/>
    <w:basedOn w:val="ListBullet2"/>
    <w:semiHidden/>
    <w:rsid w:val="00794AC3"/>
    <w:pPr>
      <w:pBdr>
        <w:left w:val="single" w:sz="24" w:space="29" w:color="C0C0C0"/>
      </w:pBdr>
    </w:pPr>
    <w:rPr>
      <w:b/>
      <w:i/>
    </w:rPr>
  </w:style>
  <w:style w:type="paragraph" w:styleId="BalloonText">
    <w:name w:val="Balloon Text"/>
    <w:basedOn w:val="Normal"/>
    <w:link w:val="BalloonTextChar"/>
    <w:rsid w:val="00794AC3"/>
    <w:rPr>
      <w:rFonts w:ascii="Tahoma" w:hAnsi="Tahoma" w:cs="Tahoma"/>
      <w:sz w:val="16"/>
      <w:szCs w:val="16"/>
    </w:rPr>
  </w:style>
  <w:style w:type="character" w:customStyle="1" w:styleId="BalloonTextChar">
    <w:name w:val="Balloon Text Char"/>
    <w:basedOn w:val="DefaultParagraphFont"/>
    <w:link w:val="BalloonText"/>
    <w:rsid w:val="00794AC3"/>
    <w:rPr>
      <w:rFonts w:ascii="Tahoma" w:hAnsi="Tahoma" w:cs="Tahoma"/>
      <w:sz w:val="16"/>
      <w:szCs w:val="16"/>
    </w:rPr>
  </w:style>
  <w:style w:type="character" w:customStyle="1" w:styleId="SubtitleChar">
    <w:name w:val="Subtitle Char"/>
    <w:basedOn w:val="DefaultParagraphFont"/>
    <w:link w:val="Subtitle"/>
    <w:rsid w:val="00794AC3"/>
    <w:rPr>
      <w:rFonts w:ascii="Arial" w:hAnsi="Arial"/>
      <w:szCs w:val="24"/>
    </w:rPr>
  </w:style>
  <w:style w:type="paragraph" w:customStyle="1" w:styleId="BoxListBullet3">
    <w:name w:val="Box List Bullet 3"/>
    <w:basedOn w:val="ListBullet3"/>
    <w:rsid w:val="00794AC3"/>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94AC3"/>
    <w:rPr>
      <w:i/>
      <w:iCs/>
    </w:rPr>
  </w:style>
  <w:style w:type="paragraph" w:customStyle="1" w:styleId="BoxQuoteBullet">
    <w:name w:val="Box Quote Bullet"/>
    <w:basedOn w:val="BoxQuote"/>
    <w:next w:val="Box"/>
    <w:rsid w:val="00794AC3"/>
    <w:pPr>
      <w:numPr>
        <w:numId w:val="16"/>
      </w:numPr>
      <w:ind w:left="568" w:hanging="284"/>
    </w:pPr>
  </w:style>
  <w:style w:type="paragraph" w:customStyle="1" w:styleId="InformationRequestBullet">
    <w:name w:val="Information Request Bullet"/>
    <w:basedOn w:val="ListBullet"/>
    <w:next w:val="BodyText"/>
    <w:rsid w:val="00794AC3"/>
    <w:pPr>
      <w:numPr>
        <w:numId w:val="17"/>
      </w:numPr>
      <w:ind w:left="340" w:hanging="340"/>
    </w:pPr>
    <w:rPr>
      <w:rFonts w:ascii="Arial" w:hAnsi="Arial"/>
      <w:i/>
      <w:sz w:val="24"/>
    </w:rPr>
  </w:style>
  <w:style w:type="paragraph" w:customStyle="1" w:styleId="BoxSpaceBelow">
    <w:name w:val="Box Space Below"/>
    <w:basedOn w:val="Box"/>
    <w:rsid w:val="00794AC3"/>
    <w:pPr>
      <w:keepNext w:val="0"/>
      <w:spacing w:before="60" w:after="60" w:line="80" w:lineRule="exact"/>
    </w:pPr>
    <w:rPr>
      <w:sz w:val="14"/>
    </w:rPr>
  </w:style>
  <w:style w:type="character" w:customStyle="1" w:styleId="BodyTextChar">
    <w:name w:val="Body Text Char"/>
    <w:basedOn w:val="DefaultParagraphFont"/>
    <w:link w:val="BodyText"/>
    <w:rsid w:val="00B83F4E"/>
    <w:rPr>
      <w:sz w:val="26"/>
    </w:rPr>
  </w:style>
  <w:style w:type="character" w:customStyle="1" w:styleId="ListBulletChar">
    <w:name w:val="List Bullet Char"/>
    <w:basedOn w:val="BodyTextChar"/>
    <w:link w:val="ListBullet"/>
    <w:rsid w:val="0087433C"/>
    <w:rPr>
      <w:sz w:val="26"/>
    </w:rPr>
  </w:style>
  <w:style w:type="character" w:customStyle="1" w:styleId="NoteChar">
    <w:name w:val="Note Char"/>
    <w:basedOn w:val="DefaultParagraphFont"/>
    <w:link w:val="Note"/>
    <w:rsid w:val="00BE3F88"/>
    <w:rPr>
      <w:rFonts w:ascii="Arial" w:hAnsi="Arial"/>
      <w:sz w:val="18"/>
    </w:rPr>
  </w:style>
  <w:style w:type="paragraph" w:customStyle="1" w:styleId="AppHeading3">
    <w:name w:val="App Heading 3"/>
    <w:basedOn w:val="Normal"/>
    <w:next w:val="Normal"/>
    <w:autoRedefine/>
    <w:rsid w:val="00BE3F88"/>
    <w:pPr>
      <w:numPr>
        <w:ilvl w:val="2"/>
        <w:numId w:val="19"/>
      </w:numPr>
      <w:tabs>
        <w:tab w:val="left" w:pos="851"/>
      </w:tabs>
      <w:spacing w:before="240" w:line="320" w:lineRule="atLeast"/>
    </w:pPr>
    <w:rPr>
      <w:rFonts w:ascii="Book Antiqua" w:hAnsi="Book Antiqua"/>
      <w:b/>
      <w:bCs/>
      <w:i/>
      <w:iCs/>
      <w:color w:val="008000"/>
      <w:sz w:val="24"/>
      <w:lang w:val="en-US"/>
    </w:rPr>
  </w:style>
  <w:style w:type="paragraph" w:customStyle="1" w:styleId="Tableheading">
    <w:name w:val="Table heading"/>
    <w:basedOn w:val="Normal"/>
    <w:link w:val="TableheadingChar"/>
    <w:qFormat/>
    <w:rsid w:val="00BE3F88"/>
    <w:pPr>
      <w:keepNext/>
      <w:keepLines/>
      <w:spacing w:after="60" w:line="240" w:lineRule="atLeast"/>
      <w:ind w:left="1134" w:hanging="1134"/>
      <w:outlineLvl w:val="2"/>
    </w:pPr>
    <w:rPr>
      <w:rFonts w:asciiTheme="minorHAnsi" w:eastAsiaTheme="minorHAnsi" w:hAnsiTheme="minorHAnsi" w:cstheme="minorHAnsi"/>
      <w:b/>
      <w:bCs/>
      <w:color w:val="000000" w:themeColor="text1"/>
      <w:sz w:val="24"/>
    </w:rPr>
  </w:style>
  <w:style w:type="character" w:customStyle="1" w:styleId="TableheadingChar">
    <w:name w:val="Table heading Char"/>
    <w:basedOn w:val="DefaultParagraphFont"/>
    <w:link w:val="Tableheading"/>
    <w:rsid w:val="00BE3F88"/>
    <w:rPr>
      <w:rFonts w:asciiTheme="minorHAnsi" w:eastAsiaTheme="minorHAnsi" w:hAnsiTheme="minorHAnsi" w:cstheme="minorHAnsi"/>
      <w:b/>
      <w:bCs/>
      <w:color w:val="000000" w:themeColor="text1"/>
      <w:sz w:val="24"/>
      <w:szCs w:val="24"/>
    </w:rPr>
  </w:style>
  <w:style w:type="character" w:customStyle="1" w:styleId="FootnoteTextChar">
    <w:name w:val="Footnote Text Char"/>
    <w:basedOn w:val="DefaultParagraphFont"/>
    <w:link w:val="FootnoteText"/>
    <w:rsid w:val="00F01E05"/>
    <w:rPr>
      <w:sz w:val="22"/>
    </w:rPr>
  </w:style>
  <w:style w:type="character" w:customStyle="1" w:styleId="TableTitleChar">
    <w:name w:val="Table Title Char"/>
    <w:basedOn w:val="DefaultParagraphFont"/>
    <w:link w:val="TableTitle"/>
    <w:rsid w:val="004A6FA0"/>
    <w:rPr>
      <w:rFonts w:ascii="Arial" w:hAnsi="Arial"/>
      <w:b/>
      <w:sz w:val="24"/>
      <w:szCs w:val="24"/>
    </w:rPr>
  </w:style>
  <w:style w:type="character" w:customStyle="1" w:styleId="ContinuedChar">
    <w:name w:val="Continued Char"/>
    <w:basedOn w:val="DefaultParagraphFont"/>
    <w:link w:val="Continued"/>
    <w:rsid w:val="004A6FA0"/>
    <w:rPr>
      <w:rFonts w:ascii="Arial" w:hAnsi="Arial"/>
      <w:sz w:val="18"/>
    </w:rPr>
  </w:style>
  <w:style w:type="paragraph" w:styleId="CommentSubject">
    <w:name w:val="annotation subject"/>
    <w:basedOn w:val="CommentText"/>
    <w:next w:val="CommentText"/>
    <w:link w:val="CommentSubjectChar"/>
    <w:rsid w:val="001C74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7484"/>
    <w:rPr>
      <w:szCs w:val="24"/>
    </w:rPr>
  </w:style>
  <w:style w:type="character" w:customStyle="1" w:styleId="CommentSubjectChar">
    <w:name w:val="Comment Subject Char"/>
    <w:basedOn w:val="CommentTextChar"/>
    <w:link w:val="CommentSubject"/>
    <w:rsid w:val="001C7484"/>
    <w:rPr>
      <w:b/>
      <w:bCs/>
      <w:szCs w:val="24"/>
    </w:rPr>
  </w:style>
  <w:style w:type="paragraph" w:styleId="Bibliography">
    <w:name w:val="Bibliography"/>
    <w:basedOn w:val="Normal"/>
    <w:next w:val="Normal"/>
    <w:uiPriority w:val="37"/>
    <w:unhideWhenUsed/>
    <w:rsid w:val="002B5067"/>
    <w:pPr>
      <w:spacing w:after="240"/>
      <w:ind w:left="720" w:hanging="720"/>
    </w:pPr>
  </w:style>
  <w:style w:type="table" w:styleId="TableGrid">
    <w:name w:val="Table Grid"/>
    <w:basedOn w:val="TableNormal"/>
    <w:rsid w:val="00483B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
    <w:name w:val="Box Space"/>
    <w:basedOn w:val="BodyText"/>
    <w:rsid w:val="00E67873"/>
    <w:pPr>
      <w:keepNext/>
      <w:spacing w:before="360" w:line="80" w:lineRule="exact"/>
      <w:jc w:val="left"/>
    </w:pPr>
  </w:style>
  <w:style w:type="paragraph" w:customStyle="1" w:styleId="Gempack">
    <w:name w:val="Gempack"/>
    <w:basedOn w:val="BodyText"/>
    <w:rsid w:val="00E67873"/>
    <w:pPr>
      <w:keepLines/>
      <w:tabs>
        <w:tab w:val="right" w:pos="8280"/>
      </w:tabs>
      <w:jc w:val="left"/>
    </w:pPr>
    <w:rPr>
      <w:sz w:val="20"/>
    </w:rPr>
  </w:style>
  <w:style w:type="character" w:customStyle="1" w:styleId="ListNumberChar">
    <w:name w:val="List Number Char"/>
    <w:basedOn w:val="DefaultParagraphFont"/>
    <w:link w:val="ListNumber"/>
    <w:rsid w:val="00B83F4E"/>
    <w:rPr>
      <w:sz w:val="26"/>
    </w:rPr>
  </w:style>
  <w:style w:type="paragraph" w:customStyle="1" w:styleId="ListNumber21">
    <w:name w:val="List Number 21"/>
    <w:basedOn w:val="ListNumber"/>
    <w:link w:val="Listnumber2Char"/>
    <w:qFormat/>
    <w:rsid w:val="00B83F4E"/>
    <w:pPr>
      <w:numPr>
        <w:numId w:val="20"/>
      </w:numPr>
    </w:pPr>
    <w:rPr>
      <w:sz w:val="24"/>
      <w:szCs w:val="24"/>
    </w:rPr>
  </w:style>
  <w:style w:type="character" w:customStyle="1" w:styleId="Listnumber2Char">
    <w:name w:val="List number 2 Char"/>
    <w:basedOn w:val="ListNumberChar"/>
    <w:link w:val="ListNumber21"/>
    <w:rsid w:val="00B83F4E"/>
    <w:rPr>
      <w:sz w:val="24"/>
      <w:szCs w:val="24"/>
    </w:rPr>
  </w:style>
  <w:style w:type="paragraph" w:customStyle="1" w:styleId="ListNumber31">
    <w:name w:val="List Number 31"/>
    <w:basedOn w:val="ListNumber"/>
    <w:link w:val="Listnumber3Char"/>
    <w:qFormat/>
    <w:rsid w:val="00B83F4E"/>
    <w:pPr>
      <w:numPr>
        <w:numId w:val="21"/>
      </w:numPr>
    </w:pPr>
    <w:rPr>
      <w:sz w:val="24"/>
      <w:szCs w:val="24"/>
    </w:rPr>
  </w:style>
  <w:style w:type="character" w:customStyle="1" w:styleId="Listnumber3Char">
    <w:name w:val="List number 3 Char"/>
    <w:basedOn w:val="ListNumberChar"/>
    <w:link w:val="ListNumber31"/>
    <w:rsid w:val="00B83F4E"/>
    <w:rPr>
      <w:sz w:val="24"/>
      <w:szCs w:val="24"/>
    </w:rPr>
  </w:style>
  <w:style w:type="paragraph" w:customStyle="1" w:styleId="KeyPointsListBullet">
    <w:name w:val="Key Points List Bullet"/>
    <w:basedOn w:val="Normal"/>
    <w:qFormat/>
    <w:rsid w:val="00B83F4E"/>
    <w:pPr>
      <w:keepNext/>
      <w:spacing w:before="100" w:line="270" w:lineRule="atLeast"/>
      <w:jc w:val="both"/>
    </w:pPr>
    <w:rPr>
      <w:rFonts w:ascii="Arial" w:hAnsi="Arial"/>
      <w:sz w:val="21"/>
    </w:rPr>
  </w:style>
  <w:style w:type="paragraph" w:customStyle="1" w:styleId="KeyPointsListBullet2">
    <w:name w:val="Key Points List Bullet 2"/>
    <w:basedOn w:val="Normal"/>
    <w:rsid w:val="00B83F4E"/>
    <w:pPr>
      <w:keepNext/>
      <w:spacing w:before="60" w:line="270" w:lineRule="atLeast"/>
      <w:jc w:val="both"/>
    </w:pPr>
    <w:rPr>
      <w:rFonts w:ascii="Arial" w:hAnsi="Arial"/>
      <w:sz w:val="21"/>
    </w:rPr>
  </w:style>
  <w:style w:type="paragraph" w:customStyle="1" w:styleId="InformationRequestTitle">
    <w:name w:val="Information Request Title"/>
    <w:basedOn w:val="FindingTitle"/>
    <w:next w:val="InformationRequest"/>
    <w:rsid w:val="00B83F4E"/>
    <w:pPr>
      <w:framePr w:wrap="auto"/>
    </w:pPr>
    <w:rPr>
      <w:i/>
    </w:rPr>
  </w:style>
  <w:style w:type="paragraph" w:customStyle="1" w:styleId="Space">
    <w:name w:val="Space"/>
    <w:basedOn w:val="Normal"/>
    <w:rsid w:val="00B83F4E"/>
    <w:pPr>
      <w:keepNext/>
      <w:spacing w:line="120" w:lineRule="exact"/>
      <w:jc w:val="both"/>
    </w:pPr>
    <w:rPr>
      <w:rFonts w:ascii="Arial" w:hAnsi="Arial"/>
      <w:sz w:val="21"/>
    </w:rPr>
  </w:style>
  <w:style w:type="paragraph" w:customStyle="1" w:styleId="Heading1nochapterno">
    <w:name w:val="Heading 1 (no chapter no.)"/>
    <w:basedOn w:val="Heading1"/>
    <w:rsid w:val="00B83F4E"/>
    <w:pPr>
      <w:spacing w:before="0"/>
    </w:pPr>
    <w:rPr>
      <w:b/>
      <w:bCs/>
    </w:rPr>
  </w:style>
  <w:style w:type="character" w:customStyle="1" w:styleId="Heading1Char">
    <w:name w:val="Heading 1 Char"/>
    <w:basedOn w:val="DefaultParagraphFont"/>
    <w:link w:val="Heading1"/>
    <w:rsid w:val="00B83F4E"/>
    <w:rPr>
      <w:sz w:val="52"/>
    </w:rPr>
  </w:style>
  <w:style w:type="paragraph" w:customStyle="1" w:styleId="Heading2nosectionno">
    <w:name w:val="Heading 2 (no section no.)"/>
    <w:basedOn w:val="Heading2"/>
    <w:rsid w:val="00B83F4E"/>
    <w:rPr>
      <w:bCs/>
    </w:rPr>
  </w:style>
  <w:style w:type="character" w:customStyle="1" w:styleId="Heading2Char">
    <w:name w:val="Heading 2 Char"/>
    <w:basedOn w:val="DefaultParagraphFont"/>
    <w:link w:val="Heading2"/>
    <w:rsid w:val="00B83F4E"/>
    <w:rPr>
      <w:rFonts w:ascii="Arial" w:hAnsi="Arial"/>
      <w:b/>
      <w:sz w:val="32"/>
    </w:rPr>
  </w:style>
  <w:style w:type="character" w:customStyle="1" w:styleId="Heading5Char">
    <w:name w:val="Heading 5 Char"/>
    <w:basedOn w:val="DefaultParagraphFont"/>
    <w:link w:val="Heading5"/>
    <w:rsid w:val="00B83F4E"/>
    <w:rPr>
      <w:i/>
      <w:sz w:val="26"/>
    </w:rPr>
  </w:style>
  <w:style w:type="character" w:customStyle="1" w:styleId="Heading4Char">
    <w:name w:val="Heading 4 Char"/>
    <w:basedOn w:val="DefaultParagraphFont"/>
    <w:link w:val="Heading4"/>
    <w:rsid w:val="00B83F4E"/>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94AC3"/>
    <w:rPr>
      <w:sz w:val="26"/>
      <w:szCs w:val="24"/>
    </w:rPr>
  </w:style>
  <w:style w:type="paragraph" w:styleId="Heading1">
    <w:name w:val="heading 1"/>
    <w:basedOn w:val="BodyText"/>
    <w:next w:val="BodyText"/>
    <w:link w:val="Heading1Char"/>
    <w:rsid w:val="00794AC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94AC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94AC3"/>
    <w:pPr>
      <w:spacing w:before="560" w:line="320" w:lineRule="exact"/>
      <w:ind w:left="0" w:firstLine="0"/>
      <w:outlineLvl w:val="2"/>
    </w:pPr>
    <w:rPr>
      <w:sz w:val="26"/>
    </w:rPr>
  </w:style>
  <w:style w:type="paragraph" w:styleId="Heading4">
    <w:name w:val="heading 4"/>
    <w:basedOn w:val="Heading3"/>
    <w:next w:val="BodyText"/>
    <w:link w:val="Heading4Char"/>
    <w:qFormat/>
    <w:rsid w:val="00794AC3"/>
    <w:pPr>
      <w:spacing w:before="480"/>
      <w:outlineLvl w:val="3"/>
    </w:pPr>
    <w:rPr>
      <w:b w:val="0"/>
      <w:i/>
      <w:sz w:val="24"/>
    </w:rPr>
  </w:style>
  <w:style w:type="paragraph" w:styleId="Heading5">
    <w:name w:val="heading 5"/>
    <w:basedOn w:val="Heading4"/>
    <w:next w:val="BodyText"/>
    <w:link w:val="Heading5Char"/>
    <w:qFormat/>
    <w:rsid w:val="00794AC3"/>
    <w:pPr>
      <w:outlineLvl w:val="4"/>
    </w:pPr>
    <w:rPr>
      <w:rFonts w:ascii="Times New Roman" w:hAnsi="Times New Roman"/>
      <w:sz w:val="26"/>
    </w:rPr>
  </w:style>
  <w:style w:type="paragraph" w:styleId="Heading6">
    <w:name w:val="heading 6"/>
    <w:basedOn w:val="BodyText"/>
    <w:next w:val="BodyText"/>
    <w:rsid w:val="00794AC3"/>
    <w:pPr>
      <w:spacing w:after="60"/>
      <w:jc w:val="left"/>
      <w:outlineLvl w:val="5"/>
    </w:pPr>
    <w:rPr>
      <w:i/>
      <w:sz w:val="22"/>
    </w:rPr>
  </w:style>
  <w:style w:type="paragraph" w:styleId="Heading7">
    <w:name w:val="heading 7"/>
    <w:basedOn w:val="BodyText"/>
    <w:next w:val="BodyText"/>
    <w:rsid w:val="00794AC3"/>
    <w:pPr>
      <w:spacing w:after="60" w:line="240" w:lineRule="auto"/>
      <w:jc w:val="left"/>
      <w:outlineLvl w:val="6"/>
    </w:pPr>
    <w:rPr>
      <w:rFonts w:ascii="Arial" w:hAnsi="Arial"/>
      <w:sz w:val="20"/>
    </w:rPr>
  </w:style>
  <w:style w:type="paragraph" w:styleId="Heading8">
    <w:name w:val="heading 8"/>
    <w:basedOn w:val="BodyText"/>
    <w:next w:val="BodyText"/>
    <w:rsid w:val="00794AC3"/>
    <w:pPr>
      <w:spacing w:after="60" w:line="240" w:lineRule="auto"/>
      <w:jc w:val="left"/>
      <w:outlineLvl w:val="7"/>
    </w:pPr>
    <w:rPr>
      <w:rFonts w:ascii="Arial" w:hAnsi="Arial"/>
      <w:i/>
      <w:sz w:val="20"/>
    </w:rPr>
  </w:style>
  <w:style w:type="paragraph" w:styleId="Heading9">
    <w:name w:val="heading 9"/>
    <w:basedOn w:val="BodyText"/>
    <w:next w:val="BodyText"/>
    <w:rsid w:val="00794AC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94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AC3"/>
  </w:style>
  <w:style w:type="paragraph" w:styleId="BodyText">
    <w:name w:val="Body Text"/>
    <w:link w:val="BodyTextChar"/>
    <w:qFormat/>
    <w:rsid w:val="00794AC3"/>
    <w:pPr>
      <w:spacing w:before="240" w:line="320" w:lineRule="atLeast"/>
      <w:jc w:val="both"/>
    </w:pPr>
    <w:rPr>
      <w:sz w:val="26"/>
    </w:rPr>
  </w:style>
  <w:style w:type="paragraph" w:styleId="Footer">
    <w:name w:val="footer"/>
    <w:basedOn w:val="BodyText"/>
    <w:semiHidden/>
    <w:rsid w:val="00794AC3"/>
    <w:pPr>
      <w:spacing w:before="80" w:line="200" w:lineRule="exact"/>
      <w:ind w:right="6"/>
      <w:jc w:val="left"/>
    </w:pPr>
    <w:rPr>
      <w:caps/>
      <w:spacing w:val="-4"/>
      <w:sz w:val="16"/>
    </w:rPr>
  </w:style>
  <w:style w:type="paragraph" w:customStyle="1" w:styleId="FooterEnd">
    <w:name w:val="Footer End"/>
    <w:basedOn w:val="Footer"/>
    <w:rsid w:val="00794AC3"/>
    <w:pPr>
      <w:spacing w:before="0" w:line="20" w:lineRule="exact"/>
    </w:pPr>
  </w:style>
  <w:style w:type="paragraph" w:styleId="Header">
    <w:name w:val="header"/>
    <w:basedOn w:val="BodyText"/>
    <w:rsid w:val="00794AC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94AC3"/>
    <w:pPr>
      <w:spacing w:line="20" w:lineRule="exact"/>
    </w:pPr>
    <w:rPr>
      <w:sz w:val="16"/>
    </w:rPr>
  </w:style>
  <w:style w:type="paragraph" w:customStyle="1" w:styleId="HeaderEven">
    <w:name w:val="Header Even"/>
    <w:basedOn w:val="Header"/>
    <w:semiHidden/>
    <w:rsid w:val="00794AC3"/>
  </w:style>
  <w:style w:type="paragraph" w:customStyle="1" w:styleId="HeaderOdd">
    <w:name w:val="Header Odd"/>
    <w:basedOn w:val="Header"/>
    <w:semiHidden/>
    <w:rsid w:val="00794AC3"/>
  </w:style>
  <w:style w:type="character" w:styleId="PageNumber">
    <w:name w:val="page number"/>
    <w:basedOn w:val="DefaultParagraphFont"/>
    <w:rsid w:val="00794AC3"/>
    <w:rPr>
      <w:rFonts w:ascii="Arial" w:hAnsi="Arial"/>
      <w:b/>
      <w:sz w:val="16"/>
    </w:rPr>
  </w:style>
  <w:style w:type="paragraph" w:customStyle="1" w:styleId="Abbreviation">
    <w:name w:val="Abbreviation"/>
    <w:basedOn w:val="BodyText"/>
    <w:rsid w:val="00794AC3"/>
    <w:pPr>
      <w:spacing w:before="120"/>
      <w:ind w:left="2381" w:hanging="2381"/>
      <w:jc w:val="left"/>
    </w:pPr>
  </w:style>
  <w:style w:type="paragraph" w:customStyle="1" w:styleId="Box">
    <w:name w:val="Box"/>
    <w:basedOn w:val="BodyText"/>
    <w:qFormat/>
    <w:rsid w:val="00794AC3"/>
    <w:pPr>
      <w:keepNext/>
      <w:spacing w:before="120" w:line="280" w:lineRule="atLeast"/>
    </w:pPr>
    <w:rPr>
      <w:rFonts w:ascii="Arial" w:hAnsi="Arial"/>
      <w:sz w:val="22"/>
    </w:rPr>
  </w:style>
  <w:style w:type="paragraph" w:customStyle="1" w:styleId="BoxContinued">
    <w:name w:val="Box Continued"/>
    <w:basedOn w:val="BodyText"/>
    <w:next w:val="BodyText"/>
    <w:semiHidden/>
    <w:rsid w:val="00794AC3"/>
    <w:pPr>
      <w:spacing w:before="180" w:line="220" w:lineRule="exact"/>
      <w:jc w:val="right"/>
    </w:pPr>
    <w:rPr>
      <w:rFonts w:ascii="Arial" w:hAnsi="Arial"/>
      <w:sz w:val="18"/>
    </w:rPr>
  </w:style>
  <w:style w:type="paragraph" w:customStyle="1" w:styleId="BoxHeading1">
    <w:name w:val="Box Heading 1"/>
    <w:basedOn w:val="BodyText"/>
    <w:next w:val="Box"/>
    <w:rsid w:val="00794AC3"/>
    <w:pPr>
      <w:keepNext/>
      <w:spacing w:before="200" w:line="280" w:lineRule="atLeast"/>
    </w:pPr>
    <w:rPr>
      <w:rFonts w:ascii="Arial" w:hAnsi="Arial"/>
      <w:b/>
      <w:sz w:val="22"/>
    </w:rPr>
  </w:style>
  <w:style w:type="paragraph" w:customStyle="1" w:styleId="BoxHeading2">
    <w:name w:val="Box Heading 2"/>
    <w:basedOn w:val="BoxHeading1"/>
    <w:next w:val="Normal"/>
    <w:rsid w:val="00794AC3"/>
    <w:rPr>
      <w:b w:val="0"/>
      <w:i/>
    </w:rPr>
  </w:style>
  <w:style w:type="paragraph" w:customStyle="1" w:styleId="BoxListBullet">
    <w:name w:val="Box List Bullet"/>
    <w:basedOn w:val="BodyText"/>
    <w:rsid w:val="00794AC3"/>
    <w:pPr>
      <w:keepNext/>
      <w:numPr>
        <w:numId w:val="1"/>
      </w:numPr>
      <w:spacing w:before="60" w:line="280" w:lineRule="atLeast"/>
    </w:pPr>
    <w:rPr>
      <w:rFonts w:ascii="Arial" w:hAnsi="Arial"/>
      <w:sz w:val="22"/>
    </w:rPr>
  </w:style>
  <w:style w:type="paragraph" w:customStyle="1" w:styleId="BoxListBullet2">
    <w:name w:val="Box List Bullet 2"/>
    <w:basedOn w:val="BodyText"/>
    <w:rsid w:val="00794AC3"/>
    <w:pPr>
      <w:keepNext/>
      <w:numPr>
        <w:numId w:val="2"/>
      </w:numPr>
      <w:spacing w:before="60" w:line="280" w:lineRule="atLeast"/>
    </w:pPr>
    <w:rPr>
      <w:rFonts w:ascii="Arial" w:hAnsi="Arial"/>
      <w:sz w:val="22"/>
    </w:rPr>
  </w:style>
  <w:style w:type="paragraph" w:customStyle="1" w:styleId="BoxListNumber">
    <w:name w:val="Box List Number"/>
    <w:basedOn w:val="BodyText"/>
    <w:rsid w:val="00794AC3"/>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794AC3"/>
    <w:pPr>
      <w:numPr>
        <w:ilvl w:val="1"/>
      </w:numPr>
    </w:pPr>
  </w:style>
  <w:style w:type="paragraph" w:customStyle="1" w:styleId="BoxQuote">
    <w:name w:val="Box Quote"/>
    <w:basedOn w:val="BodyText"/>
    <w:next w:val="Box"/>
    <w:rsid w:val="00794AC3"/>
    <w:pPr>
      <w:keepNext/>
      <w:spacing w:before="60" w:line="260" w:lineRule="exact"/>
      <w:ind w:left="284"/>
    </w:pPr>
    <w:rPr>
      <w:rFonts w:ascii="Arial" w:hAnsi="Arial"/>
      <w:sz w:val="20"/>
    </w:rPr>
  </w:style>
  <w:style w:type="paragraph" w:customStyle="1" w:styleId="Note">
    <w:name w:val="Note"/>
    <w:basedOn w:val="BodyText"/>
    <w:next w:val="BodyText"/>
    <w:link w:val="NoteChar"/>
    <w:rsid w:val="00794AC3"/>
    <w:pPr>
      <w:keepLines/>
      <w:spacing w:before="80" w:line="220" w:lineRule="exact"/>
    </w:pPr>
    <w:rPr>
      <w:rFonts w:ascii="Arial" w:hAnsi="Arial"/>
      <w:sz w:val="18"/>
    </w:rPr>
  </w:style>
  <w:style w:type="paragraph" w:customStyle="1" w:styleId="Source">
    <w:name w:val="Source"/>
    <w:basedOn w:val="Note"/>
    <w:next w:val="BodyText"/>
    <w:rsid w:val="00794AC3"/>
    <w:pPr>
      <w:spacing w:after="120"/>
    </w:pPr>
  </w:style>
  <w:style w:type="paragraph" w:customStyle="1" w:styleId="BoxSource">
    <w:name w:val="Box Source"/>
    <w:basedOn w:val="Source"/>
    <w:next w:val="BodyText"/>
    <w:rsid w:val="00794AC3"/>
    <w:pPr>
      <w:spacing w:before="180" w:after="0"/>
    </w:pPr>
  </w:style>
  <w:style w:type="paragraph" w:customStyle="1" w:styleId="BoxSpaceAbove">
    <w:name w:val="Box Space Above"/>
    <w:basedOn w:val="BodyText"/>
    <w:rsid w:val="00794AC3"/>
    <w:pPr>
      <w:keepNext/>
      <w:spacing w:before="360" w:line="80" w:lineRule="exact"/>
      <w:jc w:val="left"/>
    </w:pPr>
  </w:style>
  <w:style w:type="paragraph" w:styleId="Caption">
    <w:name w:val="caption"/>
    <w:basedOn w:val="Normal"/>
    <w:next w:val="BodyText"/>
    <w:rsid w:val="00794AC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94AC3"/>
    <w:pPr>
      <w:spacing w:before="120" w:after="0"/>
      <w:ind w:left="1304" w:hanging="1304"/>
    </w:pPr>
    <w:rPr>
      <w:sz w:val="24"/>
    </w:rPr>
  </w:style>
  <w:style w:type="paragraph" w:customStyle="1" w:styleId="BoxSubtitle">
    <w:name w:val="Box Subtitle"/>
    <w:basedOn w:val="BoxTitle"/>
    <w:next w:val="Normal"/>
    <w:rsid w:val="00794AC3"/>
    <w:pPr>
      <w:spacing w:after="80" w:line="200" w:lineRule="exact"/>
      <w:ind w:firstLine="0"/>
    </w:pPr>
    <w:rPr>
      <w:b w:val="0"/>
      <w:sz w:val="20"/>
    </w:rPr>
  </w:style>
  <w:style w:type="paragraph" w:customStyle="1" w:styleId="Chapter">
    <w:name w:val="Chapter"/>
    <w:basedOn w:val="Heading1"/>
    <w:next w:val="BodyText"/>
    <w:semiHidden/>
    <w:rsid w:val="00794AC3"/>
    <w:pPr>
      <w:ind w:left="0" w:firstLine="0"/>
      <w:outlineLvl w:val="9"/>
    </w:pPr>
  </w:style>
  <w:style w:type="paragraph" w:customStyle="1" w:styleId="ChapterSummary">
    <w:name w:val="Chapter Summary"/>
    <w:basedOn w:val="BodyText"/>
    <w:rsid w:val="00794AC3"/>
    <w:pPr>
      <w:ind w:left="907"/>
    </w:pPr>
    <w:rPr>
      <w:rFonts w:ascii="Arial" w:hAnsi="Arial"/>
      <w:b/>
      <w:sz w:val="22"/>
    </w:rPr>
  </w:style>
  <w:style w:type="character" w:styleId="CommentReference">
    <w:name w:val="annotation reference"/>
    <w:basedOn w:val="DefaultParagraphFont"/>
    <w:semiHidden/>
    <w:rsid w:val="00794AC3"/>
    <w:rPr>
      <w:b/>
      <w:vanish/>
      <w:color w:val="FF00FF"/>
      <w:sz w:val="20"/>
    </w:rPr>
  </w:style>
  <w:style w:type="paragraph" w:styleId="CommentText">
    <w:name w:val="annotation text"/>
    <w:basedOn w:val="Normal"/>
    <w:link w:val="CommentTextChar"/>
    <w:semiHidden/>
    <w:rsid w:val="00794AC3"/>
    <w:pPr>
      <w:spacing w:before="120" w:line="240" w:lineRule="atLeast"/>
      <w:ind w:left="567" w:hanging="567"/>
    </w:pPr>
    <w:rPr>
      <w:sz w:val="20"/>
    </w:rPr>
  </w:style>
  <w:style w:type="paragraph" w:customStyle="1" w:styleId="Continued">
    <w:name w:val="Continued"/>
    <w:basedOn w:val="BoxContinued"/>
    <w:next w:val="BodyText"/>
    <w:link w:val="ContinuedChar"/>
    <w:rsid w:val="00794AC3"/>
  </w:style>
  <w:style w:type="character" w:customStyle="1" w:styleId="DocumentInfo">
    <w:name w:val="Document Info"/>
    <w:basedOn w:val="DefaultParagraphFont"/>
    <w:semiHidden/>
    <w:rsid w:val="00794AC3"/>
    <w:rPr>
      <w:rFonts w:ascii="Arial" w:hAnsi="Arial"/>
      <w:sz w:val="14"/>
    </w:rPr>
  </w:style>
  <w:style w:type="character" w:customStyle="1" w:styleId="DraftingNote">
    <w:name w:val="Drafting Note"/>
    <w:basedOn w:val="DefaultParagraphFont"/>
    <w:rsid w:val="00794AC3"/>
    <w:rPr>
      <w:b/>
      <w:color w:val="FF0000"/>
      <w:sz w:val="24"/>
      <w:u w:val="dotted"/>
    </w:rPr>
  </w:style>
  <w:style w:type="paragraph" w:customStyle="1" w:styleId="Figure">
    <w:name w:val="Figure"/>
    <w:basedOn w:val="BodyText"/>
    <w:rsid w:val="00794AC3"/>
    <w:pPr>
      <w:keepNext/>
      <w:spacing w:before="120" w:after="120" w:line="240" w:lineRule="atLeast"/>
      <w:jc w:val="center"/>
    </w:pPr>
  </w:style>
  <w:style w:type="paragraph" w:customStyle="1" w:styleId="FigureTitle">
    <w:name w:val="Figure Title"/>
    <w:basedOn w:val="Caption"/>
    <w:next w:val="Subtitle"/>
    <w:rsid w:val="00794AC3"/>
    <w:rPr>
      <w:sz w:val="24"/>
    </w:rPr>
  </w:style>
  <w:style w:type="paragraph" w:styleId="Subtitle">
    <w:name w:val="Subtitle"/>
    <w:basedOn w:val="Caption"/>
    <w:link w:val="SubtitleChar"/>
    <w:rsid w:val="00794AC3"/>
    <w:pPr>
      <w:spacing w:before="0" w:line="200" w:lineRule="exact"/>
      <w:ind w:firstLine="0"/>
    </w:pPr>
    <w:rPr>
      <w:b w:val="0"/>
      <w:sz w:val="20"/>
    </w:rPr>
  </w:style>
  <w:style w:type="paragraph" w:customStyle="1" w:styleId="Finding">
    <w:name w:val="Finding"/>
    <w:basedOn w:val="BodyText"/>
    <w:rsid w:val="00794AC3"/>
    <w:pPr>
      <w:keepLines/>
      <w:spacing w:before="180"/>
    </w:pPr>
    <w:rPr>
      <w:i/>
    </w:rPr>
  </w:style>
  <w:style w:type="paragraph" w:customStyle="1" w:styleId="FindingBullet">
    <w:name w:val="Finding Bullet"/>
    <w:basedOn w:val="Finding"/>
    <w:rsid w:val="00794AC3"/>
    <w:pPr>
      <w:numPr>
        <w:numId w:val="3"/>
      </w:numPr>
      <w:spacing w:before="80"/>
    </w:pPr>
  </w:style>
  <w:style w:type="paragraph" w:customStyle="1" w:styleId="FindingNoTitle">
    <w:name w:val="Finding NoTitle"/>
    <w:basedOn w:val="Finding"/>
    <w:rsid w:val="00794AC3"/>
    <w:pPr>
      <w:spacing w:before="240"/>
    </w:pPr>
  </w:style>
  <w:style w:type="paragraph" w:customStyle="1" w:styleId="RecTitle">
    <w:name w:val="Rec Title"/>
    <w:basedOn w:val="BodyText"/>
    <w:next w:val="Normal"/>
    <w:rsid w:val="00794AC3"/>
    <w:pPr>
      <w:keepNext/>
      <w:keepLines/>
    </w:pPr>
    <w:rPr>
      <w:caps/>
      <w:sz w:val="20"/>
    </w:rPr>
  </w:style>
  <w:style w:type="paragraph" w:customStyle="1" w:styleId="FindingTitle">
    <w:name w:val="Finding Title"/>
    <w:basedOn w:val="RecTitle"/>
    <w:next w:val="Finding"/>
    <w:rsid w:val="00794AC3"/>
    <w:pPr>
      <w:framePr w:wrap="notBeside" w:hAnchor="text"/>
    </w:pPr>
  </w:style>
  <w:style w:type="character" w:styleId="FootnoteReference">
    <w:name w:val="footnote reference"/>
    <w:basedOn w:val="DefaultParagraphFont"/>
    <w:semiHidden/>
    <w:rsid w:val="00794AC3"/>
    <w:rPr>
      <w:rFonts w:ascii="Times New Roman" w:hAnsi="Times New Roman"/>
      <w:position w:val="6"/>
      <w:sz w:val="22"/>
      <w:vertAlign w:val="baseline"/>
    </w:rPr>
  </w:style>
  <w:style w:type="paragraph" w:styleId="FootnoteText">
    <w:name w:val="footnote text"/>
    <w:basedOn w:val="BodyText"/>
    <w:link w:val="FootnoteTextChar"/>
    <w:rsid w:val="00794AC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94AC3"/>
    <w:pPr>
      <w:spacing w:before="360" w:after="120"/>
    </w:pPr>
    <w:rPr>
      <w:rFonts w:ascii="Arial" w:hAnsi="Arial"/>
      <w:sz w:val="24"/>
    </w:rPr>
  </w:style>
  <w:style w:type="paragraph" w:customStyle="1" w:styleId="Jurisdictioncommentsbodytext">
    <w:name w:val="Jurisdiction comments body text"/>
    <w:rsid w:val="00794AC3"/>
    <w:pPr>
      <w:spacing w:after="140"/>
      <w:jc w:val="both"/>
    </w:pPr>
    <w:rPr>
      <w:rFonts w:ascii="Arial" w:hAnsi="Arial"/>
      <w:sz w:val="24"/>
      <w:lang w:eastAsia="en-US"/>
    </w:rPr>
  </w:style>
  <w:style w:type="paragraph" w:customStyle="1" w:styleId="Jurisdictioncommentsheading">
    <w:name w:val="Jurisdiction comments heading"/>
    <w:rsid w:val="00794AC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94AC3"/>
    <w:pPr>
      <w:numPr>
        <w:numId w:val="4"/>
      </w:numPr>
      <w:spacing w:after="140"/>
      <w:jc w:val="both"/>
    </w:pPr>
    <w:rPr>
      <w:rFonts w:ascii="Arial" w:hAnsi="Arial"/>
      <w:sz w:val="24"/>
      <w:lang w:eastAsia="en-US"/>
    </w:rPr>
  </w:style>
  <w:style w:type="paragraph" w:styleId="ListBullet">
    <w:name w:val="List Bullet"/>
    <w:basedOn w:val="BodyText"/>
    <w:link w:val="ListBulletChar"/>
    <w:rsid w:val="00794AC3"/>
    <w:pPr>
      <w:numPr>
        <w:numId w:val="5"/>
      </w:numPr>
      <w:spacing w:before="120"/>
    </w:pPr>
  </w:style>
  <w:style w:type="paragraph" w:styleId="ListBullet2">
    <w:name w:val="List Bullet 2"/>
    <w:basedOn w:val="BodyText"/>
    <w:rsid w:val="00794AC3"/>
    <w:pPr>
      <w:numPr>
        <w:numId w:val="6"/>
      </w:numPr>
      <w:spacing w:before="120"/>
    </w:pPr>
  </w:style>
  <w:style w:type="paragraph" w:styleId="ListBullet3">
    <w:name w:val="List Bullet 3"/>
    <w:basedOn w:val="BodyText"/>
    <w:rsid w:val="00794AC3"/>
    <w:pPr>
      <w:numPr>
        <w:numId w:val="7"/>
      </w:numPr>
      <w:spacing w:before="120"/>
    </w:pPr>
  </w:style>
  <w:style w:type="paragraph" w:styleId="ListNumber">
    <w:name w:val="List Number"/>
    <w:basedOn w:val="BodyText"/>
    <w:link w:val="ListNumberChar"/>
    <w:rsid w:val="00794AC3"/>
    <w:pPr>
      <w:numPr>
        <w:numId w:val="13"/>
      </w:numPr>
      <w:spacing w:before="120"/>
    </w:pPr>
  </w:style>
  <w:style w:type="paragraph" w:styleId="ListNumber2">
    <w:name w:val="List Number 2"/>
    <w:basedOn w:val="ListNumber"/>
    <w:rsid w:val="00794AC3"/>
    <w:pPr>
      <w:numPr>
        <w:ilvl w:val="1"/>
      </w:numPr>
    </w:pPr>
  </w:style>
  <w:style w:type="paragraph" w:styleId="ListNumber3">
    <w:name w:val="List Number 3"/>
    <w:basedOn w:val="ListNumber2"/>
    <w:rsid w:val="00794AC3"/>
    <w:pPr>
      <w:numPr>
        <w:ilvl w:val="2"/>
      </w:numPr>
    </w:pPr>
  </w:style>
  <w:style w:type="character" w:customStyle="1" w:styleId="NoteLabel">
    <w:name w:val="Note Label"/>
    <w:basedOn w:val="DefaultParagraphFont"/>
    <w:rsid w:val="00794AC3"/>
    <w:rPr>
      <w:rFonts w:ascii="Arial" w:hAnsi="Arial"/>
      <w:b/>
      <w:position w:val="6"/>
      <w:sz w:val="18"/>
    </w:rPr>
  </w:style>
  <w:style w:type="paragraph" w:customStyle="1" w:styleId="PartDivider">
    <w:name w:val="Part Divider"/>
    <w:basedOn w:val="BodyText"/>
    <w:next w:val="BodyText"/>
    <w:semiHidden/>
    <w:rsid w:val="00794AC3"/>
    <w:pPr>
      <w:spacing w:before="0" w:line="40" w:lineRule="exact"/>
      <w:jc w:val="right"/>
    </w:pPr>
    <w:rPr>
      <w:smallCaps/>
      <w:sz w:val="16"/>
    </w:rPr>
  </w:style>
  <w:style w:type="paragraph" w:customStyle="1" w:styleId="PartNumber">
    <w:name w:val="Part Number"/>
    <w:basedOn w:val="BodyText"/>
    <w:next w:val="BodyText"/>
    <w:semiHidden/>
    <w:rsid w:val="00794AC3"/>
    <w:pPr>
      <w:spacing w:before="4000" w:line="320" w:lineRule="exact"/>
      <w:ind w:left="6634"/>
      <w:jc w:val="right"/>
    </w:pPr>
    <w:rPr>
      <w:smallCaps/>
      <w:spacing w:val="60"/>
      <w:sz w:val="32"/>
    </w:rPr>
  </w:style>
  <w:style w:type="paragraph" w:customStyle="1" w:styleId="PartTitle">
    <w:name w:val="Part Title"/>
    <w:basedOn w:val="BodyText"/>
    <w:semiHidden/>
    <w:rsid w:val="00794AC3"/>
    <w:pPr>
      <w:spacing w:before="160" w:after="1360" w:line="520" w:lineRule="exact"/>
      <w:ind w:right="2381"/>
      <w:jc w:val="right"/>
    </w:pPr>
    <w:rPr>
      <w:smallCaps/>
      <w:sz w:val="52"/>
    </w:rPr>
  </w:style>
  <w:style w:type="paragraph" w:styleId="Quote">
    <w:name w:val="Quote"/>
    <w:basedOn w:val="BodyText"/>
    <w:next w:val="BodyText"/>
    <w:qFormat/>
    <w:rsid w:val="00794AC3"/>
    <w:pPr>
      <w:spacing w:before="120" w:line="280" w:lineRule="exact"/>
      <w:ind w:left="340"/>
    </w:pPr>
    <w:rPr>
      <w:sz w:val="24"/>
    </w:rPr>
  </w:style>
  <w:style w:type="paragraph" w:customStyle="1" w:styleId="QuoteBullet">
    <w:name w:val="Quote Bullet"/>
    <w:basedOn w:val="Quote"/>
    <w:rsid w:val="00794AC3"/>
    <w:pPr>
      <w:numPr>
        <w:numId w:val="8"/>
      </w:numPr>
    </w:pPr>
  </w:style>
  <w:style w:type="paragraph" w:customStyle="1" w:styleId="Rec">
    <w:name w:val="Rec"/>
    <w:basedOn w:val="BodyText"/>
    <w:rsid w:val="00794AC3"/>
    <w:pPr>
      <w:keepLines/>
      <w:spacing w:before="180"/>
    </w:pPr>
    <w:rPr>
      <w:b/>
      <w:i/>
    </w:rPr>
  </w:style>
  <w:style w:type="paragraph" w:customStyle="1" w:styleId="RecBullet">
    <w:name w:val="Rec Bullet"/>
    <w:basedOn w:val="Rec"/>
    <w:rsid w:val="00794AC3"/>
    <w:pPr>
      <w:numPr>
        <w:numId w:val="9"/>
      </w:numPr>
      <w:spacing w:before="80"/>
    </w:pPr>
  </w:style>
  <w:style w:type="paragraph" w:customStyle="1" w:styleId="RecB">
    <w:name w:val="RecB"/>
    <w:basedOn w:val="Normal"/>
    <w:rsid w:val="00794AC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94AC3"/>
    <w:pPr>
      <w:numPr>
        <w:numId w:val="10"/>
      </w:numPr>
      <w:spacing w:before="80"/>
    </w:pPr>
  </w:style>
  <w:style w:type="paragraph" w:customStyle="1" w:styleId="RecBNoTitle">
    <w:name w:val="RecB NoTitle"/>
    <w:basedOn w:val="RecB"/>
    <w:rsid w:val="00794AC3"/>
    <w:pPr>
      <w:spacing w:before="240"/>
    </w:pPr>
  </w:style>
  <w:style w:type="paragraph" w:customStyle="1" w:styleId="Reference">
    <w:name w:val="Reference"/>
    <w:basedOn w:val="BodyText"/>
    <w:rsid w:val="00794AC3"/>
    <w:pPr>
      <w:spacing w:before="120"/>
      <w:ind w:left="340" w:hanging="340"/>
    </w:pPr>
  </w:style>
  <w:style w:type="paragraph" w:customStyle="1" w:styleId="SequenceInfo">
    <w:name w:val="Sequence Info"/>
    <w:basedOn w:val="BodyText"/>
    <w:semiHidden/>
    <w:rsid w:val="00794AC3"/>
    <w:rPr>
      <w:vanish/>
      <w:sz w:val="16"/>
    </w:rPr>
  </w:style>
  <w:style w:type="paragraph" w:customStyle="1" w:styleId="SideNote">
    <w:name w:val="Side Note"/>
    <w:basedOn w:val="BodyText"/>
    <w:next w:val="BodyText"/>
    <w:semiHidden/>
    <w:rsid w:val="00794AC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94AC3"/>
    <w:pPr>
      <w:framePr w:wrap="around"/>
      <w:numPr>
        <w:numId w:val="11"/>
      </w:numPr>
      <w:tabs>
        <w:tab w:val="left" w:pos="227"/>
      </w:tabs>
    </w:pPr>
  </w:style>
  <w:style w:type="paragraph" w:customStyle="1" w:styleId="SideNoteGraphic">
    <w:name w:val="Side Note Graphic"/>
    <w:basedOn w:val="SideNote"/>
    <w:next w:val="BodyText"/>
    <w:semiHidden/>
    <w:rsid w:val="00794AC3"/>
    <w:pPr>
      <w:framePr w:wrap="around"/>
    </w:pPr>
  </w:style>
  <w:style w:type="paragraph" w:customStyle="1" w:styleId="TableBodyText">
    <w:name w:val="Table Body Text"/>
    <w:basedOn w:val="BodyText"/>
    <w:rsid w:val="00794AC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94AC3"/>
    <w:pPr>
      <w:numPr>
        <w:numId w:val="12"/>
      </w:numPr>
      <w:jc w:val="left"/>
    </w:pPr>
  </w:style>
  <w:style w:type="paragraph" w:customStyle="1" w:styleId="TableColumnHeading">
    <w:name w:val="Table Column Heading"/>
    <w:basedOn w:val="TableBodyText"/>
    <w:rsid w:val="00794AC3"/>
    <w:pPr>
      <w:spacing w:before="80" w:after="80"/>
    </w:pPr>
    <w:rPr>
      <w:i/>
    </w:rPr>
  </w:style>
  <w:style w:type="paragraph" w:styleId="TOC2">
    <w:name w:val="toc 2"/>
    <w:basedOn w:val="BodyText"/>
    <w:semiHidden/>
    <w:rsid w:val="00794AC3"/>
    <w:pPr>
      <w:tabs>
        <w:tab w:val="right" w:pos="8789"/>
      </w:tabs>
      <w:ind w:left="510" w:right="851" w:hanging="510"/>
      <w:jc w:val="left"/>
    </w:pPr>
    <w:rPr>
      <w:b/>
    </w:rPr>
  </w:style>
  <w:style w:type="paragraph" w:styleId="TOC3">
    <w:name w:val="toc 3"/>
    <w:basedOn w:val="TOC2"/>
    <w:semiHidden/>
    <w:rsid w:val="00794AC3"/>
    <w:pPr>
      <w:spacing w:before="60"/>
      <w:ind w:left="1190" w:hanging="680"/>
    </w:pPr>
    <w:rPr>
      <w:b w:val="0"/>
    </w:rPr>
  </w:style>
  <w:style w:type="paragraph" w:styleId="TableofFigures">
    <w:name w:val="table of figures"/>
    <w:basedOn w:val="TOC3"/>
    <w:next w:val="BodyText"/>
    <w:semiHidden/>
    <w:rsid w:val="00794AC3"/>
    <w:pPr>
      <w:ind w:left="737" w:hanging="737"/>
    </w:pPr>
  </w:style>
  <w:style w:type="paragraph" w:customStyle="1" w:styleId="TableTitle">
    <w:name w:val="Table Title"/>
    <w:basedOn w:val="Caption"/>
    <w:next w:val="Subtitle"/>
    <w:link w:val="TableTitleChar"/>
    <w:rsid w:val="00794AC3"/>
    <w:rPr>
      <w:sz w:val="24"/>
    </w:rPr>
  </w:style>
  <w:style w:type="paragraph" w:customStyle="1" w:styleId="TableUnitsRow">
    <w:name w:val="Table Units Row"/>
    <w:basedOn w:val="TableBodyText"/>
    <w:rsid w:val="00794AC3"/>
    <w:pPr>
      <w:spacing w:before="80" w:after="80"/>
    </w:pPr>
  </w:style>
  <w:style w:type="paragraph" w:styleId="TOC1">
    <w:name w:val="toc 1"/>
    <w:basedOn w:val="Normal"/>
    <w:next w:val="TOC2"/>
    <w:semiHidden/>
    <w:rsid w:val="00794AC3"/>
    <w:pPr>
      <w:tabs>
        <w:tab w:val="right" w:pos="8789"/>
      </w:tabs>
      <w:spacing w:before="480" w:after="60" w:line="320" w:lineRule="exact"/>
      <w:ind w:left="1191" w:right="851" w:hanging="1191"/>
    </w:pPr>
    <w:rPr>
      <w:b/>
      <w:caps/>
    </w:rPr>
  </w:style>
  <w:style w:type="paragraph" w:styleId="TOC4">
    <w:name w:val="toc 4"/>
    <w:basedOn w:val="TOC3"/>
    <w:semiHidden/>
    <w:rsid w:val="00794AC3"/>
    <w:pPr>
      <w:ind w:left="1191" w:firstLine="0"/>
    </w:pPr>
  </w:style>
  <w:style w:type="paragraph" w:customStyle="1" w:styleId="RecBBullet2">
    <w:name w:val="RecB Bullet 2"/>
    <w:basedOn w:val="ListBullet2"/>
    <w:semiHidden/>
    <w:rsid w:val="00794AC3"/>
    <w:pPr>
      <w:pBdr>
        <w:left w:val="single" w:sz="24" w:space="29" w:color="C0C0C0"/>
      </w:pBdr>
    </w:pPr>
    <w:rPr>
      <w:b/>
      <w:i/>
    </w:rPr>
  </w:style>
  <w:style w:type="paragraph" w:styleId="BalloonText">
    <w:name w:val="Balloon Text"/>
    <w:basedOn w:val="Normal"/>
    <w:link w:val="BalloonTextChar"/>
    <w:rsid w:val="00794AC3"/>
    <w:rPr>
      <w:rFonts w:ascii="Tahoma" w:hAnsi="Tahoma" w:cs="Tahoma"/>
      <w:sz w:val="16"/>
      <w:szCs w:val="16"/>
    </w:rPr>
  </w:style>
  <w:style w:type="character" w:customStyle="1" w:styleId="BalloonTextChar">
    <w:name w:val="Balloon Text Char"/>
    <w:basedOn w:val="DefaultParagraphFont"/>
    <w:link w:val="BalloonText"/>
    <w:rsid w:val="00794AC3"/>
    <w:rPr>
      <w:rFonts w:ascii="Tahoma" w:hAnsi="Tahoma" w:cs="Tahoma"/>
      <w:sz w:val="16"/>
      <w:szCs w:val="16"/>
    </w:rPr>
  </w:style>
  <w:style w:type="character" w:customStyle="1" w:styleId="SubtitleChar">
    <w:name w:val="Subtitle Char"/>
    <w:basedOn w:val="DefaultParagraphFont"/>
    <w:link w:val="Subtitle"/>
    <w:rsid w:val="00794AC3"/>
    <w:rPr>
      <w:rFonts w:ascii="Arial" w:hAnsi="Arial"/>
      <w:szCs w:val="24"/>
    </w:rPr>
  </w:style>
  <w:style w:type="paragraph" w:customStyle="1" w:styleId="BoxListBullet3">
    <w:name w:val="Box List Bullet 3"/>
    <w:basedOn w:val="ListBullet3"/>
    <w:rsid w:val="00794AC3"/>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94AC3"/>
    <w:rPr>
      <w:i/>
      <w:iCs/>
    </w:rPr>
  </w:style>
  <w:style w:type="paragraph" w:customStyle="1" w:styleId="BoxQuoteBullet">
    <w:name w:val="Box Quote Bullet"/>
    <w:basedOn w:val="BoxQuote"/>
    <w:next w:val="Box"/>
    <w:rsid w:val="00794AC3"/>
    <w:pPr>
      <w:numPr>
        <w:numId w:val="16"/>
      </w:numPr>
      <w:ind w:left="568" w:hanging="284"/>
    </w:pPr>
  </w:style>
  <w:style w:type="paragraph" w:customStyle="1" w:styleId="InformationRequestBullet">
    <w:name w:val="Information Request Bullet"/>
    <w:basedOn w:val="ListBullet"/>
    <w:next w:val="BodyText"/>
    <w:rsid w:val="00794AC3"/>
    <w:pPr>
      <w:numPr>
        <w:numId w:val="17"/>
      </w:numPr>
      <w:ind w:left="340" w:hanging="340"/>
    </w:pPr>
    <w:rPr>
      <w:rFonts w:ascii="Arial" w:hAnsi="Arial"/>
      <w:i/>
      <w:sz w:val="24"/>
    </w:rPr>
  </w:style>
  <w:style w:type="paragraph" w:customStyle="1" w:styleId="BoxSpaceBelow">
    <w:name w:val="Box Space Below"/>
    <w:basedOn w:val="Box"/>
    <w:rsid w:val="00794AC3"/>
    <w:pPr>
      <w:keepNext w:val="0"/>
      <w:spacing w:before="60" w:after="60" w:line="80" w:lineRule="exact"/>
    </w:pPr>
    <w:rPr>
      <w:sz w:val="14"/>
    </w:rPr>
  </w:style>
  <w:style w:type="character" w:customStyle="1" w:styleId="BodyTextChar">
    <w:name w:val="Body Text Char"/>
    <w:basedOn w:val="DefaultParagraphFont"/>
    <w:link w:val="BodyText"/>
    <w:rsid w:val="00B83F4E"/>
    <w:rPr>
      <w:sz w:val="26"/>
    </w:rPr>
  </w:style>
  <w:style w:type="character" w:customStyle="1" w:styleId="ListBulletChar">
    <w:name w:val="List Bullet Char"/>
    <w:basedOn w:val="BodyTextChar"/>
    <w:link w:val="ListBullet"/>
    <w:rsid w:val="0087433C"/>
    <w:rPr>
      <w:sz w:val="26"/>
    </w:rPr>
  </w:style>
  <w:style w:type="character" w:customStyle="1" w:styleId="NoteChar">
    <w:name w:val="Note Char"/>
    <w:basedOn w:val="DefaultParagraphFont"/>
    <w:link w:val="Note"/>
    <w:rsid w:val="00BE3F88"/>
    <w:rPr>
      <w:rFonts w:ascii="Arial" w:hAnsi="Arial"/>
      <w:sz w:val="18"/>
    </w:rPr>
  </w:style>
  <w:style w:type="paragraph" w:customStyle="1" w:styleId="AppHeading3">
    <w:name w:val="App Heading 3"/>
    <w:basedOn w:val="Normal"/>
    <w:next w:val="Normal"/>
    <w:autoRedefine/>
    <w:rsid w:val="00BE3F88"/>
    <w:pPr>
      <w:numPr>
        <w:ilvl w:val="2"/>
        <w:numId w:val="19"/>
      </w:numPr>
      <w:tabs>
        <w:tab w:val="left" w:pos="851"/>
      </w:tabs>
      <w:spacing w:before="240" w:line="320" w:lineRule="atLeast"/>
    </w:pPr>
    <w:rPr>
      <w:rFonts w:ascii="Book Antiqua" w:hAnsi="Book Antiqua"/>
      <w:b/>
      <w:bCs/>
      <w:i/>
      <w:iCs/>
      <w:color w:val="008000"/>
      <w:sz w:val="24"/>
      <w:lang w:val="en-US"/>
    </w:rPr>
  </w:style>
  <w:style w:type="paragraph" w:customStyle="1" w:styleId="Tableheading">
    <w:name w:val="Table heading"/>
    <w:basedOn w:val="Normal"/>
    <w:link w:val="TableheadingChar"/>
    <w:qFormat/>
    <w:rsid w:val="00BE3F88"/>
    <w:pPr>
      <w:keepNext/>
      <w:keepLines/>
      <w:spacing w:after="60" w:line="240" w:lineRule="atLeast"/>
      <w:ind w:left="1134" w:hanging="1134"/>
      <w:outlineLvl w:val="2"/>
    </w:pPr>
    <w:rPr>
      <w:rFonts w:asciiTheme="minorHAnsi" w:eastAsiaTheme="minorHAnsi" w:hAnsiTheme="minorHAnsi" w:cstheme="minorHAnsi"/>
      <w:b/>
      <w:bCs/>
      <w:color w:val="000000" w:themeColor="text1"/>
      <w:sz w:val="24"/>
    </w:rPr>
  </w:style>
  <w:style w:type="character" w:customStyle="1" w:styleId="TableheadingChar">
    <w:name w:val="Table heading Char"/>
    <w:basedOn w:val="DefaultParagraphFont"/>
    <w:link w:val="Tableheading"/>
    <w:rsid w:val="00BE3F88"/>
    <w:rPr>
      <w:rFonts w:asciiTheme="minorHAnsi" w:eastAsiaTheme="minorHAnsi" w:hAnsiTheme="minorHAnsi" w:cstheme="minorHAnsi"/>
      <w:b/>
      <w:bCs/>
      <w:color w:val="000000" w:themeColor="text1"/>
      <w:sz w:val="24"/>
      <w:szCs w:val="24"/>
    </w:rPr>
  </w:style>
  <w:style w:type="character" w:customStyle="1" w:styleId="FootnoteTextChar">
    <w:name w:val="Footnote Text Char"/>
    <w:basedOn w:val="DefaultParagraphFont"/>
    <w:link w:val="FootnoteText"/>
    <w:rsid w:val="00F01E05"/>
    <w:rPr>
      <w:sz w:val="22"/>
    </w:rPr>
  </w:style>
  <w:style w:type="character" w:customStyle="1" w:styleId="TableTitleChar">
    <w:name w:val="Table Title Char"/>
    <w:basedOn w:val="DefaultParagraphFont"/>
    <w:link w:val="TableTitle"/>
    <w:rsid w:val="004A6FA0"/>
    <w:rPr>
      <w:rFonts w:ascii="Arial" w:hAnsi="Arial"/>
      <w:b/>
      <w:sz w:val="24"/>
      <w:szCs w:val="24"/>
    </w:rPr>
  </w:style>
  <w:style w:type="character" w:customStyle="1" w:styleId="ContinuedChar">
    <w:name w:val="Continued Char"/>
    <w:basedOn w:val="DefaultParagraphFont"/>
    <w:link w:val="Continued"/>
    <w:rsid w:val="004A6FA0"/>
    <w:rPr>
      <w:rFonts w:ascii="Arial" w:hAnsi="Arial"/>
      <w:sz w:val="18"/>
    </w:rPr>
  </w:style>
  <w:style w:type="paragraph" w:styleId="CommentSubject">
    <w:name w:val="annotation subject"/>
    <w:basedOn w:val="CommentText"/>
    <w:next w:val="CommentText"/>
    <w:link w:val="CommentSubjectChar"/>
    <w:rsid w:val="001C74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7484"/>
    <w:rPr>
      <w:szCs w:val="24"/>
    </w:rPr>
  </w:style>
  <w:style w:type="character" w:customStyle="1" w:styleId="CommentSubjectChar">
    <w:name w:val="Comment Subject Char"/>
    <w:basedOn w:val="CommentTextChar"/>
    <w:link w:val="CommentSubject"/>
    <w:rsid w:val="001C7484"/>
    <w:rPr>
      <w:b/>
      <w:bCs/>
      <w:szCs w:val="24"/>
    </w:rPr>
  </w:style>
  <w:style w:type="paragraph" w:styleId="Bibliography">
    <w:name w:val="Bibliography"/>
    <w:basedOn w:val="Normal"/>
    <w:next w:val="Normal"/>
    <w:uiPriority w:val="37"/>
    <w:unhideWhenUsed/>
    <w:rsid w:val="002B5067"/>
    <w:pPr>
      <w:spacing w:after="240"/>
      <w:ind w:left="720" w:hanging="720"/>
    </w:pPr>
  </w:style>
  <w:style w:type="table" w:styleId="TableGrid">
    <w:name w:val="Table Grid"/>
    <w:basedOn w:val="TableNormal"/>
    <w:rsid w:val="00483B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
    <w:name w:val="Box Space"/>
    <w:basedOn w:val="BodyText"/>
    <w:rsid w:val="00E67873"/>
    <w:pPr>
      <w:keepNext/>
      <w:spacing w:before="360" w:line="80" w:lineRule="exact"/>
      <w:jc w:val="left"/>
    </w:pPr>
  </w:style>
  <w:style w:type="paragraph" w:customStyle="1" w:styleId="Gempack">
    <w:name w:val="Gempack"/>
    <w:basedOn w:val="BodyText"/>
    <w:rsid w:val="00E67873"/>
    <w:pPr>
      <w:keepLines/>
      <w:tabs>
        <w:tab w:val="right" w:pos="8280"/>
      </w:tabs>
      <w:jc w:val="left"/>
    </w:pPr>
    <w:rPr>
      <w:sz w:val="20"/>
    </w:rPr>
  </w:style>
  <w:style w:type="character" w:customStyle="1" w:styleId="ListNumberChar">
    <w:name w:val="List Number Char"/>
    <w:basedOn w:val="DefaultParagraphFont"/>
    <w:link w:val="ListNumber"/>
    <w:rsid w:val="00B83F4E"/>
    <w:rPr>
      <w:sz w:val="26"/>
    </w:rPr>
  </w:style>
  <w:style w:type="paragraph" w:customStyle="1" w:styleId="ListNumber21">
    <w:name w:val="List Number 21"/>
    <w:basedOn w:val="ListNumber"/>
    <w:link w:val="Listnumber2Char"/>
    <w:qFormat/>
    <w:rsid w:val="00B83F4E"/>
    <w:pPr>
      <w:numPr>
        <w:numId w:val="20"/>
      </w:numPr>
    </w:pPr>
    <w:rPr>
      <w:sz w:val="24"/>
      <w:szCs w:val="24"/>
    </w:rPr>
  </w:style>
  <w:style w:type="character" w:customStyle="1" w:styleId="Listnumber2Char">
    <w:name w:val="List number 2 Char"/>
    <w:basedOn w:val="ListNumberChar"/>
    <w:link w:val="ListNumber21"/>
    <w:rsid w:val="00B83F4E"/>
    <w:rPr>
      <w:sz w:val="24"/>
      <w:szCs w:val="24"/>
    </w:rPr>
  </w:style>
  <w:style w:type="paragraph" w:customStyle="1" w:styleId="ListNumber31">
    <w:name w:val="List Number 31"/>
    <w:basedOn w:val="ListNumber"/>
    <w:link w:val="Listnumber3Char"/>
    <w:qFormat/>
    <w:rsid w:val="00B83F4E"/>
    <w:pPr>
      <w:numPr>
        <w:numId w:val="21"/>
      </w:numPr>
    </w:pPr>
    <w:rPr>
      <w:sz w:val="24"/>
      <w:szCs w:val="24"/>
    </w:rPr>
  </w:style>
  <w:style w:type="character" w:customStyle="1" w:styleId="Listnumber3Char">
    <w:name w:val="List number 3 Char"/>
    <w:basedOn w:val="ListNumberChar"/>
    <w:link w:val="ListNumber31"/>
    <w:rsid w:val="00B83F4E"/>
    <w:rPr>
      <w:sz w:val="24"/>
      <w:szCs w:val="24"/>
    </w:rPr>
  </w:style>
  <w:style w:type="paragraph" w:customStyle="1" w:styleId="KeyPointsListBullet">
    <w:name w:val="Key Points List Bullet"/>
    <w:basedOn w:val="Normal"/>
    <w:qFormat/>
    <w:rsid w:val="00B83F4E"/>
    <w:pPr>
      <w:keepNext/>
      <w:spacing w:before="100" w:line="270" w:lineRule="atLeast"/>
      <w:jc w:val="both"/>
    </w:pPr>
    <w:rPr>
      <w:rFonts w:ascii="Arial" w:hAnsi="Arial"/>
      <w:sz w:val="21"/>
    </w:rPr>
  </w:style>
  <w:style w:type="paragraph" w:customStyle="1" w:styleId="KeyPointsListBullet2">
    <w:name w:val="Key Points List Bullet 2"/>
    <w:basedOn w:val="Normal"/>
    <w:rsid w:val="00B83F4E"/>
    <w:pPr>
      <w:keepNext/>
      <w:spacing w:before="60" w:line="270" w:lineRule="atLeast"/>
      <w:jc w:val="both"/>
    </w:pPr>
    <w:rPr>
      <w:rFonts w:ascii="Arial" w:hAnsi="Arial"/>
      <w:sz w:val="21"/>
    </w:rPr>
  </w:style>
  <w:style w:type="paragraph" w:customStyle="1" w:styleId="InformationRequestTitle">
    <w:name w:val="Information Request Title"/>
    <w:basedOn w:val="FindingTitle"/>
    <w:next w:val="InformationRequest"/>
    <w:rsid w:val="00B83F4E"/>
    <w:pPr>
      <w:framePr w:wrap="auto"/>
    </w:pPr>
    <w:rPr>
      <w:i/>
    </w:rPr>
  </w:style>
  <w:style w:type="paragraph" w:customStyle="1" w:styleId="Space">
    <w:name w:val="Space"/>
    <w:basedOn w:val="Normal"/>
    <w:rsid w:val="00B83F4E"/>
    <w:pPr>
      <w:keepNext/>
      <w:spacing w:line="120" w:lineRule="exact"/>
      <w:jc w:val="both"/>
    </w:pPr>
    <w:rPr>
      <w:rFonts w:ascii="Arial" w:hAnsi="Arial"/>
      <w:sz w:val="21"/>
    </w:rPr>
  </w:style>
  <w:style w:type="paragraph" w:customStyle="1" w:styleId="Heading1nochapterno">
    <w:name w:val="Heading 1 (no chapter no.)"/>
    <w:basedOn w:val="Heading1"/>
    <w:rsid w:val="00B83F4E"/>
    <w:pPr>
      <w:spacing w:before="0"/>
    </w:pPr>
    <w:rPr>
      <w:b/>
      <w:bCs/>
    </w:rPr>
  </w:style>
  <w:style w:type="character" w:customStyle="1" w:styleId="Heading1Char">
    <w:name w:val="Heading 1 Char"/>
    <w:basedOn w:val="DefaultParagraphFont"/>
    <w:link w:val="Heading1"/>
    <w:rsid w:val="00B83F4E"/>
    <w:rPr>
      <w:sz w:val="52"/>
    </w:rPr>
  </w:style>
  <w:style w:type="paragraph" w:customStyle="1" w:styleId="Heading2nosectionno">
    <w:name w:val="Heading 2 (no section no.)"/>
    <w:basedOn w:val="Heading2"/>
    <w:rsid w:val="00B83F4E"/>
    <w:rPr>
      <w:bCs/>
    </w:rPr>
  </w:style>
  <w:style w:type="character" w:customStyle="1" w:styleId="Heading2Char">
    <w:name w:val="Heading 2 Char"/>
    <w:basedOn w:val="DefaultParagraphFont"/>
    <w:link w:val="Heading2"/>
    <w:rsid w:val="00B83F4E"/>
    <w:rPr>
      <w:rFonts w:ascii="Arial" w:hAnsi="Arial"/>
      <w:b/>
      <w:sz w:val="32"/>
    </w:rPr>
  </w:style>
  <w:style w:type="character" w:customStyle="1" w:styleId="Heading5Char">
    <w:name w:val="Heading 5 Char"/>
    <w:basedOn w:val="DefaultParagraphFont"/>
    <w:link w:val="Heading5"/>
    <w:rsid w:val="00B83F4E"/>
    <w:rPr>
      <w:i/>
      <w:sz w:val="26"/>
    </w:rPr>
  </w:style>
  <w:style w:type="character" w:customStyle="1" w:styleId="Heading4Char">
    <w:name w:val="Heading 4 Char"/>
    <w:basedOn w:val="DefaultParagraphFont"/>
    <w:link w:val="Heading4"/>
    <w:rsid w:val="00B83F4E"/>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0</TotalTime>
  <Pages>11</Pages>
  <Words>3413</Words>
  <Characters>18910</Characters>
  <Application>Microsoft Office Word</Application>
  <DocSecurity>0</DocSecurity>
  <Lines>651</Lines>
  <Paragraphs>431</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21937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Productivity Commission</dc:creator>
  <cp:keywords/>
  <dc:description/>
  <cp:lastModifiedBy>Productivity Commission</cp:lastModifiedBy>
  <cp:revision>2</cp:revision>
  <dcterms:created xsi:type="dcterms:W3CDTF">2014-04-28T05:13:00Z</dcterms:created>
  <dcterms:modified xsi:type="dcterms:W3CDTF">2014-05-08T05:48:00Z</dcterms:modified>
</cp:coreProperties>
</file>